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7C55A">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62DE8BC1">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B768C0B">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6CA374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5575"/>
      <w:bookmarkStart w:id="2" w:name="_Toc29123"/>
      <w:bookmarkStart w:id="3" w:name="_Toc15679"/>
      <w:r>
        <w:rPr>
          <w:rFonts w:hint="eastAsia" w:cs="宋体"/>
          <w:b/>
          <w:bCs/>
          <w:color w:val="auto"/>
          <w:sz w:val="40"/>
          <w:szCs w:val="40"/>
          <w:highlight w:val="none"/>
          <w:shd w:val="clear" w:color="auto" w:fill="auto"/>
          <w:lang w:val="en-US" w:eastAsia="zh-CN"/>
        </w:rPr>
        <w:t>昌州财教（保民生）提前下达2024年城乡义务教育补助经费（中央直达资金）公用经费小学</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35D7E08E">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6376F9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AF5AE6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25911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04B507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9B85B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BF34510">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33DAF865">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项目名称：</w:t>
      </w:r>
      <w:r>
        <w:rPr>
          <w:rFonts w:hint="eastAsia" w:ascii="黑体" w:hAnsi="Times New Roman" w:eastAsia="黑体"/>
          <w:b w:val="0"/>
          <w:bCs/>
          <w:color w:val="auto"/>
          <w:sz w:val="30"/>
          <w:szCs w:val="30"/>
          <w:highlight w:val="none"/>
          <w:lang w:eastAsia="zh-CN"/>
        </w:rPr>
        <w:t>昌州财教（保民生）提前下达2024年城乡义务教育补助经费（中央直达资金）公用经费小学</w:t>
      </w:r>
    </w:p>
    <w:p w14:paraId="60E37489">
      <w:pPr>
        <w:spacing w:line="360" w:lineRule="auto"/>
        <w:ind w:firstLine="0" w:firstLineChars="0"/>
        <w:jc w:val="left"/>
        <w:rPr>
          <w:rFonts w:hint="default" w:ascii="黑体" w:hAnsi="Times New Roman" w:eastAsia="黑体"/>
          <w:b w:val="0"/>
          <w:bCs/>
          <w:color w:val="auto"/>
          <w:sz w:val="30"/>
          <w:szCs w:val="30"/>
          <w:highlight w:val="none"/>
          <w:lang w:val="en-US"/>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阜康市滋泥泉子镇中心小学</w:t>
      </w:r>
    </w:p>
    <w:p w14:paraId="406815DB">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eastAsia="zh-CN"/>
        </w:rPr>
        <w:t>阜康市教育局</w:t>
      </w:r>
    </w:p>
    <w:p w14:paraId="018E823B">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焦洁</w:t>
      </w:r>
    </w:p>
    <w:p w14:paraId="0DB05519">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6B8376B4">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65D0ADD3">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31323C2A">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4A77354D">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7CC0EF04">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6F271AB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952883C">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7871F47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51FC487C">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C2A42AB">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5AB5E8E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2C3491B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07717A7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5882D2E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298B453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707D3F0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61D3D34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2B4B00D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21</w:t>
          </w:r>
          <w:r>
            <w:rPr>
              <w:color w:val="auto"/>
              <w:highlight w:val="none"/>
            </w:rPr>
            <w:fldChar w:fldCharType="end"/>
          </w:r>
          <w:r>
            <w:rPr>
              <w:rFonts w:hint="eastAsia"/>
              <w:color w:val="auto"/>
              <w:szCs w:val="28"/>
              <w:highlight w:val="none"/>
              <w:lang w:val="en-US" w:eastAsia="zh-CN"/>
            </w:rPr>
            <w:fldChar w:fldCharType="end"/>
          </w:r>
        </w:p>
        <w:p w14:paraId="3E5D1EF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13DE124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300A4B0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210C101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840156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26C61B6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18B8E16C">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512CA0C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891465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6C9B90B9">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2572B18">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6900CA1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cs="宋体"/>
          <w:b/>
          <w:bCs/>
          <w:color w:val="auto"/>
          <w:sz w:val="36"/>
          <w:szCs w:val="36"/>
          <w:highlight w:val="none"/>
          <w:shd w:val="clear" w:color="auto" w:fill="auto"/>
          <w:lang w:val="en-US" w:eastAsia="zh-CN"/>
        </w:rPr>
      </w:pPr>
      <w:bookmarkStart w:id="4" w:name="_Toc3663"/>
      <w:bookmarkStart w:id="5" w:name="_Toc20432"/>
      <w:bookmarkStart w:id="6" w:name="_Toc22946"/>
      <w:bookmarkStart w:id="7" w:name="_Toc1194"/>
      <w:r>
        <w:rPr>
          <w:rFonts w:hint="eastAsia" w:cs="宋体"/>
          <w:b/>
          <w:bCs/>
          <w:color w:val="auto"/>
          <w:sz w:val="36"/>
          <w:szCs w:val="36"/>
          <w:highlight w:val="none"/>
          <w:shd w:val="clear" w:color="auto" w:fill="auto"/>
          <w:lang w:val="en-US" w:eastAsia="zh-CN"/>
        </w:rPr>
        <w:t>昌州财教（保民生）提前下达2024年城乡义务教育补助经费（中央直达资金）公用经费小学</w:t>
      </w:r>
    </w:p>
    <w:p w14:paraId="4E55AED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254A2AFC">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2E79F25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342ACADA">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2346"/>
      <w:bookmarkStart w:id="11" w:name="_Toc5043"/>
      <w:bookmarkStart w:id="12" w:name="_Toc29812"/>
      <w:bookmarkStart w:id="13" w:name="_Toc10645"/>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08DB9928">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国务院印发《关于进一步完善城乡义务教育经费保障机制的通知》，进一步完善城乡义务教育经费保障机制，通过“三个统一、两个巩固”，建立城乡统一、重在农村的义务教育经费保障机制，推动教育经费随学生流动可携带，明确了生均公用经费基准定额等相关政策，为义务教育生均经费项目提供了政策依据和保障。学校日常运转需资金支持，如教学业务与管理、教师培训、实验实习、文体活动、水电、交通差旅等支出</w:t>
      </w:r>
      <w:r>
        <w:rPr>
          <w:rFonts w:hint="eastAsia" w:ascii="仿宋_GB2312" w:hAnsi="仿宋_GB2312" w:eastAsia="仿宋_GB2312" w:cs="仿宋_GB2312"/>
          <w:color w:val="auto"/>
          <w:sz w:val="32"/>
          <w:szCs w:val="32"/>
          <w:highlight w:val="none"/>
          <w:lang w:eastAsia="zh-CN"/>
        </w:rPr>
        <w:t>。</w:t>
      </w:r>
    </w:p>
    <w:p w14:paraId="1AAF2B18">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630"/>
      <w:bookmarkStart w:id="16" w:name="_Toc17880"/>
      <w:bookmarkStart w:id="17" w:name="_Toc107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030D1D59">
      <w:pPr>
        <w:pStyle w:val="4"/>
        <w:pageBreakBefore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16592"/>
      <w:bookmarkStart w:id="19" w:name="_Toc21898"/>
      <w:bookmarkStart w:id="20" w:name="_Toc27245"/>
      <w:bookmarkStart w:id="21" w:name="_Toc27409"/>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依据学校在校人数，按一定标准核算并下发生均经费。经费主要用于教师工资待遇提升，吸引和留住优秀师资；购置先进的教学设备，如多媒体教学工具、益智玩具等；开发适合</w:t>
      </w:r>
      <w:r>
        <w:rPr>
          <w:rFonts w:hint="eastAsia" w:cs="仿宋_GB2312"/>
          <w:b w:val="0"/>
          <w:bCs w:val="0"/>
          <w:color w:val="auto"/>
          <w:kern w:val="2"/>
          <w:sz w:val="32"/>
          <w:szCs w:val="32"/>
          <w:highlight w:val="none"/>
          <w:shd w:val="clear" w:color="auto" w:fill="auto"/>
          <w:lang w:val="en-US" w:eastAsia="zh-CN" w:bidi="ar-SA"/>
        </w:rPr>
        <w:t>学生</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的特色课程，丰富教学内容；完善</w:t>
      </w:r>
      <w:r>
        <w:rPr>
          <w:rFonts w:hint="eastAsia" w:cs="仿宋_GB2312"/>
          <w:b w:val="0"/>
          <w:bCs w:val="0"/>
          <w:color w:val="auto"/>
          <w:kern w:val="2"/>
          <w:sz w:val="32"/>
          <w:szCs w:val="32"/>
          <w:highlight w:val="none"/>
          <w:shd w:val="clear" w:color="auto" w:fill="auto"/>
          <w:lang w:val="en-US" w:eastAsia="zh-CN" w:bidi="ar-SA"/>
        </w:rPr>
        <w:t>学校的心理健康室的设备设施购置等。</w:t>
      </w:r>
    </w:p>
    <w:p w14:paraId="71E686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2024年1月1日经昌州财教【2023】90号文件批复，经阜康市滋泥泉子镇中心小学会议，确定了项目领导小组，明确了责任分工：组长为聂婷，副组长为赵虎，项目负责人为焦洁,组员为谭璐、赵华、王玉霞，其中：焦洁负责监管工作，赵华负责项目档案资料，王玉霞负责资金拨付工作。</w:t>
      </w:r>
    </w:p>
    <w:p w14:paraId="09B4C362">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本项目涉及学生人数585人，公用经费享受比例达到100%，教师培训结业率达到100%，公用经费标准以720元/人/年完成，达到学校正常运转率提高，改善教学环境，提供良好的学生成长条件，保障学校正常运转。</w:t>
      </w:r>
    </w:p>
    <w:p w14:paraId="64CFE37E">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10240"/>
      <w:bookmarkStart w:id="23" w:name="_Toc569"/>
      <w:bookmarkStart w:id="24" w:name="_Toc12348"/>
      <w:bookmarkStart w:id="25" w:name="_Toc185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71DBB5B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5DED7B05">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color w:val="auto"/>
          <w:sz w:val="32"/>
          <w:szCs w:val="32"/>
          <w:highlight w:val="none"/>
          <w:lang w:val="en-US" w:eastAsia="zh-CN"/>
        </w:rPr>
        <w:t>该项目年初预算数43.71万元，全年预算数43.71万元，该项目资金已全部落实到位，资金来源为财政拨款。</w:t>
      </w:r>
      <w:bookmarkEnd w:id="29"/>
      <w:bookmarkEnd w:id="30"/>
      <w:bookmarkEnd w:id="31"/>
      <w:bookmarkStart w:id="32" w:name="_Toc3409"/>
      <w:bookmarkStart w:id="33" w:name="_Toc1166"/>
      <w:bookmarkStart w:id="34" w:name="_Toc28187"/>
    </w:p>
    <w:p w14:paraId="08964E7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21692BEB">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color w:val="auto"/>
          <w:sz w:val="32"/>
          <w:szCs w:val="32"/>
          <w:highlight w:val="none"/>
          <w:lang w:val="en-US" w:eastAsia="zh-CN"/>
        </w:rPr>
        <w:t>该项目年初预算数43.71万元，全年预算数43.71万元，，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全年执行数43.71万元，预算执行率为100%，主要用于：支付日常办公用品采购、卫生用品购置、水费、电费、邮电费、取暖费缴纳、学校设施设备维修等。</w:t>
      </w:r>
      <w:bookmarkEnd w:id="35"/>
      <w:bookmarkEnd w:id="36"/>
      <w:bookmarkEnd w:id="37"/>
    </w:p>
    <w:p w14:paraId="5B4796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60402C84">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10047"/>
      <w:bookmarkStart w:id="40" w:name="_Toc2547"/>
      <w:bookmarkStart w:id="41" w:name="_Toc14758"/>
      <w:bookmarkStart w:id="42" w:name="_Toc852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01A5392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 xml:space="preserve">  昌州财教（保民生）提前下达2024年城乡义务教育补助经费（中央直达资金）公用经费小学项目绩效总体目标为：保障学校正常运转，完成教学活动及其他日常业务的正常运转。2024年学校在校学生人数585人，计划完成每学年以720元/生/学年的标准使用公用经费,公用经费、教师培训结业率达到100%。通过项目实施，将有效改善教学环境，提供良好的学生成长条件，保障学校正常运转,师生满意度预计将达到90%以上。</w:t>
      </w:r>
    </w:p>
    <w:p w14:paraId="0023E858">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8990"/>
      <w:bookmarkStart w:id="44" w:name="_Toc4487"/>
      <w:bookmarkStart w:id="45" w:name="_Toc3255"/>
      <w:bookmarkStart w:id="46" w:name="_Toc4007"/>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6134913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1A4D1A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47FC0E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4F6FDE2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“在校学生人数（人）”指标，预期目标值为≥585人；</w:t>
      </w:r>
    </w:p>
    <w:p w14:paraId="05CBFCB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5C5DAD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“公用经费享受比例”指标，预期目标值为=100%；</w:t>
      </w:r>
    </w:p>
    <w:p w14:paraId="4C52ED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“教师培训结业率”指标，预期目标值为=100%；</w:t>
      </w:r>
    </w:p>
    <w:p w14:paraId="213DD1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7AB49DD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“公用经费支出及时率”指标，预期目标值为=100%；</w:t>
      </w:r>
    </w:p>
    <w:p w14:paraId="03D557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成本指标</w:t>
      </w:r>
    </w:p>
    <w:p w14:paraId="0CB587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“公用经费标准”指标，预期目标值为=720元/人/年；</w:t>
      </w:r>
    </w:p>
    <w:p w14:paraId="2F6425AE">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指标</w:t>
      </w:r>
    </w:p>
    <w:p w14:paraId="5E4D6A5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04303C2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3B9F48F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77FD6A6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4177EC3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7B4AA11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40C0C29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439E00B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p>
    <w:p w14:paraId="4CA348A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p>
    <w:p w14:paraId="041BC88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w:t>
      </w:r>
    </w:p>
    <w:p w14:paraId="18AB169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w:t>
      </w:r>
    </w:p>
    <w:p w14:paraId="6711FE8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default" w:ascii="仿宋_GB2312" w:hAnsi="仿宋_GB2312" w:eastAsia="仿宋_GB2312" w:cs="仿宋_GB2312"/>
          <w:color w:val="auto"/>
          <w:sz w:val="32"/>
          <w:szCs w:val="32"/>
          <w:highlight w:val="none"/>
          <w:shd w:val="clear" w:color="auto" w:fill="auto"/>
          <w:lang w:val="en-US" w:eastAsia="zh-CN"/>
        </w:rPr>
        <w:t>⑤</w:t>
      </w:r>
      <w:r>
        <w:rPr>
          <w:rFonts w:hint="eastAsia" w:ascii="仿宋_GB2312" w:hAnsi="仿宋_GB2312" w:eastAsia="仿宋_GB2312" w:cs="仿宋_GB2312"/>
          <w:color w:val="auto"/>
          <w:sz w:val="32"/>
          <w:szCs w:val="32"/>
          <w:highlight w:val="none"/>
          <w:shd w:val="clear" w:color="auto" w:fill="auto"/>
          <w:lang w:val="en-US" w:eastAsia="zh-CN"/>
        </w:rPr>
        <w:t>满意度指标</w:t>
      </w:r>
    </w:p>
    <w:p w14:paraId="2D68D77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师生满意度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61B67028">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743849E2">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21664"/>
      <w:bookmarkStart w:id="49" w:name="_Toc5462343"/>
      <w:bookmarkStart w:id="50" w:name="_Toc26632"/>
      <w:bookmarkStart w:id="51" w:name="_Toc22922"/>
      <w:bookmarkStart w:id="52" w:name="_Toc22169_WPSOffice_Level2"/>
      <w:bookmarkStart w:id="53" w:name="_Toc480473081"/>
      <w:bookmarkStart w:id="54" w:name="_Toc5258"/>
      <w:bookmarkStart w:id="55" w:name="_Toc12868"/>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33604077">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5B5FAE4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11C9AA9">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4DFB4B4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40DD66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14CE6BB7">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6900541">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21770"/>
      <w:bookmarkStart w:id="59"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211D7E31">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14DDEC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68B9A3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90606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B390F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3CA23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3B81A2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489AD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17D094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8F010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1812DD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11D320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C02C6AB">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16346"/>
      <w:bookmarkStart w:id="62"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4E40B4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文件要求对2024年度我单位实施的昌州财教（保民生）提前下达2024年城乡义务教育补助经费（中央直达资金）公用经费小学项目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15048206">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阜康市滋泥泉子镇中心小学</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通过项目实施，将达到改善教学环境，提供良好的学生成长条件，保障学校正常运转</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2024年2月5日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color w:val="auto"/>
          <w:sz w:val="32"/>
          <w:szCs w:val="32"/>
          <w:highlight w:val="none"/>
          <w:lang w:val="en-US" w:eastAsia="zh-CN"/>
        </w:rPr>
        <w:t>43.71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15499A72">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11666"/>
      <w:bookmarkStart w:id="64" w:name="_Toc21311"/>
      <w:r>
        <w:rPr>
          <w:rFonts w:hint="default" w:cs="仿宋_GB2312"/>
          <w:color w:val="auto"/>
          <w:sz w:val="32"/>
          <w:szCs w:val="32"/>
          <w:highlight w:val="none"/>
          <w:shd w:val="clear" w:color="auto" w:fill="auto"/>
          <w:lang w:val="en-US" w:eastAsia="zh-CN"/>
        </w:rPr>
        <w:t>4.绩效评价的范围</w:t>
      </w:r>
      <w:bookmarkEnd w:id="63"/>
      <w:bookmarkEnd w:id="64"/>
    </w:p>
    <w:p w14:paraId="26E5C80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5218F4B0">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4FACE35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52337829">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4970C7ED">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生态</w:t>
      </w:r>
      <w:r>
        <w:rPr>
          <w:rFonts w:hint="eastAsia" w:ascii="仿宋_GB2312" w:hAnsi="仿宋_GB2312" w:eastAsia="仿宋_GB2312" w:cs="仿宋_GB2312"/>
          <w:b w:val="0"/>
          <w:bCs w:val="0"/>
          <w:color w:val="auto"/>
          <w:sz w:val="32"/>
          <w:szCs w:val="32"/>
          <w:highlight w:val="none"/>
        </w:rPr>
        <w:t>、经济等方面的综合影响。</w:t>
      </w:r>
    </w:p>
    <w:p w14:paraId="5940748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29785"/>
      <w:bookmarkStart w:id="66" w:name="_Toc1286"/>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7750490C">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41034EDC">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 xml:space="preserve">  昌州财教（保民生）提前下达2024年城乡义务教育补助经费（中央直达资金）公用经费小学</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6AF5552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75C40185">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30613E70">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116C3B5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43DAE5E3">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1DE896C0">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419984722"/>
      <w:bookmarkStart w:id="71" w:name="_Toc1913"/>
      <w:bookmarkStart w:id="72" w:name="_Toc26131"/>
      <w:bookmarkStart w:id="73" w:name="_Toc24396"/>
      <w:bookmarkStart w:id="74" w:name="_Toc428278230"/>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64EF0F3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7FA696F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187B4B23">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72DC06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53C805A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3F35D2E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1755E94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96B0620">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6E6706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10EEF086">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5690"/>
      <w:bookmarkStart w:id="77" w:name="_Toc30114"/>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7C603382">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2E7290E1">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79" w:name="_Toc6081"/>
      <w:bookmarkStart w:id="80" w:name="_Toc25651"/>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5B88ED65">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r>
        <w:rPr>
          <w:rFonts w:hint="eastAsia" w:ascii="Times New Roman" w:hAnsi="Times New Roman" w:eastAsia="仿宋_GB2312" w:cs="Times New Roman"/>
          <w:color w:val="auto"/>
          <w:spacing w:val="17"/>
          <w:sz w:val="32"/>
          <w:szCs w:val="32"/>
          <w:highlight w:val="none"/>
          <w:lang w:val="en-US" w:eastAsia="zh-CN"/>
        </w:rPr>
        <w:t>成本效益分析法在选聘教师工资补助项目中的应用，不仅是经济决策的工具，更是实现教育公平，提升教育教学环境的关键方法。</w:t>
      </w:r>
    </w:p>
    <w:p w14:paraId="6263CB97">
      <w:pPr>
        <w:spacing w:line="560" w:lineRule="exact"/>
        <w:ind w:firstLine="708" w:firstLineChars="200"/>
        <w:rPr>
          <w:rFonts w:hint="default"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r>
        <w:rPr>
          <w:rFonts w:hint="eastAsia" w:ascii="Times New Roman" w:hAnsi="Times New Roman" w:eastAsia="仿宋_GB2312" w:cs="Times New Roman"/>
          <w:color w:val="auto"/>
          <w:spacing w:val="17"/>
          <w:sz w:val="32"/>
          <w:szCs w:val="32"/>
          <w:highlight w:val="none"/>
          <w:lang w:val="en-US" w:eastAsia="zh-CN"/>
        </w:rPr>
        <w:t>比较法的应用，本质上是通过“对标”与“反馈”机制，推动义务教育生均经费项目从“粗放投入”撞向“精准施策”，最终实现教育资源的科学配置和教师队伍的高质量发展。</w:t>
      </w:r>
    </w:p>
    <w:p w14:paraId="1CCB858E">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12DF9923">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历史标准。</w:t>
      </w:r>
    </w:p>
    <w:p w14:paraId="43D1211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4A2C471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历</w:t>
      </w:r>
      <w:r>
        <w:rPr>
          <w:rFonts w:hint="default" w:ascii="Times New Roman" w:hAnsi="Times New Roman" w:eastAsia="仿宋_GB2312" w:cs="Times New Roman"/>
          <w:color w:val="auto"/>
          <w:spacing w:val="17"/>
          <w:sz w:val="32"/>
          <w:szCs w:val="32"/>
          <w:highlight w:val="none"/>
        </w:rPr>
        <w:t>史标准。指参照历史数据制定的评价标准，为体现绩效改进的原则，在可实现的条件下应当确定相对较高的评价标准。</w:t>
      </w:r>
    </w:p>
    <w:p w14:paraId="22DF00E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4369255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4B03761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43BFCD4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6DA0F25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4192159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昌州财教（保民生）提前下达2024年城乡义务教育补助经费（中央直达资金）公用经费小学实施内容、目标信息、预算信息以及其他的一些项目基本信息，有了初步了解，为制定绩效评价工作方案做好准备。</w:t>
      </w:r>
      <w:bookmarkEnd w:id="84"/>
    </w:p>
    <w:p w14:paraId="6863580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2E82DC7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03AE7806">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17D3593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6C5FFE5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5D0CFDC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23DA62F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547E096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532CD45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0CA94D5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2F9E56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6CBFE69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5994F7A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2F95D5FF">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1387F75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094411BF">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41ECB32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140270B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13E8BC2E">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333934B6">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089B50F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020EDEA5">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lang w:val="en-US" w:eastAsia="zh-CN"/>
        </w:rPr>
        <w:t>昌州财教（保民生）提前下达2024年城乡义务教育补助经费（中央直达资金）公用经费小学</w:t>
      </w:r>
      <w:r>
        <w:rPr>
          <w:rFonts w:hint="eastAsia" w:ascii="仿宋_GB2312" w:hAnsi="仿宋_GB2312" w:eastAsia="仿宋_GB2312" w:cs="仿宋_GB2312"/>
          <w:color w:val="auto"/>
          <w:sz w:val="32"/>
          <w:szCs w:val="32"/>
          <w:highlight w:val="none"/>
        </w:rPr>
        <w:t>在</w:t>
      </w:r>
      <w:r>
        <w:rPr>
          <w:rFonts w:hint="eastAsia" w:ascii="仿宋_GB2312" w:hAnsi="仿宋_GB2312" w:eastAsia="仿宋_GB2312" w:cs="仿宋_GB2312"/>
          <w:color w:val="auto"/>
          <w:sz w:val="32"/>
          <w:szCs w:val="32"/>
          <w:highlight w:val="none"/>
          <w:lang w:val="en-US" w:eastAsia="zh-CN"/>
        </w:rPr>
        <w:t>项目产出方面完成较好</w:t>
      </w:r>
      <w:r>
        <w:rPr>
          <w:rFonts w:hint="eastAsia" w:ascii="仿宋_GB2312" w:hAnsi="仿宋_GB2312" w:eastAsia="仿宋_GB2312" w:cs="仿宋_GB2312"/>
          <w:color w:val="auto"/>
          <w:sz w:val="32"/>
          <w:szCs w:val="32"/>
          <w:highlight w:val="none"/>
        </w:rPr>
        <w:t>，达到了预期的标准与要求。</w:t>
      </w:r>
    </w:p>
    <w:p w14:paraId="6FA1A41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在项目管理方面，</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rPr>
        <w:t>通过有效的规划、组织与协调，项目得以顺利实施，并在预算与时间上保持了良好的控制。</w:t>
      </w:r>
    </w:p>
    <w:p w14:paraId="3980B307">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从项目效益的角度来看，本项目不仅实现了预期的社会效益等方面产生了积极的影响。具体而言改善教学环境，提供良好的学生成长条件等方面的提升，为项目的利益相关者带来了实实在在的利益。</w:t>
      </w:r>
    </w:p>
    <w:p w14:paraId="7D6A1EA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综上所述，</w:t>
      </w:r>
      <w:r>
        <w:rPr>
          <w:rFonts w:hint="eastAsia" w:ascii="仿宋_GB2312" w:hAnsi="仿宋_GB2312" w:eastAsia="仿宋_GB2312" w:cs="仿宋_GB2312"/>
          <w:color w:val="auto"/>
          <w:sz w:val="32"/>
          <w:szCs w:val="32"/>
          <w:highlight w:val="none"/>
          <w:lang w:val="en-US" w:eastAsia="zh-CN"/>
        </w:rPr>
        <w:t>昌州财教（保民生）提前下达2024年城乡义务教育补助经费（中央直达资金）公用经费小学</w:t>
      </w:r>
      <w:r>
        <w:rPr>
          <w:rFonts w:hint="eastAsia" w:ascii="仿宋_GB2312" w:hAnsi="仿宋_GB2312" w:eastAsia="仿宋_GB2312" w:cs="仿宋_GB2312"/>
          <w:color w:val="auto"/>
          <w:sz w:val="32"/>
          <w:szCs w:val="32"/>
          <w:highlight w:val="none"/>
        </w:rPr>
        <w:t>在绩效评价中表现出色，达到了项目的预期目标，并在多个方面取得了显著的成效</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评价等级为优秀</w:t>
      </w:r>
      <w:r>
        <w:rPr>
          <w:rFonts w:hint="eastAsia" w:ascii="仿宋_GB2312" w:hAnsi="仿宋_GB2312" w:eastAsia="仿宋_GB2312" w:cs="仿宋_GB2312"/>
          <w:color w:val="auto"/>
          <w:sz w:val="32"/>
          <w:szCs w:val="32"/>
          <w:highlight w:val="none"/>
        </w:rPr>
        <w:t>。</w:t>
      </w:r>
    </w:p>
    <w:p w14:paraId="6C43F1F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180C61A4">
      <w:pPr>
        <w:spacing w:line="560" w:lineRule="exact"/>
        <w:ind w:firstLine="708" w:firstLineChars="200"/>
        <w:rPr>
          <w:rFonts w:hint="eastAsia" w:ascii="仿宋_GB2312" w:hAnsi="仿宋_GB2312" w:eastAsia="仿宋_GB2312" w:cs="仿宋_GB2312"/>
          <w:color w:val="auto"/>
          <w:spacing w:val="17"/>
          <w:sz w:val="32"/>
          <w:szCs w:val="32"/>
          <w:highlight w:val="none"/>
          <w:lang w:val="zh-TW" w:eastAsia="zh-TW"/>
        </w:rPr>
      </w:pPr>
      <w:r>
        <w:rPr>
          <w:rFonts w:hint="eastAsia" w:ascii="仿宋_GB2312" w:hAnsi="仿宋_GB2312" w:eastAsia="仿宋_GB2312" w:cs="仿宋_GB2312"/>
          <w:color w:val="auto"/>
          <w:spacing w:val="17"/>
          <w:sz w:val="32"/>
          <w:szCs w:val="32"/>
          <w:highlight w:val="none"/>
          <w:lang w:val="en-US" w:eastAsia="zh-CN"/>
        </w:rPr>
        <w:t>此次绩效评价</w:t>
      </w:r>
      <w:r>
        <w:rPr>
          <w:rFonts w:hint="eastAsia" w:ascii="仿宋_GB2312" w:hAnsi="仿宋_GB2312" w:eastAsia="仿宋_GB2312" w:cs="仿宋_GB2312"/>
          <w:color w:val="auto"/>
          <w:spacing w:val="17"/>
          <w:sz w:val="32"/>
          <w:szCs w:val="32"/>
          <w:highlight w:val="none"/>
          <w:lang w:val="zh-TW" w:eastAsia="zh-TW"/>
        </w:rPr>
        <w:t>通过组论证的评价指标体系及评分标准，</w:t>
      </w:r>
      <w:r>
        <w:rPr>
          <w:rFonts w:hint="eastAsia" w:ascii="仿宋_GB2312" w:hAnsi="仿宋_GB2312" w:eastAsia="仿宋_GB2312" w:cs="仿宋_GB2312"/>
          <w:color w:val="auto"/>
          <w:spacing w:val="17"/>
          <w:sz w:val="32"/>
          <w:szCs w:val="32"/>
          <w:highlight w:val="none"/>
          <w:lang w:val="en-US" w:eastAsia="zh-CN"/>
        </w:rPr>
        <w:t>采用的方法比较法、因素分析法、公众评判法，</w:t>
      </w:r>
      <w:r>
        <w:rPr>
          <w:rFonts w:hint="eastAsia" w:ascii="仿宋_GB2312" w:hAnsi="仿宋_GB2312" w:eastAsia="仿宋_GB2312" w:cs="仿宋_GB2312"/>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lang w:val="en-US" w:eastAsia="zh-CN"/>
        </w:rPr>
        <w:t>昌州财教（保民生）提前下达2024年城乡义务教育补助经费（中央直达资金）公用经费小学</w:t>
      </w:r>
      <w:r>
        <w:rPr>
          <w:rFonts w:hint="eastAsia" w:ascii="仿宋_GB2312" w:hAnsi="仿宋_GB2312" w:eastAsia="仿宋_GB2312" w:cs="仿宋_GB2312"/>
          <w:color w:val="auto"/>
          <w:spacing w:val="17"/>
          <w:sz w:val="32"/>
          <w:szCs w:val="32"/>
          <w:highlight w:val="none"/>
          <w:lang w:val="zh-TW" w:eastAsia="zh-TW"/>
        </w:rPr>
        <w:t>绩效进行客观评价，最终评分结果：</w:t>
      </w:r>
      <w:r>
        <w:rPr>
          <w:rFonts w:hint="eastAsia" w:ascii="仿宋_GB2312" w:hAnsi="仿宋_GB2312" w:eastAsia="仿宋_GB2312" w:cs="仿宋_GB2312"/>
          <w:color w:val="auto"/>
          <w:spacing w:val="17"/>
          <w:sz w:val="32"/>
          <w:szCs w:val="32"/>
          <w:highlight w:val="none"/>
          <w:lang w:val="en-US" w:eastAsia="zh-CN"/>
        </w:rPr>
        <w:t>总得分为100分，属于“优”。其中，项目决策类指标权重为20分，得分为19分，得分率为95%。项目过程类指标权重为20分，得分为20分，得分率为100%。项目产出类指标权重为40分，得分为40分，得分率为100%。项目效益类指标权重为20分，得分为</w:t>
      </w:r>
      <w:r>
        <w:rPr>
          <w:rFonts w:hint="eastAsia" w:ascii="仿宋_GB2312" w:hAnsi="仿宋_GB2312" w:eastAsia="仿宋_GB2312" w:cs="仿宋_GB2312"/>
          <w:color w:val="auto"/>
          <w:spacing w:val="17"/>
          <w:sz w:val="32"/>
          <w:szCs w:val="32"/>
          <w:highlight w:val="none"/>
          <w:shd w:val="clear"/>
          <w:lang w:val="en-US" w:eastAsia="zh-CN"/>
        </w:rPr>
        <w:t>20分，</w:t>
      </w:r>
      <w:r>
        <w:rPr>
          <w:rFonts w:hint="eastAsia" w:ascii="仿宋_GB2312" w:hAnsi="仿宋_GB2312" w:eastAsia="仿宋_GB2312" w:cs="仿宋_GB2312"/>
          <w:color w:val="auto"/>
          <w:spacing w:val="17"/>
          <w:sz w:val="32"/>
          <w:szCs w:val="32"/>
          <w:highlight w:val="none"/>
          <w:lang w:val="en-US" w:eastAsia="zh-CN"/>
        </w:rPr>
        <w:t>得分率为100%。</w:t>
      </w:r>
      <w:r>
        <w:rPr>
          <w:rFonts w:hint="eastAsia" w:ascii="仿宋_GB2312" w:hAnsi="仿宋_GB2312" w:eastAsia="仿宋_GB2312" w:cs="仿宋_GB2312"/>
          <w:color w:val="auto"/>
          <w:spacing w:val="17"/>
          <w:sz w:val="32"/>
          <w:szCs w:val="32"/>
          <w:highlight w:val="none"/>
          <w:lang w:val="zh-TW" w:eastAsia="zh-TW"/>
        </w:rPr>
        <w:t>各部分权重和绩效</w:t>
      </w:r>
      <w:r>
        <w:rPr>
          <w:rFonts w:hint="eastAsia" w:ascii="仿宋_GB2312" w:hAnsi="仿宋_GB2312" w:eastAsia="仿宋_GB2312" w:cs="仿宋_GB2312"/>
          <w:color w:val="auto"/>
          <w:spacing w:val="17"/>
          <w:sz w:val="32"/>
          <w:szCs w:val="32"/>
          <w:highlight w:val="none"/>
          <w:lang w:val="en-US" w:eastAsia="zh-CN"/>
        </w:rPr>
        <w:t>汇总</w:t>
      </w:r>
      <w:r>
        <w:rPr>
          <w:rFonts w:hint="eastAsia" w:ascii="仿宋_GB2312" w:hAnsi="仿宋_GB2312" w:eastAsia="仿宋_GB2312" w:cs="仿宋_GB2312"/>
          <w:color w:val="auto"/>
          <w:spacing w:val="17"/>
          <w:sz w:val="32"/>
          <w:szCs w:val="32"/>
          <w:highlight w:val="none"/>
          <w:lang w:val="zh-TW" w:eastAsia="zh-TW"/>
        </w:rPr>
        <w:t>分值如下表</w:t>
      </w:r>
      <w:r>
        <w:rPr>
          <w:rFonts w:hint="eastAsia" w:ascii="仿宋_GB2312" w:hAnsi="仿宋_GB2312" w:eastAsia="仿宋_GB2312" w:cs="仿宋_GB2312"/>
          <w:color w:val="auto"/>
          <w:spacing w:val="17"/>
          <w:sz w:val="32"/>
          <w:szCs w:val="32"/>
          <w:highlight w:val="none"/>
          <w:lang w:val="en-US" w:eastAsia="zh-CN"/>
        </w:rPr>
        <w:t>3-1</w:t>
      </w:r>
      <w:r>
        <w:rPr>
          <w:rFonts w:hint="eastAsia" w:ascii="仿宋_GB2312" w:hAnsi="仿宋_GB2312" w:eastAsia="仿宋_GB2312" w:cs="仿宋_GB2312"/>
          <w:color w:val="auto"/>
          <w:spacing w:val="17"/>
          <w:sz w:val="32"/>
          <w:szCs w:val="32"/>
          <w:highlight w:val="none"/>
          <w:lang w:val="zh-TW" w:eastAsia="zh-TW"/>
        </w:rPr>
        <w:t>所示</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en-US" w:eastAsia="zh-CN"/>
        </w:rPr>
        <w:t>详见上传的附件</w:t>
      </w:r>
      <w:r>
        <w:rPr>
          <w:rFonts w:hint="eastAsia" w:ascii="仿宋_GB2312" w:hAnsi="仿宋_GB2312" w:eastAsia="仿宋_GB2312" w:cs="仿宋_GB2312"/>
          <w:color w:val="auto"/>
          <w:spacing w:val="17"/>
          <w:sz w:val="32"/>
          <w:szCs w:val="32"/>
          <w:highlight w:val="none"/>
          <w:lang w:val="zh-TW" w:eastAsia="zh-CN"/>
        </w:rPr>
        <w:t>）</w:t>
      </w:r>
      <w:r>
        <w:rPr>
          <w:rFonts w:hint="eastAsia" w:ascii="仿宋_GB2312" w:hAnsi="仿宋_GB2312" w:eastAsia="仿宋_GB2312" w:cs="仿宋_GB2312"/>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12A6EFCA">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4B2670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Times New Roman" w:hAnsi="Times New Roman" w:eastAsia="仿宋_GB2312" w:cs="Times New Roman"/>
                <w:color w:val="auto"/>
                <w:sz w:val="32"/>
                <w:szCs w:val="32"/>
                <w:highlight w:val="none"/>
                <w:lang w:val="en-US" w:eastAsia="zh-CN"/>
              </w:rPr>
              <w:t>昌州财教（保民生）提前下达2024年城乡义务教育补助经费（中央直达资金）公用经费小学</w:t>
            </w:r>
            <w:r>
              <w:rPr>
                <w:rFonts w:hint="eastAsia" w:ascii="宋体" w:hAnsi="宋体" w:eastAsia="宋体" w:cs="宋体"/>
                <w:b/>
                <w:bCs/>
                <w:color w:val="auto"/>
                <w:kern w:val="0"/>
                <w:sz w:val="28"/>
                <w:szCs w:val="28"/>
                <w:highlight w:val="none"/>
                <w:shd w:val="clear" w:color="auto" w:fill="auto"/>
                <w:lang w:val="en-US" w:eastAsia="zh-CN"/>
              </w:rPr>
              <w:t>得分表</w:t>
            </w:r>
          </w:p>
        </w:tc>
      </w:tr>
      <w:tr w14:paraId="23EB157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8C7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52A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0A1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153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95B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10A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F94DDA8">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8F5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03B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365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1F7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C5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F3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6D05B843">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24D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F8A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13E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888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2E0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CA5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0A4735EA">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041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D67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1D5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9BF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9778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3A2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34E3159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4C248629">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5C1BC1E1">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56F55B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5901D8FC">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785F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53EE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75E4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A8704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DEC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4806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B97E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3BD0F6B2">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A3142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50FD5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99D87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B136A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CB0AA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E46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580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32A318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BD4F2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4B57F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BAD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1DFA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036C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6C53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9577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C2E488D">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5B07B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49E19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367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ACDF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F164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1D58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4F3A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38911E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25D07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1734F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A56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4D85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7D9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756AB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A3B9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E20EC5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FA75F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1EC92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8E92C4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5F29F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52B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CC31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DAF2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6C6B03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53D1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F45E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2779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B981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0A3E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666A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5341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61583C13">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FE19B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3D9B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040FD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CB86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6CE3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6B164C4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7C828A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①项目立项符合</w:t>
      </w:r>
      <w:r>
        <w:rPr>
          <w:rFonts w:hint="eastAsia" w:ascii="仿宋_GB2312" w:hAnsi="仿宋_GB2312" w:eastAsia="仿宋_GB2312" w:cs="仿宋_GB2312"/>
          <w:color w:val="auto"/>
          <w:sz w:val="32"/>
          <w:szCs w:val="32"/>
          <w:highlight w:val="none"/>
          <w:lang w:val="en-US" w:eastAsia="zh-CN"/>
        </w:rPr>
        <w:t>财教【2023】64号关于下达2024年城乡义务教育补助经费预算的通知；</w:t>
      </w:r>
    </w:p>
    <w:p w14:paraId="24BA513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②项目立项符合项目立项符合《</w:t>
      </w:r>
      <w:r>
        <w:rPr>
          <w:rFonts w:hint="eastAsia" w:ascii="仿宋_GB2312" w:hAnsi="仿宋_GB2312" w:eastAsia="仿宋_GB2312" w:cs="仿宋_GB2312"/>
          <w:color w:val="auto"/>
          <w:sz w:val="32"/>
          <w:szCs w:val="32"/>
          <w:highlight w:val="none"/>
          <w:lang w:val="en-US" w:eastAsia="zh-CN"/>
        </w:rPr>
        <w:t>阜康市教育扶贫惠民政策宣传手册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0DBB43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w:t>
      </w:r>
      <w:r>
        <w:rPr>
          <w:rFonts w:hint="eastAsia" w:ascii="仿宋_GB2312" w:hAnsi="仿宋_GB2312" w:eastAsia="仿宋_GB2312" w:cs="仿宋_GB2312"/>
          <w:color w:val="auto"/>
          <w:sz w:val="32"/>
          <w:szCs w:val="32"/>
          <w:highlight w:val="none"/>
          <w:lang w:val="en-US" w:eastAsia="zh-CN"/>
        </w:rPr>
        <w:t>与宣传贯彻党和国家的教育方针、教育政策、教育法律法规、贯彻执行上级教育行政部门的各项规章制度的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63DC920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033FBE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DCA3B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137DC9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3240"/>
      <w:bookmarkStart w:id="112" w:name="_Toc21976"/>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3D2C8E8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71BDDB6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5F2EDA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w:t>
      </w:r>
    </w:p>
    <w:p w14:paraId="466988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363B959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1C6B0B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A35CB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②该项目实际工作内容为：保障学校正常运转，完成教学活动及其他日常业务的正常运转。2024年学校在校学生人数</w:t>
      </w:r>
      <w:r>
        <w:rPr>
          <w:rFonts w:hint="eastAsia" w:ascii="仿宋_GB2312" w:hAnsi="仿宋_GB2312" w:eastAsia="仿宋_GB2312" w:cs="仿宋_GB2312"/>
          <w:color w:val="auto"/>
          <w:sz w:val="32"/>
          <w:szCs w:val="32"/>
          <w:highlight w:val="none"/>
          <w:lang w:val="en-US" w:eastAsia="zh-CN"/>
        </w:rPr>
        <w:t>585</w:t>
      </w:r>
      <w:r>
        <w:rPr>
          <w:rFonts w:hint="eastAsia" w:ascii="仿宋_GB2312" w:hAnsi="仿宋_GB2312" w:eastAsia="仿宋_GB2312" w:cs="仿宋_GB2312"/>
          <w:color w:val="auto"/>
          <w:sz w:val="32"/>
          <w:szCs w:val="32"/>
          <w:highlight w:val="none"/>
          <w:lang w:eastAsia="zh-CN"/>
        </w:rPr>
        <w:t>人，计划完成每学年以720元/生/学年的标准使用公用经费,公用经费、教师培训结业率达到100%。绩效目标与实际工作内容一致，两者具有相关性。</w:t>
      </w:r>
    </w:p>
    <w:p w14:paraId="45F997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③该项目按照绩效目标完成数量指标、质量指标、时效指标、成本指标，项目的完成达到改善教学环境，提供良好的学生成长条件</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lang w:eastAsia="zh-CN"/>
        </w:rPr>
        <w:t>效益，预期产出效益和效果符合正常的业绩水平。</w:t>
      </w:r>
    </w:p>
    <w:p w14:paraId="17AD90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43.71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63F612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08B3B28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3B06DF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4662742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量化率达到87.5%</w:t>
      </w:r>
      <w:r>
        <w:rPr>
          <w:rFonts w:hint="eastAsia" w:ascii="仿宋_GB2312" w:hAnsi="仿宋_GB2312" w:eastAsia="仿宋_GB2312" w:cs="仿宋_GB2312"/>
          <w:color w:val="auto"/>
          <w:sz w:val="32"/>
          <w:szCs w:val="32"/>
          <w:highlight w:val="none"/>
          <w:lang w:eastAsia="zh-CN"/>
        </w:rPr>
        <w:t>；</w:t>
      </w:r>
    </w:p>
    <w:p w14:paraId="299DD4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6905B80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253E81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C05588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8296"/>
      <w:bookmarkStart w:id="118" w:name="_Toc19401"/>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336C1A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3DDBF4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有</w:t>
      </w:r>
      <w:r>
        <w:rPr>
          <w:rFonts w:hint="eastAsia" w:ascii="仿宋_GB2312" w:hAnsi="仿宋_GB2312" w:eastAsia="仿宋_GB2312" w:cs="仿宋_GB2312"/>
          <w:color w:val="auto"/>
          <w:sz w:val="32"/>
          <w:szCs w:val="32"/>
          <w:highlight w:val="none"/>
          <w:lang w:eastAsia="zh-CN"/>
        </w:rPr>
        <w:t>效改善教学环境，提供良好的学生成长条件，保障学校正常运转,项目实际内容为</w:t>
      </w:r>
      <w:r>
        <w:rPr>
          <w:rFonts w:hint="eastAsia" w:ascii="仿宋_GB2312" w:hAnsi="仿宋_GB2312" w:eastAsia="仿宋_GB2312" w:cs="仿宋_GB2312"/>
          <w:color w:val="auto"/>
          <w:sz w:val="32"/>
          <w:szCs w:val="32"/>
          <w:highlight w:val="none"/>
          <w:lang w:val="en-US" w:eastAsia="zh-CN"/>
        </w:rPr>
        <w:t>有</w:t>
      </w:r>
      <w:r>
        <w:rPr>
          <w:rFonts w:hint="eastAsia" w:ascii="仿宋_GB2312" w:hAnsi="仿宋_GB2312" w:eastAsia="仿宋_GB2312" w:cs="仿宋_GB2312"/>
          <w:color w:val="auto"/>
          <w:sz w:val="32"/>
          <w:szCs w:val="32"/>
          <w:highlight w:val="none"/>
          <w:lang w:eastAsia="zh-CN"/>
        </w:rPr>
        <w:t>有效改善教学环境，提供良好的学生成长条件，保障学校正常运转,预算申请与项目内容匹配；</w:t>
      </w:r>
    </w:p>
    <w:p w14:paraId="4C345E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43.71万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元，我单位在预算申请中严格按照项目实施内容及测算标准进行核算，其中办公费用</w:t>
      </w:r>
      <w:r>
        <w:rPr>
          <w:rFonts w:hint="eastAsia" w:ascii="仿宋_GB2312" w:hAnsi="仿宋_GB2312" w:eastAsia="仿宋_GB2312" w:cs="仿宋_GB2312"/>
          <w:color w:val="auto"/>
          <w:sz w:val="32"/>
          <w:szCs w:val="32"/>
          <w:highlight w:val="none"/>
          <w:lang w:val="en-US" w:eastAsia="zh-CN"/>
        </w:rPr>
        <w:t>6.3</w:t>
      </w:r>
      <w:r>
        <w:rPr>
          <w:rFonts w:hint="eastAsia" w:ascii="仿宋_GB2312" w:hAnsi="仿宋_GB2312" w:eastAsia="仿宋_GB2312" w:cs="仿宋_GB2312"/>
          <w:color w:val="auto"/>
          <w:sz w:val="32"/>
          <w:szCs w:val="32"/>
          <w:highlight w:val="none"/>
          <w:lang w:eastAsia="zh-CN"/>
        </w:rPr>
        <w:t>万元、印刷费用</w:t>
      </w:r>
      <w:r>
        <w:rPr>
          <w:rFonts w:hint="eastAsia" w:ascii="仿宋_GB2312" w:hAnsi="仿宋_GB2312" w:eastAsia="仿宋_GB2312" w:cs="仿宋_GB2312"/>
          <w:color w:val="auto"/>
          <w:sz w:val="32"/>
          <w:szCs w:val="32"/>
          <w:highlight w:val="none"/>
          <w:lang w:val="en-US" w:eastAsia="zh-CN"/>
        </w:rPr>
        <w:t>2.03</w:t>
      </w:r>
      <w:r>
        <w:rPr>
          <w:rFonts w:hint="eastAsia" w:ascii="仿宋_GB2312" w:hAnsi="仿宋_GB2312" w:eastAsia="仿宋_GB2312" w:cs="仿宋_GB2312"/>
          <w:color w:val="auto"/>
          <w:sz w:val="32"/>
          <w:szCs w:val="32"/>
          <w:highlight w:val="none"/>
          <w:lang w:eastAsia="zh-CN"/>
        </w:rPr>
        <w:t>万元、电费</w:t>
      </w:r>
      <w:r>
        <w:rPr>
          <w:rFonts w:hint="eastAsia" w:ascii="仿宋_GB2312" w:hAnsi="仿宋_GB2312" w:eastAsia="仿宋_GB2312" w:cs="仿宋_GB2312"/>
          <w:color w:val="auto"/>
          <w:sz w:val="32"/>
          <w:szCs w:val="32"/>
          <w:highlight w:val="none"/>
          <w:lang w:val="en-US" w:eastAsia="zh-CN"/>
        </w:rPr>
        <w:t>4.14</w:t>
      </w:r>
      <w:r>
        <w:rPr>
          <w:rFonts w:hint="eastAsia" w:ascii="仿宋_GB2312" w:hAnsi="仿宋_GB2312" w:eastAsia="仿宋_GB2312" w:cs="仿宋_GB2312"/>
          <w:color w:val="auto"/>
          <w:sz w:val="32"/>
          <w:szCs w:val="32"/>
          <w:highlight w:val="none"/>
          <w:lang w:eastAsia="zh-CN"/>
        </w:rPr>
        <w:t>万元、取暖费</w:t>
      </w:r>
      <w:r>
        <w:rPr>
          <w:rFonts w:hint="eastAsia" w:ascii="仿宋_GB2312" w:hAnsi="仿宋_GB2312" w:eastAsia="仿宋_GB2312" w:cs="仿宋_GB2312"/>
          <w:color w:val="auto"/>
          <w:sz w:val="32"/>
          <w:szCs w:val="32"/>
          <w:highlight w:val="none"/>
          <w:lang w:val="en-US" w:eastAsia="zh-CN"/>
        </w:rPr>
        <w:t>8.98万元、物业管理费9.46万元、差旅费0.30万元；维修（护）费4.94万元；租赁费2.7万元；专用材料费0.6万元；劳务费4.26万元</w:t>
      </w:r>
      <w:r>
        <w:rPr>
          <w:rFonts w:hint="eastAsia" w:ascii="仿宋_GB2312" w:hAnsi="仿宋_GB2312" w:eastAsia="仿宋_GB2312" w:cs="仿宋_GB2312"/>
          <w:color w:val="auto"/>
          <w:sz w:val="32"/>
          <w:szCs w:val="32"/>
          <w:highlight w:val="none"/>
          <w:lang w:eastAsia="zh-CN"/>
        </w:rPr>
        <w:t>。</w:t>
      </w:r>
    </w:p>
    <w:p w14:paraId="116843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31C4AD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0861551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0556"/>
      <w:bookmarkStart w:id="120" w:name="_Toc697"/>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2CE9663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①项目实际分配资金以《财政支出预算管理办法》</w:t>
      </w:r>
      <w:r>
        <w:rPr>
          <w:rFonts w:hint="eastAsia" w:ascii="仿宋_GB2312" w:hAnsi="仿宋_GB2312" w:eastAsia="仿宋_GB2312" w:cs="仿宋_GB2312"/>
          <w:color w:val="auto"/>
          <w:sz w:val="32"/>
          <w:szCs w:val="32"/>
          <w:highlight w:val="none"/>
          <w:lang w:eastAsia="zh-Hans"/>
        </w:rPr>
        <w:t>《202</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Hans"/>
        </w:rPr>
        <w:t>年公用经费收支预算表》为依据进行资金分配，预算资金分配依据充分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284ACA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43.71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3CB99055">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2B8C03D0">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59F6FF86">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C6D9C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39280CFC">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E62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40EE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56E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ED2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A64DB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18A3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9A8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0FA8253">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0E36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F21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6BE1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3C4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6DD9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DF850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27E1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5137CBC">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8CA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7F60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44FB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6AAF0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84C9C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C40C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EB31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5A519981">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0211F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DB4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2C28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80BF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8235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13BF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6B62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012674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FFC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3E83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5977A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26C85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BF53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8826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509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B7427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EF66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DA5D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6251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1EB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3FDE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FAE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7105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60370D4E">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A6F1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A46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EC631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DD6E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7C6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78F8E9F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20449"/>
      <w:bookmarkStart w:id="123" w:name="_Toc3886"/>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610290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43.71</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43.71</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2FA8CD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43.71万元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43.71万元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p>
    <w:p w14:paraId="0AB065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CDE2FC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2FDA961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43.71</w:t>
      </w:r>
      <w:r>
        <w:rPr>
          <w:rFonts w:hint="eastAsia" w:ascii="仿宋_GB2312" w:hAnsi="仿宋_GB2312" w:eastAsia="仿宋_GB2312" w:cs="仿宋_GB2312"/>
          <w:color w:val="auto"/>
          <w:sz w:val="32"/>
          <w:szCs w:val="32"/>
          <w:highlight w:val="none"/>
          <w:lang w:val="en-US" w:eastAsia="zh-CN"/>
        </w:rPr>
        <w:t>万元。</w:t>
      </w:r>
    </w:p>
    <w:p w14:paraId="616152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b w:val="0"/>
          <w:bCs w:val="0"/>
          <w:color w:val="auto"/>
          <w:sz w:val="32"/>
          <w:szCs w:val="32"/>
          <w:highlight w:val="none"/>
          <w:lang w:val="en-US" w:eastAsia="zh-CN"/>
        </w:rPr>
        <w:t>43.71</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43.71</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综上，该项指标满分4分，得分4分。</w:t>
      </w:r>
    </w:p>
    <w:p w14:paraId="506F4E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6A4A8DB0">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专项资金管理办法》；</w:t>
      </w:r>
    </w:p>
    <w:p w14:paraId="3890FDA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4C4280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409EF38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132BD05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CD4560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29B99E7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0173B8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585596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2BD922A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614CBF6">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1CDC7B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319C8A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734774CF">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78F82C3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昌州财教（保民生）提前下达2024年城乡义务教育补助经费（中央直达资金）公用经费小学项目工作领导小组，由</w:t>
      </w:r>
      <w:r>
        <w:rPr>
          <w:rFonts w:hint="eastAsia" w:ascii="仿宋_GB2312" w:hAnsi="仿宋_GB2312" w:eastAsia="仿宋_GB2312" w:cs="仿宋_GB2312"/>
          <w:color w:val="auto"/>
          <w:sz w:val="32"/>
          <w:szCs w:val="32"/>
          <w:highlight w:val="none"/>
          <w:lang w:val="en-US" w:eastAsia="zh-CN"/>
        </w:rPr>
        <w:t>聂婷</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赵虎</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谭璐、赵华、王玉霞，</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393C9E4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454FDEB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55BF1AA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590383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268CE9E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AC6C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4B1C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3E7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811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EFD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F4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252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FCFF99A">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9284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F43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5081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在校学生人数（人）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B643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≥585</w:t>
            </w:r>
            <w:r>
              <w:rPr>
                <w:rFonts w:hint="eastAsia" w:ascii="宋体" w:hAnsi="宋体" w:eastAsia="宋体" w:cs="宋体"/>
                <w:color w:val="auto"/>
                <w:kern w:val="0"/>
                <w:sz w:val="20"/>
                <w:szCs w:val="20"/>
                <w:highlight w:val="none"/>
                <w:shd w:val="clear" w:color="auto" w:fill="auto"/>
                <w:lang w:val="en-US" w:eastAsia="zh-CN"/>
              </w:rPr>
              <w:t>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99B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7ABF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585</w:t>
            </w:r>
            <w:r>
              <w:rPr>
                <w:rFonts w:hint="eastAsia" w:ascii="宋体" w:hAnsi="宋体" w:eastAsia="宋体" w:cs="宋体"/>
                <w:color w:val="auto"/>
                <w:kern w:val="0"/>
                <w:sz w:val="20"/>
                <w:szCs w:val="20"/>
                <w:highlight w:val="none"/>
                <w:shd w:val="clear" w:color="auto" w:fill="auto"/>
                <w:lang w:val="en-US" w:eastAsia="zh-CN"/>
              </w:rPr>
              <w:t>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A3A8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69BA759">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34D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FB0E98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0C5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公用经费享受比例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D5A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8D27A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603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5C6B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F276226">
        <w:tblPrEx>
          <w:shd w:val="clear" w:color="auto" w:fill="auto"/>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BDFD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685F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030B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教师培训结业率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972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E9E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DCA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E51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B5C6FE3">
        <w:tblPrEx>
          <w:shd w:val="clear" w:color="auto" w:fill="auto"/>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043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4AD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DF8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公用经费支出及时率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C5C8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F1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8260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7719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05DE98E">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E5AA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91C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D61A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公用经费标准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107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w:t>
            </w:r>
            <w:r>
              <w:rPr>
                <w:rFonts w:hint="eastAsia" w:ascii="宋体" w:hAnsi="宋体" w:eastAsia="宋体" w:cs="宋体"/>
                <w:color w:val="auto"/>
                <w:kern w:val="0"/>
                <w:sz w:val="20"/>
                <w:szCs w:val="20"/>
                <w:highlight w:val="none"/>
                <w:shd w:val="clear" w:color="auto" w:fill="auto"/>
                <w:lang w:val="en-US" w:eastAsia="zh-CN"/>
              </w:rPr>
              <w:t>720元/人/年</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682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C33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color w:val="auto"/>
                <w:highlight w:val="none"/>
              </w:rPr>
            </w:pPr>
            <w:r>
              <w:rPr>
                <w:rFonts w:hint="eastAsia" w:ascii="宋体" w:hAnsi="宋体" w:eastAsia="宋体" w:cs="宋体"/>
                <w:color w:val="auto"/>
                <w:kern w:val="0"/>
                <w:sz w:val="20"/>
                <w:szCs w:val="20"/>
                <w:highlight w:val="none"/>
                <w:shd w:val="clear" w:color="auto" w:fill="auto"/>
                <w:lang w:val="en-US" w:eastAsia="zh-CN"/>
              </w:rPr>
              <w:t>720元/人/年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505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280AA009">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96D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528E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3B3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33C7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10A69014">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131" w:name="_Toc26689"/>
      <w:bookmarkStart w:id="132" w:name="_Toc11067"/>
      <w:r>
        <w:rPr>
          <w:rFonts w:hint="eastAsia" w:ascii="仿宋_GB2312" w:hAnsi="仿宋_GB2312" w:eastAsia="仿宋_GB2312" w:cs="仿宋_GB2312"/>
          <w:b/>
          <w:bCs/>
          <w:color w:val="auto"/>
          <w:kern w:val="2"/>
          <w:sz w:val="32"/>
          <w:szCs w:val="32"/>
          <w:highlight w:val="none"/>
          <w:lang w:val="en-US" w:eastAsia="zh-CN" w:bidi="ar-SA"/>
        </w:rPr>
        <w:t>1.</w:t>
      </w:r>
      <w:r>
        <w:rPr>
          <w:rFonts w:hint="eastAsia" w:ascii="仿宋_GB2312" w:hAnsi="仿宋_GB2312" w:eastAsia="仿宋_GB2312" w:cs="仿宋_GB2312"/>
          <w:b/>
          <w:bCs/>
          <w:color w:val="auto"/>
          <w:sz w:val="32"/>
          <w:szCs w:val="32"/>
          <w:highlight w:val="none"/>
          <w:lang w:val="en-US" w:eastAsia="zh-CN"/>
        </w:rPr>
        <w:t>数量指标完成情况</w:t>
      </w:r>
      <w:bookmarkEnd w:id="131"/>
      <w:bookmarkEnd w:id="132"/>
    </w:p>
    <w:p w14:paraId="1A7D02B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“在校学生人数（人）”指标，预期目标值为≥585人，实际完成为585人。实际完成率=（585/585）×100%=100%，无偏差。</w:t>
      </w:r>
    </w:p>
    <w:p w14:paraId="5B5B1D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综上，该项指标满分10分，得分10分。</w:t>
      </w:r>
    </w:p>
    <w:p w14:paraId="66DF060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760FADB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公用经费享受比例”指标，预期目标值为=100%，实际完成为100%。实际完成率100%。</w:t>
      </w:r>
    </w:p>
    <w:p w14:paraId="5589D78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（2）“教师培训结业率”指标，预期目标值为=100%，实际完成为100%。实际完成率100%</w:t>
      </w:r>
      <w:r>
        <w:rPr>
          <w:rFonts w:hint="eastAsia" w:ascii="仿宋_GB2312" w:hAnsi="仿宋_GB2312" w:eastAsia="仿宋_GB2312" w:cs="仿宋_GB2312"/>
          <w:color w:val="auto"/>
          <w:sz w:val="32"/>
          <w:szCs w:val="32"/>
          <w:highlight w:val="none"/>
          <w:lang w:eastAsia="zh-CN"/>
        </w:rPr>
        <w:t>。</w:t>
      </w:r>
    </w:p>
    <w:p w14:paraId="1C90690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综上，该项指标满分10分，得分10分。</w:t>
      </w:r>
    </w:p>
    <w:p w14:paraId="11DC3716">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53BEE66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公用经费支出及时率”指标，预期目标值为=100%，实际完成为100%。实际完成率100%。</w:t>
      </w:r>
    </w:p>
    <w:p w14:paraId="63DC852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AC0BF2F">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5A119A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7AAC01E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公用经费标准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指标，预期目标值为=720元/人/年，实际完成为720元/人/年。实际完成率=（720元/人/年/720元/人/年）*100%=100%。</w:t>
      </w:r>
    </w:p>
    <w:p w14:paraId="056D4F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370A6A6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33ADFD35">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F636C9D">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FD87A6E">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5DF6A0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584D8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3A362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72F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EAF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7C053F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776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33B8E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FA2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1B6180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6489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CEFDD0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589432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32B0BF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3325956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883A0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学校正常运转率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ED02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A846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B502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F07C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F04418">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504E14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E27E5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6D594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0F2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98B2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AB1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达到预期目标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14ED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65EB6795">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3B143C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782C84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40452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师生满意度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096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0FB3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B39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100</w:t>
            </w:r>
            <w:r>
              <w:rPr>
                <w:rFonts w:hint="eastAsia" w:ascii="宋体" w:hAnsi="宋体" w:eastAsia="宋体"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199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8</w:t>
            </w:r>
          </w:p>
        </w:tc>
      </w:tr>
      <w:tr w14:paraId="036AB1AD">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F53B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5E7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FB2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BCE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5A6746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8010"/>
      <w:bookmarkStart w:id="141" w:name="_Toc517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7380A32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（1）“学校正常运转率”指标，预期目标值为=100%，，实际完成为100%。。</w:t>
      </w:r>
    </w:p>
    <w:p w14:paraId="7BE3375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通过项目的实施，学校正常运转率得到了提高。</w:t>
      </w:r>
    </w:p>
    <w:p w14:paraId="16576567">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lang w:val="en-US" w:eastAsia="zh-CN"/>
        </w:rPr>
        <w:t>“改善教学环境，提供良好的学生成长条件”指标，预期目标值为改善，实际完成为达到预期目标。</w:t>
      </w:r>
    </w:p>
    <w:p w14:paraId="24EBAC26">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通过项目的实施，改善了教学环境，提供良好的学生成长条件。</w:t>
      </w:r>
    </w:p>
    <w:p w14:paraId="7815FA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综上，该项指标满分12分，得分12分。</w:t>
      </w:r>
    </w:p>
    <w:p w14:paraId="26DC280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05653BCF">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“师生满意度”指标，预期目标值为≥90%，实际完成为100%。</w:t>
      </w:r>
    </w:p>
    <w:p w14:paraId="3D8EE57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综上，该项指标满分8分，得分8分。</w:t>
      </w:r>
    </w:p>
    <w:p w14:paraId="09C02FD9">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5"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5"/>
    </w:p>
    <w:p w14:paraId="12F2477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6"/>
    </w:p>
    <w:p w14:paraId="059056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昌州财教（保民生）提前下达2024年城乡义务教育补助经费（中央直达资金）公用经费小学</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43.71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43.71</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0A0BE1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阜康市滋泥泉子镇中心小学</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7"/>
    <w:bookmarkEnd w:id="148"/>
    <w:p w14:paraId="5FFF99B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9"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49"/>
    </w:p>
    <w:p w14:paraId="751951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bookmarkStart w:id="150" w:name="_Toc3333"/>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在项目实施期间</w:t>
      </w:r>
      <w:r>
        <w:rPr>
          <w:rFonts w:hint="eastAsia" w:ascii="仿宋_GB2312" w:hAnsi="仿宋_GB2312" w:eastAsia="仿宋_GB2312" w:cs="仿宋_GB2312"/>
          <w:color w:val="auto"/>
          <w:sz w:val="32"/>
          <w:szCs w:val="32"/>
          <w:highlight w:val="none"/>
          <w:lang w:eastAsia="zh-CN"/>
        </w:rPr>
        <w:t>部分业务人员未能全面深入认识理解</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管理工作的意义。</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管理经验不足，</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管理工作有待进一步落实。</w:t>
      </w:r>
    </w:p>
    <w:p w14:paraId="5252336C">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2.因年初预算数据不够清晰明确到明细科目，使得整个年度财务核算及审核流程不准确清晰。</w:t>
      </w:r>
    </w:p>
    <w:p w14:paraId="399B59E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0"/>
    </w:p>
    <w:p w14:paraId="794A9EA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bookmarkStart w:id="151" w:name="_Toc3948"/>
      <w:bookmarkStart w:id="152" w:name="_Toc20454"/>
      <w:bookmarkStart w:id="153" w:name="_Toc14256"/>
      <w:r>
        <w:rPr>
          <w:rFonts w:hint="eastAsia" w:ascii="仿宋_GB2312" w:hAnsi="仿宋_GB2312" w:eastAsia="仿宋_GB2312" w:cs="仿宋_GB2312"/>
          <w:color w:val="auto"/>
          <w:sz w:val="32"/>
          <w:szCs w:val="32"/>
          <w:highlight w:val="none"/>
          <w:lang w:val="en-US" w:eastAsia="zh-CN"/>
        </w:rPr>
        <w:t>（一）加强项目管理，健全单位项目管理制度体系。 加大项目管理人员的业务培训，确保项目能够顺利实施。</w:t>
      </w:r>
    </w:p>
    <w:p w14:paraId="3B79E98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（二）加强财务人员业务培训，在年初预算时及时与各科室联系，将年初预算数据填写清晰，确保财务支付审核程序顺利进行。</w:t>
      </w:r>
    </w:p>
    <w:bookmarkEnd w:id="151"/>
    <w:bookmarkEnd w:id="152"/>
    <w:p w14:paraId="0ACFF2E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3"/>
    </w:p>
    <w:p w14:paraId="67C1717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28EFAFB7">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18D6B8C7">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4" w:name="_Toc28971"/>
      <w:bookmarkStart w:id="155" w:name="_Toc11349"/>
      <w:r>
        <w:rPr>
          <w:rFonts w:hint="eastAsia" w:ascii="宋体" w:hAnsi="宋体" w:eastAsia="宋体" w:cs="宋体"/>
          <w:b/>
          <w:bCs/>
          <w:color w:val="auto"/>
          <w:highlight w:val="none"/>
          <w:shd w:val="clear" w:color="auto" w:fill="auto"/>
          <w:lang w:val="en-US" w:eastAsia="zh-CN"/>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2"/>
        <w:gridCol w:w="896"/>
        <w:gridCol w:w="893"/>
        <w:gridCol w:w="896"/>
        <w:gridCol w:w="1140"/>
        <w:gridCol w:w="1140"/>
        <w:gridCol w:w="1145"/>
        <w:gridCol w:w="1057"/>
        <w:gridCol w:w="1225"/>
        <w:gridCol w:w="893"/>
        <w:gridCol w:w="1060"/>
        <w:gridCol w:w="893"/>
        <w:gridCol w:w="896"/>
        <w:gridCol w:w="1148"/>
      </w:tblGrid>
      <w:tr w14:paraId="1578D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7192912">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6" w:name="_Toc11223"/>
            <w:bookmarkStart w:id="157" w:name="_Toc15067"/>
            <w:r>
              <w:rPr>
                <w:rFonts w:hint="eastAsia" w:ascii="宋体" w:hAnsi="宋体" w:eastAsia="宋体" w:cs="宋体"/>
                <w:b/>
                <w:bCs/>
                <w:i w:val="0"/>
                <w:iCs w:val="0"/>
                <w:color w:val="000000"/>
                <w:kern w:val="0"/>
                <w:sz w:val="32"/>
                <w:szCs w:val="32"/>
                <w:u w:val="none"/>
                <w:lang w:val="en-US" w:eastAsia="zh-CN" w:bidi="ar"/>
              </w:rPr>
              <w:t>项目支出绩效自评表</w:t>
            </w:r>
          </w:p>
        </w:tc>
      </w:tr>
      <w:tr w14:paraId="5D4D6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26958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7641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1"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207296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368"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341EC7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昌州财教（保民生）提前下达2024年城乡义务教育补助经费（中央直达资金）公用经费小学</w:t>
            </w:r>
          </w:p>
        </w:tc>
      </w:tr>
      <w:tr w14:paraId="55740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4961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839"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8C4E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468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172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FE84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阜康市滋泥泉子镇中心小学</w:t>
            </w:r>
          </w:p>
        </w:tc>
      </w:tr>
      <w:tr w14:paraId="37C9F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90A2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CD7290">
            <w:pPr>
              <w:jc w:val="center"/>
              <w:rPr>
                <w:rFonts w:hint="eastAsia" w:ascii="宋体" w:hAnsi="宋体" w:eastAsia="宋体" w:cs="宋体"/>
                <w:b/>
                <w:bCs/>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A66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F3FE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6D4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CF57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A65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F544D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224D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EE3A5">
            <w:pPr>
              <w:jc w:val="center"/>
              <w:rPr>
                <w:rFonts w:hint="eastAsia" w:ascii="宋体" w:hAnsi="宋体" w:eastAsia="宋体" w:cs="宋体"/>
                <w:b/>
                <w:bCs/>
                <w:i w:val="0"/>
                <w:iCs w:val="0"/>
                <w:color w:val="000000"/>
                <w:sz w:val="18"/>
                <w:szCs w:val="18"/>
                <w:u w:val="none"/>
              </w:rPr>
            </w:pP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DEC7E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92F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43.71</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481D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43.71</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9164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43.71</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C136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8A9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F42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79360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74CA2">
            <w:pPr>
              <w:jc w:val="center"/>
              <w:rPr>
                <w:rFonts w:hint="eastAsia" w:ascii="宋体" w:hAnsi="宋体" w:eastAsia="宋体" w:cs="宋体"/>
                <w:b/>
                <w:bCs/>
                <w:i w:val="0"/>
                <w:iCs w:val="0"/>
                <w:color w:val="000000"/>
                <w:sz w:val="18"/>
                <w:szCs w:val="18"/>
                <w:u w:val="none"/>
              </w:rPr>
            </w:pP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61B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5340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43.71</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0D9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43.71</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06C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43.71</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78C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EFF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CD87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B40F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3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9A8ED4">
            <w:pPr>
              <w:jc w:val="center"/>
              <w:rPr>
                <w:rFonts w:hint="eastAsia" w:ascii="宋体" w:hAnsi="宋体" w:eastAsia="宋体" w:cs="宋体"/>
                <w:b/>
                <w:bCs/>
                <w:i w:val="0"/>
                <w:iCs w:val="0"/>
                <w:color w:val="000000"/>
                <w:sz w:val="18"/>
                <w:szCs w:val="18"/>
                <w:u w:val="none"/>
              </w:rPr>
            </w:pP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6325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305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56C7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8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4DC3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8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1DF1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6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1E4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1BF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7170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D29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15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7F1CC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52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25386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8E3B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8D64B">
            <w:pPr>
              <w:jc w:val="center"/>
              <w:rPr>
                <w:rFonts w:hint="eastAsia" w:ascii="宋体" w:hAnsi="宋体" w:eastAsia="宋体" w:cs="宋体"/>
                <w:b/>
                <w:bCs/>
                <w:i w:val="0"/>
                <w:iCs w:val="0"/>
                <w:color w:val="000000"/>
                <w:sz w:val="18"/>
                <w:szCs w:val="18"/>
                <w:u w:val="none"/>
              </w:rPr>
            </w:pPr>
          </w:p>
        </w:tc>
        <w:tc>
          <w:tcPr>
            <w:tcW w:w="2155"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521A1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学校正常运转，完成教学活动及其他日常业务的正常运转。2024年学校在校学生人数585人，计划完成每学年以720元/生/学年的标准使用公用经费，教师培训结业率达到100%。通过项目实施，将达到改善教学环境，提供良好的学生成长条件，保障学校正常运转，师生满意度预计将达到90%以上。</w:t>
            </w:r>
          </w:p>
        </w:tc>
        <w:tc>
          <w:tcPr>
            <w:tcW w:w="2528"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D2678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止2024年12月，2024年学校在校学生人数585人，完成每学年以720元/生/学年的标准使用公用经费，教师培训结业率达到100%。通过项目实施，达到改善教学环境，提供良好的学生成长条件，保障学校正常运转，师生满意度预计将达到90%以上。</w:t>
            </w:r>
          </w:p>
        </w:tc>
      </w:tr>
      <w:tr w14:paraId="6B808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E5270">
            <w:pPr>
              <w:jc w:val="center"/>
              <w:rPr>
                <w:rFonts w:hint="eastAsia" w:ascii="宋体" w:hAnsi="宋体" w:eastAsia="宋体" w:cs="宋体"/>
                <w:i w:val="0"/>
                <w:iCs w:val="0"/>
                <w:color w:val="000000"/>
                <w:sz w:val="18"/>
                <w:szCs w:val="18"/>
                <w:u w:val="none"/>
              </w:rPr>
            </w:pP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FD4E7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B33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CEEB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076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AF2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6DBC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43E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4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F525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AFFD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724F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B0C7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1E88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40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577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92D8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47A8ED">
            <w:pPr>
              <w:jc w:val="center"/>
              <w:rPr>
                <w:rFonts w:hint="eastAsia" w:ascii="宋体" w:hAnsi="宋体" w:eastAsia="宋体" w:cs="宋体"/>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FBE16">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B30E9">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4EC3A">
            <w:pPr>
              <w:jc w:val="center"/>
              <w:rPr>
                <w:rFonts w:hint="eastAsia" w:ascii="宋体" w:hAnsi="宋体" w:eastAsia="宋体" w:cs="宋体"/>
                <w:b/>
                <w:bCs/>
                <w:i w:val="0"/>
                <w:iCs w:val="0"/>
                <w:color w:val="000000"/>
                <w:sz w:val="18"/>
                <w:szCs w:val="18"/>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453E48">
            <w:pPr>
              <w:jc w:val="center"/>
              <w:rPr>
                <w:rFonts w:hint="eastAsia" w:ascii="宋体" w:hAnsi="宋体" w:eastAsia="宋体" w:cs="宋体"/>
                <w:b/>
                <w:bCs/>
                <w:i w:val="0"/>
                <w:iCs w:val="0"/>
                <w:color w:val="000000"/>
                <w:sz w:val="18"/>
                <w:szCs w:val="18"/>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FFFEE">
            <w:pPr>
              <w:jc w:val="center"/>
              <w:rPr>
                <w:rFonts w:hint="eastAsia" w:ascii="宋体" w:hAnsi="宋体" w:eastAsia="宋体" w:cs="宋体"/>
                <w:b/>
                <w:bCs/>
                <w:i w:val="0"/>
                <w:iCs w:val="0"/>
                <w:color w:val="000000"/>
                <w:sz w:val="18"/>
                <w:szCs w:val="18"/>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4584D">
            <w:pPr>
              <w:jc w:val="center"/>
              <w:rPr>
                <w:rFonts w:hint="eastAsia" w:ascii="宋体" w:hAnsi="宋体" w:eastAsia="宋体" w:cs="宋体"/>
                <w:b/>
                <w:bCs/>
                <w:i w:val="0"/>
                <w:iCs w:val="0"/>
                <w:color w:val="000000"/>
                <w:sz w:val="18"/>
                <w:szCs w:val="18"/>
                <w:u w:val="none"/>
              </w:rPr>
            </w:pPr>
          </w:p>
        </w:tc>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704E0">
            <w:pPr>
              <w:jc w:val="center"/>
              <w:rPr>
                <w:rFonts w:hint="eastAsia" w:ascii="宋体" w:hAnsi="宋体" w:eastAsia="宋体" w:cs="宋体"/>
                <w:b/>
                <w:bCs/>
                <w:i w:val="0"/>
                <w:iCs w:val="0"/>
                <w:color w:val="000000"/>
                <w:sz w:val="18"/>
                <w:szCs w:val="18"/>
                <w:u w:val="none"/>
              </w:rPr>
            </w:pPr>
          </w:p>
        </w:tc>
        <w:tc>
          <w:tcPr>
            <w:tcW w:w="4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19A08">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34A54">
            <w:pPr>
              <w:jc w:val="center"/>
              <w:rPr>
                <w:rFonts w:hint="eastAsia" w:ascii="宋体" w:hAnsi="宋体" w:eastAsia="宋体" w:cs="宋体"/>
                <w:b/>
                <w:bCs/>
                <w:i w:val="0"/>
                <w:iCs w:val="0"/>
                <w:color w:val="000000"/>
                <w:sz w:val="18"/>
                <w:szCs w:val="18"/>
                <w:u w:val="none"/>
              </w:rPr>
            </w:pPr>
          </w:p>
        </w:tc>
        <w:tc>
          <w:tcPr>
            <w:tcW w:w="3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E5950">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4102F">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871741">
            <w:pPr>
              <w:jc w:val="center"/>
              <w:rPr>
                <w:rFonts w:hint="eastAsia" w:ascii="宋体" w:hAnsi="宋体" w:eastAsia="宋体" w:cs="宋体"/>
                <w:b/>
                <w:bCs/>
                <w:i w:val="0"/>
                <w:iCs w:val="0"/>
                <w:color w:val="000000"/>
                <w:sz w:val="18"/>
                <w:szCs w:val="18"/>
                <w:u w:val="none"/>
              </w:rPr>
            </w:pPr>
          </w:p>
        </w:tc>
        <w:tc>
          <w:tcPr>
            <w:tcW w:w="40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603200">
            <w:pPr>
              <w:jc w:val="center"/>
              <w:rPr>
                <w:rFonts w:hint="eastAsia" w:ascii="宋体" w:hAnsi="宋体" w:eastAsia="宋体" w:cs="宋体"/>
                <w:b/>
                <w:bCs/>
                <w:i w:val="0"/>
                <w:iCs w:val="0"/>
                <w:color w:val="000000"/>
                <w:sz w:val="18"/>
                <w:szCs w:val="18"/>
                <w:u w:val="none"/>
              </w:rPr>
            </w:pPr>
          </w:p>
        </w:tc>
      </w:tr>
      <w:tr w14:paraId="1F715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2474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77E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C6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68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在校学生人数（人）</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C2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EB2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=585人</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D9D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=585人</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89CD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9B7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202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A0D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525人</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DF6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971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82F66">
            <w:pPr>
              <w:jc w:val="center"/>
              <w:rPr>
                <w:rFonts w:hint="eastAsia" w:ascii="宋体" w:hAnsi="宋体" w:eastAsia="宋体" w:cs="宋体"/>
                <w:i w:val="0"/>
                <w:iCs w:val="0"/>
                <w:color w:val="000000"/>
                <w:sz w:val="18"/>
                <w:szCs w:val="18"/>
                <w:u w:val="none"/>
              </w:rPr>
            </w:pPr>
          </w:p>
        </w:tc>
      </w:tr>
      <w:tr w14:paraId="74997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B56B21">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F4D88">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E1B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3AB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公用经费享受比例</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89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6F3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841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77DF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ABA5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496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DA1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F35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A08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7E84C">
            <w:pPr>
              <w:jc w:val="center"/>
              <w:rPr>
                <w:rFonts w:hint="eastAsia" w:ascii="宋体" w:hAnsi="宋体" w:eastAsia="宋体" w:cs="宋体"/>
                <w:i w:val="0"/>
                <w:iCs w:val="0"/>
                <w:color w:val="000000"/>
                <w:sz w:val="18"/>
                <w:szCs w:val="18"/>
                <w:u w:val="none"/>
              </w:rPr>
            </w:pPr>
          </w:p>
        </w:tc>
      </w:tr>
      <w:tr w14:paraId="11DA5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C4B3F">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87358">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8B5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F5A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教师培训结业率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82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C28C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69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A7A9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2D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CC0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AB9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73B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790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7CA69">
            <w:pPr>
              <w:jc w:val="center"/>
              <w:rPr>
                <w:rFonts w:hint="eastAsia" w:ascii="宋体" w:hAnsi="宋体" w:eastAsia="宋体" w:cs="宋体"/>
                <w:i w:val="0"/>
                <w:iCs w:val="0"/>
                <w:color w:val="000000"/>
                <w:sz w:val="18"/>
                <w:szCs w:val="18"/>
                <w:u w:val="none"/>
              </w:rPr>
            </w:pPr>
          </w:p>
        </w:tc>
      </w:tr>
      <w:tr w14:paraId="31D99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F309D5">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63ECD">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7F5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C58C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公用经费支出及时率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8E4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A2B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412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05B4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F31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A1A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AF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864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297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F5CE2">
            <w:pPr>
              <w:jc w:val="center"/>
              <w:rPr>
                <w:rFonts w:hint="eastAsia" w:ascii="宋体" w:hAnsi="宋体" w:eastAsia="宋体" w:cs="宋体"/>
                <w:i w:val="0"/>
                <w:iCs w:val="0"/>
                <w:color w:val="000000"/>
                <w:sz w:val="18"/>
                <w:szCs w:val="18"/>
                <w:u w:val="none"/>
              </w:rPr>
            </w:pPr>
          </w:p>
        </w:tc>
      </w:tr>
      <w:tr w14:paraId="49F578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52F23">
            <w:pPr>
              <w:jc w:val="center"/>
              <w:rPr>
                <w:rFonts w:hint="eastAsia" w:ascii="宋体" w:hAnsi="宋体" w:eastAsia="宋体" w:cs="宋体"/>
                <w:b/>
                <w:bCs/>
                <w:i w:val="0"/>
                <w:iCs w:val="0"/>
                <w:color w:val="000000"/>
                <w:sz w:val="18"/>
                <w:szCs w:val="18"/>
                <w:u w:val="none"/>
              </w:rPr>
            </w:pP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FF64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6B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118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公用经费标准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FCD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389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=720元/生/学年</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F37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=720元/生/学年</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3F73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5365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080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E22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650元/生/学年</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076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6A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93B18">
            <w:pPr>
              <w:jc w:val="center"/>
              <w:rPr>
                <w:rFonts w:hint="eastAsia" w:ascii="宋体" w:hAnsi="宋体" w:eastAsia="宋体" w:cs="宋体"/>
                <w:i w:val="0"/>
                <w:iCs w:val="0"/>
                <w:color w:val="000000"/>
                <w:sz w:val="18"/>
                <w:szCs w:val="18"/>
                <w:u w:val="none"/>
              </w:rPr>
            </w:pPr>
          </w:p>
        </w:tc>
      </w:tr>
      <w:tr w14:paraId="71D79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F4D11">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7DD4FA">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2E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2A3A1">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97285">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5DDEA">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5A498">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4B31D">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E0843">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3C34E">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320EC">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A3A8D">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B53FA">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DB362">
            <w:pPr>
              <w:jc w:val="center"/>
              <w:rPr>
                <w:rFonts w:hint="eastAsia" w:ascii="宋体" w:hAnsi="宋体" w:eastAsia="宋体" w:cs="宋体"/>
                <w:i w:val="0"/>
                <w:iCs w:val="0"/>
                <w:color w:val="000000"/>
                <w:sz w:val="18"/>
                <w:szCs w:val="18"/>
                <w:u w:val="none"/>
              </w:rPr>
            </w:pPr>
          </w:p>
        </w:tc>
      </w:tr>
      <w:tr w14:paraId="5E311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3B939">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4301D">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C38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A2B85">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9EA64">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01904">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D84C9">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AED86F">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CF20E">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CF941">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D0766">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D6B05">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9D62C">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6A1535">
            <w:pPr>
              <w:jc w:val="center"/>
              <w:rPr>
                <w:rFonts w:hint="eastAsia" w:ascii="宋体" w:hAnsi="宋体" w:eastAsia="宋体" w:cs="宋体"/>
                <w:i w:val="0"/>
                <w:iCs w:val="0"/>
                <w:color w:val="000000"/>
                <w:sz w:val="18"/>
                <w:szCs w:val="18"/>
                <w:u w:val="none"/>
              </w:rPr>
            </w:pPr>
          </w:p>
        </w:tc>
      </w:tr>
      <w:tr w14:paraId="72ECE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DB467">
            <w:pPr>
              <w:jc w:val="center"/>
              <w:rPr>
                <w:rFonts w:hint="eastAsia" w:ascii="宋体" w:hAnsi="宋体" w:eastAsia="宋体" w:cs="宋体"/>
                <w:b/>
                <w:bCs/>
                <w:i w:val="0"/>
                <w:iCs w:val="0"/>
                <w:color w:val="000000"/>
                <w:sz w:val="18"/>
                <w:szCs w:val="18"/>
                <w:u w:val="none"/>
              </w:rPr>
            </w:pPr>
          </w:p>
        </w:tc>
        <w:tc>
          <w:tcPr>
            <w:tcW w:w="3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BCA0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B168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15142">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7C8B9">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0C29A">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20F1C">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393B1">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C40B4">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A89E6">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1911E">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A29277">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32011">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0D74D">
            <w:pPr>
              <w:jc w:val="center"/>
              <w:rPr>
                <w:rFonts w:hint="eastAsia" w:ascii="宋体" w:hAnsi="宋体" w:eastAsia="宋体" w:cs="宋体"/>
                <w:i w:val="0"/>
                <w:iCs w:val="0"/>
                <w:color w:val="000000"/>
                <w:sz w:val="18"/>
                <w:szCs w:val="18"/>
                <w:u w:val="none"/>
              </w:rPr>
            </w:pPr>
          </w:p>
        </w:tc>
      </w:tr>
      <w:tr w14:paraId="3BD60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3EC31">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B8FA4">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AB2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503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23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6F0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B89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4920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02B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439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B30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538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081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533FFF">
            <w:pPr>
              <w:jc w:val="center"/>
              <w:rPr>
                <w:rFonts w:hint="eastAsia" w:ascii="宋体" w:hAnsi="宋体" w:eastAsia="宋体" w:cs="宋体"/>
                <w:i w:val="0"/>
                <w:iCs w:val="0"/>
                <w:color w:val="000000"/>
                <w:sz w:val="18"/>
                <w:szCs w:val="18"/>
                <w:u w:val="none"/>
              </w:rPr>
            </w:pPr>
          </w:p>
        </w:tc>
      </w:tr>
      <w:tr w14:paraId="1E6E1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77A74">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83FE8">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555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9F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393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0D7A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3B2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AD17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D8D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20C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历史标准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1A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有效改善</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A8F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B21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ECDBA">
            <w:pPr>
              <w:jc w:val="center"/>
              <w:rPr>
                <w:rFonts w:hint="eastAsia" w:ascii="宋体" w:hAnsi="宋体" w:eastAsia="宋体" w:cs="宋体"/>
                <w:i w:val="0"/>
                <w:iCs w:val="0"/>
                <w:color w:val="000000"/>
                <w:sz w:val="18"/>
                <w:szCs w:val="18"/>
                <w:u w:val="none"/>
              </w:rPr>
            </w:pPr>
          </w:p>
        </w:tc>
      </w:tr>
      <w:tr w14:paraId="2379F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0ED5F">
            <w:pPr>
              <w:jc w:val="center"/>
              <w:rPr>
                <w:rFonts w:hint="eastAsia" w:ascii="宋体" w:hAnsi="宋体" w:eastAsia="宋体" w:cs="宋体"/>
                <w:b/>
                <w:bCs/>
                <w:i w:val="0"/>
                <w:iCs w:val="0"/>
                <w:color w:val="000000"/>
                <w:sz w:val="18"/>
                <w:szCs w:val="18"/>
                <w:u w:val="none"/>
              </w:rPr>
            </w:pPr>
          </w:p>
        </w:tc>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D25578">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DBD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AC677">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ED393">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664058">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63F63">
            <w:pPr>
              <w:jc w:val="center"/>
              <w:rPr>
                <w:rFonts w:hint="eastAsia" w:ascii="宋体" w:hAnsi="宋体" w:eastAsia="宋体" w:cs="宋体"/>
                <w:i w:val="0"/>
                <w:iCs w:val="0"/>
                <w:color w:val="000000"/>
                <w:sz w:val="18"/>
                <w:szCs w:val="18"/>
                <w:u w:val="none"/>
              </w:rPr>
            </w:pPr>
            <w:bookmarkStart w:id="158" w:name="_GoBack"/>
            <w:bookmarkEnd w:id="158"/>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034B4">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78C60">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7D226">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AE317">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476EF">
            <w:pPr>
              <w:jc w:val="cente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653A2">
            <w:pPr>
              <w:jc w:val="cente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DA8B09">
            <w:pPr>
              <w:jc w:val="center"/>
              <w:rPr>
                <w:rFonts w:hint="eastAsia" w:ascii="宋体" w:hAnsi="宋体" w:eastAsia="宋体" w:cs="宋体"/>
                <w:i w:val="0"/>
                <w:iCs w:val="0"/>
                <w:color w:val="000000"/>
                <w:sz w:val="18"/>
                <w:szCs w:val="18"/>
                <w:u w:val="none"/>
              </w:rPr>
            </w:pPr>
          </w:p>
        </w:tc>
      </w:tr>
      <w:tr w14:paraId="1E8DF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3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38C2C">
            <w:pPr>
              <w:jc w:val="center"/>
              <w:rPr>
                <w:rFonts w:hint="eastAsia" w:ascii="宋体" w:hAnsi="宋体" w:eastAsia="宋体" w:cs="宋体"/>
                <w:b/>
                <w:bCs/>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182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1E6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29D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师生满意度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2EB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267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0E6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7242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605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25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7A21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6FE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AE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8A0AA">
            <w:pPr>
              <w:jc w:val="center"/>
              <w:rPr>
                <w:rFonts w:hint="eastAsia" w:ascii="宋体" w:hAnsi="宋体" w:eastAsia="宋体" w:cs="宋体"/>
                <w:i w:val="0"/>
                <w:iCs w:val="0"/>
                <w:color w:val="000000"/>
                <w:sz w:val="18"/>
                <w:szCs w:val="18"/>
                <w:u w:val="none"/>
              </w:rPr>
            </w:pPr>
          </w:p>
        </w:tc>
      </w:tr>
      <w:tr w14:paraId="59115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62" w:type="pct"/>
            <w:gridSpan w:val="4"/>
            <w:tcBorders>
              <w:top w:val="single" w:color="000000" w:sz="4" w:space="0"/>
              <w:left w:val="single" w:color="000000" w:sz="4" w:space="0"/>
              <w:bottom w:val="single" w:color="000000" w:sz="4" w:space="0"/>
              <w:right w:val="nil"/>
            </w:tcBorders>
            <w:shd w:val="clear" w:color="auto" w:fill="auto"/>
            <w:vAlign w:val="center"/>
          </w:tcPr>
          <w:p w14:paraId="07AFCC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7C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02" w:type="pct"/>
            <w:tcBorders>
              <w:top w:val="single" w:color="000000" w:sz="4" w:space="0"/>
              <w:left w:val="nil"/>
              <w:bottom w:val="single" w:color="000000" w:sz="4" w:space="0"/>
              <w:right w:val="single" w:color="000000" w:sz="4" w:space="0"/>
            </w:tcBorders>
            <w:shd w:val="clear" w:color="auto" w:fill="auto"/>
            <w:vAlign w:val="center"/>
          </w:tcPr>
          <w:p w14:paraId="7CAB2CA6">
            <w:pPr>
              <w:rPr>
                <w:rFonts w:hint="eastAsia" w:ascii="宋体" w:hAnsi="宋体" w:eastAsia="宋体" w:cs="宋体"/>
                <w:b/>
                <w:bCs/>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E7BEB">
            <w:pPr>
              <w:jc w:val="cente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3EA6F">
            <w:pPr>
              <w:jc w:val="center"/>
              <w:rPr>
                <w:rFonts w:hint="eastAsia" w:ascii="宋体" w:hAnsi="宋体" w:eastAsia="宋体" w:cs="宋体"/>
                <w:i w:val="0"/>
                <w:iCs w:val="0"/>
                <w:color w:val="000000"/>
                <w:sz w:val="18"/>
                <w:szCs w:val="18"/>
                <w:u w:val="none"/>
              </w:rPr>
            </w:pPr>
          </w:p>
        </w:tc>
        <w:tc>
          <w:tcPr>
            <w:tcW w:w="43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7D0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5F39">
            <w:pPr>
              <w:rPr>
                <w:rFonts w:hint="eastAsia" w:ascii="宋体" w:hAnsi="宋体" w:eastAsia="宋体" w:cs="宋体"/>
                <w:i w:val="0"/>
                <w:iCs w:val="0"/>
                <w:color w:val="000000"/>
                <w:sz w:val="18"/>
                <w:szCs w:val="18"/>
                <w:u w:val="none"/>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8CA05">
            <w:pP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608EB">
            <w:pPr>
              <w:rPr>
                <w:rFonts w:hint="eastAsia" w:ascii="宋体" w:hAnsi="宋体" w:eastAsia="宋体" w:cs="宋体"/>
                <w:i w:val="0"/>
                <w:iCs w:val="0"/>
                <w:color w:val="000000"/>
                <w:sz w:val="18"/>
                <w:szCs w:val="18"/>
                <w:u w:val="none"/>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D9CD6">
            <w:pPr>
              <w:rPr>
                <w:rFonts w:hint="eastAsia" w:ascii="宋体" w:hAnsi="宋体" w:eastAsia="宋体" w:cs="宋体"/>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3EBCA">
            <w:pPr>
              <w:rPr>
                <w:rFonts w:hint="eastAsia" w:ascii="宋体" w:hAnsi="宋体" w:eastAsia="宋体" w:cs="宋体"/>
                <w:i w:val="0"/>
                <w:iCs w:val="0"/>
                <w:color w:val="000000"/>
                <w:sz w:val="18"/>
                <w:szCs w:val="18"/>
                <w:u w:val="none"/>
              </w:rPr>
            </w:pPr>
          </w:p>
        </w:tc>
      </w:tr>
    </w:tbl>
    <w:p w14:paraId="22D246CC">
      <w:pPr>
        <w:bidi w:val="0"/>
        <w:ind w:left="0" w:leftChars="0" w:firstLine="0" w:firstLineChars="0"/>
        <w:jc w:val="left"/>
        <w:rPr>
          <w:rFonts w:hint="eastAsia"/>
          <w:color w:val="auto"/>
          <w:highlight w:val="none"/>
          <w:lang w:val="en-US" w:eastAsia="zh-CN"/>
        </w:rPr>
        <w:sectPr>
          <w:pgSz w:w="16838" w:h="11906" w:orient="landscape"/>
          <w:pgMar w:top="1800" w:right="1440" w:bottom="1800" w:left="1440" w:header="737" w:footer="851" w:gutter="0"/>
          <w:pgNumType w:fmt="decimal"/>
          <w:cols w:space="720" w:num="1"/>
          <w:docGrid w:type="lines" w:linePitch="408" w:charSpace="0"/>
        </w:sectPr>
      </w:pPr>
    </w:p>
    <w:p w14:paraId="166FE187">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r>
        <w:rPr>
          <w:rFonts w:hint="eastAsia" w:ascii="宋体" w:hAnsi="宋体" w:eastAsia="宋体" w:cs="宋体"/>
          <w:b/>
          <w:bCs/>
          <w:color w:val="auto"/>
          <w:highlight w:val="none"/>
          <w:shd w:val="clear" w:color="auto" w:fill="auto"/>
          <w:lang w:val="en-US" w:eastAsia="zh-CN"/>
        </w:rPr>
        <w:t>附件二、项目支出绩效评价指标体系打分表</w:t>
      </w:r>
      <w:bookmarkEnd w:id="156"/>
      <w:bookmarkEnd w:id="157"/>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52AADE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0ABD698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6113031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73C8213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73E8CE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97B80A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6EA51A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1EDC81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34844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10D319D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0EE0CF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05CA3F73">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71B6231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6B2E58B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0AE23C6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51C6C3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09C6EE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69653B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4043C4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5A43110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36E42EF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578EE903">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5ADAF24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B41E1D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10EB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10D45C6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C3A92A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4B6AC1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6B884E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0F87B52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045E9765">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C64245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3A28001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61FBFB4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647A120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3736382E">
            <w:pPr>
              <w:pageBreakBefore w:val="0"/>
              <w:widowControl/>
              <w:kinsoku/>
              <w:wordWrap/>
              <w:overflowPunct/>
              <w:topLinePunct w:val="0"/>
              <w:autoSpaceDE/>
              <w:autoSpaceDN/>
              <w:bidi w:val="0"/>
              <w:spacing w:line="240" w:lineRule="auto"/>
              <w:ind w:firstLine="0" w:firstLineChars="0"/>
              <w:jc w:val="left"/>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FEA97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F75346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3E4549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0CA8D30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477D2B6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622A59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6C6E4D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F8AAB8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775F4A2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22E7CF0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28EED75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792A2791">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041F5E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09FD72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DACE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39400C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54120E7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45F4990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4321330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13FBB96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3BC315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89939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0C0D3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182E6F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0B83298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277F936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BD7DF3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CA4D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2FC3918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6146F1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6E6D572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425F595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7E5F905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57AF787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5A32D15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77B5A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6D35A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7CE633A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49A4F41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331C933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06AE058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8CD6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59FB67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9A9C18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F93742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0D4A53F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0BAC1CE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505F45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AF265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4972CDF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64B187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66EEE0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42DE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4C895B3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5DA11B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018B340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26359A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A08D9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042494E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486E2A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490F72D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44EABF9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C4F16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4B138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19FAF53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3C667B2">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D9A3D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700FBF6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275D9F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55CB79F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5B9ED68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15455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B0311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3768F76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6BFB1E8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545918C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5DD1CD1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ABB2E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2D8F0B1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0AABEB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C6C09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39E08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5BCAEAC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79F0DBD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1553D8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9DB84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C589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48AD8F8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782E8B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3CC16E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BACA1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34B8C8C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FA6F09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417C6F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79E66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5617769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76C336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8FE18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788557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588B414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D7A4D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5BFB9F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3B5B30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3388DB6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6F04A67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07C4F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189F55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F1B6A9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55FE0A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4D2FBF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C33B1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EE0A1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49FD72C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A3B1F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F57B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在校学生人数</w:t>
            </w:r>
          </w:p>
        </w:tc>
        <w:tc>
          <w:tcPr>
            <w:tcW w:w="2141" w:type="dxa"/>
            <w:shd w:val="clear" w:color="auto" w:fill="auto"/>
            <w:noWrap w:val="0"/>
            <w:vAlign w:val="center"/>
          </w:tcPr>
          <w:p w14:paraId="56C9B3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E9180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DC5E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965E3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639081FA">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CB0710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4F187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2A2B2C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C27C3D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0D71C1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745E11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8545A6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4DB52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2132C45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98C4C8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2CF56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0875E66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vMerge w:val="restart"/>
            <w:shd w:val="clear" w:color="auto" w:fill="auto"/>
            <w:noWrap w:val="0"/>
            <w:vAlign w:val="center"/>
          </w:tcPr>
          <w:p w14:paraId="7DED17A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C09075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公用经费享受比例</w:t>
            </w:r>
          </w:p>
        </w:tc>
        <w:tc>
          <w:tcPr>
            <w:tcW w:w="2141" w:type="dxa"/>
            <w:shd w:val="clear" w:color="auto" w:fill="auto"/>
            <w:noWrap w:val="0"/>
            <w:vAlign w:val="center"/>
          </w:tcPr>
          <w:p w14:paraId="4EE647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2623451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2157025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366005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8A0F28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39262E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A3EFB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812AC5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58B45E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教师培训结业率</w:t>
            </w:r>
          </w:p>
        </w:tc>
        <w:tc>
          <w:tcPr>
            <w:tcW w:w="2141" w:type="dxa"/>
            <w:shd w:val="clear" w:color="auto" w:fill="auto"/>
            <w:noWrap w:val="0"/>
            <w:vAlign w:val="center"/>
          </w:tcPr>
          <w:p w14:paraId="58C4EC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54304E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650C71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7368D56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46980D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cs="宋体"/>
                <w:color w:val="auto"/>
                <w:kern w:val="0"/>
                <w:sz w:val="22"/>
                <w:szCs w:val="22"/>
                <w:highlight w:val="none"/>
                <w:lang w:val="en-US" w:eastAsia="zh-CN"/>
              </w:rPr>
              <w:t>5</w:t>
            </w:r>
          </w:p>
        </w:tc>
      </w:tr>
      <w:tr w14:paraId="58CDF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31772D7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BEF705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1CA2976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公用经费支出及时率</w:t>
            </w:r>
          </w:p>
        </w:tc>
        <w:tc>
          <w:tcPr>
            <w:tcW w:w="2141" w:type="dxa"/>
            <w:shd w:val="clear" w:color="auto" w:fill="auto"/>
            <w:noWrap w:val="0"/>
            <w:vAlign w:val="center"/>
          </w:tcPr>
          <w:p w14:paraId="511722B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6D80C9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721D6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8497E7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F09A1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773C0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2403D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7E8C2C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15F7E10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141" w:type="dxa"/>
            <w:shd w:val="clear" w:color="auto" w:fill="auto"/>
            <w:noWrap w:val="0"/>
            <w:vAlign w:val="center"/>
          </w:tcPr>
          <w:p w14:paraId="2916B7B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4338B8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DF8FB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041B0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498ACB2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F77422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323D739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10</w:t>
            </w:r>
          </w:p>
        </w:tc>
      </w:tr>
      <w:tr w14:paraId="659997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3D62C9C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371495B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063495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正常运转率</w:t>
            </w:r>
          </w:p>
        </w:tc>
        <w:tc>
          <w:tcPr>
            <w:tcW w:w="2141" w:type="dxa"/>
            <w:shd w:val="clear" w:color="auto" w:fill="auto"/>
            <w:noWrap w:val="0"/>
            <w:vAlign w:val="center"/>
          </w:tcPr>
          <w:p w14:paraId="3F50403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5DFB18E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163353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91B219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412595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4BF2CC1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CAABF1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457F85F4">
            <w:pPr>
              <w:pageBreakBefore w:val="0"/>
              <w:widowControl/>
              <w:kinsoku/>
              <w:wordWrap/>
              <w:overflowPunct/>
              <w:topLinePunct w:val="0"/>
              <w:autoSpaceDE/>
              <w:autoSpaceDN/>
              <w:bidi w:val="0"/>
              <w:spacing w:line="240" w:lineRule="auto"/>
              <w:ind w:firstLine="0" w:firstLineChars="0"/>
              <w:jc w:val="center"/>
              <w:textAlignment w:val="auto"/>
              <w:rPr>
                <w:rFonts w:hint="eastAsia"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改善教学环境提供良好的学生成长条件</w:t>
            </w:r>
          </w:p>
        </w:tc>
        <w:tc>
          <w:tcPr>
            <w:tcW w:w="2141" w:type="dxa"/>
            <w:shd w:val="clear" w:color="auto" w:fill="auto"/>
            <w:noWrap w:val="0"/>
            <w:vAlign w:val="center"/>
          </w:tcPr>
          <w:p w14:paraId="48DC963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6FC253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5A797A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7A2D9AF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7</w:t>
            </w:r>
          </w:p>
        </w:tc>
      </w:tr>
      <w:tr w14:paraId="5898EC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DB8F7D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1B8F9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D083A5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师生满意度</w:t>
            </w:r>
          </w:p>
        </w:tc>
        <w:tc>
          <w:tcPr>
            <w:tcW w:w="2141" w:type="dxa"/>
            <w:shd w:val="clear" w:color="auto" w:fill="auto"/>
            <w:noWrap w:val="0"/>
            <w:vAlign w:val="center"/>
          </w:tcPr>
          <w:p w14:paraId="3ED8AA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370EAA1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249EB78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107B945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8</w:t>
            </w:r>
          </w:p>
        </w:tc>
      </w:tr>
      <w:tr w14:paraId="6DA06B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637AEB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26C5E4D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64F83C10">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5AB08679">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397FEB87">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4EB1488D">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D2F29">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9F46B">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B9F46B">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8C3E62"/>
    <w:rsid w:val="02B015E2"/>
    <w:rsid w:val="02DC08FA"/>
    <w:rsid w:val="033B569D"/>
    <w:rsid w:val="039C3BA0"/>
    <w:rsid w:val="03A845BB"/>
    <w:rsid w:val="03B45AD1"/>
    <w:rsid w:val="03BF2F9E"/>
    <w:rsid w:val="04D12EE4"/>
    <w:rsid w:val="04D63993"/>
    <w:rsid w:val="063F6102"/>
    <w:rsid w:val="07890F4F"/>
    <w:rsid w:val="08892439"/>
    <w:rsid w:val="08EB30F3"/>
    <w:rsid w:val="09237408"/>
    <w:rsid w:val="09781BD6"/>
    <w:rsid w:val="09F359DF"/>
    <w:rsid w:val="0A575E65"/>
    <w:rsid w:val="0ACA0AB6"/>
    <w:rsid w:val="0B1D2A5B"/>
    <w:rsid w:val="0B8271BF"/>
    <w:rsid w:val="0C032502"/>
    <w:rsid w:val="0C27698C"/>
    <w:rsid w:val="0CE353ED"/>
    <w:rsid w:val="0D4452F3"/>
    <w:rsid w:val="0EFE3455"/>
    <w:rsid w:val="0F1E7653"/>
    <w:rsid w:val="0F5E5042"/>
    <w:rsid w:val="0FE95707"/>
    <w:rsid w:val="10510571"/>
    <w:rsid w:val="1057106E"/>
    <w:rsid w:val="10787A20"/>
    <w:rsid w:val="108672DE"/>
    <w:rsid w:val="10EC685A"/>
    <w:rsid w:val="11721BDA"/>
    <w:rsid w:val="11B00D0A"/>
    <w:rsid w:val="11FA6155"/>
    <w:rsid w:val="12CF0947"/>
    <w:rsid w:val="12F1313F"/>
    <w:rsid w:val="136C678E"/>
    <w:rsid w:val="13EB2FF5"/>
    <w:rsid w:val="14ED4CAC"/>
    <w:rsid w:val="15725168"/>
    <w:rsid w:val="15A46B04"/>
    <w:rsid w:val="165825BC"/>
    <w:rsid w:val="16BC5D73"/>
    <w:rsid w:val="175C1458"/>
    <w:rsid w:val="176F36D7"/>
    <w:rsid w:val="1795226D"/>
    <w:rsid w:val="18456B1E"/>
    <w:rsid w:val="1A7D3DC7"/>
    <w:rsid w:val="1C1171C5"/>
    <w:rsid w:val="1D265138"/>
    <w:rsid w:val="1D7B6BCA"/>
    <w:rsid w:val="1DA41A79"/>
    <w:rsid w:val="1DCB0979"/>
    <w:rsid w:val="1DF53469"/>
    <w:rsid w:val="1E2F24F2"/>
    <w:rsid w:val="1E58492F"/>
    <w:rsid w:val="1E5B6757"/>
    <w:rsid w:val="1ED10AC6"/>
    <w:rsid w:val="1F89225F"/>
    <w:rsid w:val="1F900A1F"/>
    <w:rsid w:val="1FB07E05"/>
    <w:rsid w:val="1FC0575D"/>
    <w:rsid w:val="206132C7"/>
    <w:rsid w:val="21B00C1D"/>
    <w:rsid w:val="22CF718A"/>
    <w:rsid w:val="23031BEB"/>
    <w:rsid w:val="23917691"/>
    <w:rsid w:val="244D65B8"/>
    <w:rsid w:val="245E1E24"/>
    <w:rsid w:val="25AD5E5D"/>
    <w:rsid w:val="26AA1ACC"/>
    <w:rsid w:val="2732478D"/>
    <w:rsid w:val="27661469"/>
    <w:rsid w:val="27900EAD"/>
    <w:rsid w:val="279B538A"/>
    <w:rsid w:val="286F545C"/>
    <w:rsid w:val="29314FBC"/>
    <w:rsid w:val="2AA2081A"/>
    <w:rsid w:val="2C024B86"/>
    <w:rsid w:val="2C927671"/>
    <w:rsid w:val="2CB47B9F"/>
    <w:rsid w:val="2CC6306F"/>
    <w:rsid w:val="2D355E3C"/>
    <w:rsid w:val="2D7C5CD6"/>
    <w:rsid w:val="2E483E7E"/>
    <w:rsid w:val="2E690493"/>
    <w:rsid w:val="2E9854BD"/>
    <w:rsid w:val="2F0D407F"/>
    <w:rsid w:val="2F454B19"/>
    <w:rsid w:val="307B44AD"/>
    <w:rsid w:val="310224D9"/>
    <w:rsid w:val="31B4621C"/>
    <w:rsid w:val="31E3230A"/>
    <w:rsid w:val="330957E0"/>
    <w:rsid w:val="33356F64"/>
    <w:rsid w:val="33944516"/>
    <w:rsid w:val="34B62907"/>
    <w:rsid w:val="35F40F8A"/>
    <w:rsid w:val="36BD137C"/>
    <w:rsid w:val="38053EDF"/>
    <w:rsid w:val="380812A4"/>
    <w:rsid w:val="385D37E7"/>
    <w:rsid w:val="38782EDD"/>
    <w:rsid w:val="3B42664A"/>
    <w:rsid w:val="3C5F6A31"/>
    <w:rsid w:val="3C8301DE"/>
    <w:rsid w:val="3CAD1E92"/>
    <w:rsid w:val="3CBE5E4E"/>
    <w:rsid w:val="3D1B32A0"/>
    <w:rsid w:val="3D836A4E"/>
    <w:rsid w:val="3EA37E97"/>
    <w:rsid w:val="3FBE0BC5"/>
    <w:rsid w:val="4048103A"/>
    <w:rsid w:val="40736643"/>
    <w:rsid w:val="40D24A7A"/>
    <w:rsid w:val="42621029"/>
    <w:rsid w:val="43424558"/>
    <w:rsid w:val="435241E2"/>
    <w:rsid w:val="435412BA"/>
    <w:rsid w:val="43975C51"/>
    <w:rsid w:val="439E3FA7"/>
    <w:rsid w:val="44B32266"/>
    <w:rsid w:val="44FC64F4"/>
    <w:rsid w:val="4642189D"/>
    <w:rsid w:val="467F4585"/>
    <w:rsid w:val="470628CB"/>
    <w:rsid w:val="4729480B"/>
    <w:rsid w:val="47555BD4"/>
    <w:rsid w:val="47BC2DB1"/>
    <w:rsid w:val="47E96399"/>
    <w:rsid w:val="47F76025"/>
    <w:rsid w:val="486E33F5"/>
    <w:rsid w:val="48E12B50"/>
    <w:rsid w:val="497D63FE"/>
    <w:rsid w:val="499441BE"/>
    <w:rsid w:val="499A6C1C"/>
    <w:rsid w:val="4A195607"/>
    <w:rsid w:val="4A2138F0"/>
    <w:rsid w:val="4A583887"/>
    <w:rsid w:val="4B9F6E02"/>
    <w:rsid w:val="4BED22AB"/>
    <w:rsid w:val="4C7B1665"/>
    <w:rsid w:val="4C89637B"/>
    <w:rsid w:val="4D3C634C"/>
    <w:rsid w:val="4E6E48A8"/>
    <w:rsid w:val="4EEC036B"/>
    <w:rsid w:val="4F714FA1"/>
    <w:rsid w:val="4F9654F7"/>
    <w:rsid w:val="501D2673"/>
    <w:rsid w:val="50C80BF1"/>
    <w:rsid w:val="51852833"/>
    <w:rsid w:val="52B72CCB"/>
    <w:rsid w:val="52F11AC8"/>
    <w:rsid w:val="534F49D9"/>
    <w:rsid w:val="53555F0F"/>
    <w:rsid w:val="535D23D5"/>
    <w:rsid w:val="56E61DD1"/>
    <w:rsid w:val="56F4341A"/>
    <w:rsid w:val="575A7321"/>
    <w:rsid w:val="580C3AB9"/>
    <w:rsid w:val="583C7AE0"/>
    <w:rsid w:val="586C1E9A"/>
    <w:rsid w:val="586E0800"/>
    <w:rsid w:val="58D520FD"/>
    <w:rsid w:val="59216F96"/>
    <w:rsid w:val="596516D3"/>
    <w:rsid w:val="598C4145"/>
    <w:rsid w:val="59957D1B"/>
    <w:rsid w:val="59D4294E"/>
    <w:rsid w:val="5AA601A1"/>
    <w:rsid w:val="5B503CBD"/>
    <w:rsid w:val="5B634312"/>
    <w:rsid w:val="5B6F4A8B"/>
    <w:rsid w:val="5B9D2CCD"/>
    <w:rsid w:val="5B9E71EA"/>
    <w:rsid w:val="5D047455"/>
    <w:rsid w:val="5E226FBC"/>
    <w:rsid w:val="5FE72BD2"/>
    <w:rsid w:val="60120613"/>
    <w:rsid w:val="618D5292"/>
    <w:rsid w:val="61E138C1"/>
    <w:rsid w:val="62143C96"/>
    <w:rsid w:val="622E78FA"/>
    <w:rsid w:val="63343F70"/>
    <w:rsid w:val="6377272F"/>
    <w:rsid w:val="63C139AA"/>
    <w:rsid w:val="64296E1C"/>
    <w:rsid w:val="64386FCC"/>
    <w:rsid w:val="64931F07"/>
    <w:rsid w:val="649E64A2"/>
    <w:rsid w:val="65E5270A"/>
    <w:rsid w:val="663D3C54"/>
    <w:rsid w:val="667A6962"/>
    <w:rsid w:val="66862C89"/>
    <w:rsid w:val="66BB486D"/>
    <w:rsid w:val="67394C7D"/>
    <w:rsid w:val="68126B38"/>
    <w:rsid w:val="68291A1A"/>
    <w:rsid w:val="68352BB8"/>
    <w:rsid w:val="6865349E"/>
    <w:rsid w:val="68C61A62"/>
    <w:rsid w:val="691327EB"/>
    <w:rsid w:val="691B1594"/>
    <w:rsid w:val="693A016B"/>
    <w:rsid w:val="6A17429C"/>
    <w:rsid w:val="6A567EA3"/>
    <w:rsid w:val="6B4B4368"/>
    <w:rsid w:val="6B79100E"/>
    <w:rsid w:val="6BB8133B"/>
    <w:rsid w:val="6C844C00"/>
    <w:rsid w:val="6DCF2230"/>
    <w:rsid w:val="6E10212C"/>
    <w:rsid w:val="6E337B9A"/>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725A1A"/>
    <w:rsid w:val="79F3729A"/>
    <w:rsid w:val="7A880722"/>
    <w:rsid w:val="7ABE6120"/>
    <w:rsid w:val="7ACB0498"/>
    <w:rsid w:val="7AD93EE7"/>
    <w:rsid w:val="7AED0B4D"/>
    <w:rsid w:val="7B1A33E0"/>
    <w:rsid w:val="7C0861C2"/>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20"/>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character" w:styleId="18">
    <w:name w:val="Strong"/>
    <w:basedOn w:val="17"/>
    <w:qFormat/>
    <w:uiPriority w:val="0"/>
    <w:rPr>
      <w:b/>
      <w:bCs/>
    </w:rPr>
  </w:style>
  <w:style w:type="paragraph" w:customStyle="1" w:styleId="19">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20">
    <w:name w:val="标题 2 Char"/>
    <w:link w:val="3"/>
    <w:qFormat/>
    <w:uiPriority w:val="0"/>
    <w:rPr>
      <w:rFonts w:ascii="Arial" w:hAnsi="Arial" w:eastAsia="楷体"/>
      <w:b/>
      <w:sz w:val="32"/>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WPSOffice手动目录 2"/>
    <w:qFormat/>
    <w:uiPriority w:val="0"/>
    <w:pPr>
      <w:ind w:leftChars="200"/>
    </w:pPr>
    <w:rPr>
      <w:rFonts w:ascii="Times New Roman" w:hAnsi="Times New Roman" w:eastAsia="宋体" w:cs="Times New Roman"/>
      <w:sz w:val="20"/>
      <w:szCs w:val="20"/>
    </w:rPr>
  </w:style>
  <w:style w:type="paragraph" w:customStyle="1" w:styleId="23">
    <w:name w:val="WPSOffice手动目录 3"/>
    <w:qFormat/>
    <w:uiPriority w:val="0"/>
    <w:pPr>
      <w:ind w:leftChars="400"/>
    </w:pPr>
    <w:rPr>
      <w:rFonts w:ascii="Times New Roman" w:hAnsi="Times New Roman" w:eastAsia="宋体" w:cs="Times New Roman"/>
      <w:sz w:val="20"/>
      <w:szCs w:val="20"/>
    </w:rPr>
  </w:style>
  <w:style w:type="character" w:customStyle="1" w:styleId="24">
    <w:name w:val="font61"/>
    <w:basedOn w:val="17"/>
    <w:qFormat/>
    <w:uiPriority w:val="0"/>
    <w:rPr>
      <w:rFonts w:ascii="宋体" w:hAnsi="宋体" w:eastAsia="宋体" w:cs="宋体"/>
      <w:color w:val="000000"/>
      <w:sz w:val="20"/>
      <w:szCs w:val="20"/>
      <w:u w:val="none"/>
    </w:rPr>
  </w:style>
  <w:style w:type="character" w:customStyle="1" w:styleId="25">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10811</Words>
  <Characters>11399</Characters>
  <Lines>0</Lines>
  <Paragraphs>0</Paragraphs>
  <TotalTime>1</TotalTime>
  <ScaleCrop>false</ScaleCrop>
  <LinksUpToDate>false</LinksUpToDate>
  <CharactersWithSpaces>11474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2025-10-24T04:18:13Z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