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895A3">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363F9B6">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648628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8F0F8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15679"/>
      <w:bookmarkStart w:id="1" w:name="_Toc25575"/>
      <w:bookmarkStart w:id="2" w:name="_Toc1949"/>
      <w:bookmarkStart w:id="3" w:name="_Toc29123"/>
      <w:r>
        <w:rPr>
          <w:rFonts w:hint="eastAsia" w:cs="宋体"/>
          <w:b/>
          <w:bCs/>
          <w:color w:val="auto"/>
          <w:sz w:val="40"/>
          <w:szCs w:val="40"/>
          <w:highlight w:val="none"/>
          <w:shd w:val="clear" w:color="auto" w:fill="auto"/>
          <w:lang w:val="en-US" w:eastAsia="zh-CN"/>
        </w:rPr>
        <w:t>2024年选聘教师工资补助经费</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1AE98D27">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5A578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DB48B4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F3B4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09665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01E3C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156FBB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BA13654">
      <w:pPr>
        <w:spacing w:line="360" w:lineRule="auto"/>
        <w:ind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项目名称：2024年选聘教师工资补助经费</w:t>
      </w:r>
    </w:p>
    <w:p w14:paraId="20C767E0">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eastAsia="zh-CN"/>
        </w:rPr>
        <w:t>：阜康市第三小学</w:t>
      </w:r>
    </w:p>
    <w:p w14:paraId="778E533F">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主管部门：阜康市教育局</w:t>
      </w:r>
    </w:p>
    <w:p w14:paraId="2FB64444">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项目负责人：李玉霞</w:t>
      </w:r>
    </w:p>
    <w:p w14:paraId="6F03C40E">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75BA9AFD">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5894261A">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50B2D474">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65320760">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23A727D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547843B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710C23D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23A2596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6</w:t>
          </w:r>
          <w:r>
            <w:fldChar w:fldCharType="end"/>
          </w:r>
          <w:r>
            <w:rPr>
              <w:rFonts w:hint="eastAsia"/>
              <w:szCs w:val="28"/>
              <w:lang w:val="en-US" w:eastAsia="zh-CN"/>
            </w:rPr>
            <w:fldChar w:fldCharType="end"/>
          </w:r>
        </w:p>
        <w:p w14:paraId="26A48988">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AA9E8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28C7503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73F1ED0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3C01A7B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3167123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1B46A7B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1DAEF5A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F46B58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21D638B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01375D0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06D656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78429F8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25</w:t>
          </w:r>
          <w:r>
            <w:fldChar w:fldCharType="end"/>
          </w:r>
          <w:r>
            <w:rPr>
              <w:rFonts w:hint="eastAsia"/>
              <w:szCs w:val="28"/>
              <w:lang w:val="en-US" w:eastAsia="zh-CN"/>
            </w:rPr>
            <w:fldChar w:fldCharType="end"/>
          </w:r>
        </w:p>
        <w:p w14:paraId="555B237E">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1E07E4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51AA050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2853BEDC">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7BC9204">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D348A7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CB4CEE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FD23594">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08E1F0C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3663"/>
      <w:bookmarkStart w:id="5" w:name="_Toc1194"/>
      <w:bookmarkStart w:id="6" w:name="_Toc20432"/>
      <w:bookmarkStart w:id="7" w:name="_Toc22946"/>
      <w:r>
        <w:rPr>
          <w:rFonts w:hint="eastAsia" w:cs="宋体"/>
          <w:b/>
          <w:bCs/>
          <w:color w:val="auto"/>
          <w:sz w:val="36"/>
          <w:szCs w:val="36"/>
          <w:highlight w:val="none"/>
          <w:shd w:val="clear" w:color="auto" w:fill="auto"/>
          <w:lang w:val="en-US" w:eastAsia="zh-CN"/>
        </w:rPr>
        <w:t>2024年选聘教师工资补助经费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0FF8D0E8">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01D50BB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46642C48">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5043"/>
      <w:bookmarkStart w:id="11" w:name="_Toc22346"/>
      <w:bookmarkStart w:id="12" w:name="_Toc29812"/>
      <w:bookmarkStart w:id="13" w:name="_Toc106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71B82A96">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bookmarkStart w:id="14" w:name="_Toc17880"/>
      <w:bookmarkStart w:id="15" w:name="_Toc1630"/>
      <w:bookmarkStart w:id="16" w:name="_Toc27343"/>
      <w:bookmarkStart w:id="17" w:name="_Toc10730"/>
      <w:r>
        <w:rPr>
          <w:rFonts w:hint="eastAsia" w:ascii="仿宋_GB2312" w:hAnsi="仿宋_GB2312" w:eastAsia="仿宋_GB2312" w:cs="仿宋_GB2312"/>
          <w:b w:val="0"/>
          <w:bCs w:val="0"/>
          <w:kern w:val="2"/>
          <w:sz w:val="32"/>
          <w:szCs w:val="32"/>
          <w:highlight w:val="none"/>
          <w:lang w:val="en-US" w:eastAsia="zh-CN" w:bidi="ar-SA"/>
        </w:rPr>
        <w:t>2024年选聘教师工资补助经费是为了保障学校正常运转，维持学校正常教学秩序。编外临时用工所使用人员，使学校工作正常开展，按期完成上级交办教学工作任务，促进城乡教育均衡发展</w:t>
      </w:r>
      <w:r>
        <w:rPr>
          <w:rFonts w:hint="eastAsia" w:ascii="仿宋_GB2312" w:hAnsi="仿宋_GB2312" w:eastAsia="仿宋_GB2312" w:cs="仿宋_GB2312"/>
          <w:sz w:val="32"/>
          <w:szCs w:val="32"/>
          <w:highlight w:val="none"/>
        </w:rPr>
        <w:t>。</w:t>
      </w:r>
    </w:p>
    <w:p w14:paraId="26ED282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优化师资队伍结构：部分学校存在教师年龄断层、学科分布不均衡、高层次人才短缺等问题。通过立项选聘，可引进不同年龄层次、学科背景的优秀教师，改善师资结构，激发队伍活力。</w:t>
      </w:r>
    </w:p>
    <w:p w14:paraId="2C1D5F5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提升教育教学质量：为在区域教育竞争中保持优势，学校需不断提升教学质量与升学率。选聘具有丰富教学经验、竞赛指导能力或课题研究能力的教师，能带动学科组整体水平提升，推动校本课程开发、教学方法创新，从而提高学生成绩与综合素质。</w:t>
      </w:r>
    </w:p>
    <w:p w14:paraId="1D9D00FF">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rPr>
      </w:pPr>
      <w:r>
        <w:rPr>
          <w:rFonts w:hint="eastAsia" w:ascii="仿宋_GB2312" w:hAnsi="仿宋_GB2312" w:eastAsia="仿宋_GB2312" w:cs="仿宋_GB2312"/>
          <w:b w:val="0"/>
          <w:bCs w:val="0"/>
          <w:kern w:val="2"/>
          <w:sz w:val="32"/>
          <w:szCs w:val="32"/>
          <w:highlight w:val="none"/>
          <w:lang w:val="en-US" w:eastAsia="zh-CN" w:bidi="ar-SA"/>
        </w:rPr>
        <w:t>满足学生多元化发展需求：学生个性化发展诉求日益突出，学校需提供丰富多样的课程与活动。选聘相关专业背景或特长突出的教师，能够满足学生兴趣培养与特长发展需求，促进学生全面成长。</w:t>
      </w:r>
    </w:p>
    <w:p w14:paraId="72F4B289">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3F6F62B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highlight w:val="none"/>
          <w:lang w:val="en-US" w:eastAsia="zh-CN" w:bidi="ar-SA"/>
        </w:rPr>
      </w:pPr>
      <w:bookmarkStart w:id="18" w:name="_Toc27245"/>
      <w:bookmarkStart w:id="19" w:name="_Toc16592"/>
      <w:bookmarkStart w:id="20" w:name="_Toc21898"/>
      <w:bookmarkStart w:id="21" w:name="_Toc27409"/>
      <w:r>
        <w:rPr>
          <w:rFonts w:hint="eastAsia" w:ascii="仿宋_GB2312" w:hAnsi="仿宋_GB2312" w:eastAsia="仿宋_GB2312" w:cs="仿宋_GB2312"/>
          <w:b/>
          <w:bCs/>
          <w:kern w:val="2"/>
          <w:sz w:val="32"/>
          <w:szCs w:val="32"/>
          <w:highlight w:val="none"/>
          <w:lang w:val="en-US" w:eastAsia="zh-CN" w:bidi="ar-SA"/>
        </w:rPr>
        <w:t>项目主要内容：</w:t>
      </w:r>
      <w:bookmarkEnd w:id="18"/>
      <w:bookmarkEnd w:id="19"/>
      <w:bookmarkEnd w:id="20"/>
      <w:bookmarkEnd w:id="21"/>
      <w:r>
        <w:rPr>
          <w:rFonts w:hint="eastAsia" w:ascii="仿宋_GB2312" w:hAnsi="仿宋_GB2312" w:eastAsia="仿宋_GB2312" w:cs="仿宋_GB2312"/>
          <w:b w:val="0"/>
          <w:bCs w:val="0"/>
          <w:kern w:val="2"/>
          <w:sz w:val="32"/>
          <w:szCs w:val="32"/>
          <w:highlight w:val="none"/>
          <w:lang w:val="en-US" w:eastAsia="zh-CN" w:bidi="ar-SA"/>
        </w:rPr>
        <w:t>2024年选聘教师工资补助经费17.4万元。保障学校正常运转，维持学校正常教学秩序。全年按时支付5人6次工资补助经费，每人每月0.4685万元。使学校工作正常开展。按期完成上级交办教学工作任务，促进城乡教育均衡发展。</w:t>
      </w:r>
    </w:p>
    <w:p w14:paraId="283BC83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本项目自2024年2月1日经阜康市财政局关于2024年部门预算批复文件号阜财预字【2024】7号</w:t>
      </w:r>
      <w:r>
        <w:rPr>
          <w:rFonts w:hint="eastAsia" w:ascii="仿宋_GB2312" w:hAnsi="仿宋_GB2312" w:eastAsia="仿宋_GB2312" w:cs="仿宋_GB2312"/>
          <w:color w:val="auto"/>
          <w:sz w:val="32"/>
          <w:szCs w:val="32"/>
          <w:highlight w:val="none"/>
          <w:shd w:val="clear" w:color="auto" w:fill="auto"/>
          <w:lang w:val="en-US" w:eastAsia="zh-CN"/>
        </w:rPr>
        <w:t>，经学校校委会会议，确定了项目领导小组，明确了责任分工：组长为鲁锋，副组长为李玉霞，项目负责人为李玉霞,组员为刘刚、吴彦彪、杨婷、刘莹，其中：杨婷负责监管工作，马顺远负责项目档案资料，徐宏菊负责资金拨付工作。</w:t>
      </w:r>
    </w:p>
    <w:p w14:paraId="3DE187F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highlight w:val="none"/>
          <w:lang w:val="en-US" w:eastAsia="zh-CN" w:bidi="ar-SA"/>
        </w:rPr>
      </w:pPr>
      <w:bookmarkStart w:id="22" w:name="_Toc569"/>
      <w:bookmarkStart w:id="23" w:name="_Toc10240"/>
      <w:bookmarkStart w:id="24" w:name="_Toc12348"/>
      <w:bookmarkStart w:id="25" w:name="_Toc1858"/>
      <w:r>
        <w:rPr>
          <w:rFonts w:hint="eastAsia" w:ascii="仿宋_GB2312" w:hAnsi="仿宋_GB2312" w:eastAsia="仿宋_GB2312" w:cs="仿宋_GB2312"/>
          <w:b w:val="0"/>
          <w:bCs w:val="0"/>
          <w:kern w:val="2"/>
          <w:sz w:val="32"/>
          <w:szCs w:val="32"/>
          <w:highlight w:val="none"/>
          <w:lang w:val="en-US" w:eastAsia="zh-CN" w:bidi="ar-SA"/>
        </w:rPr>
        <w:t>截至2024年12月31日，本项目以5.622万元/人/学年的人员经费标准完成选聘教师人数3人的补助经费的发放。人员经费享受比例达到100%，按标准及时拨付率达到100%，项目的实施有效保障学校正常运转、改善教学环境，提供良好的学生成长条件。</w:t>
      </w:r>
    </w:p>
    <w:p w14:paraId="3C9E7FC5">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457899A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5366527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5573"/>
      <w:bookmarkStart w:id="30" w:name="_Toc9464"/>
      <w:bookmarkStart w:id="31" w:name="_Toc29190"/>
      <w:r>
        <w:rPr>
          <w:rFonts w:hint="eastAsia" w:ascii="仿宋_GB2312" w:hAnsi="仿宋_GB2312" w:eastAsia="仿宋_GB2312" w:cs="仿宋_GB2312"/>
          <w:sz w:val="32"/>
          <w:szCs w:val="32"/>
          <w:highlight w:val="none"/>
          <w:lang w:val="en-US" w:eastAsia="zh-CN"/>
        </w:rPr>
        <w:t>该项目年初预算数28.11万元，全年预算数17.40万元，该项目资金已全部落实到位，资金来源为</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sz w:val="32"/>
          <w:szCs w:val="32"/>
          <w:highlight w:val="none"/>
          <w:lang w:val="en-US" w:eastAsia="zh-CN"/>
        </w:rPr>
        <w:t>17.40万元。</w:t>
      </w:r>
      <w:bookmarkEnd w:id="29"/>
      <w:bookmarkEnd w:id="30"/>
      <w:bookmarkEnd w:id="31"/>
      <w:bookmarkStart w:id="32" w:name="_Toc3409"/>
      <w:bookmarkStart w:id="33" w:name="_Toc1166"/>
      <w:bookmarkStart w:id="34" w:name="_Toc28187"/>
    </w:p>
    <w:p w14:paraId="75FF527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7A5B1CC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1647"/>
      <w:bookmarkStart w:id="36" w:name="_Toc29121"/>
      <w:bookmarkStart w:id="37" w:name="_Toc1430"/>
      <w:r>
        <w:rPr>
          <w:rFonts w:hint="eastAsia" w:ascii="仿宋_GB2312" w:hAnsi="仿宋_GB2312" w:eastAsia="仿宋_GB2312" w:cs="仿宋_GB2312"/>
          <w:sz w:val="32"/>
          <w:szCs w:val="32"/>
          <w:highlight w:val="none"/>
          <w:lang w:val="en-US" w:eastAsia="zh-CN"/>
        </w:rPr>
        <w:t>该项目年初预算数28.11万元，全年预算数17.40万元，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全年执行数17.40万元，预算执行率为100%，主要用于：选聘教师工资支出。</w:t>
      </w:r>
      <w:bookmarkEnd w:id="35"/>
      <w:bookmarkEnd w:id="36"/>
      <w:bookmarkEnd w:id="37"/>
    </w:p>
    <w:p w14:paraId="4D5A268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048AB97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0047"/>
      <w:bookmarkStart w:id="40" w:name="_Toc8528"/>
      <w:bookmarkStart w:id="41" w:name="_Toc25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36CE431A">
      <w:pPr>
        <w:pStyle w:val="5"/>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cs="仿宋_GB2312"/>
          <w:b w:val="0"/>
          <w:bCs/>
          <w:color w:val="000000" w:themeColor="text1"/>
          <w:kern w:val="2"/>
          <w:sz w:val="32"/>
          <w:szCs w:val="32"/>
          <w:highlight w:val="none"/>
          <w:shd w:val="clear" w:color="auto" w:fill="auto"/>
          <w:lang w:val="en-US" w:eastAsia="zh-CN" w:bidi="ar-SA"/>
          <w14:textFill>
            <w14:solidFill>
              <w14:schemeClr w14:val="tx1"/>
            </w14:solidFill>
          </w14:textFill>
        </w:rPr>
      </w:pPr>
      <w:bookmarkStart w:id="43" w:name="_Toc3255"/>
      <w:bookmarkStart w:id="44" w:name="_Toc8990"/>
      <w:bookmarkStart w:id="45" w:name="_Toc4007"/>
      <w:bookmarkStart w:id="46" w:name="_Toc4487"/>
      <w:r>
        <w:rPr>
          <w:rFonts w:hint="eastAsia" w:cs="仿宋_GB2312"/>
          <w:b w:val="0"/>
          <w:bCs/>
          <w:color w:val="000000" w:themeColor="text1"/>
          <w:kern w:val="2"/>
          <w:sz w:val="32"/>
          <w:szCs w:val="32"/>
          <w:highlight w:val="none"/>
          <w:shd w:val="clear" w:color="auto" w:fill="auto"/>
          <w:lang w:val="en-US" w:eastAsia="zh-CN" w:bidi="ar-SA"/>
          <w14:textFill>
            <w14:solidFill>
              <w14:schemeClr w14:val="tx1"/>
            </w14:solidFill>
          </w14:textFill>
        </w:rPr>
        <w:t>保障学校正常运转，维持学校正常教学秩序。预计全年按时支付选聘教师5人12次工资补助经费，每人每月0.4685万元。项目实施将有效改善教学环境，提供良好的学生成长条件，保障学校正常运转。</w:t>
      </w:r>
    </w:p>
    <w:p w14:paraId="627D079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19465F8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01D4F7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3E7FC4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315B8F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选聘教师人数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指标，预期目标值为≧3人；</w:t>
      </w:r>
    </w:p>
    <w:p w14:paraId="26156A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工资支付次数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指标，预期目标值为=6次；</w:t>
      </w:r>
    </w:p>
    <w:p w14:paraId="4C3834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553751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38B59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211D3A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资发放时间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指标，预期目标值为=1次/月；</w:t>
      </w:r>
    </w:p>
    <w:p w14:paraId="4E5FEC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1414F3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指标，预期目标值为=5.622万元/人/学年；</w:t>
      </w:r>
    </w:p>
    <w:p w14:paraId="5AD02B5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5C5B61D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①社会效益指标</w:t>
      </w:r>
    </w:p>
    <w:p w14:paraId="4DF8FBB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6D324624">
      <w:pPr>
        <w:pageBreakBefore w:val="0"/>
        <w:widowControl w:val="0"/>
        <w:kinsoku/>
        <w:wordWrap/>
        <w:overflowPunct/>
        <w:topLinePunct w:val="0"/>
        <w:autoSpaceDE/>
        <w:autoSpaceDN/>
        <w:bidi w:val="0"/>
        <w:adjustRightInd/>
        <w:snapToGrid/>
        <w:spacing w:line="560" w:lineRule="exact"/>
        <w:textAlignment w:val="auto"/>
        <w:rPr>
          <w:rFonts w:hint="eastAsia"/>
          <w:color w:va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42A2586A">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1E7829F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1664"/>
      <w:bookmarkStart w:id="49" w:name="_Toc12868"/>
      <w:bookmarkStart w:id="50" w:name="_Toc26632"/>
      <w:bookmarkStart w:id="51" w:name="_Toc22169_WPSOffice_Level2"/>
      <w:bookmarkStart w:id="52" w:name="_Toc5462343"/>
      <w:bookmarkStart w:id="53" w:name="_Toc480473081"/>
      <w:bookmarkStart w:id="54" w:name="_Toc5258"/>
      <w:bookmarkStart w:id="55" w:name="_Toc2292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0213EA5A">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224BAD9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274EA95">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48CC3C8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147449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EF2AB2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BF5D03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947B6F5">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668D47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180C14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通过对项目预算执行情况及各项绩效目标达成程度的系统性分析，全面、客观地评估项目在预定周期内的实施效果，社会效益维度指标，为项目后续的改进与优化提供科学依据。</w:t>
      </w:r>
    </w:p>
    <w:p w14:paraId="7B99DB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32DF1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4F10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3BC311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11F60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1AB3CC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95646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4E0398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B8E78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E0C2379">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792B15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E36493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该项目由</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阜康市第三小学</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负责实施，旨在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简述项目目标或预期成果</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2024年1月21日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17.4</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2B59B0A8">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6536EBE5">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54127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132AED40">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33D6B9D4">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59FBCA21">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687EBCF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1DDEA36E">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5354"/>
      <w:bookmarkStart w:id="69"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9AD1D73">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lang w:val="en-US" w:eastAsia="zh-CN"/>
        </w:rPr>
        <w:t>2024年选聘教师工资补助经费</w:t>
      </w:r>
      <w:r>
        <w:rPr>
          <w:rFonts w:hint="eastAsia" w:ascii="Times New Roman" w:hAnsi="Times New Roman" w:eastAsia="仿宋_GB2312" w:cs="Times New Roman"/>
          <w:color w:val="auto"/>
          <w:sz w:val="32"/>
          <w:szCs w:val="32"/>
          <w:lang w:eastAsia="zh-CN"/>
        </w:rPr>
        <w:t>项目</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14:paraId="1AD53951">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0BCBDF6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3F8A869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27F1C028">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724F64B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403A9661">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24396"/>
      <w:bookmarkStart w:id="71" w:name="_Toc419984722"/>
      <w:bookmarkStart w:id="72" w:name="_Toc1913"/>
      <w:bookmarkStart w:id="73" w:name="_Toc428278230"/>
      <w:bookmarkStart w:id="74" w:name="_Toc26131"/>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5CED462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5599091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121B2CF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6B1901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13C4A6E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65A047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176FD5D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7DC300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13BB79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6867E5E6">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6A4F91E9">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bookmarkStart w:id="78" w:name="_Toc25391"/>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highlight w:val="none"/>
          <w:lang w:eastAsia="zh-CN"/>
        </w:rPr>
        <w:t>，</w:t>
      </w:r>
      <w:r>
        <w:rPr>
          <w:rFonts w:hint="eastAsia" w:ascii="仿宋_GB2312" w:hAnsi="仿宋_GB2312" w:eastAsia="仿宋_GB2312" w:cs="仿宋_GB2312"/>
          <w:color w:val="000000"/>
          <w:spacing w:val="17"/>
          <w:sz w:val="32"/>
          <w:szCs w:val="32"/>
          <w:highlight w:val="none"/>
        </w:rPr>
        <w:t>评价核心为资金的支出完成情况和项目的产出效益。</w:t>
      </w:r>
    </w:p>
    <w:p w14:paraId="0FBD964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6950DA51">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000000"/>
          <w:spacing w:val="17"/>
          <w:sz w:val="32"/>
          <w:szCs w:val="32"/>
          <w:highlight w:val="none"/>
          <w:lang w:val="en-US" w:eastAsia="zh-CN"/>
        </w:rPr>
        <w:t>原因：对历年</w:t>
      </w:r>
      <w:r>
        <w:rPr>
          <w:rFonts w:hint="default" w:ascii="Times New Roman" w:hAnsi="Times New Roman" w:eastAsia="仿宋_GB2312" w:cs="Times New Roman"/>
          <w:color w:val="000000"/>
          <w:spacing w:val="17"/>
          <w:sz w:val="32"/>
          <w:szCs w:val="32"/>
          <w:highlight w:val="none"/>
        </w:rPr>
        <w:t>支出情况进行比较</w:t>
      </w: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以利于成本的控制</w:t>
      </w:r>
    </w:p>
    <w:p w14:paraId="127A8340">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000000"/>
          <w:spacing w:val="17"/>
          <w:sz w:val="32"/>
          <w:szCs w:val="32"/>
          <w:highlight w:val="none"/>
          <w:lang w:val="en-US" w:eastAsia="zh-CN"/>
        </w:rPr>
        <w:t>原因：便于控制各个</w:t>
      </w:r>
      <w:r>
        <w:rPr>
          <w:rFonts w:hint="default" w:ascii="Times New Roman" w:hAnsi="Times New Roman" w:eastAsia="仿宋_GB2312" w:cs="Times New Roman"/>
          <w:color w:val="000000"/>
          <w:spacing w:val="17"/>
          <w:sz w:val="32"/>
          <w:szCs w:val="32"/>
          <w:highlight w:val="none"/>
        </w:rPr>
        <w:t>因素</w:t>
      </w:r>
      <w:r>
        <w:rPr>
          <w:rFonts w:hint="eastAsia" w:ascii="Times New Roman" w:hAnsi="Times New Roman" w:eastAsia="仿宋_GB2312" w:cs="Times New Roman"/>
          <w:color w:val="000000"/>
          <w:spacing w:val="17"/>
          <w:sz w:val="32"/>
          <w:szCs w:val="32"/>
          <w:highlight w:val="none"/>
          <w:lang w:val="en-US" w:eastAsia="zh-CN"/>
        </w:rPr>
        <w:t>对内外部的影响的结果。</w:t>
      </w:r>
    </w:p>
    <w:p w14:paraId="2161CD1B">
      <w:pPr>
        <w:spacing w:line="560" w:lineRule="exact"/>
        <w:ind w:firstLine="708" w:firstLineChars="200"/>
        <w:rPr>
          <w:rFonts w:hint="eastAsia"/>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r>
        <w:rPr>
          <w:rFonts w:hint="eastAsia" w:ascii="Times New Roman" w:hAnsi="Times New Roman" w:eastAsia="仿宋_GB2312" w:cs="Times New Roman"/>
          <w:color w:val="000000"/>
          <w:spacing w:val="17"/>
          <w:sz w:val="32"/>
          <w:szCs w:val="32"/>
          <w:highlight w:val="none"/>
          <w:lang w:val="en-US" w:eastAsia="zh-CN"/>
        </w:rPr>
        <w:t>原因：便于节约资金，防止浪费，发挥资金最大效益化。</w:t>
      </w:r>
    </w:p>
    <w:p w14:paraId="7CD272C5">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5FCCD74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其他标准。</w:t>
      </w:r>
    </w:p>
    <w:p w14:paraId="37F63CB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445E50B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财政部门和预算部门确认或认可的其他标准。</w:t>
      </w:r>
    </w:p>
    <w:p w14:paraId="3BFB762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529AB5B">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0E1E972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02F3312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0693AA6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7EA4329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绩效评价项目小组依据此次绩效评价受委托内容，对拟评价的项目实施前期调研。通过2024年选聘教师工资补助经费</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000000"/>
          <w:spacing w:val="17"/>
          <w:sz w:val="32"/>
          <w:szCs w:val="32"/>
          <w:highlight w:val="none"/>
          <w:lang w:val="en-US" w:eastAsia="zh-CN"/>
        </w:rPr>
        <w:t>实施内容、目标信息、预算信息以及其他的一些项目基本信息，有了初步了解，为制定绩效评价工作方案做好准备。</w:t>
      </w:r>
      <w:bookmarkEnd w:id="84"/>
    </w:p>
    <w:p w14:paraId="07FD273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7D7A34D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5C5EFE8B">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4D24F3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ED5632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722F740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48A4329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7110823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69AAB07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ED84D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2B2F278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6C0EB72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0520523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2E931EFD">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7FF11EA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47798ED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2CD018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6B1A4F0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60D558B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03E5CB9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0566ED9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0F7F6D5F">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2024年选聘教师工资补助经费</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w:t>
      </w:r>
      <w:r>
        <w:rPr>
          <w:rFonts w:hint="default" w:ascii="Times New Roman" w:hAnsi="Times New Roman" w:eastAsia="仿宋_GB2312" w:cs="Times New Roman"/>
          <w:sz w:val="32"/>
          <w:szCs w:val="32"/>
          <w:highlight w:val="none"/>
        </w:rPr>
        <w:t>求。</w:t>
      </w:r>
    </w:p>
    <w:p w14:paraId="717E376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阜康市第三小学单位</w:t>
      </w:r>
      <w:r>
        <w:rPr>
          <w:rFonts w:hint="default" w:ascii="Times New Roman" w:hAnsi="Times New Roman" w:eastAsia="仿宋_GB2312" w:cs="Times New Roman"/>
          <w:color w:val="auto"/>
          <w:sz w:val="32"/>
          <w:szCs w:val="32"/>
          <w:highlight w:val="none"/>
        </w:rPr>
        <w:t>通</w:t>
      </w:r>
      <w:r>
        <w:rPr>
          <w:rFonts w:hint="default" w:ascii="Times New Roman" w:hAnsi="Times New Roman" w:eastAsia="仿宋_GB2312" w:cs="Times New Roman"/>
          <w:sz w:val="32"/>
          <w:szCs w:val="32"/>
          <w:highlight w:val="none"/>
        </w:rPr>
        <w:t>过有效的规划、组织与协调，项目得以顺利实施，并在预算与时间上保持了良好的控制。</w:t>
      </w:r>
    </w:p>
    <w:p w14:paraId="025DFF1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学校正常运转率改善教学环境，提供良好的学生成长条件等方面的提升，为项目的利益相关者带来了实实在在的利益。</w:t>
      </w:r>
    </w:p>
    <w:p w14:paraId="42D221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2024年选聘教师工资补助经费项目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rPr>
        <w:t>。</w:t>
      </w:r>
    </w:p>
    <w:p w14:paraId="5979F39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5AF43BC7">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w:t>
      </w:r>
      <w:r>
        <w:rPr>
          <w:rFonts w:hint="default" w:ascii="Times New Roman" w:hAnsi="Times New Roman" w:eastAsia="仿宋_GB2312" w:cs="Times New Roman"/>
          <w:color w:val="000000"/>
          <w:spacing w:val="17"/>
          <w:sz w:val="32"/>
          <w:szCs w:val="32"/>
          <w:highlight w:val="none"/>
        </w:rPr>
        <w:t>最低成本法</w:t>
      </w:r>
      <w:r>
        <w:rPr>
          <w:rFonts w:hint="eastAsia" w:ascii="Times New Roman" w:hAnsi="Times New Roman" w:eastAsia="仿宋_GB2312" w:cs="Times New Roman"/>
          <w:color w:val="000000"/>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414491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1C31A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宋体" w:hAnsi="宋体" w:eastAsia="宋体" w:cs="宋体"/>
                <w:b/>
                <w:bCs/>
                <w:color w:val="auto"/>
                <w:kern w:val="0"/>
                <w:sz w:val="28"/>
                <w:szCs w:val="28"/>
                <w:highlight w:val="none"/>
                <w:shd w:val="clear" w:color="auto" w:fill="auto"/>
                <w:lang w:val="en-US" w:eastAsia="zh-CN"/>
              </w:rPr>
              <w:t>2024年选聘教师工资补助经费项目</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得分表</w:t>
            </w:r>
          </w:p>
        </w:tc>
      </w:tr>
      <w:tr w14:paraId="4C829827">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BB2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749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66A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A62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26E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81C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4610EB2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B02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1ED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2EC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B0F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207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FCA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45FAA60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4FF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670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C81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C92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9B4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3D9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0D512B4E">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168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07D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6D4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04B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7ED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138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3F8C0EDD">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1D8EE05">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2F2D45E8">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bCs/>
          <w:color w:val="FF0000"/>
          <w:kern w:val="0"/>
          <w:sz w:val="32"/>
          <w:szCs w:val="32"/>
          <w:highlight w:val="none"/>
          <w:shd w:val="clear" w:color="auto" w:fill="auto"/>
          <w:lang w:val="zh-TW"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28E7A4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72FB168">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92F0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CAD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58A3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81F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B9D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C653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161F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65812A8">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208A1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B20E7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0CEA8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A5E96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F0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9929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0BAC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36A5B5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96857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5A56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6052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D8C9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007B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5096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1DF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15BCDE4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D409F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D9EA1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57F8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BBCF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7A83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3044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A871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DEC98B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25175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73C1C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C93C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0F6A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D9FE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F71C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B681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AE3BF7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C4305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5E076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8B73C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0816D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46F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B2FF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49BA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799D60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52E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C120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1C1A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4672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1C4B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0D2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DBE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02C2EEB">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90A9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0BF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E3B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7D2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359A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36E3D50E">
      <w:pPr>
        <w:pageBreakBefore w:val="0"/>
        <w:kinsoku/>
        <w:wordWrap/>
        <w:overflowPunct/>
        <w:topLinePunct w:val="0"/>
        <w:autoSpaceDE/>
        <w:autoSpaceDN/>
        <w:bidi w:val="0"/>
        <w:spacing w:line="560" w:lineRule="exact"/>
        <w:ind w:left="0" w:leftChars="0" w:firstLine="643" w:firstLineChars="200"/>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2A7B61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①项目立项符合新疆维吾尔自治区关于《自治区义务教育经费保障机制管理办法》的通知（新财教[2017]19号）文件；</w:t>
      </w:r>
    </w:p>
    <w:p w14:paraId="69735E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②项目立项符合项目立项符合《</w:t>
      </w:r>
      <w:r>
        <w:rPr>
          <w:rFonts w:hint="eastAsia" w:ascii="仿宋_GB2312" w:hAnsi="仿宋_GB2312" w:eastAsia="仿宋_GB2312" w:cs="仿宋_GB2312"/>
          <w:sz w:val="32"/>
          <w:szCs w:val="32"/>
          <w:lang w:val="en-US" w:eastAsia="zh-CN"/>
        </w:rPr>
        <w:t>阜康市教育扶贫惠民政策宣传手册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政策要求；</w:t>
      </w:r>
    </w:p>
    <w:p w14:paraId="080E63D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sz w:val="32"/>
          <w:szCs w:val="32"/>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lang w:eastAsia="zh-CN"/>
        </w:rPr>
        <w:t>部门职责范围相符，属于部门履职所需；</w:t>
      </w:r>
    </w:p>
    <w:p w14:paraId="2C2EF9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410E1C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16871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p>
    <w:p w14:paraId="130746E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9D974D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23F762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6EDC613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③事前经过必要的集体决策，</w:t>
      </w:r>
      <w:r>
        <w:rPr>
          <w:rFonts w:hint="eastAsia" w:ascii="仿宋_GB2312" w:hAnsi="仿宋_GB2312" w:eastAsia="仿宋_GB2312" w:cs="仿宋_GB2312"/>
          <w:sz w:val="32"/>
          <w:szCs w:val="32"/>
          <w:highlight w:val="none"/>
          <w:lang w:val="en-US" w:eastAsia="zh-CN"/>
        </w:rPr>
        <w:t>未</w:t>
      </w:r>
      <w:r>
        <w:rPr>
          <w:rFonts w:hint="eastAsia" w:ascii="仿宋_GB2312" w:hAnsi="仿宋_GB2312" w:eastAsia="仿宋_GB2312" w:cs="仿宋_GB2312"/>
          <w:sz w:val="32"/>
          <w:szCs w:val="32"/>
          <w:highlight w:val="none"/>
          <w:lang w:eastAsia="zh-CN"/>
        </w:rPr>
        <w:t>经过可行性研究、专家论证、风险评估、绩效评估</w:t>
      </w:r>
      <w:r>
        <w:rPr>
          <w:rFonts w:hint="eastAsia" w:ascii="仿宋_GB2312" w:hAnsi="仿宋_GB2312" w:eastAsia="仿宋_GB2312" w:cs="仿宋_GB2312"/>
          <w:sz w:val="32"/>
          <w:szCs w:val="32"/>
          <w:highlight w:val="none"/>
          <w:lang w:val="en-US" w:eastAsia="zh-CN"/>
        </w:rPr>
        <w:t>,扣0.8分。</w:t>
      </w:r>
    </w:p>
    <w:p w14:paraId="704DCAA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综上，该项指标满分3分，得分2.2分。</w:t>
      </w:r>
    </w:p>
    <w:p w14:paraId="407E0AF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23542"/>
      <w:bookmarkStart w:id="114" w:name="_Toc15382"/>
      <w:r>
        <w:rPr>
          <w:rFonts w:hint="eastAsia" w:ascii="仿宋_GB2312" w:hAnsi="仿宋_GB2312" w:eastAsia="仿宋_GB2312" w:cs="仿宋_GB2312"/>
          <w:b/>
          <w:bCs/>
          <w:sz w:val="32"/>
          <w:szCs w:val="32"/>
          <w:lang w:val="en-US" w:eastAsia="zh-CN"/>
        </w:rPr>
        <w:t>3.绩效目标合理性</w:t>
      </w:r>
      <w:bookmarkEnd w:id="113"/>
      <w:bookmarkEnd w:id="114"/>
    </w:p>
    <w:p w14:paraId="51CEA2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0C102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eastAsia="zh-CN"/>
        </w:rPr>
        <w:t>保障学校正常运转，维持学校正常教学秩序。预计全年按时支付选聘教师5人</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次工资补助经费，每人每月0.4685万元。项目实施将有效改善教学环境，提供良好的学生成长条件，保障学校正常运转。</w:t>
      </w:r>
      <w:r>
        <w:rPr>
          <w:rFonts w:hint="eastAsia" w:ascii="仿宋_GB2312" w:hAnsi="仿宋_GB2312" w:eastAsia="仿宋_GB2312" w:cs="仿宋_GB2312"/>
          <w:sz w:val="32"/>
          <w:szCs w:val="32"/>
          <w:highlight w:val="none"/>
          <w:lang w:eastAsia="zh-CN"/>
        </w:rPr>
        <w:t>绩效目标与实际工作内容一致，两者具有相关性。</w:t>
      </w:r>
    </w:p>
    <w:p w14:paraId="76BB8C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本项目以5.622万元/人/学年的人员经费标准完成选聘教师人数3人的补助经费的发放。人员经费享受比例达到100%，按标准及时拨付率达到100%，项目的实施有效保障学校正常运转、改善教学环境，提供良好的学生成长条件。达到有效改善教学环境，提供良好的学生成长条件，保障学校正常运转效益，预期产出效益和效果是否符合正常的业绩水平。</w:t>
      </w:r>
    </w:p>
    <w:p w14:paraId="543E1E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17.40</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4C3A6F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7DCA39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0650"/>
      <w:bookmarkStart w:id="116" w:name="_Toc18198"/>
      <w:r>
        <w:rPr>
          <w:rFonts w:hint="eastAsia" w:ascii="仿宋_GB2312" w:hAnsi="仿宋_GB2312" w:eastAsia="仿宋_GB2312" w:cs="仿宋_GB2312"/>
          <w:b/>
          <w:bCs/>
          <w:sz w:val="32"/>
          <w:szCs w:val="32"/>
          <w:lang w:val="en-US" w:eastAsia="zh-CN"/>
        </w:rPr>
        <w:t>4.绩效指标明确性</w:t>
      </w:r>
      <w:bookmarkEnd w:id="115"/>
      <w:bookmarkEnd w:id="116"/>
    </w:p>
    <w:p w14:paraId="306318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其中三级指标共计</w:t>
      </w:r>
      <w:r>
        <w:rPr>
          <w:rFonts w:hint="eastAsia" w:ascii="仿宋_GB2312" w:hAnsi="仿宋_GB2312" w:eastAsia="仿宋_GB2312" w:cs="仿宋_GB2312"/>
          <w:color w:val="auto"/>
          <w:sz w:val="32"/>
          <w:szCs w:val="32"/>
          <w:lang w:val="en-US" w:eastAsia="zh-CN"/>
        </w:rPr>
        <w:t>7个</w:t>
      </w:r>
      <w:r>
        <w:rPr>
          <w:rFonts w:hint="eastAsia" w:ascii="仿宋_GB2312" w:hAnsi="仿宋_GB2312" w:eastAsia="仿宋_GB2312" w:cs="仿宋_GB2312"/>
          <w:sz w:val="32"/>
          <w:szCs w:val="32"/>
          <w:lang w:eastAsia="zh-CN"/>
        </w:rPr>
        <w:t>；</w:t>
      </w:r>
    </w:p>
    <w:p w14:paraId="69B6289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量化率达到85.71%</w:t>
      </w:r>
      <w:r>
        <w:rPr>
          <w:rFonts w:hint="eastAsia" w:ascii="仿宋_GB2312" w:hAnsi="仿宋_GB2312" w:eastAsia="仿宋_GB2312" w:cs="仿宋_GB2312"/>
          <w:color w:val="auto"/>
          <w:sz w:val="32"/>
          <w:szCs w:val="32"/>
          <w:lang w:eastAsia="zh-CN"/>
        </w:rPr>
        <w:t>；</w:t>
      </w:r>
    </w:p>
    <w:p w14:paraId="2E6B1D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463C37F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1E3636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3134DF0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14:paraId="3882BC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6860D9E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预算申请内容为</w:t>
      </w:r>
      <w:r>
        <w:rPr>
          <w:rFonts w:hint="eastAsia" w:ascii="仿宋_GB2312" w:hAnsi="仿宋_GB2312" w:eastAsia="仿宋_GB2312" w:cs="仿宋_GB2312"/>
          <w:color w:val="auto"/>
          <w:sz w:val="32"/>
          <w:szCs w:val="32"/>
          <w:lang w:eastAsia="zh-CN"/>
        </w:rPr>
        <w:t>学校正常运转率、改善教学环境，提供良好的学生成长条件，项目实际内容为学校正常运转率、改善教学环境，提供良好的学生成长条件</w:t>
      </w:r>
      <w:r>
        <w:rPr>
          <w:rFonts w:hint="eastAsia" w:ascii="仿宋_GB2312" w:hAnsi="仿宋_GB2312" w:eastAsia="仿宋_GB2312" w:cs="仿宋_GB2312"/>
          <w:sz w:val="32"/>
          <w:szCs w:val="32"/>
          <w:lang w:eastAsia="zh-CN"/>
        </w:rPr>
        <w:t>，预算申请与项目内容匹配；</w:t>
      </w:r>
    </w:p>
    <w:p w14:paraId="10374F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eastAsia="zh-CN"/>
        </w:rPr>
        <w:t>项目预算申请资金</w:t>
      </w:r>
      <w:r>
        <w:rPr>
          <w:rFonts w:hint="eastAsia" w:ascii="仿宋_GB2312" w:hAnsi="仿宋_GB2312" w:eastAsia="仿宋_GB2312" w:cs="仿宋_GB2312"/>
          <w:sz w:val="32"/>
          <w:szCs w:val="32"/>
          <w:lang w:val="en-US" w:eastAsia="zh-CN"/>
        </w:rPr>
        <w:t>17.40</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sz w:val="32"/>
          <w:szCs w:val="32"/>
          <w:lang w:eastAsia="zh-CN"/>
        </w:rPr>
        <w:t>元，我单位在预算申请中严格按照项目实施内容及测算标准进行核算，其中：人员工资支出费用</w:t>
      </w:r>
      <w:r>
        <w:rPr>
          <w:rFonts w:hint="eastAsia" w:ascii="仿宋_GB2312" w:hAnsi="仿宋_GB2312" w:eastAsia="仿宋_GB2312" w:cs="仿宋_GB2312"/>
          <w:sz w:val="32"/>
          <w:szCs w:val="32"/>
          <w:lang w:val="en-US" w:eastAsia="zh-CN"/>
        </w:rPr>
        <w:t>17.40</w:t>
      </w:r>
      <w:r>
        <w:rPr>
          <w:rFonts w:hint="eastAsia" w:ascii="仿宋_GB2312" w:hAnsi="仿宋_GB2312" w:eastAsia="仿宋_GB2312" w:cs="仿宋_GB2312"/>
          <w:sz w:val="32"/>
          <w:szCs w:val="32"/>
          <w:lang w:eastAsia="zh-CN"/>
        </w:rPr>
        <w:t>万元。</w:t>
      </w:r>
    </w:p>
    <w:p w14:paraId="0EA8D5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1CB025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2分，得分2分</w:t>
      </w:r>
      <w:r>
        <w:rPr>
          <w:rFonts w:hint="eastAsia" w:ascii="仿宋_GB2312" w:hAnsi="仿宋_GB2312" w:eastAsia="仿宋_GB2312" w:cs="仿宋_GB2312"/>
          <w:b/>
          <w:bCs/>
          <w:sz w:val="32"/>
          <w:szCs w:val="32"/>
          <w:lang w:val="en-US" w:eastAsia="zh-CN"/>
        </w:rPr>
        <w:t>。</w:t>
      </w:r>
    </w:p>
    <w:p w14:paraId="12A1198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20556"/>
      <w:bookmarkStart w:id="120" w:name="_Toc697"/>
      <w:r>
        <w:rPr>
          <w:rFonts w:hint="eastAsia" w:ascii="仿宋_GB2312" w:hAnsi="仿宋_GB2312" w:eastAsia="仿宋_GB2312" w:cs="仿宋_GB2312"/>
          <w:b/>
          <w:bCs/>
          <w:sz w:val="32"/>
          <w:szCs w:val="32"/>
          <w:lang w:val="en-US" w:eastAsia="zh-CN"/>
        </w:rPr>
        <w:t>6.资金分配合理性</w:t>
      </w:r>
      <w:bookmarkEnd w:id="119"/>
      <w:bookmarkEnd w:id="120"/>
    </w:p>
    <w:p w14:paraId="410611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color w:val="auto"/>
          <w:sz w:val="32"/>
          <w:szCs w:val="32"/>
          <w:lang w:eastAsia="zh-CN"/>
        </w:rPr>
        <w:t>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申请2024年选聘教师工资补助经费项目资金的请示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0BCBEA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17.40</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228F62B2">
      <w:pPr>
        <w:pageBreakBefore w:val="0"/>
        <w:kinsoku/>
        <w:wordWrap/>
        <w:overflowPunct/>
        <w:topLinePunct w:val="0"/>
        <w:autoSpaceDE/>
        <w:autoSpaceDN/>
        <w:bidi w:val="0"/>
        <w:spacing w:line="560" w:lineRule="exact"/>
        <w:textAlignment w:val="auto"/>
        <w:rPr>
          <w:rFonts w:hint="eastAsia"/>
          <w:lang w:eastAsia="zh-CN"/>
        </w:rPr>
      </w:pPr>
      <w:r>
        <w:rPr>
          <w:rFonts w:hint="eastAsia" w:ascii="仿宋_GB2312" w:hAnsi="仿宋_GB2312" w:eastAsia="仿宋_GB2312" w:cs="仿宋_GB2312"/>
          <w:b/>
          <w:bCs/>
          <w:color w:val="auto"/>
          <w:sz w:val="32"/>
          <w:szCs w:val="32"/>
          <w:lang w:val="en-US" w:eastAsia="zh-CN"/>
        </w:rPr>
        <w:t>综上，该项指标满分3分，得分3分</w:t>
      </w:r>
      <w:r>
        <w:rPr>
          <w:rFonts w:hint="eastAsia" w:ascii="仿宋_GB2312" w:hAnsi="仿宋_GB2312" w:eastAsia="仿宋_GB2312" w:cs="仿宋_GB2312"/>
          <w:b/>
          <w:bCs/>
          <w:sz w:val="32"/>
          <w:szCs w:val="32"/>
          <w:lang w:val="en-US" w:eastAsia="zh-CN"/>
        </w:rPr>
        <w:t>。</w:t>
      </w:r>
    </w:p>
    <w:p w14:paraId="2BB3854D">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7B82A84E">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FF0000"/>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3AF88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33C314AD">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A7E6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D3C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0052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D42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635A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71A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F88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3CEC7748">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ED8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567B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DED0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FDB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195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6744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92EE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5B1EB6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997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832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0D99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AB4B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6922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4D1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D3A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AEF399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40D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7A73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04C7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1C06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2EC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D7F2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D01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C90A82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BAF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796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5CDE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08DB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7798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89A9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39C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FB1BCD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38A7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0CC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C96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33F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21A2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ED4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067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36C043B">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EC26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FD81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D265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D573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E3A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B6C03D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1.资金到位率</w:t>
      </w:r>
      <w:bookmarkEnd w:id="122"/>
      <w:bookmarkEnd w:id="123"/>
    </w:p>
    <w:p w14:paraId="11874A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17.40</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17.40</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4D6D64C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17.4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17.4</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422109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03D0A7D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4" w:name="_Toc9705"/>
      <w:bookmarkStart w:id="125" w:name="_Toc17709"/>
      <w:r>
        <w:rPr>
          <w:rFonts w:hint="eastAsia" w:ascii="仿宋_GB2312" w:hAnsi="仿宋_GB2312" w:eastAsia="仿宋_GB2312" w:cs="仿宋_GB2312"/>
          <w:b/>
          <w:bCs/>
          <w:sz w:val="32"/>
          <w:szCs w:val="32"/>
          <w:lang w:val="en-US" w:eastAsia="zh-CN"/>
        </w:rPr>
        <w:t>2.预算执行率</w:t>
      </w:r>
      <w:bookmarkEnd w:id="124"/>
      <w:bookmarkEnd w:id="125"/>
    </w:p>
    <w:p w14:paraId="3D9762B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截至2024年12月31日，项目实际支出13.56万元。</w:t>
      </w:r>
    </w:p>
    <w:p w14:paraId="125D336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color w:val="auto"/>
          <w:sz w:val="32"/>
          <w:szCs w:val="32"/>
          <w:lang w:val="en-US" w:eastAsia="zh-CN"/>
        </w:rPr>
        <w:t>17.4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17.4</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69C0CE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6FC818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28875"/>
      <w:bookmarkStart w:id="127" w:name="_Toc18691"/>
      <w:r>
        <w:rPr>
          <w:rFonts w:hint="eastAsia" w:ascii="仿宋_GB2312" w:hAnsi="仿宋_GB2312" w:eastAsia="仿宋_GB2312" w:cs="仿宋_GB2312"/>
          <w:b/>
          <w:bCs/>
          <w:sz w:val="32"/>
          <w:szCs w:val="32"/>
          <w:lang w:val="en-US" w:eastAsia="zh-CN"/>
        </w:rPr>
        <w:t>3.资金使用合规性</w:t>
      </w:r>
      <w:bookmarkEnd w:id="126"/>
      <w:bookmarkEnd w:id="127"/>
    </w:p>
    <w:p w14:paraId="319B2A0C">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①本项目资金支出符合国家财经法规、《政府会计制度》《阜康市第三小学单位资金管理办法》《阜康市第三小学专项资金管理办法》；</w:t>
      </w:r>
    </w:p>
    <w:p w14:paraId="548E6FC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0448D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072A1C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6CE84B1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511B99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4D403F67">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170492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我单位已制定《阜康市第三小学</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sz w:val="32"/>
          <w:szCs w:val="32"/>
          <w:lang w:eastAsia="zh-CN"/>
        </w:rPr>
        <w:t>阜康市第三小学</w:t>
      </w:r>
      <w:r>
        <w:rPr>
          <w:rFonts w:hint="eastAsia" w:ascii="仿宋_GB2312" w:hAnsi="仿宋_GB2312" w:eastAsia="仿宋_GB2312" w:cs="仿宋_GB2312"/>
          <w:color w:val="auto"/>
          <w:sz w:val="32"/>
          <w:szCs w:val="32"/>
          <w:lang w:eastAsia="zh-CN"/>
        </w:rPr>
        <w:t>收支业务管理制度》《</w:t>
      </w:r>
      <w:r>
        <w:rPr>
          <w:rFonts w:hint="eastAsia" w:ascii="仿宋_GB2312" w:hAnsi="仿宋_GB2312" w:eastAsia="仿宋_GB2312" w:cs="仿宋_GB2312"/>
          <w:sz w:val="32"/>
          <w:szCs w:val="32"/>
          <w:lang w:eastAsia="zh-CN"/>
        </w:rPr>
        <w:t>阜康市第三小学</w:t>
      </w:r>
      <w:r>
        <w:rPr>
          <w:rFonts w:hint="eastAsia" w:ascii="仿宋_GB2312" w:hAnsi="仿宋_GB2312" w:eastAsia="仿宋_GB2312" w:cs="仿宋_GB2312"/>
          <w:color w:val="auto"/>
          <w:sz w:val="32"/>
          <w:szCs w:val="32"/>
          <w:lang w:eastAsia="zh-CN"/>
        </w:rPr>
        <w:t>政府采购业务管理制度》《</w:t>
      </w:r>
      <w:r>
        <w:rPr>
          <w:rFonts w:hint="eastAsia" w:ascii="仿宋_GB2312" w:hAnsi="仿宋_GB2312" w:eastAsia="仿宋_GB2312" w:cs="仿宋_GB2312"/>
          <w:sz w:val="32"/>
          <w:szCs w:val="32"/>
          <w:lang w:eastAsia="zh-CN"/>
        </w:rPr>
        <w:t>阜康市第三小学</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6CB86A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10AAE1A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7D1527A1">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13984"/>
      <w:bookmarkStart w:id="129" w:name="_Toc31684"/>
      <w:r>
        <w:rPr>
          <w:rFonts w:hint="eastAsia" w:ascii="仿宋_GB2312" w:hAnsi="仿宋_GB2312" w:eastAsia="仿宋_GB2312" w:cs="仿宋_GB2312"/>
          <w:b/>
          <w:bCs/>
          <w:sz w:val="32"/>
          <w:szCs w:val="32"/>
          <w:lang w:val="en-US" w:eastAsia="zh-CN"/>
        </w:rPr>
        <w:t>5.制度执行有效性</w:t>
      </w:r>
      <w:bookmarkEnd w:id="128"/>
      <w:bookmarkEnd w:id="129"/>
    </w:p>
    <w:p w14:paraId="37707E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阜康市第三小学</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eastAsia="zh-CN"/>
        </w:rPr>
        <w:t>阜康市第三小学</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eastAsia="zh-CN"/>
        </w:rPr>
        <w:t>阜康市第三小学</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eastAsia="zh-CN"/>
        </w:rPr>
        <w:t>阜康市第三小学</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434FD59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项目存在调整，调整手续齐全</w:t>
      </w:r>
      <w:r>
        <w:rPr>
          <w:rFonts w:hint="eastAsia" w:ascii="仿宋_GB2312" w:hAnsi="仿宋_GB2312" w:eastAsia="仿宋_GB2312" w:cs="仿宋_GB2312"/>
          <w:color w:val="auto"/>
          <w:sz w:val="32"/>
          <w:szCs w:val="32"/>
          <w:lang w:eastAsia="zh-CN"/>
        </w:rPr>
        <w:t>。</w:t>
      </w:r>
    </w:p>
    <w:p w14:paraId="3A026040">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3C81ED0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2024年选聘教师工资补助经费项目工作领导小组，由</w:t>
      </w:r>
      <w:r>
        <w:rPr>
          <w:rFonts w:hint="eastAsia" w:ascii="仿宋_GB2312" w:hAnsi="仿宋_GB2312" w:eastAsia="仿宋_GB2312" w:cs="仿宋_GB2312"/>
          <w:color w:val="auto"/>
          <w:sz w:val="32"/>
          <w:szCs w:val="32"/>
          <w:highlight w:val="none"/>
          <w:shd w:val="clear" w:color="auto" w:fill="auto"/>
          <w:lang w:val="en-US" w:eastAsia="zh-CN"/>
        </w:rPr>
        <w:t>鲁锋</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highlight w:val="none"/>
          <w:shd w:val="clear" w:color="auto" w:fill="auto"/>
          <w:lang w:val="en-US" w:eastAsia="zh-CN"/>
        </w:rPr>
        <w:t>李玉霞</w:t>
      </w:r>
      <w:r>
        <w:rPr>
          <w:rFonts w:hint="eastAsia" w:ascii="仿宋_GB2312" w:hAnsi="仿宋_GB2312" w:eastAsia="仿宋_GB2312" w:cs="仿宋_GB2312"/>
          <w:color w:val="auto"/>
          <w:sz w:val="32"/>
          <w:szCs w:val="32"/>
          <w:lang w:eastAsia="zh-CN"/>
        </w:rPr>
        <w:t>任副组长，负责项目的实施工作；组员包括：刘刚、杨婷、马顺远、徐宏菊，主要负责项目监督管理、验收以及资金核拨等工作。</w:t>
      </w:r>
    </w:p>
    <w:p w14:paraId="6400069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3C9566C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429FFA3D">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BE18F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6FD0DA70">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209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DF5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061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0E8E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B97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228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9AE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A32AFF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72C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C4166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F673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选聘教师人数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1D7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1BE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FEB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r>
              <w:rPr>
                <w:rFonts w:hint="eastAsia" w:ascii="宋体" w:hAnsi="宋体" w:eastAsia="宋体" w:cs="宋体"/>
                <w:color w:val="auto"/>
                <w:kern w:val="0"/>
                <w:sz w:val="20"/>
                <w:szCs w:val="20"/>
                <w:highlight w:val="none"/>
                <w:shd w:val="clear" w:color="auto" w:fill="auto"/>
                <w:lang w:val="en-US" w:eastAsia="zh-CN"/>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65E7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1EEF9ECF">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1D15C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013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2687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工资支付次数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137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424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875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D00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089549B0">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D1D5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1AED5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D07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人员经费享受比例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552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EF2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91A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23B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13CD6F28">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5C6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179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CB2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选聘教师工资发放时间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FAE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A4E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2B5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295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4BC5A013">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4D2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0F3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1F8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E9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=5.622万元/人/学年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590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6FE15">
            <w:pPr>
              <w:keepNext w:val="0"/>
              <w:keepLines w:val="0"/>
              <w:pageBreakBefore w:val="0"/>
              <w:kinsoku/>
              <w:wordWrap/>
              <w:overflowPunct/>
              <w:topLinePunct w:val="0"/>
              <w:autoSpaceDE/>
              <w:autoSpaceDN/>
              <w:bidi w:val="0"/>
              <w:adjustRightInd/>
              <w:spacing w:line="300" w:lineRule="exact"/>
              <w:textAlignment w:val="auto"/>
              <w:rPr>
                <w:color w:val="auto"/>
              </w:rPr>
            </w:pPr>
            <w:r>
              <w:rPr>
                <w:rFonts w:hint="eastAsia" w:ascii="宋体" w:hAnsi="宋体" w:eastAsia="宋体" w:cs="宋体"/>
                <w:color w:val="auto"/>
                <w:kern w:val="0"/>
                <w:sz w:val="20"/>
                <w:szCs w:val="20"/>
                <w:highlight w:val="none"/>
                <w:shd w:val="clear" w:color="auto" w:fill="auto"/>
                <w:lang w:val="en-US" w:eastAsia="zh-CN"/>
              </w:rPr>
              <w:t>5.622万元/人/学年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97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13</w:t>
            </w:r>
          </w:p>
        </w:tc>
      </w:tr>
      <w:tr w14:paraId="22260A96">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F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58BA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214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CC2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00FED0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11067"/>
      <w:bookmarkStart w:id="132" w:name="_Toc26689"/>
      <w:r>
        <w:rPr>
          <w:rFonts w:hint="eastAsia" w:ascii="仿宋_GB2312" w:hAnsi="仿宋_GB2312" w:eastAsia="仿宋_GB2312" w:cs="仿宋_GB2312"/>
          <w:b/>
          <w:bCs/>
          <w:sz w:val="32"/>
          <w:szCs w:val="32"/>
          <w:lang w:val="en-US" w:eastAsia="zh-CN"/>
        </w:rPr>
        <w:t>1.数量指标完成情况</w:t>
      </w:r>
      <w:bookmarkEnd w:id="131"/>
      <w:bookmarkEnd w:id="132"/>
    </w:p>
    <w:p w14:paraId="57296D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选聘教师人数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指标，预期目标值为≧3人，实际完成为3人。实际完成率=（3/3）×100%=100%。</w:t>
      </w:r>
    </w:p>
    <w:p w14:paraId="66EEE801">
      <w:pPr>
        <w:pageBreakBefore w:val="0"/>
        <w:kinsoku/>
        <w:wordWrap/>
        <w:overflowPunct/>
        <w:topLinePunct w:val="0"/>
        <w:autoSpaceDE/>
        <w:autoSpaceDN/>
        <w:bidi w:val="0"/>
        <w:spacing w:line="560" w:lineRule="exact"/>
        <w:textAlignment w:val="auto"/>
        <w:rPr>
          <w:rFonts w:hint="eastAsia"/>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工资支付次数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指标，预期目标值为=6次，实际完成为6次。实际完成率=（6/6）×100%=100%。</w:t>
      </w:r>
    </w:p>
    <w:p w14:paraId="6477147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综上，该项指标满分15分，得分15分。</w:t>
      </w:r>
    </w:p>
    <w:p w14:paraId="6F747BF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090A3D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人员经费享受比例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40A77F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7D6F3B65">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6CF0F7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选聘教师工资发放时间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指标，预期目标值为=1次/月，实际完成为1次/月。实际完成率100%。</w:t>
      </w:r>
    </w:p>
    <w:p w14:paraId="18E4AB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52DC4E8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3696533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2168BAEF">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人员经费标准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指标，预期目标值为=5.622万元/人/学年，实际完成为5.622万元/人/学年。实际完成率=（5.622/5.622）×100%=100%。</w:t>
      </w:r>
    </w:p>
    <w:p w14:paraId="06B48453">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7F19D91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2D1826E5">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A71A600">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CE36791">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697F3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62C6AB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DF0E0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97D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3A6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26533D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E31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2BF6492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3FD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0B974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40D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537D34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68A7D65">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F0303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EC7B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090CC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B92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35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073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D08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9E0D826">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DAB8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D814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A1111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577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70A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776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B0B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7695407">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BA51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220C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EFFA2A">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选聘教师满意度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7A1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867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17CC1">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both"/>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AD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CACABFF">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CC25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8C8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0F2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181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0EFC40F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27006"/>
      <w:bookmarkStart w:id="141" w:name="_Toc29606"/>
      <w:r>
        <w:rPr>
          <w:rFonts w:hint="eastAsia" w:ascii="仿宋_GB2312" w:hAnsi="仿宋_GB2312" w:eastAsia="仿宋_GB2312" w:cs="仿宋_GB2312"/>
          <w:b/>
          <w:bCs/>
          <w:sz w:val="32"/>
          <w:szCs w:val="32"/>
          <w:lang w:val="en-US" w:eastAsia="zh-CN"/>
        </w:rPr>
        <w:t>1.社会效益指标</w:t>
      </w:r>
      <w:bookmarkEnd w:id="140"/>
      <w:r>
        <w:rPr>
          <w:rFonts w:hint="eastAsia" w:ascii="仿宋_GB2312" w:hAnsi="仿宋_GB2312" w:eastAsia="仿宋_GB2312" w:cs="仿宋_GB2312"/>
          <w:b/>
          <w:bCs/>
          <w:sz w:val="32"/>
          <w:szCs w:val="32"/>
          <w:lang w:val="en-US" w:eastAsia="zh-CN"/>
        </w:rPr>
        <w:t>完成情况</w:t>
      </w:r>
      <w:bookmarkEnd w:id="141"/>
    </w:p>
    <w:p w14:paraId="01178CA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学校正常运转率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w:t>
      </w:r>
    </w:p>
    <w:p w14:paraId="0C734B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通过项目的实施，保障了学校正常运转</w:t>
      </w:r>
    </w:p>
    <w:p w14:paraId="4E0F5932">
      <w:pPr>
        <w:pageBreakBefore w:val="0"/>
        <w:numPr>
          <w:ilvl w:val="0"/>
          <w:numId w:val="2"/>
        </w:numPr>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改善教学环境，提供良好的学生成长条件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指标，预期目标值为改善，实际完成为达到预期指标。</w:t>
      </w:r>
    </w:p>
    <w:p w14:paraId="7D353A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通过项目的实施，达到了改善教学环境，提供良好的学生成长条件</w:t>
      </w:r>
    </w:p>
    <w:p w14:paraId="3BEF147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综上，该项指标满分13分，得分13分。</w:t>
      </w:r>
    </w:p>
    <w:p w14:paraId="7941F0E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42" w:name="_Toc23313"/>
      <w:r>
        <w:rPr>
          <w:rFonts w:hint="eastAsia" w:ascii="Times New Roman" w:hAnsi="Times New Roman" w:eastAsia="楷体_GB2312" w:cs="Times New Roman"/>
          <w:b/>
          <w:bCs/>
          <w:kern w:val="28"/>
          <w:sz w:val="32"/>
          <w:highlight w:val="none"/>
          <w:lang w:val="en-US" w:eastAsia="zh-CN"/>
        </w:rPr>
        <w:t>（五）满意度指标完成情况分析</w:t>
      </w:r>
      <w:bookmarkEnd w:id="142"/>
    </w:p>
    <w:p w14:paraId="6A056E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01D2D2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yellow"/>
          <w:lang w:val="en-US"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1956AAF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3"/>
    </w:p>
    <w:p w14:paraId="0B2BD1A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kern w:val="28"/>
          <w:sz w:val="32"/>
          <w:highlight w:val="none"/>
          <w:lang w:val="en-US" w:eastAsia="zh-CN"/>
        </w:rPr>
        <w:t>（一）主要经验及做法</w:t>
      </w:r>
      <w:bookmarkEnd w:id="144"/>
    </w:p>
    <w:p w14:paraId="6990A2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2024年选聘教师工资补助经费</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17.40</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17.40</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3336D99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阜康市第三小学单位</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2024年选聘教师工资补助经费</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5"/>
    <w:bookmarkEnd w:id="146"/>
    <w:p w14:paraId="6376ADA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29168"/>
      <w:r>
        <w:rPr>
          <w:rFonts w:hint="eastAsia" w:ascii="Times New Roman" w:hAnsi="Times New Roman" w:eastAsia="楷体_GB2312" w:cs="Times New Roman"/>
          <w:b/>
          <w:bCs/>
          <w:kern w:val="28"/>
          <w:sz w:val="32"/>
          <w:highlight w:val="none"/>
          <w:lang w:val="en-US" w:eastAsia="zh-CN"/>
        </w:rPr>
        <w:t>（二）存在的问题及原因分析</w:t>
      </w:r>
      <w:bookmarkEnd w:id="147"/>
    </w:p>
    <w:p w14:paraId="4A71629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48" w:name="_Toc3333"/>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财务管理中财务对票据审核不够严谨，财务人员对各种报销规定掌握不熟练，审核不严格。</w:t>
      </w:r>
    </w:p>
    <w:p w14:paraId="2F7DE6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2、对本单位的经费配置结构不够清晰，造成日常核算中出现差错，数据不清晰。</w:t>
      </w:r>
    </w:p>
    <w:p w14:paraId="01BEE4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3、因年初预算数据不够清晰明确到明细科目，使得整个年度财务核算及审核流程不能准确清晰。</w:t>
      </w:r>
    </w:p>
    <w:p w14:paraId="019C97C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在项目实施期间</w:t>
      </w:r>
      <w:r>
        <w:rPr>
          <w:rFonts w:hint="eastAsia" w:ascii="仿宋_GB2312" w:hAnsi="仿宋_GB2312" w:eastAsia="仿宋_GB2312" w:cs="仿宋_GB2312"/>
          <w:sz w:val="32"/>
          <w:szCs w:val="32"/>
          <w:lang w:eastAsia="zh-CN"/>
        </w:rPr>
        <w:t>部分业务人员未能全面深入认识理解</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管理工作的意义。</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管理经验不足，</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管理工作有待进一步落实。</w:t>
      </w:r>
    </w:p>
    <w:p w14:paraId="4683E634">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8"/>
    </w:p>
    <w:p w14:paraId="47E08BF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49" w:name="_Toc14256"/>
      <w:r>
        <w:rPr>
          <w:rFonts w:hint="eastAsia" w:cs="Times New Roman"/>
          <w:color w:val="auto"/>
          <w:kern w:val="2"/>
          <w:sz w:val="32"/>
          <w:szCs w:val="28"/>
          <w:highlight w:val="none"/>
          <w:lang w:val="en-US" w:eastAsia="zh-CN" w:bidi="ar-SA"/>
        </w:rPr>
        <w:t>（</w:t>
      </w:r>
      <w:r>
        <w:rPr>
          <w:rFonts w:hint="eastAsia" w:ascii="仿宋_GB2312" w:hAnsi="仿宋_GB2312" w:eastAsia="仿宋_GB2312" w:cs="仿宋_GB2312"/>
          <w:sz w:val="32"/>
          <w:szCs w:val="32"/>
          <w:lang w:val="en-US" w:eastAsia="zh-CN"/>
        </w:rPr>
        <w:t>一）建立严格的资金管理制度，确保资金的安全,合规和有效使用。提高财务人员业务素质。</w:t>
      </w:r>
    </w:p>
    <w:p w14:paraId="78F90A8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（二）实施专款专用，项目资金应严格按照项目预算进行支出，确保专款专用，避免资金挪用。</w:t>
      </w:r>
    </w:p>
    <w:p w14:paraId="3E1A169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（三）加强项目管理，健全单位项目管理制度体系。 加大项目管理人员的业务培训，确保项目能够顺利实施。</w:t>
      </w:r>
    </w:p>
    <w:p w14:paraId="342C0CB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（四）加强财务人员业务培训，在年初预算时及时与各科室联系，将年初预算数据填写清晰，确保财务支付审核程序顺利进行。</w:t>
      </w:r>
    </w:p>
    <w:p w14:paraId="6CA61D8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49"/>
    </w:p>
    <w:p w14:paraId="000FB1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73ABF2B3">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6F6305CF">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0" w:name="_Toc11349"/>
      <w:bookmarkStart w:id="151"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5"/>
        <w:gridCol w:w="885"/>
        <w:gridCol w:w="885"/>
        <w:gridCol w:w="1128"/>
        <w:gridCol w:w="1128"/>
        <w:gridCol w:w="1128"/>
        <w:gridCol w:w="1047"/>
        <w:gridCol w:w="1209"/>
        <w:gridCol w:w="885"/>
        <w:gridCol w:w="1209"/>
        <w:gridCol w:w="885"/>
        <w:gridCol w:w="886"/>
        <w:gridCol w:w="1129"/>
      </w:tblGrid>
      <w:tr w14:paraId="3594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6678B4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9119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78DEF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26723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891B3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E75EF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6581E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904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0C0F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25A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A904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阜康市第三小学</w:t>
            </w:r>
          </w:p>
        </w:tc>
      </w:tr>
      <w:tr w14:paraId="5E392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2CE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EBACC">
            <w:pPr>
              <w:jc w:val="cente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17E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786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709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E27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6F0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951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90BD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7DDE8">
            <w:pPr>
              <w:jc w:val="center"/>
              <w:rPr>
                <w:rFonts w:hint="eastAsia" w:ascii="宋体" w:hAnsi="宋体" w:eastAsia="宋体" w:cs="宋体"/>
                <w:b/>
                <w:bCs/>
                <w:i w:val="0"/>
                <w:iCs w:val="0"/>
                <w:color w:val="000000"/>
                <w:sz w:val="18"/>
                <w:szCs w:val="18"/>
                <w:u w:val="none"/>
              </w:rPr>
            </w:pP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C57F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CF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A174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2EC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8BD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7E4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89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363A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FB0A1">
            <w:pPr>
              <w:jc w:val="center"/>
              <w:rPr>
                <w:rFonts w:hint="eastAsia" w:ascii="宋体" w:hAnsi="宋体" w:eastAsia="宋体" w:cs="宋体"/>
                <w:b/>
                <w:bCs/>
                <w:i w:val="0"/>
                <w:iCs w:val="0"/>
                <w:color w:val="000000"/>
                <w:sz w:val="18"/>
                <w:szCs w:val="18"/>
                <w:u w:val="none"/>
              </w:rPr>
            </w:pP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50F7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AA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34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89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08E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162B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EBF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4676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798DB">
            <w:pPr>
              <w:jc w:val="center"/>
              <w:rPr>
                <w:rFonts w:hint="eastAsia" w:ascii="宋体" w:hAnsi="宋体" w:eastAsia="宋体" w:cs="宋体"/>
                <w:b/>
                <w:bCs/>
                <w:i w:val="0"/>
                <w:iCs w:val="0"/>
                <w:color w:val="000000"/>
                <w:sz w:val="18"/>
                <w:szCs w:val="18"/>
                <w:u w:val="none"/>
              </w:rPr>
            </w:pP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A3D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3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E0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7E92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5B0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7274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BC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66E7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72B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6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B3F3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B6138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9B2D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DA918">
            <w:pPr>
              <w:jc w:val="center"/>
              <w:rPr>
                <w:rFonts w:hint="eastAsia" w:ascii="宋体" w:hAnsi="宋体" w:eastAsia="宋体" w:cs="宋体"/>
                <w:b/>
                <w:bCs/>
                <w:i w:val="0"/>
                <w:iCs w:val="0"/>
                <w:color w:val="000000"/>
                <w:sz w:val="18"/>
                <w:szCs w:val="18"/>
                <w:u w:val="none"/>
              </w:rPr>
            </w:pPr>
          </w:p>
        </w:tc>
        <w:tc>
          <w:tcPr>
            <w:tcW w:w="196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824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保障学校正常运转，维持学校正常教学秩序。预计全年按时支付选聘教师5人6次工资补助经费，每人每月0.47万元。项目实施将有效改善教学环境，提供良好的学生成长条件，保障学校正常运转。</w:t>
            </w:r>
          </w:p>
        </w:tc>
        <w:tc>
          <w:tcPr>
            <w:tcW w:w="283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386A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以5.62万元/人/学年的人员经费标准完成选聘教师人数3人的补助经费的发放。人员经费享受比例达到100%，按标准及时拨付率达到100%，项目的实施有效保障学校正常运转、改善教学环境，提供良好的学生成长条件。</w:t>
            </w:r>
          </w:p>
        </w:tc>
      </w:tr>
      <w:tr w14:paraId="6BCF7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510F9">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F23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3A1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15F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A015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EFC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647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E48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0817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6DB7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E673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DD98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082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7B9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D4BA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AA0B4">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410A8">
            <w:pPr>
              <w:jc w:val="center"/>
              <w:rPr>
                <w:rFonts w:hint="eastAsia" w:ascii="宋体" w:hAnsi="宋体" w:eastAsia="宋体" w:cs="宋体"/>
                <w:b/>
                <w:bCs/>
                <w:i w:val="0"/>
                <w:iCs w:val="0"/>
                <w:color w:val="000000"/>
                <w:sz w:val="18"/>
                <w:szCs w:val="18"/>
                <w:u w:val="none"/>
              </w:rPr>
            </w:pPr>
          </w:p>
        </w:tc>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AE67D">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1052F">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74A7E">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E2661">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A4E59">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E1398">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EC459">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B9CB7">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C4865">
            <w:pPr>
              <w:jc w:val="center"/>
              <w:rPr>
                <w:rFonts w:hint="eastAsia" w:ascii="宋体" w:hAnsi="宋体" w:eastAsia="宋体" w:cs="宋体"/>
                <w:b/>
                <w:bCs/>
                <w:i w:val="0"/>
                <w:iCs w:val="0"/>
                <w:color w:val="000000"/>
                <w:sz w:val="18"/>
                <w:szCs w:val="18"/>
                <w:u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0FF5A">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66075">
            <w:pPr>
              <w:jc w:val="center"/>
              <w:rPr>
                <w:rFonts w:hint="eastAsia" w:ascii="宋体" w:hAnsi="宋体" w:eastAsia="宋体" w:cs="宋体"/>
                <w:b/>
                <w:bCs/>
                <w:i w:val="0"/>
                <w:iCs w:val="0"/>
                <w:color w:val="000000"/>
                <w:sz w:val="18"/>
                <w:szCs w:val="18"/>
                <w:u w:val="none"/>
              </w:rPr>
            </w:pPr>
          </w:p>
        </w:tc>
        <w:tc>
          <w:tcPr>
            <w:tcW w:w="8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3648C">
            <w:pPr>
              <w:jc w:val="center"/>
              <w:rPr>
                <w:rFonts w:hint="eastAsia" w:ascii="宋体" w:hAnsi="宋体" w:eastAsia="宋体" w:cs="宋体"/>
                <w:b/>
                <w:bCs/>
                <w:i w:val="0"/>
                <w:iCs w:val="0"/>
                <w:color w:val="000000"/>
                <w:sz w:val="18"/>
                <w:szCs w:val="18"/>
                <w:u w:val="none"/>
              </w:rPr>
            </w:pPr>
          </w:p>
        </w:tc>
      </w:tr>
      <w:tr w14:paraId="5DC69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663B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4"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2F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0CB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D57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3D0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C4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27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86B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AE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A68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12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A17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40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A6D23">
            <w:pPr>
              <w:jc w:val="center"/>
              <w:rPr>
                <w:rFonts w:hint="eastAsia" w:ascii="宋体" w:hAnsi="宋体" w:eastAsia="宋体" w:cs="宋体"/>
                <w:i w:val="0"/>
                <w:iCs w:val="0"/>
                <w:color w:val="000000"/>
                <w:sz w:val="18"/>
                <w:szCs w:val="18"/>
                <w:u w:val="none"/>
              </w:rPr>
            </w:pPr>
          </w:p>
        </w:tc>
      </w:tr>
      <w:tr w14:paraId="55CDA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8F62D">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B32BE">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09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4B9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工资支付次数</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8E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C7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=6次</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C5E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=6次</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4CAA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9B8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D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1AC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41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635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2C8E4">
            <w:pPr>
              <w:jc w:val="center"/>
              <w:rPr>
                <w:rFonts w:hint="eastAsia" w:ascii="宋体" w:hAnsi="宋体" w:eastAsia="宋体" w:cs="宋体"/>
                <w:i w:val="0"/>
                <w:iCs w:val="0"/>
                <w:color w:val="000000"/>
                <w:sz w:val="18"/>
                <w:szCs w:val="18"/>
                <w:u w:val="none"/>
              </w:rPr>
            </w:pPr>
          </w:p>
        </w:tc>
      </w:tr>
      <w:tr w14:paraId="276C0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D987F">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E864A">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AF5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1E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CE7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49A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A2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88DE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E46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F8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33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36A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9C6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DB242">
            <w:pPr>
              <w:jc w:val="center"/>
              <w:rPr>
                <w:rFonts w:hint="eastAsia" w:ascii="宋体" w:hAnsi="宋体" w:eastAsia="宋体" w:cs="宋体"/>
                <w:i w:val="0"/>
                <w:iCs w:val="0"/>
                <w:color w:val="000000"/>
                <w:sz w:val="18"/>
                <w:szCs w:val="18"/>
                <w:u w:val="none"/>
              </w:rPr>
            </w:pPr>
          </w:p>
        </w:tc>
      </w:tr>
      <w:tr w14:paraId="0234A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736A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07EAC">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6F6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414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688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8C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237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A13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48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04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A43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02C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3F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E8739">
            <w:pPr>
              <w:jc w:val="center"/>
              <w:rPr>
                <w:rFonts w:hint="eastAsia" w:ascii="宋体" w:hAnsi="宋体" w:eastAsia="宋体" w:cs="宋体"/>
                <w:i w:val="0"/>
                <w:iCs w:val="0"/>
                <w:color w:val="000000"/>
                <w:sz w:val="18"/>
                <w:szCs w:val="18"/>
                <w:u w:val="none"/>
              </w:rPr>
            </w:pPr>
          </w:p>
        </w:tc>
      </w:tr>
      <w:tr w14:paraId="15A3E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1E9D4">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25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B82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0C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542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EA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4D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D85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FFA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594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66A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5.4768万元/人/学年</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6FA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397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ACD23">
            <w:pPr>
              <w:jc w:val="center"/>
              <w:rPr>
                <w:rFonts w:hint="eastAsia" w:ascii="宋体" w:hAnsi="宋体" w:eastAsia="宋体" w:cs="宋体"/>
                <w:i w:val="0"/>
                <w:iCs w:val="0"/>
                <w:color w:val="000000"/>
                <w:sz w:val="18"/>
                <w:szCs w:val="18"/>
                <w:u w:val="none"/>
              </w:rPr>
            </w:pPr>
          </w:p>
        </w:tc>
      </w:tr>
      <w:tr w14:paraId="04E15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6A53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B65C5">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03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E642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CFDE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F681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C2765">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4A74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D542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8E0C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2873">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4F3F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FCF59">
            <w:pPr>
              <w:jc w:val="center"/>
              <w:rPr>
                <w:rFonts w:hint="eastAsia" w:ascii="宋体" w:hAnsi="宋体" w:eastAsia="宋体" w:cs="宋体"/>
                <w:i w:val="0"/>
                <w:iCs w:val="0"/>
                <w:color w:val="000000"/>
                <w:sz w:val="18"/>
                <w:szCs w:val="18"/>
                <w:u w:val="none"/>
              </w:rPr>
            </w:pP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52C8D">
            <w:pPr>
              <w:jc w:val="center"/>
              <w:rPr>
                <w:rFonts w:hint="eastAsia" w:ascii="宋体" w:hAnsi="宋体" w:eastAsia="宋体" w:cs="宋体"/>
                <w:i w:val="0"/>
                <w:iCs w:val="0"/>
                <w:color w:val="000000"/>
                <w:sz w:val="18"/>
                <w:szCs w:val="18"/>
                <w:u w:val="none"/>
              </w:rPr>
            </w:pPr>
          </w:p>
        </w:tc>
      </w:tr>
      <w:tr w14:paraId="3308D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D6F5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2855B">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55F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7E9D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A051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755B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C44C1">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A32F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9477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34F6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8ECC0">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82435">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CE055">
            <w:pPr>
              <w:jc w:val="center"/>
              <w:rPr>
                <w:rFonts w:hint="eastAsia" w:ascii="宋体" w:hAnsi="宋体" w:eastAsia="宋体" w:cs="宋体"/>
                <w:i w:val="0"/>
                <w:iCs w:val="0"/>
                <w:color w:val="000000"/>
                <w:sz w:val="18"/>
                <w:szCs w:val="18"/>
                <w:u w:val="none"/>
              </w:rPr>
            </w:pP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A3189">
            <w:pPr>
              <w:jc w:val="center"/>
              <w:rPr>
                <w:rFonts w:hint="eastAsia" w:ascii="宋体" w:hAnsi="宋体" w:eastAsia="宋体" w:cs="宋体"/>
                <w:i w:val="0"/>
                <w:iCs w:val="0"/>
                <w:color w:val="000000"/>
                <w:sz w:val="18"/>
                <w:szCs w:val="18"/>
                <w:u w:val="none"/>
              </w:rPr>
            </w:pPr>
          </w:p>
        </w:tc>
      </w:tr>
      <w:tr w14:paraId="0EB84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D4B8F">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4E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5B4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DC0F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1124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E728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C57A1">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A39F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4A47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03E0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B8447">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FCAF">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8418A">
            <w:pPr>
              <w:jc w:val="center"/>
              <w:rPr>
                <w:rFonts w:hint="eastAsia" w:ascii="宋体" w:hAnsi="宋体" w:eastAsia="宋体" w:cs="宋体"/>
                <w:i w:val="0"/>
                <w:iCs w:val="0"/>
                <w:color w:val="000000"/>
                <w:sz w:val="18"/>
                <w:szCs w:val="18"/>
                <w:u w:val="none"/>
              </w:rPr>
            </w:pP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397FE">
            <w:pPr>
              <w:jc w:val="center"/>
              <w:rPr>
                <w:rFonts w:hint="eastAsia" w:ascii="宋体" w:hAnsi="宋体" w:eastAsia="宋体" w:cs="宋体"/>
                <w:i w:val="0"/>
                <w:iCs w:val="0"/>
                <w:color w:val="000000"/>
                <w:sz w:val="18"/>
                <w:szCs w:val="18"/>
                <w:u w:val="none"/>
              </w:rPr>
            </w:pPr>
          </w:p>
        </w:tc>
      </w:tr>
      <w:tr w14:paraId="78667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A3F8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885DC">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457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39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8D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A6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A4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DC59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433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92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4B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AE7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40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382DA">
            <w:pPr>
              <w:jc w:val="center"/>
              <w:rPr>
                <w:rFonts w:hint="eastAsia" w:ascii="宋体" w:hAnsi="宋体" w:eastAsia="宋体" w:cs="宋体"/>
                <w:i w:val="0"/>
                <w:iCs w:val="0"/>
                <w:color w:val="000000"/>
                <w:sz w:val="18"/>
                <w:szCs w:val="18"/>
                <w:u w:val="none"/>
              </w:rPr>
            </w:pPr>
          </w:p>
        </w:tc>
      </w:tr>
      <w:tr w14:paraId="179A7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9DF8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2D9B8">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F5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3EE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E57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5F0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82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A256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12D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418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F50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E35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FE4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5E19A">
            <w:pPr>
              <w:jc w:val="center"/>
              <w:rPr>
                <w:rFonts w:hint="eastAsia" w:ascii="宋体" w:hAnsi="宋体" w:eastAsia="宋体" w:cs="宋体"/>
                <w:i w:val="0"/>
                <w:iCs w:val="0"/>
                <w:color w:val="000000"/>
                <w:sz w:val="18"/>
                <w:szCs w:val="18"/>
                <w:u w:val="none"/>
              </w:rPr>
            </w:pPr>
          </w:p>
        </w:tc>
      </w:tr>
      <w:bookmarkEnd w:id="154"/>
      <w:tr w14:paraId="5D75F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54F5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6B9D9">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0E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2E16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753C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B17A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5ADC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BCEF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1C8E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44DD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13884">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B204F">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C6E9C">
            <w:pPr>
              <w:jc w:val="center"/>
              <w:rPr>
                <w:rFonts w:hint="eastAsia" w:ascii="宋体" w:hAnsi="宋体" w:eastAsia="宋体" w:cs="宋体"/>
                <w:i w:val="0"/>
                <w:iCs w:val="0"/>
                <w:color w:val="000000"/>
                <w:sz w:val="18"/>
                <w:szCs w:val="18"/>
                <w:u w:val="none"/>
              </w:rPr>
            </w:pP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3B5EA">
            <w:pPr>
              <w:jc w:val="center"/>
              <w:rPr>
                <w:rFonts w:hint="eastAsia" w:ascii="宋体" w:hAnsi="宋体" w:eastAsia="宋体" w:cs="宋体"/>
                <w:i w:val="0"/>
                <w:iCs w:val="0"/>
                <w:color w:val="000000"/>
                <w:sz w:val="18"/>
                <w:szCs w:val="18"/>
                <w:u w:val="none"/>
              </w:rPr>
            </w:pPr>
          </w:p>
        </w:tc>
      </w:tr>
      <w:tr w14:paraId="03BCF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84270">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188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F91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DC3B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393D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7400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323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BFF8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A617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45D0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9849E">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28B56">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BE05B">
            <w:pPr>
              <w:jc w:val="center"/>
              <w:rPr>
                <w:rFonts w:hint="eastAsia" w:ascii="宋体" w:hAnsi="宋体" w:eastAsia="宋体" w:cs="宋体"/>
                <w:i w:val="0"/>
                <w:iCs w:val="0"/>
                <w:color w:val="000000"/>
                <w:sz w:val="18"/>
                <w:szCs w:val="18"/>
                <w:u w:val="none"/>
              </w:rPr>
            </w:pP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A23F9">
            <w:pPr>
              <w:jc w:val="center"/>
              <w:rPr>
                <w:rFonts w:hint="eastAsia" w:ascii="宋体" w:hAnsi="宋体" w:eastAsia="宋体" w:cs="宋体"/>
                <w:i w:val="0"/>
                <w:iCs w:val="0"/>
                <w:color w:val="000000"/>
                <w:sz w:val="18"/>
                <w:szCs w:val="18"/>
                <w:u w:val="none"/>
              </w:rPr>
            </w:pPr>
          </w:p>
        </w:tc>
      </w:tr>
      <w:tr w14:paraId="6AC60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98" w:type="pct"/>
            <w:gridSpan w:val="4"/>
            <w:tcBorders>
              <w:top w:val="single" w:color="000000" w:sz="4" w:space="0"/>
              <w:left w:val="single" w:color="000000" w:sz="4" w:space="0"/>
              <w:bottom w:val="single" w:color="000000" w:sz="4" w:space="0"/>
              <w:right w:val="nil"/>
            </w:tcBorders>
            <w:shd w:val="clear" w:color="auto" w:fill="auto"/>
            <w:vAlign w:val="center"/>
          </w:tcPr>
          <w:p w14:paraId="028667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69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7FE09CC3">
            <w:pP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2D1F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A773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A2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575D2">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6EE1A">
            <w:pP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26CF2">
            <w:pP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9FA4E">
            <w:pPr>
              <w:rPr>
                <w:rFonts w:hint="eastAsia" w:ascii="宋体" w:hAnsi="宋体" w:eastAsia="宋体" w:cs="宋体"/>
                <w:i w:val="0"/>
                <w:iCs w:val="0"/>
                <w:color w:val="000000"/>
                <w:sz w:val="18"/>
                <w:szCs w:val="18"/>
                <w:u w:val="none"/>
              </w:rPr>
            </w:pP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1B411">
            <w:pPr>
              <w:rPr>
                <w:rFonts w:hint="eastAsia" w:ascii="宋体" w:hAnsi="宋体" w:eastAsia="宋体" w:cs="宋体"/>
                <w:i w:val="0"/>
                <w:iCs w:val="0"/>
                <w:color w:val="000000"/>
                <w:sz w:val="18"/>
                <w:szCs w:val="18"/>
                <w:u w:val="none"/>
              </w:rPr>
            </w:pPr>
          </w:p>
        </w:tc>
      </w:tr>
    </w:tbl>
    <w:p w14:paraId="31C97E82">
      <w:pPr>
        <w:ind w:left="0" w:leftChars="0" w:firstLine="0" w:firstLineChars="0"/>
      </w:pPr>
      <w:r>
        <w:br w:type="page"/>
      </w:r>
    </w:p>
    <w:p w14:paraId="7CDD22BA">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2" w:name="_Toc15067"/>
      <w:bookmarkStart w:id="153"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35EABD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30DF7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6E8CD2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0613764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562F13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66C7E91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2588F4F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0EAE1C4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365E43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293F1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4BC9A6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7D221C6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5365E25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39B380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6599A6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21742E1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CB1E9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0B51CB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21C4F4E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2E1719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0F57AE5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7C6AF07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703502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DF353B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0A20F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697B2F5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07CB34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70EDE5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1CA818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51A023E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34F14F4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E11C0E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15D253C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06EDAD5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30685C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71BEF6C">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2DE06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C89C50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D30B4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0A0B34E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7A11A4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0BD9E2B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509FB63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18FF26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145EAE1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3BF5DFD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2998C2B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6AAAF7F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57B4B8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A2C3A0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56311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51EA45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5A04D1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652FF88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059F517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756EFED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3066ED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4757C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41432A4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608347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7F00E8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4CF3DD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99619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49E3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3DB75FD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4957B3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180A813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5AF189E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04B9CE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279B745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1274AF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A6A313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725324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5E7A92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1FAFE1D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8597A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2B4672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763BA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2975401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8B9B36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02B2C3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069863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61C421E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2DFC9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49939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2B2040D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236BC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8FC4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29CEB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188194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595AD8A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DEB7D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4698FB8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1176A2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4B9434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241A1E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35A999D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16933B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433D96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8A91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4746212F">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0901998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660B27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6276F80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284C4C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16B058B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252028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EDDCA3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3125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06D85C0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3A9B8A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4C38A5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709406A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5F85D2D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50743AF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7F5FA2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6432FE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1997A9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0472C83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317BC7B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C1EE1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FCCEE1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746F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89F45A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FD599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268D188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7EA1EB8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4A2577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11C28A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0523A0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B1F1AB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613BA79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36660A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0E2493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0BF0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2CC033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01D4A8B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293ED81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1E6309A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523A879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3A994A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89E92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307385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1D3F56C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3590B18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291661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6E488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0044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55B7F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8CB490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4C43DB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选聘教师人数</w:t>
            </w:r>
          </w:p>
        </w:tc>
        <w:tc>
          <w:tcPr>
            <w:tcW w:w="2141" w:type="dxa"/>
            <w:shd w:val="clear" w:color="auto" w:fill="auto"/>
            <w:noWrap w:val="0"/>
            <w:vAlign w:val="center"/>
          </w:tcPr>
          <w:p w14:paraId="7410707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3FEA3B0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4AFE7D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26F12FE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B1158A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auto" w:fill="auto"/>
            <w:noWrap w:val="0"/>
            <w:vAlign w:val="center"/>
          </w:tcPr>
          <w:p w14:paraId="47F33AC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14:paraId="2B5B1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44C2C86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shd w:val="clear" w:color="auto" w:fill="auto"/>
            <w:noWrap w:val="0"/>
            <w:vAlign w:val="center"/>
          </w:tcPr>
          <w:p w14:paraId="09CF84B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114AE5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工资支付次数</w:t>
            </w:r>
          </w:p>
        </w:tc>
        <w:tc>
          <w:tcPr>
            <w:tcW w:w="2141" w:type="dxa"/>
            <w:shd w:val="clear" w:color="auto" w:fill="auto"/>
            <w:noWrap w:val="0"/>
            <w:vAlign w:val="center"/>
          </w:tcPr>
          <w:p w14:paraId="72B67D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54C6976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08E3C6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4FCDE7E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7B42D8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auto" w:fill="auto"/>
            <w:noWrap w:val="0"/>
            <w:vAlign w:val="center"/>
          </w:tcPr>
          <w:p w14:paraId="6185B0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14:paraId="70B5C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277D15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5EC8C3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20B48C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人员经费享受比例</w:t>
            </w:r>
          </w:p>
        </w:tc>
        <w:tc>
          <w:tcPr>
            <w:tcW w:w="2141" w:type="dxa"/>
            <w:shd w:val="clear" w:color="auto" w:fill="auto"/>
            <w:noWrap w:val="0"/>
            <w:vAlign w:val="center"/>
          </w:tcPr>
          <w:p w14:paraId="0B92E28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773805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38DE8F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40124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auto" w:fill="auto"/>
            <w:noWrap w:val="0"/>
            <w:vAlign w:val="center"/>
          </w:tcPr>
          <w:p w14:paraId="1AF738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14:paraId="3A0FF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0D58C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4CA1F9F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080F1DF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选聘教师工资发放时间</w:t>
            </w:r>
          </w:p>
        </w:tc>
        <w:tc>
          <w:tcPr>
            <w:tcW w:w="2141" w:type="dxa"/>
            <w:shd w:val="clear" w:color="auto" w:fill="auto"/>
            <w:noWrap w:val="0"/>
            <w:vAlign w:val="center"/>
          </w:tcPr>
          <w:p w14:paraId="768DDFA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017405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6519E16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6FCB5D8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auto" w:fill="auto"/>
            <w:noWrap w:val="0"/>
            <w:vAlign w:val="center"/>
          </w:tcPr>
          <w:p w14:paraId="4E469C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14:paraId="5EE4D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23655A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6FE6C2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0B7EBC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人员经费标准</w:t>
            </w:r>
          </w:p>
        </w:tc>
        <w:tc>
          <w:tcPr>
            <w:tcW w:w="2141" w:type="dxa"/>
            <w:shd w:val="clear" w:color="auto" w:fill="auto"/>
            <w:noWrap w:val="0"/>
            <w:vAlign w:val="center"/>
          </w:tcPr>
          <w:p w14:paraId="7BF37A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5FD1BC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73B0EB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3E65BC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07B69A2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145CEE8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13</w:t>
            </w:r>
          </w:p>
        </w:tc>
        <w:tc>
          <w:tcPr>
            <w:tcW w:w="769" w:type="dxa"/>
            <w:shd w:val="clear" w:color="auto" w:fill="auto"/>
            <w:noWrap w:val="0"/>
            <w:vAlign w:val="center"/>
          </w:tcPr>
          <w:p w14:paraId="4F58472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13</w:t>
            </w:r>
          </w:p>
        </w:tc>
      </w:tr>
      <w:tr w14:paraId="526E3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5776D86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3EF856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5FA9CC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学校正常运转率</w:t>
            </w:r>
          </w:p>
        </w:tc>
        <w:tc>
          <w:tcPr>
            <w:tcW w:w="2141" w:type="dxa"/>
            <w:shd w:val="clear" w:color="auto" w:fill="auto"/>
            <w:noWrap w:val="0"/>
            <w:vAlign w:val="center"/>
          </w:tcPr>
          <w:p w14:paraId="5068F99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67A1DCF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648246C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4BE2D32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0647B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8" w:hRule="atLeast"/>
          <w:jc w:val="center"/>
        </w:trPr>
        <w:tc>
          <w:tcPr>
            <w:tcW w:w="861" w:type="dxa"/>
            <w:vMerge w:val="continue"/>
            <w:shd w:val="clear" w:color="auto" w:fill="auto"/>
            <w:noWrap w:val="0"/>
            <w:vAlign w:val="center"/>
          </w:tcPr>
          <w:p w14:paraId="6CD607A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2E04AA4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02CF5A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改善教学环境，提供良好的学生成长条件</w:t>
            </w:r>
          </w:p>
        </w:tc>
        <w:tc>
          <w:tcPr>
            <w:tcW w:w="2141" w:type="dxa"/>
            <w:shd w:val="clear" w:color="auto" w:fill="auto"/>
            <w:noWrap w:val="0"/>
            <w:vAlign w:val="center"/>
          </w:tcPr>
          <w:p w14:paraId="5ABDB75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7A1C81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5834AB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c>
          <w:tcPr>
            <w:tcW w:w="769" w:type="dxa"/>
            <w:shd w:val="clear" w:color="auto" w:fill="auto"/>
            <w:noWrap w:val="0"/>
            <w:vAlign w:val="center"/>
          </w:tcPr>
          <w:p w14:paraId="7AD649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1DB17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1EE98F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4286A3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820" w:type="dxa"/>
            <w:shd w:val="clear" w:color="auto" w:fill="auto"/>
            <w:noWrap w:val="0"/>
            <w:vAlign w:val="center"/>
          </w:tcPr>
          <w:p w14:paraId="57BE167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yellow"/>
                <w:lang w:val="en-US" w:eastAsia="zh-CN"/>
              </w:rPr>
            </w:pPr>
            <w:r>
              <w:rPr>
                <w:rFonts w:hint="eastAsia" w:cs="宋体"/>
                <w:color w:val="000000"/>
                <w:kern w:val="0"/>
                <w:sz w:val="22"/>
                <w:szCs w:val="22"/>
                <w:highlight w:val="none"/>
                <w:lang w:val="en-US" w:eastAsia="zh-CN"/>
              </w:rPr>
              <w:t>选聘教师的满意度</w:t>
            </w:r>
          </w:p>
        </w:tc>
        <w:tc>
          <w:tcPr>
            <w:tcW w:w="2141" w:type="dxa"/>
            <w:shd w:val="clear" w:color="auto" w:fill="auto"/>
            <w:noWrap w:val="0"/>
            <w:vAlign w:val="center"/>
          </w:tcPr>
          <w:p w14:paraId="7E3870B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auto" w:fill="auto"/>
            <w:noWrap w:val="0"/>
            <w:vAlign w:val="center"/>
          </w:tcPr>
          <w:p w14:paraId="177298F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3F72FF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auto" w:fill="auto"/>
            <w:noWrap w:val="0"/>
            <w:vAlign w:val="center"/>
          </w:tcPr>
          <w:p w14:paraId="77EBCE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14:paraId="66AF0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72FA2CB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4B6281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47E4544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6F42C23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99.2</w:t>
            </w:r>
          </w:p>
        </w:tc>
      </w:tr>
    </w:tbl>
    <w:p w14:paraId="4F6ADDD0">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04174B0B">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1591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134E95">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134E95">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38A29D27"/>
    <w:multiLevelType w:val="singleLevel"/>
    <w:tmpl w:val="38A29D2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5695AB1"/>
    <w:rsid w:val="07890F4F"/>
    <w:rsid w:val="081F0E65"/>
    <w:rsid w:val="08892439"/>
    <w:rsid w:val="08EB30F3"/>
    <w:rsid w:val="09237408"/>
    <w:rsid w:val="09781BD6"/>
    <w:rsid w:val="09896468"/>
    <w:rsid w:val="09F359DF"/>
    <w:rsid w:val="0A575E65"/>
    <w:rsid w:val="0ACA0AB6"/>
    <w:rsid w:val="0C032502"/>
    <w:rsid w:val="0C27698C"/>
    <w:rsid w:val="0CE95E18"/>
    <w:rsid w:val="0D4452F3"/>
    <w:rsid w:val="0DFE1263"/>
    <w:rsid w:val="0EDF7D90"/>
    <w:rsid w:val="0F5E5042"/>
    <w:rsid w:val="0FE95707"/>
    <w:rsid w:val="10510571"/>
    <w:rsid w:val="10787A20"/>
    <w:rsid w:val="108672DE"/>
    <w:rsid w:val="10EC685A"/>
    <w:rsid w:val="11FA6155"/>
    <w:rsid w:val="12CF0947"/>
    <w:rsid w:val="12F1313F"/>
    <w:rsid w:val="12F91163"/>
    <w:rsid w:val="136C678E"/>
    <w:rsid w:val="13EB2FF5"/>
    <w:rsid w:val="14ED4CAC"/>
    <w:rsid w:val="15A46B04"/>
    <w:rsid w:val="165825BC"/>
    <w:rsid w:val="16BC5D73"/>
    <w:rsid w:val="176F36D7"/>
    <w:rsid w:val="1795226D"/>
    <w:rsid w:val="18456B1E"/>
    <w:rsid w:val="1B5F6D25"/>
    <w:rsid w:val="1C1171C5"/>
    <w:rsid w:val="1D265138"/>
    <w:rsid w:val="1D7B6BCA"/>
    <w:rsid w:val="1DA41A79"/>
    <w:rsid w:val="1DF53469"/>
    <w:rsid w:val="1E2F24F2"/>
    <w:rsid w:val="1E58492F"/>
    <w:rsid w:val="1E5B6757"/>
    <w:rsid w:val="1ED10AC6"/>
    <w:rsid w:val="1F89225F"/>
    <w:rsid w:val="1F900A1F"/>
    <w:rsid w:val="1FC0575D"/>
    <w:rsid w:val="206132C7"/>
    <w:rsid w:val="20AC57C8"/>
    <w:rsid w:val="21B00C1D"/>
    <w:rsid w:val="23031BEB"/>
    <w:rsid w:val="23917691"/>
    <w:rsid w:val="244D65B8"/>
    <w:rsid w:val="245E1E24"/>
    <w:rsid w:val="25AD5E5D"/>
    <w:rsid w:val="263E5086"/>
    <w:rsid w:val="2732478D"/>
    <w:rsid w:val="27661469"/>
    <w:rsid w:val="27900EAD"/>
    <w:rsid w:val="279B538A"/>
    <w:rsid w:val="286F545C"/>
    <w:rsid w:val="29314FBC"/>
    <w:rsid w:val="2AA2081A"/>
    <w:rsid w:val="2C024B86"/>
    <w:rsid w:val="2C927671"/>
    <w:rsid w:val="2CA751A1"/>
    <w:rsid w:val="2CC6306F"/>
    <w:rsid w:val="2D7C5CD6"/>
    <w:rsid w:val="2E483E7E"/>
    <w:rsid w:val="2E690493"/>
    <w:rsid w:val="2E9854BD"/>
    <w:rsid w:val="2F0D407F"/>
    <w:rsid w:val="2F454B19"/>
    <w:rsid w:val="310224D9"/>
    <w:rsid w:val="31B4621C"/>
    <w:rsid w:val="31E3230A"/>
    <w:rsid w:val="31FB2360"/>
    <w:rsid w:val="330957E0"/>
    <w:rsid w:val="33356F64"/>
    <w:rsid w:val="33944516"/>
    <w:rsid w:val="34B62907"/>
    <w:rsid w:val="36BD137C"/>
    <w:rsid w:val="38053EDF"/>
    <w:rsid w:val="380812A4"/>
    <w:rsid w:val="385D37E7"/>
    <w:rsid w:val="38782EDD"/>
    <w:rsid w:val="3A713E42"/>
    <w:rsid w:val="3B42664A"/>
    <w:rsid w:val="3CAD1E92"/>
    <w:rsid w:val="3D836A4E"/>
    <w:rsid w:val="3EA37E97"/>
    <w:rsid w:val="3FBE0BC5"/>
    <w:rsid w:val="4048103A"/>
    <w:rsid w:val="40736643"/>
    <w:rsid w:val="40A15AA3"/>
    <w:rsid w:val="40D24A7A"/>
    <w:rsid w:val="42621029"/>
    <w:rsid w:val="43283C68"/>
    <w:rsid w:val="435241E2"/>
    <w:rsid w:val="43975C51"/>
    <w:rsid w:val="439E3FA7"/>
    <w:rsid w:val="44B32266"/>
    <w:rsid w:val="44FC64F4"/>
    <w:rsid w:val="45E811D7"/>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DF74D1B"/>
    <w:rsid w:val="4E402CD7"/>
    <w:rsid w:val="4E6E48A8"/>
    <w:rsid w:val="4E9A4EC8"/>
    <w:rsid w:val="4EEC036B"/>
    <w:rsid w:val="4F714FA1"/>
    <w:rsid w:val="501D2673"/>
    <w:rsid w:val="50C80BF1"/>
    <w:rsid w:val="518066C8"/>
    <w:rsid w:val="51852833"/>
    <w:rsid w:val="52F11AC8"/>
    <w:rsid w:val="534F49D9"/>
    <w:rsid w:val="53555F0F"/>
    <w:rsid w:val="535D23D5"/>
    <w:rsid w:val="53722A3B"/>
    <w:rsid w:val="54255B85"/>
    <w:rsid w:val="56CD15BE"/>
    <w:rsid w:val="56F4341A"/>
    <w:rsid w:val="575A7321"/>
    <w:rsid w:val="580C3AB9"/>
    <w:rsid w:val="583C7AE0"/>
    <w:rsid w:val="586C1E9A"/>
    <w:rsid w:val="586E0800"/>
    <w:rsid w:val="59216F96"/>
    <w:rsid w:val="598C4145"/>
    <w:rsid w:val="59957D1B"/>
    <w:rsid w:val="59D4294E"/>
    <w:rsid w:val="5B634312"/>
    <w:rsid w:val="5B9D2CCD"/>
    <w:rsid w:val="5B9E71EA"/>
    <w:rsid w:val="5CB93BB1"/>
    <w:rsid w:val="5E226FBC"/>
    <w:rsid w:val="5EAD2D08"/>
    <w:rsid w:val="5FE72BD2"/>
    <w:rsid w:val="60120613"/>
    <w:rsid w:val="618D5292"/>
    <w:rsid w:val="61C843A2"/>
    <w:rsid w:val="62213579"/>
    <w:rsid w:val="622E78FA"/>
    <w:rsid w:val="63343F70"/>
    <w:rsid w:val="63970F6F"/>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1134FE1"/>
    <w:rsid w:val="720E3691"/>
    <w:rsid w:val="7249173A"/>
    <w:rsid w:val="724E244C"/>
    <w:rsid w:val="72BE0AA0"/>
    <w:rsid w:val="72DA6946"/>
    <w:rsid w:val="732764B3"/>
    <w:rsid w:val="74026044"/>
    <w:rsid w:val="74325A77"/>
    <w:rsid w:val="74746410"/>
    <w:rsid w:val="75C8506C"/>
    <w:rsid w:val="75E5007C"/>
    <w:rsid w:val="772D03F2"/>
    <w:rsid w:val="77636B63"/>
    <w:rsid w:val="77813724"/>
    <w:rsid w:val="77861774"/>
    <w:rsid w:val="78F31435"/>
    <w:rsid w:val="79300B45"/>
    <w:rsid w:val="794D3E18"/>
    <w:rsid w:val="79CD3B46"/>
    <w:rsid w:val="79F3729A"/>
    <w:rsid w:val="7A0156FF"/>
    <w:rsid w:val="7A880722"/>
    <w:rsid w:val="7ABE6120"/>
    <w:rsid w:val="7ACB0498"/>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 w:type="paragraph" w:styleId="2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10512</Words>
  <Characters>11080</Characters>
  <Lines>0</Lines>
  <Paragraphs>0</Paragraphs>
  <TotalTime>0</TotalTime>
  <ScaleCrop>false</ScaleCrop>
  <LinksUpToDate>false</LinksUpToDate>
  <CharactersWithSpaces>11151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