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9EE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B4ECAC0">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6FE50B2">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86B7D5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29123"/>
      <w:bookmarkStart w:id="1" w:name="_Toc1949"/>
      <w:bookmarkStart w:id="2" w:name="_Toc15679"/>
      <w:bookmarkStart w:id="3" w:name="_Toc25575"/>
      <w:r>
        <w:rPr>
          <w:rFonts w:hint="eastAsia" w:cs="宋体"/>
          <w:b/>
          <w:bCs/>
          <w:color w:val="auto"/>
          <w:sz w:val="40"/>
          <w:szCs w:val="40"/>
          <w:highlight w:val="none"/>
          <w:shd w:val="clear" w:color="auto" w:fill="auto"/>
          <w:lang w:val="en-US" w:eastAsia="zh-CN"/>
        </w:rPr>
        <w:t>2024年小学义务教育生均经费</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13AD9A23">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4747A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300CC8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D847C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B8A824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CC2A62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44DB98C">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both"/>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0895039">
      <w:pPr>
        <w:spacing w:line="360" w:lineRule="auto"/>
        <w:ind w:firstLine="0" w:firstLineChars="0"/>
        <w:jc w:val="left"/>
        <w:rPr>
          <w:rFonts w:ascii="黑体" w:hAnsi="Times New Roman" w:eastAsia="黑体"/>
          <w:b w:val="0"/>
          <w:bCs/>
          <w:color w:val="000000"/>
          <w:sz w:val="30"/>
          <w:szCs w:val="30"/>
        </w:rPr>
      </w:pPr>
      <w:r>
        <w:rPr>
          <w:rFonts w:hint="eastAsia" w:ascii="黑体" w:hAnsi="Times New Roman" w:eastAsia="黑体"/>
          <w:b w:val="0"/>
          <w:bCs/>
          <w:color w:val="000000"/>
          <w:sz w:val="30"/>
          <w:szCs w:val="30"/>
        </w:rPr>
        <w:t>项目名称：2024年小学义务教育生均经费</w:t>
      </w:r>
    </w:p>
    <w:p w14:paraId="05D48874">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eastAsia="zh-CN"/>
        </w:rPr>
        <w:t>阜康市第三小学</w:t>
      </w:r>
    </w:p>
    <w:p w14:paraId="728158B3">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eastAsia="zh-CN"/>
        </w:rPr>
        <w:t>阜康市教育局</w:t>
      </w:r>
    </w:p>
    <w:p w14:paraId="55FF6BA9">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lang w:eastAsia="zh-CN"/>
        </w:rPr>
        <w:t>项目负责人：李玉霞</w:t>
      </w:r>
    </w:p>
    <w:p w14:paraId="37D7C9F9">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2025年4月27日</w:t>
      </w:r>
    </w:p>
    <w:p w14:paraId="386C19DE">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7D8DCD4C">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14321022">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1DA145F5">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0D251271">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04073E0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278AFD4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51C273D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6</w:t>
          </w:r>
          <w:r>
            <w:fldChar w:fldCharType="end"/>
          </w:r>
          <w:r>
            <w:rPr>
              <w:rFonts w:hint="eastAsia"/>
              <w:szCs w:val="28"/>
              <w:lang w:val="en-US" w:eastAsia="zh-CN"/>
            </w:rPr>
            <w:fldChar w:fldCharType="end"/>
          </w:r>
        </w:p>
        <w:p w14:paraId="1FC68999">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066FF5C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0766B99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44AE898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14</w:t>
          </w:r>
          <w:r>
            <w:fldChar w:fldCharType="end"/>
          </w:r>
          <w:r>
            <w:rPr>
              <w:rFonts w:hint="eastAsia"/>
              <w:szCs w:val="28"/>
              <w:lang w:val="en-US" w:eastAsia="zh-CN"/>
            </w:rPr>
            <w:fldChar w:fldCharType="end"/>
          </w:r>
        </w:p>
        <w:p w14:paraId="74F2D49F">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16</w:t>
          </w:r>
          <w:r>
            <w:fldChar w:fldCharType="end"/>
          </w:r>
          <w:r>
            <w:rPr>
              <w:rFonts w:hint="eastAsia"/>
              <w:szCs w:val="28"/>
              <w:lang w:val="en-US" w:eastAsia="zh-CN"/>
            </w:rPr>
            <w:fldChar w:fldCharType="end"/>
          </w:r>
        </w:p>
        <w:p w14:paraId="02EB354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16</w:t>
          </w:r>
          <w:r>
            <w:fldChar w:fldCharType="end"/>
          </w:r>
          <w:r>
            <w:rPr>
              <w:rFonts w:hint="eastAsia"/>
              <w:szCs w:val="28"/>
              <w:lang w:val="en-US" w:eastAsia="zh-CN"/>
            </w:rPr>
            <w:fldChar w:fldCharType="end"/>
          </w:r>
        </w:p>
        <w:p w14:paraId="0C883CC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16</w:t>
          </w:r>
          <w:r>
            <w:fldChar w:fldCharType="end"/>
          </w:r>
          <w:r>
            <w:rPr>
              <w:rFonts w:hint="eastAsia"/>
              <w:szCs w:val="28"/>
              <w:lang w:val="en-US" w:eastAsia="zh-CN"/>
            </w:rPr>
            <w:fldChar w:fldCharType="end"/>
          </w:r>
        </w:p>
        <w:p w14:paraId="2FF1E73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74CCB18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5D2F78C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21</w:t>
          </w:r>
          <w:r>
            <w:fldChar w:fldCharType="end"/>
          </w:r>
          <w:r>
            <w:rPr>
              <w:rFonts w:hint="eastAsia"/>
              <w:szCs w:val="28"/>
              <w:lang w:val="en-US" w:eastAsia="zh-CN"/>
            </w:rPr>
            <w:fldChar w:fldCharType="end"/>
          </w:r>
        </w:p>
        <w:p w14:paraId="35DA820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23</w:t>
          </w:r>
          <w:r>
            <w:fldChar w:fldCharType="end"/>
          </w:r>
          <w:r>
            <w:rPr>
              <w:rFonts w:hint="eastAsia"/>
              <w:szCs w:val="28"/>
              <w:lang w:val="en-US" w:eastAsia="zh-CN"/>
            </w:rPr>
            <w:fldChar w:fldCharType="end"/>
          </w:r>
        </w:p>
        <w:p w14:paraId="0D9366B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24</w:t>
          </w:r>
          <w:r>
            <w:fldChar w:fldCharType="end"/>
          </w:r>
          <w:r>
            <w:rPr>
              <w:rFonts w:hint="eastAsia"/>
              <w:szCs w:val="28"/>
              <w:lang w:val="en-US" w:eastAsia="zh-CN"/>
            </w:rPr>
            <w:fldChar w:fldCharType="end"/>
          </w:r>
        </w:p>
        <w:p w14:paraId="2A00442A">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25</w:t>
          </w:r>
          <w:r>
            <w:fldChar w:fldCharType="end"/>
          </w:r>
          <w:r>
            <w:rPr>
              <w:rFonts w:hint="eastAsia"/>
              <w:szCs w:val="28"/>
              <w:lang w:val="en-US" w:eastAsia="zh-CN"/>
            </w:rPr>
            <w:fldChar w:fldCharType="end"/>
          </w:r>
        </w:p>
        <w:p w14:paraId="609C9A43">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4327E0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25</w:t>
          </w:r>
          <w:r>
            <w:fldChar w:fldCharType="end"/>
          </w:r>
          <w:r>
            <w:rPr>
              <w:rFonts w:hint="eastAsia"/>
              <w:szCs w:val="28"/>
              <w:lang w:val="en-US" w:eastAsia="zh-CN"/>
            </w:rPr>
            <w:fldChar w:fldCharType="end"/>
          </w:r>
        </w:p>
        <w:p w14:paraId="06307C7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26</w:t>
          </w:r>
          <w:r>
            <w:fldChar w:fldCharType="end"/>
          </w:r>
          <w:r>
            <w:rPr>
              <w:rFonts w:hint="eastAsia"/>
              <w:szCs w:val="28"/>
              <w:lang w:val="en-US" w:eastAsia="zh-CN"/>
            </w:rPr>
            <w:fldChar w:fldCharType="end"/>
          </w:r>
        </w:p>
        <w:p w14:paraId="080878E7">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DE5C613">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DB39924">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0FF22BED">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EFE11CC">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highlight w:val="none"/>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45E17BB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bookmarkStart w:id="4" w:name="_Toc3663"/>
      <w:bookmarkStart w:id="5" w:name="_Toc1194"/>
      <w:bookmarkStart w:id="6" w:name="_Toc22946"/>
      <w:bookmarkStart w:id="7" w:name="_Toc20432"/>
      <w:r>
        <w:rPr>
          <w:rFonts w:hint="eastAsia" w:cs="宋体"/>
          <w:b/>
          <w:bCs/>
          <w:color w:val="auto"/>
          <w:sz w:val="36"/>
          <w:szCs w:val="36"/>
          <w:highlight w:val="none"/>
          <w:shd w:val="clear" w:color="auto" w:fill="auto"/>
          <w:lang w:val="en-US" w:eastAsia="zh-CN"/>
        </w:rPr>
        <w:t>2024年小学义务教育生均经费</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bookmarkEnd w:id="4"/>
      <w:bookmarkEnd w:id="5"/>
      <w:bookmarkEnd w:id="6"/>
      <w:bookmarkEnd w:id="7"/>
    </w:p>
    <w:p w14:paraId="23046F26">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7578A07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9" w:name="_Toc23184"/>
      <w:r>
        <w:rPr>
          <w:rFonts w:hint="eastAsia" w:ascii="Times New Roman" w:hAnsi="Times New Roman" w:eastAsia="楷体_GB2312" w:cs="Times New Roman"/>
          <w:kern w:val="28"/>
          <w:sz w:val="32"/>
          <w:highlight w:val="none"/>
          <w:lang w:val="en-US" w:eastAsia="zh-CN"/>
        </w:rPr>
        <w:t>（一）项目概况</w:t>
      </w:r>
      <w:bookmarkEnd w:id="9"/>
    </w:p>
    <w:p w14:paraId="0BE50016">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10645"/>
      <w:bookmarkStart w:id="11" w:name="_Toc5043"/>
      <w:bookmarkStart w:id="12" w:name="_Toc29812"/>
      <w:bookmarkStart w:id="13" w:name="_Toc22346"/>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3823972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4" w:name="_Toc1630"/>
      <w:bookmarkStart w:id="15" w:name="_Toc17880"/>
      <w:bookmarkStart w:id="16" w:name="_Toc10730"/>
      <w:bookmarkStart w:id="17" w:name="_Toc27343"/>
      <w:r>
        <w:rPr>
          <w:rFonts w:hint="eastAsia" w:ascii="仿宋_GB2312" w:hAnsi="仿宋_GB2312" w:eastAsia="仿宋_GB2312" w:cs="仿宋_GB2312"/>
          <w:color w:val="auto"/>
          <w:sz w:val="32"/>
          <w:szCs w:val="32"/>
          <w:highlight w:val="none"/>
          <w:shd w:val="clear" w:color="auto" w:fill="auto"/>
          <w:lang w:val="en-US" w:eastAsia="zh-CN"/>
        </w:rPr>
        <w:t>国务院印发《关于进一步完善城乡义务教育经费保障机制的通知》，进一步完善城乡义务教育经费保障机制，通过“三个统一、两个巩固”，建立城乡统一、重在农村的义务教育经费保障机制，推动教育经费随学生流动可携带，明确了生均公用经费基准定额等相关政策，为义务教育生均经费项目提供了政策依据和保障。学校日常运转需资金支持，如教学业务与管理、教师培训、实验实习、文体活动、水电、交通差旅等支出。生均经费按学生人数拨付，能确保学校有稳定资金来源，维持正常教育教学秩序，提高教学质量。随着教育改革推进和素质教育发展，学校需开展多样化教学活动、提升师资水平、改善办学条件。生均经费的投入可支持学校落实“双减”政策、开展课后服务、购置教育教学设备等，以适应新时代教育发展的需要。</w:t>
      </w:r>
    </w:p>
    <w:p w14:paraId="4F9172ED">
      <w:pPr>
        <w:pStyle w:val="5"/>
        <w:pageBreakBefore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5A413D98">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8" w:name="_Toc16592"/>
      <w:bookmarkStart w:id="19" w:name="_Toc27409"/>
      <w:bookmarkStart w:id="20" w:name="_Toc21898"/>
      <w:bookmarkStart w:id="21" w:name="_Toc27245"/>
      <w:r>
        <w:rPr>
          <w:rFonts w:hint="eastAsia" w:ascii="仿宋_GB2312" w:hAnsi="仿宋_GB2312" w:eastAsia="仿宋_GB2312" w:cs="仿宋_GB2312"/>
          <w:b/>
          <w:bCs/>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kern w:val="2"/>
          <w:sz w:val="32"/>
          <w:szCs w:val="32"/>
          <w:highlight w:val="none"/>
          <w:lang w:val="en-US" w:eastAsia="zh-CN" w:bidi="ar-SA"/>
        </w:rPr>
        <w:t>依据</w:t>
      </w:r>
      <w:r>
        <w:rPr>
          <w:rFonts w:hint="eastAsia" w:cs="仿宋_GB2312"/>
          <w:b w:val="0"/>
          <w:bCs w:val="0"/>
          <w:kern w:val="2"/>
          <w:sz w:val="32"/>
          <w:szCs w:val="32"/>
          <w:highlight w:val="none"/>
          <w:lang w:val="en-US" w:eastAsia="zh-CN" w:bidi="ar-SA"/>
        </w:rPr>
        <w:t>学生</w:t>
      </w:r>
      <w:r>
        <w:rPr>
          <w:rFonts w:hint="eastAsia" w:ascii="仿宋_GB2312" w:hAnsi="仿宋_GB2312" w:eastAsia="仿宋_GB2312" w:cs="仿宋_GB2312"/>
          <w:b w:val="0"/>
          <w:bCs w:val="0"/>
          <w:kern w:val="2"/>
          <w:sz w:val="32"/>
          <w:szCs w:val="32"/>
          <w:highlight w:val="none"/>
          <w:lang w:val="en-US" w:eastAsia="zh-CN" w:bidi="ar-SA"/>
        </w:rPr>
        <w:t>人数，按标准核算并下发生均经费。经费主要用于购置先进的教学设备；开发适合</w:t>
      </w:r>
      <w:r>
        <w:rPr>
          <w:rFonts w:hint="eastAsia" w:cs="仿宋_GB2312"/>
          <w:b w:val="0"/>
          <w:bCs w:val="0"/>
          <w:kern w:val="2"/>
          <w:sz w:val="32"/>
          <w:szCs w:val="32"/>
          <w:highlight w:val="none"/>
          <w:lang w:val="en-US" w:eastAsia="zh-CN" w:bidi="ar-SA"/>
        </w:rPr>
        <w:t>小学生</w:t>
      </w:r>
      <w:r>
        <w:rPr>
          <w:rFonts w:hint="eastAsia" w:ascii="仿宋_GB2312" w:hAnsi="仿宋_GB2312" w:eastAsia="仿宋_GB2312" w:cs="仿宋_GB2312"/>
          <w:b w:val="0"/>
          <w:bCs w:val="0"/>
          <w:kern w:val="2"/>
          <w:sz w:val="32"/>
          <w:szCs w:val="32"/>
          <w:highlight w:val="none"/>
          <w:lang w:val="en-US" w:eastAsia="zh-CN" w:bidi="ar-SA"/>
        </w:rPr>
        <w:t>的特色课程，丰富教学内容；完善</w:t>
      </w:r>
      <w:r>
        <w:rPr>
          <w:rFonts w:hint="eastAsia" w:cs="仿宋_GB2312"/>
          <w:b w:val="0"/>
          <w:bCs w:val="0"/>
          <w:kern w:val="2"/>
          <w:sz w:val="32"/>
          <w:szCs w:val="32"/>
          <w:highlight w:val="none"/>
          <w:lang w:val="en-US" w:eastAsia="zh-CN" w:bidi="ar-SA"/>
        </w:rPr>
        <w:t>学校</w:t>
      </w:r>
      <w:r>
        <w:rPr>
          <w:rFonts w:hint="eastAsia" w:ascii="仿宋_GB2312" w:hAnsi="仿宋_GB2312" w:eastAsia="仿宋_GB2312" w:cs="仿宋_GB2312"/>
          <w:b w:val="0"/>
          <w:bCs w:val="0"/>
          <w:kern w:val="2"/>
          <w:sz w:val="32"/>
          <w:szCs w:val="32"/>
          <w:highlight w:val="none"/>
          <w:lang w:val="en-US" w:eastAsia="zh-CN" w:bidi="ar-SA"/>
        </w:rPr>
        <w:t>的安全防护设施。</w:t>
      </w:r>
      <w:r>
        <w:rPr>
          <w:rFonts w:hint="eastAsia" w:ascii="仿宋_GB2312" w:hAnsi="仿宋_GB2312" w:eastAsia="仿宋_GB2312" w:cs="仿宋_GB2312"/>
          <w:b w:val="0"/>
          <w:bCs w:val="0"/>
          <w:sz w:val="32"/>
          <w:szCs w:val="32"/>
          <w:highlight w:val="none"/>
        </w:rPr>
        <w:t>2024年小学义务教育生均经费.公用经费小学</w:t>
      </w:r>
      <w:r>
        <w:rPr>
          <w:rFonts w:hint="eastAsia" w:cs="仿宋_GB2312"/>
          <w:b w:val="0"/>
          <w:bCs w:val="0"/>
          <w:sz w:val="32"/>
          <w:szCs w:val="32"/>
          <w:highlight w:val="none"/>
          <w:lang w:val="en-US" w:eastAsia="zh-CN"/>
        </w:rPr>
        <w:t>13.66</w:t>
      </w:r>
      <w:r>
        <w:rPr>
          <w:rFonts w:hint="eastAsia" w:ascii="仿宋_GB2312" w:hAnsi="仿宋_GB2312" w:eastAsia="仿宋_GB2312" w:cs="仿宋_GB2312"/>
          <w:b w:val="0"/>
          <w:bCs w:val="0"/>
          <w:sz w:val="32"/>
          <w:szCs w:val="32"/>
          <w:highlight w:val="none"/>
        </w:rPr>
        <w:t>万元.保障学校正常运转，完成教学活动及其他日常业务的正常运转。</w:t>
      </w:r>
    </w:p>
    <w:p w14:paraId="483635F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本项目自2024年2月1日经阜康市财政局关于2024年部门预算批复文件号阜财预字【2024】7号</w:t>
      </w:r>
      <w:r>
        <w:rPr>
          <w:rFonts w:hint="eastAsia" w:ascii="仿宋_GB2312" w:hAnsi="仿宋_GB2312" w:eastAsia="仿宋_GB2312" w:cs="仿宋_GB2312"/>
          <w:color w:val="auto"/>
          <w:sz w:val="32"/>
          <w:szCs w:val="32"/>
          <w:highlight w:val="none"/>
          <w:shd w:val="clear" w:color="auto" w:fill="auto"/>
          <w:lang w:val="en-US" w:eastAsia="zh-CN"/>
        </w:rPr>
        <w:t>，经学校校委会会议，确定了项目领导小组，明确了责任分工：组长为鲁锋，副组长为李玉霞，项目负责人为李玉霞,组员为刘刚、吴彦彪、杨婷、刘莹，其中：杨婷负责监管工作，马顺远负责项目档案资料，徐宏菊负责资金拨付工作。</w:t>
      </w:r>
    </w:p>
    <w:p w14:paraId="3E30649F">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lang w:val="en-US" w:eastAsia="zh-CN"/>
        </w:rPr>
      </w:pPr>
      <w:bookmarkStart w:id="22" w:name="_Toc10240"/>
      <w:bookmarkStart w:id="23" w:name="_Toc12348"/>
      <w:bookmarkStart w:id="24" w:name="_Toc569"/>
      <w:bookmarkStart w:id="25" w:name="_Toc1858"/>
      <w:r>
        <w:rPr>
          <w:rFonts w:hint="eastAsia" w:ascii="仿宋_GB2312" w:hAnsi="仿宋_GB2312" w:eastAsia="仿宋_GB2312" w:cs="仿宋_GB2312"/>
          <w:b w:val="0"/>
          <w:bCs w:val="0"/>
          <w:color w:val="auto"/>
          <w:sz w:val="32"/>
          <w:szCs w:val="32"/>
          <w:lang w:val="en-US" w:eastAsia="zh-CN"/>
        </w:rPr>
        <w:t>截至2024年12月31日</w:t>
      </w:r>
      <w:r>
        <w:rPr>
          <w:rFonts w:hint="eastAsia"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本项目完成每学年以720元/生/学年的标准使用公用经费,在校人数1430人，公用经费、教师培训结业率均达到100%，学校正常运转率达到100%，公用经费支出及时率达到100%，该项目的实施有效改善教学环境，提供良好的学生成长条件，保障学校正常运转效益，师生满意度达到90%。</w:t>
      </w:r>
    </w:p>
    <w:p w14:paraId="346F46B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74439C29">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26369"/>
      <w:bookmarkStart w:id="27" w:name="_Toc23509"/>
      <w:bookmarkStart w:id="28" w:name="_Toc694"/>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0CB1C77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9" w:name="_Toc9464"/>
      <w:bookmarkStart w:id="30" w:name="_Toc29190"/>
      <w:bookmarkStart w:id="31" w:name="_Toc5573"/>
      <w:r>
        <w:rPr>
          <w:rFonts w:hint="eastAsia" w:ascii="仿宋_GB2312" w:hAnsi="仿宋_GB2312" w:eastAsia="仿宋_GB2312" w:cs="仿宋_GB2312"/>
          <w:sz w:val="32"/>
          <w:szCs w:val="32"/>
          <w:highlight w:val="none"/>
          <w:lang w:val="en-US" w:eastAsia="zh-CN"/>
        </w:rPr>
        <w:t>该项目年初预算数17.97万元，全年预算数14.56万元，该项目资金已全部落实到位，资金来源为</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sz w:val="32"/>
          <w:szCs w:val="32"/>
          <w:highlight w:val="none"/>
          <w:lang w:val="en-US" w:eastAsia="zh-CN"/>
        </w:rPr>
        <w:t>。</w:t>
      </w:r>
      <w:bookmarkEnd w:id="29"/>
      <w:bookmarkEnd w:id="30"/>
      <w:bookmarkEnd w:id="31"/>
      <w:bookmarkStart w:id="32" w:name="_Toc3409"/>
      <w:bookmarkStart w:id="33" w:name="_Toc1166"/>
      <w:bookmarkStart w:id="34" w:name="_Toc28187"/>
    </w:p>
    <w:p w14:paraId="629B505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bookmarkEnd w:id="32"/>
      <w:bookmarkEnd w:id="33"/>
      <w:bookmarkEnd w:id="34"/>
    </w:p>
    <w:p w14:paraId="0A0FD80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5" w:name="_Toc1430"/>
      <w:bookmarkStart w:id="36" w:name="_Toc11647"/>
      <w:bookmarkStart w:id="37" w:name="_Toc29121"/>
      <w:r>
        <w:rPr>
          <w:rFonts w:hint="eastAsia" w:ascii="仿宋_GB2312" w:hAnsi="仿宋_GB2312" w:eastAsia="仿宋_GB2312" w:cs="仿宋_GB2312"/>
          <w:sz w:val="32"/>
          <w:szCs w:val="32"/>
          <w:highlight w:val="none"/>
          <w:lang w:val="en-US" w:eastAsia="zh-CN"/>
        </w:rPr>
        <w:t>该项目年初预算数17.97万元，全年预算数14.56万元，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sz w:val="32"/>
          <w:szCs w:val="32"/>
          <w:highlight w:val="none"/>
          <w:lang w:val="en-US" w:eastAsia="zh-CN"/>
        </w:rPr>
        <w:t>全年执行数13.66万元，预算执行率为93.82%，主要用于：学校办公费，水电费，印刷费、维修等公用支出。</w:t>
      </w:r>
      <w:bookmarkEnd w:id="35"/>
      <w:bookmarkEnd w:id="36"/>
      <w:bookmarkEnd w:id="37"/>
    </w:p>
    <w:p w14:paraId="03115CC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5EF64A0E">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10047"/>
      <w:bookmarkStart w:id="40" w:name="_Toc2547"/>
      <w:bookmarkStart w:id="41" w:name="_Toc8528"/>
      <w:bookmarkStart w:id="42"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0C79735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2024年小学义务教育生均经费项目绩效总体目标为：保障学校正常运转，完成教学活动及其他日常业务的正常运转。2024年学校在校学生人数1430人，计划完成每学年以720元/生/学年的标准使用公用经费,公用经费、教师培训结业率达到100%。项目实施将有效改善教学环境，提供良好的生成长条件，保障学校正常运转,师生满意度预计将达到90%以上。</w:t>
      </w:r>
    </w:p>
    <w:p w14:paraId="4F2C1DFD">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4007"/>
      <w:bookmarkStart w:id="44" w:name="_Toc4487"/>
      <w:bookmarkStart w:id="45" w:name="_Toc8990"/>
      <w:bookmarkStart w:id="46" w:name="_Toc325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4760330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51F901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163A7B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16A313E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在校学生人数（人）</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指标，预期目标值为=1430人；</w:t>
      </w:r>
    </w:p>
    <w:p w14:paraId="46ED277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1A782C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公用经费享受比例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90A920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教师培训结业率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076755B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19B9F72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公用经费支出及时率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3CE47C0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14:paraId="1A7FD81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指标，预期目标值为=720元/人/年；</w:t>
      </w:r>
    </w:p>
    <w:p w14:paraId="2B3D8B5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3FFD7E3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①社会效益指标</w:t>
      </w:r>
    </w:p>
    <w:p w14:paraId="3116A10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学校正常运转率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5FBF0DC6">
      <w:pPr>
        <w:pageBreakBefore w:val="0"/>
        <w:widowControl w:val="0"/>
        <w:kinsoku/>
        <w:wordWrap/>
        <w:overflowPunct/>
        <w:topLinePunct w:val="0"/>
        <w:autoSpaceDE/>
        <w:autoSpaceDN/>
        <w:bidi w:val="0"/>
        <w:adjustRightInd/>
        <w:snapToGrid/>
        <w:spacing w:line="560" w:lineRule="exact"/>
        <w:textAlignment w:val="auto"/>
        <w:rPr>
          <w:rFonts w:hint="eastAsia"/>
          <w:color w:va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3029056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师生满意度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60E8E561">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047AEC4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22922"/>
      <w:bookmarkStart w:id="49" w:name="_Toc5462343"/>
      <w:bookmarkStart w:id="50" w:name="_Toc22169_WPSOffice_Level2"/>
      <w:bookmarkStart w:id="51" w:name="_Toc21664"/>
      <w:bookmarkStart w:id="52" w:name="_Toc5258"/>
      <w:bookmarkStart w:id="53" w:name="_Toc480473081"/>
      <w:bookmarkStart w:id="54" w:name="_Toc12868"/>
      <w:bookmarkStart w:id="55" w:name="_Toc26632"/>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54F817DF">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28759482">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E96E89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6E6313E1">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55742C4D">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5F2851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14FC4D44">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21770"/>
      <w:bookmarkStart w:id="59" w:name="_Toc417"/>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4E9CCA84">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467305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7F5308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566AE5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0908B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330D1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311A07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54393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17FEF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21828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46F3A9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9F7CD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BAE8CAB">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16346"/>
      <w:bookmarkStart w:id="62"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108E1B3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文件要求对2024年度我单位实施的</w:t>
      </w:r>
      <w:r>
        <w:rPr>
          <w:rFonts w:hint="eastAsia" w:ascii="仿宋_GB2312" w:hAnsi="仿宋_GB2312" w:eastAsia="仿宋_GB2312" w:cs="仿宋_GB2312"/>
          <w:color w:val="auto"/>
          <w:sz w:val="32"/>
          <w:szCs w:val="32"/>
          <w:highlight w:val="none"/>
          <w:shd w:val="clear" w:color="auto" w:fill="auto"/>
          <w:lang w:val="en-US" w:eastAsia="zh-CN"/>
        </w:rPr>
        <w:t>2024年小学义务教育生均经费</w:t>
      </w:r>
      <w:r>
        <w:rPr>
          <w:rFonts w:hint="default" w:ascii="仿宋_GB2312" w:hAnsi="仿宋_GB2312" w:eastAsia="仿宋_GB2312" w:cs="仿宋_GB2312"/>
          <w:color w:val="000000" w:themeColor="text1"/>
          <w:sz w:val="32"/>
          <w:szCs w:val="32"/>
          <w:highlight w:val="none"/>
          <w:shd w:val="clear" w:color="auto" w:fill="auto"/>
          <w14:textFill>
            <w14:solidFill>
              <w14:schemeClr w14:val="tx1"/>
            </w14:solidFill>
          </w14:textFill>
        </w:rPr>
        <w:t>及其预算执行情况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开展部门绩效评价。</w:t>
      </w:r>
    </w:p>
    <w:p w14:paraId="6C9D314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该项目由</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阜康市第三小学</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负责实施，旨在</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有效改善教学环境，提供良好的学生成长条件，保障学校正常运转的效益</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。项目预算涵盖从</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2024年1</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月21日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至</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2024年12月31日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13.66</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487A4649">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0FEE3059">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337EC15E">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03644237">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28637AA">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50E04C42">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社会影响：考察项目对社会方面的综合影响。</w:t>
      </w:r>
    </w:p>
    <w:p w14:paraId="6961F21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1286"/>
      <w:bookmarkStart w:id="66" w:name="_Toc29785"/>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3812D963">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5354"/>
      <w:bookmarkStart w:id="68" w:name="_Toc24506"/>
      <w:bookmarkStart w:id="69" w:name="_Toc13694"/>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49ECCCC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lang w:val="en-US" w:eastAsia="zh-CN"/>
        </w:rPr>
        <w:t>2024年小学义务教育生均经费</w:t>
      </w:r>
      <w:r>
        <w:rPr>
          <w:rFonts w:hint="eastAsia" w:ascii="Times New Roman" w:hAnsi="Times New Roman" w:eastAsia="仿宋_GB2312" w:cs="Times New Roman"/>
          <w:color w:val="auto"/>
          <w:sz w:val="32"/>
          <w:szCs w:val="32"/>
          <w:lang w:eastAsia="zh-CN"/>
        </w:rPr>
        <w:t>项目</w:t>
      </w:r>
      <w:r>
        <w:rPr>
          <w:rFonts w:hint="eastAsia" w:ascii="Times New Roman" w:hAnsi="Times New Roman" w:eastAsia="仿宋_GB2312" w:cs="Times New Roman"/>
          <w:color w:val="000000"/>
          <w:sz w:val="32"/>
          <w:szCs w:val="32"/>
          <w:lang w:eastAsia="zh-CN"/>
        </w:rPr>
        <w:t>实际开展情况，运用定量和定性分析相结合的方法，总结经验做法，反思项目实施和管理中的问题，以切实提升财政资金管理的科学化、规范化和精细化水平。</w:t>
      </w:r>
    </w:p>
    <w:p w14:paraId="4DFDB985">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618FDB05">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4C7685D2">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615A2513">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2928E1B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0BC20DD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26131"/>
      <w:bookmarkStart w:id="71" w:name="_Toc24396"/>
      <w:bookmarkStart w:id="72" w:name="_Toc419984722"/>
      <w:bookmarkStart w:id="73" w:name="_Toc1913"/>
      <w:bookmarkStart w:id="74" w:name="_Toc428278230"/>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0BBE384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49D5BA2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33FE3D8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09EEF2B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30AC24F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0B2200C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2D4807E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58E1F96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5C785F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71103D4C">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5690"/>
      <w:bookmarkStart w:id="77" w:name="_Toc3011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2F19BAFA">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52788371">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3DDA9F38">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79" w:name="_Toc25651"/>
      <w:bookmarkStart w:id="80" w:name="_Toc6081"/>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r>
        <w:rPr>
          <w:rFonts w:hint="eastAsia" w:ascii="Times New Roman" w:hAnsi="Times New Roman" w:eastAsia="仿宋_GB2312" w:cs="Times New Roman"/>
          <w:color w:val="000000"/>
          <w:spacing w:val="17"/>
          <w:sz w:val="32"/>
          <w:szCs w:val="32"/>
          <w:highlight w:val="none"/>
          <w:lang w:val="en-US" w:eastAsia="zh-CN"/>
        </w:rPr>
        <w:t>原因：对历年</w:t>
      </w:r>
      <w:r>
        <w:rPr>
          <w:rFonts w:hint="default" w:ascii="Times New Roman" w:hAnsi="Times New Roman" w:eastAsia="仿宋_GB2312" w:cs="Times New Roman"/>
          <w:color w:val="000000"/>
          <w:spacing w:val="17"/>
          <w:sz w:val="32"/>
          <w:szCs w:val="32"/>
          <w:highlight w:val="none"/>
        </w:rPr>
        <w:t>支出情况进行比较</w:t>
      </w:r>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以利于成本的控制</w:t>
      </w:r>
    </w:p>
    <w:p w14:paraId="1A1F6133">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r>
        <w:rPr>
          <w:rFonts w:hint="eastAsia" w:ascii="Times New Roman" w:hAnsi="Times New Roman" w:eastAsia="仿宋_GB2312" w:cs="Times New Roman"/>
          <w:color w:val="000000"/>
          <w:spacing w:val="17"/>
          <w:sz w:val="32"/>
          <w:szCs w:val="32"/>
          <w:highlight w:val="none"/>
          <w:lang w:val="en-US" w:eastAsia="zh-CN"/>
        </w:rPr>
        <w:t>原因：便于控制各个</w:t>
      </w:r>
      <w:r>
        <w:rPr>
          <w:rFonts w:hint="default" w:ascii="Times New Roman" w:hAnsi="Times New Roman" w:eastAsia="仿宋_GB2312" w:cs="Times New Roman"/>
          <w:color w:val="000000"/>
          <w:spacing w:val="17"/>
          <w:sz w:val="32"/>
          <w:szCs w:val="32"/>
          <w:highlight w:val="none"/>
        </w:rPr>
        <w:t>因素</w:t>
      </w:r>
      <w:r>
        <w:rPr>
          <w:rFonts w:hint="eastAsia" w:ascii="Times New Roman" w:hAnsi="Times New Roman" w:eastAsia="仿宋_GB2312" w:cs="Times New Roman"/>
          <w:color w:val="000000"/>
          <w:spacing w:val="17"/>
          <w:sz w:val="32"/>
          <w:szCs w:val="32"/>
          <w:highlight w:val="none"/>
          <w:lang w:val="en-US" w:eastAsia="zh-CN"/>
        </w:rPr>
        <w:t>对内外部的影响的结果。</w:t>
      </w:r>
    </w:p>
    <w:p w14:paraId="22BE23F2">
      <w:pPr>
        <w:spacing w:line="560" w:lineRule="exact"/>
        <w:ind w:firstLine="708" w:firstLineChars="200"/>
        <w:rPr>
          <w:rFonts w:hint="default" w:ascii="仿宋_GB2312" w:hAnsi="仿宋_GB2312" w:eastAsia="仿宋_GB2312" w:cs="仿宋_GB2312"/>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r>
        <w:rPr>
          <w:rFonts w:hint="eastAsia" w:ascii="Times New Roman" w:hAnsi="Times New Roman" w:eastAsia="仿宋_GB2312" w:cs="Times New Roman"/>
          <w:color w:val="000000"/>
          <w:spacing w:val="17"/>
          <w:sz w:val="32"/>
          <w:szCs w:val="32"/>
          <w:highlight w:val="none"/>
          <w:lang w:val="en-US" w:eastAsia="zh-CN"/>
        </w:rPr>
        <w:t>原因：便于节约资金，防止浪费，发挥资金最大效益化。</w:t>
      </w:r>
    </w:p>
    <w:p w14:paraId="087DCBBB">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4F4A3FC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其他标准。</w:t>
      </w:r>
    </w:p>
    <w:p w14:paraId="676FF6F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2B4AEE4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财政部门和预算部门确认或认可的其他标准。</w:t>
      </w:r>
    </w:p>
    <w:p w14:paraId="04D3244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70E1F474">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2559E3A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72820D9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49755B8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4F0FD54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绩效评价项目小组依据此次绩效评价受委托内容，对拟评价的项目实施前期调研。通过2024年小学义务教育生均经费</w:t>
      </w:r>
      <w:r>
        <w:rPr>
          <w:rFonts w:hint="eastAsia" w:ascii="Times New Roman" w:hAnsi="Times New Roman" w:eastAsia="仿宋_GB2312" w:cs="Times New Roman"/>
          <w:color w:val="auto"/>
          <w:spacing w:val="17"/>
          <w:sz w:val="32"/>
          <w:szCs w:val="32"/>
          <w:highlight w:val="none"/>
          <w:lang w:val="en-US" w:eastAsia="zh-CN"/>
        </w:rPr>
        <w:t>项目</w:t>
      </w:r>
      <w:r>
        <w:rPr>
          <w:rFonts w:hint="eastAsia" w:ascii="Times New Roman" w:hAnsi="Times New Roman" w:eastAsia="仿宋_GB2312" w:cs="Times New Roman"/>
          <w:color w:val="000000"/>
          <w:spacing w:val="17"/>
          <w:sz w:val="32"/>
          <w:szCs w:val="32"/>
          <w:highlight w:val="none"/>
          <w:lang w:val="en-US" w:eastAsia="zh-CN"/>
        </w:rPr>
        <w:t>实施内容、目标信息、预算信息以及其他的一些项目基本信息，有了初步了解，为制定绩效评价工作方案做好准备。</w:t>
      </w:r>
      <w:bookmarkEnd w:id="84"/>
    </w:p>
    <w:p w14:paraId="7110EFE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6A37B41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2FF4407C">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74BFB2F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3A80FF0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4F10252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3D37729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7924BF1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612A70B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38E703D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6812D05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38D9688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75171BC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535E9ACB">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2B86A17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069A1A0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264D236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5E541A9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576552C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07E017BB">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3354FBF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2A1698A9">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2024年小学义务教育生均经费项目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w:t>
      </w:r>
      <w:r>
        <w:rPr>
          <w:rFonts w:hint="default" w:ascii="Times New Roman" w:hAnsi="Times New Roman" w:eastAsia="仿宋_GB2312" w:cs="Times New Roman"/>
          <w:sz w:val="32"/>
          <w:szCs w:val="32"/>
          <w:highlight w:val="none"/>
        </w:rPr>
        <w:t>的标准与要求。</w:t>
      </w:r>
    </w:p>
    <w:p w14:paraId="6FFCC3EE">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阜康市第三小学单位</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71AC8B6C">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学校正常运转率改善教学环境，提供良好的学生成长条件等方面的提升，为项目的利益相关者带来了实实在在的利益。</w:t>
      </w:r>
    </w:p>
    <w:p w14:paraId="514AFB9C">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2024年小学义务教育生均经费项目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评价等级为优</w:t>
      </w:r>
      <w:r>
        <w:rPr>
          <w:rFonts w:hint="default" w:ascii="Times New Roman" w:hAnsi="Times New Roman" w:eastAsia="仿宋_GB2312" w:cs="Times New Roman"/>
          <w:sz w:val="32"/>
          <w:szCs w:val="32"/>
          <w:highlight w:val="none"/>
        </w:rPr>
        <w:t>。</w:t>
      </w:r>
    </w:p>
    <w:p w14:paraId="5508BE6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76354C0D">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采用的方法比较法、因素分析法、</w:t>
      </w:r>
      <w:r>
        <w:rPr>
          <w:rFonts w:hint="default" w:ascii="Times New Roman" w:hAnsi="Times New Roman" w:eastAsia="仿宋_GB2312" w:cs="Times New Roman"/>
          <w:color w:val="000000"/>
          <w:spacing w:val="17"/>
          <w:sz w:val="32"/>
          <w:szCs w:val="32"/>
          <w:highlight w:val="none"/>
        </w:rPr>
        <w:t>最低成本法</w:t>
      </w:r>
      <w:r>
        <w:rPr>
          <w:rFonts w:hint="eastAsia" w:ascii="Times New Roman" w:hAnsi="Times New Roman" w:eastAsia="仿宋_GB2312" w:cs="Times New Roman"/>
          <w:color w:val="000000"/>
          <w:spacing w:val="17"/>
          <w:sz w:val="32"/>
          <w:szCs w:val="32"/>
          <w:highlight w:val="none"/>
          <w:lang w:val="en-US" w:eastAsia="zh-CN"/>
        </w:rPr>
        <w:t>，</w:t>
      </w:r>
      <w:r>
        <w:rPr>
          <w:rFonts w:hint="eastAsia" w:ascii="Times New Roman" w:hAnsi="Times New Roman" w:eastAsia="仿宋_GB2312" w:cs="Times New Roman"/>
          <w:color w:val="000000"/>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2024年小学义务教育生均经费项目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99.38</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19.75</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98.75</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397517D1">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018C3A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ascii="宋体" w:hAnsi="宋体" w:eastAsia="宋体" w:cs="宋体"/>
                <w:b/>
                <w:bCs/>
                <w:color w:val="auto"/>
                <w:kern w:val="0"/>
                <w:sz w:val="28"/>
                <w:szCs w:val="28"/>
                <w:highlight w:val="none"/>
                <w:shd w:val="clear" w:color="auto" w:fill="auto"/>
                <w:lang w:val="en-US" w:eastAsia="zh-CN"/>
              </w:rPr>
              <w:t>2024年小学义务教育生均经费项目</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得分表</w:t>
            </w:r>
          </w:p>
        </w:tc>
      </w:tr>
      <w:tr w14:paraId="4E75D719">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0FC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ED1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9B1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CE7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C9B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F1C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6830A4DA">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D94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FFD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5E9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EE2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29E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EB3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4EF2D080">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0F4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5AB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A25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19.75</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7F9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D52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EFC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98.95</w:t>
            </w:r>
          </w:p>
        </w:tc>
      </w:tr>
      <w:tr w14:paraId="74D52568">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6E9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55B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F22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98.75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F27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FD9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C7F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98.95</w:t>
            </w:r>
            <w:r>
              <w:rPr>
                <w:rFonts w:hint="eastAsia" w:ascii="宋体" w:hAnsi="宋体" w:eastAsia="宋体" w:cs="宋体"/>
                <w:color w:val="auto"/>
                <w:kern w:val="0"/>
                <w:sz w:val="21"/>
                <w:szCs w:val="21"/>
                <w:highlight w:val="none"/>
                <w:shd w:val="clear" w:color="auto" w:fill="auto"/>
                <w:lang w:val="en-US" w:eastAsia="zh-CN"/>
              </w:rPr>
              <w:t>%</w:t>
            </w:r>
          </w:p>
        </w:tc>
      </w:tr>
    </w:tbl>
    <w:p w14:paraId="14351A2E">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09EF4CE8">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165F9232">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21C46B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010D7B1E">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086966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18E37B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03A169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C111D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7C1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57A9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5753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6B971F90">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892D0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4878D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FB818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B7BCD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1A4EB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4BBF9E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A8B7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7C6E9C1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right w:val="single" w:color="000000" w:sz="4" w:space="0"/>
            </w:tcBorders>
            <w:shd w:val="clear" w:color="auto" w:fill="auto"/>
            <w:tcMar>
              <w:top w:w="12" w:type="dxa"/>
              <w:left w:w="12" w:type="dxa"/>
              <w:right w:w="12" w:type="dxa"/>
            </w:tcMar>
            <w:vAlign w:val="center"/>
          </w:tcPr>
          <w:p w14:paraId="59E66F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000000" w:sz="4" w:space="0"/>
              <w:right w:val="single" w:color="000000" w:sz="4" w:space="0"/>
            </w:tcBorders>
            <w:shd w:val="clear" w:color="auto" w:fill="auto"/>
            <w:tcMar>
              <w:top w:w="12" w:type="dxa"/>
              <w:left w:w="12" w:type="dxa"/>
              <w:right w:w="12" w:type="dxa"/>
            </w:tcMar>
            <w:vAlign w:val="center"/>
          </w:tcPr>
          <w:p w14:paraId="754C3A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A452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724B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D9C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A336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F2B5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623F5D70">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1F8D16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F10ED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3FB8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051E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19CC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B53A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3FFE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2626DE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480831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11587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2516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7A05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B7E4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74C5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43B3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CF6AC90">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003861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24BEF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FAF88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B1FA1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67E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140A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C0F0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57BA740">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734A4F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18CA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8CD7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CD20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187F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B656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D69B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0B70984A">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F744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10C6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D589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641E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BBC6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2FE5D4BF">
      <w:pPr>
        <w:pageBreakBefore w:val="0"/>
        <w:kinsoku/>
        <w:wordWrap/>
        <w:overflowPunct/>
        <w:topLinePunct w:val="0"/>
        <w:autoSpaceDE/>
        <w:autoSpaceDN/>
        <w:bidi w:val="0"/>
        <w:spacing w:line="560" w:lineRule="exact"/>
        <w:ind w:left="0" w:leftChars="0" w:firstLine="0" w:firstLineChars="0"/>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328BA25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①项目立项符合新疆维吾尔自治区关于《自治区义务教育经费保障机制管理办法》的通知（新财教[2017]19号）文件；</w:t>
      </w:r>
    </w:p>
    <w:p w14:paraId="4A84A173">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sz w:val="32"/>
          <w:szCs w:val="32"/>
          <w:lang w:eastAsia="zh-CN"/>
        </w:rPr>
        <w:t>②项目立项符合项目立项符合《</w:t>
      </w:r>
      <w:r>
        <w:rPr>
          <w:rFonts w:hint="eastAsia" w:ascii="仿宋_GB2312" w:hAnsi="仿宋_GB2312" w:eastAsia="仿宋_GB2312" w:cs="仿宋_GB2312"/>
          <w:sz w:val="32"/>
          <w:szCs w:val="32"/>
          <w:lang w:val="en-US" w:eastAsia="zh-CN"/>
        </w:rPr>
        <w:t>阜康市教育扶贫惠民政策宣传手册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政策要求；</w:t>
      </w:r>
    </w:p>
    <w:p w14:paraId="5A06329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w:t>
      </w:r>
      <w:r>
        <w:rPr>
          <w:rFonts w:hint="eastAsia" w:ascii="仿宋_GB2312" w:hAnsi="仿宋_GB2312" w:eastAsia="仿宋_GB2312" w:cs="仿宋_GB2312"/>
          <w:sz w:val="32"/>
          <w:szCs w:val="32"/>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sz w:val="32"/>
          <w:szCs w:val="32"/>
          <w:lang w:eastAsia="zh-CN"/>
        </w:rPr>
        <w:t>部门职责范围相符，属于部门履职所需；</w:t>
      </w:r>
    </w:p>
    <w:p w14:paraId="3C52E96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482E6CA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37C683D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综上，该项指标满分2分，得分2分。</w:t>
      </w:r>
    </w:p>
    <w:p w14:paraId="635961F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0BAFF4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①项目按照规定的程序申请设立；</w:t>
      </w:r>
    </w:p>
    <w:p w14:paraId="39038B9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②审批文件、材料符合相关要求；</w:t>
      </w:r>
    </w:p>
    <w:p w14:paraId="004B884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③事前经过必要的集体决策，</w:t>
      </w:r>
      <w:r>
        <w:rPr>
          <w:rFonts w:hint="eastAsia" w:ascii="仿宋_GB2312" w:hAnsi="仿宋_GB2312" w:eastAsia="仿宋_GB2312" w:cs="仿宋_GB2312"/>
          <w:sz w:val="32"/>
          <w:szCs w:val="32"/>
          <w:highlight w:val="none"/>
          <w:lang w:val="en-US" w:eastAsia="zh-CN"/>
        </w:rPr>
        <w:t>未</w:t>
      </w:r>
      <w:r>
        <w:rPr>
          <w:rFonts w:hint="eastAsia" w:ascii="仿宋_GB2312" w:hAnsi="仿宋_GB2312" w:eastAsia="仿宋_GB2312" w:cs="仿宋_GB2312"/>
          <w:sz w:val="32"/>
          <w:szCs w:val="32"/>
          <w:highlight w:val="none"/>
          <w:lang w:eastAsia="zh-CN"/>
        </w:rPr>
        <w:t>经过可行性研究、专家论证、风险评估、绩效评估、</w:t>
      </w:r>
      <w:r>
        <w:rPr>
          <w:rFonts w:hint="eastAsia" w:ascii="仿宋_GB2312" w:hAnsi="仿宋_GB2312" w:eastAsia="仿宋_GB2312" w:cs="仿宋_GB2312"/>
          <w:sz w:val="32"/>
          <w:szCs w:val="32"/>
          <w:highlight w:val="none"/>
          <w:lang w:val="en-US" w:eastAsia="zh-CN"/>
        </w:rPr>
        <w:t>扣0.8分</w:t>
      </w:r>
    </w:p>
    <w:p w14:paraId="4EB178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3分，得分2.2分</w:t>
      </w:r>
      <w:r>
        <w:rPr>
          <w:rFonts w:hint="eastAsia" w:ascii="仿宋_GB2312" w:hAnsi="仿宋_GB2312" w:eastAsia="仿宋_GB2312" w:cs="仿宋_GB2312"/>
          <w:b/>
          <w:bCs/>
          <w:sz w:val="32"/>
          <w:szCs w:val="32"/>
          <w:lang w:val="en-US" w:eastAsia="zh-CN"/>
        </w:rPr>
        <w:t>。</w:t>
      </w:r>
    </w:p>
    <w:p w14:paraId="27D37EE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3" w:name="_Toc23542"/>
      <w:bookmarkStart w:id="114" w:name="_Toc15382"/>
      <w:r>
        <w:rPr>
          <w:rFonts w:hint="eastAsia" w:ascii="仿宋_GB2312" w:hAnsi="仿宋_GB2312" w:eastAsia="仿宋_GB2312" w:cs="仿宋_GB2312"/>
          <w:b/>
          <w:bCs/>
          <w:sz w:val="32"/>
          <w:szCs w:val="32"/>
          <w:lang w:val="en-US" w:eastAsia="zh-CN"/>
        </w:rPr>
        <w:t>3.绩效目标合理性</w:t>
      </w:r>
      <w:bookmarkEnd w:id="113"/>
      <w:bookmarkEnd w:id="114"/>
    </w:p>
    <w:p w14:paraId="2DEDBA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4A39DF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②该项目实际工作内容为：</w:t>
      </w:r>
      <w:r>
        <w:rPr>
          <w:rFonts w:hint="eastAsia" w:ascii="仿宋_GB2312" w:hAnsi="仿宋_GB2312" w:eastAsia="仿宋_GB2312" w:cs="仿宋_GB2312"/>
          <w:color w:val="auto"/>
          <w:sz w:val="32"/>
          <w:szCs w:val="32"/>
          <w:highlight w:val="none"/>
          <w:lang w:eastAsia="zh-CN"/>
        </w:rPr>
        <w:t>保障学校正常运转，完成教学活动及其他日常业务的正常运转。2024年学校在校学生人数1430人，计划完成每学年以720元/生/学年的标准使用公用经费,公用经费、教师培训结业率达到100%。项目实施将有效改善教学环境，提供良好的学生成长条件，保障学校正常运转,师生满意度预计将达到90%以上。绩</w:t>
      </w:r>
      <w:r>
        <w:rPr>
          <w:rFonts w:hint="eastAsia" w:ascii="仿宋_GB2312" w:hAnsi="仿宋_GB2312" w:eastAsia="仿宋_GB2312" w:cs="仿宋_GB2312"/>
          <w:sz w:val="32"/>
          <w:szCs w:val="32"/>
          <w:highlight w:val="none"/>
          <w:lang w:eastAsia="zh-CN"/>
        </w:rPr>
        <w:t>效目标与实际工作内容一致，两者具有相关性。</w:t>
      </w:r>
    </w:p>
    <w:p w14:paraId="323189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③该项目按照绩效目标完成数量指标、质量指标、时效指标、成本指标，完成了</w:t>
      </w:r>
      <w:r>
        <w:rPr>
          <w:rFonts w:hint="eastAsia" w:ascii="仿宋_GB2312" w:hAnsi="仿宋_GB2312" w:eastAsia="仿宋_GB2312" w:cs="仿宋_GB2312"/>
          <w:color w:val="auto"/>
          <w:sz w:val="32"/>
          <w:szCs w:val="32"/>
          <w:highlight w:val="none"/>
          <w:lang w:eastAsia="zh-CN"/>
        </w:rPr>
        <w:t>完成每学年以720元/生/学年的标准使用公用经费,在校人数1430人，公用经费、教师培训结业率均达到100%，学校正常运转率达到100%，公用经费支出及时率达到100%，达到有效改善教学环境，提供良好的学生成长条件，保障学校正常运转效益，</w:t>
      </w:r>
      <w:r>
        <w:rPr>
          <w:rFonts w:hint="eastAsia" w:ascii="仿宋_GB2312" w:hAnsi="仿宋_GB2312" w:eastAsia="仿宋_GB2312" w:cs="仿宋_GB2312"/>
          <w:sz w:val="32"/>
          <w:szCs w:val="32"/>
          <w:highlight w:val="none"/>
          <w:lang w:eastAsia="zh-CN"/>
        </w:rPr>
        <w:t>预期产出效益和效果是符合正常的业绩水平。</w:t>
      </w:r>
    </w:p>
    <w:p w14:paraId="0204C1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14.56</w:t>
      </w:r>
      <w:r>
        <w:rPr>
          <w:rFonts w:hint="eastAsia" w:ascii="仿宋_GB2312" w:hAnsi="仿宋_GB2312" w:eastAsia="仿宋_GB2312" w:cs="仿宋_GB2312"/>
          <w:sz w:val="32"/>
          <w:szCs w:val="32"/>
          <w:highlight w:val="none"/>
          <w:lang w:eastAsia="zh-CN"/>
        </w:rPr>
        <w:t>万元，预算确定的项目资金与预算确定的项目投资额相匹配。</w:t>
      </w:r>
    </w:p>
    <w:p w14:paraId="173D1B2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1AE62C7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10650"/>
      <w:bookmarkStart w:id="116" w:name="_Toc18198"/>
      <w:r>
        <w:rPr>
          <w:rFonts w:hint="eastAsia" w:ascii="仿宋_GB2312" w:hAnsi="仿宋_GB2312" w:eastAsia="仿宋_GB2312" w:cs="仿宋_GB2312"/>
          <w:b/>
          <w:bCs/>
          <w:sz w:val="32"/>
          <w:szCs w:val="32"/>
          <w:lang w:val="en-US" w:eastAsia="zh-CN"/>
        </w:rPr>
        <w:t>4.绩效指标明确性</w:t>
      </w:r>
      <w:bookmarkEnd w:id="115"/>
      <w:bookmarkEnd w:id="116"/>
    </w:p>
    <w:p w14:paraId="2117D4E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①将项目绩效目标细化分解为具体的绩效指标，</w:t>
      </w:r>
      <w:r>
        <w:rPr>
          <w:rFonts w:hint="eastAsia" w:ascii="仿宋_GB2312" w:hAnsi="仿宋_GB2312" w:eastAsia="仿宋_GB2312" w:cs="仿宋_GB2312"/>
          <w:sz w:val="32"/>
          <w:szCs w:val="32"/>
          <w:lang w:val="en-US" w:eastAsia="zh-CN"/>
        </w:rPr>
        <w:t>其中三级指标共计8</w:t>
      </w:r>
      <w:r>
        <w:rPr>
          <w:rFonts w:hint="eastAsia" w:ascii="仿宋_GB2312" w:hAnsi="仿宋_GB2312" w:eastAsia="仿宋_GB2312" w:cs="仿宋_GB2312"/>
          <w:color w:val="auto"/>
          <w:sz w:val="32"/>
          <w:szCs w:val="32"/>
          <w:lang w:val="en-US" w:eastAsia="zh-CN"/>
        </w:rPr>
        <w:t>个</w:t>
      </w:r>
      <w:r>
        <w:rPr>
          <w:rFonts w:hint="eastAsia" w:ascii="仿宋_GB2312" w:hAnsi="仿宋_GB2312" w:eastAsia="仿宋_GB2312" w:cs="仿宋_GB2312"/>
          <w:sz w:val="32"/>
          <w:szCs w:val="32"/>
          <w:lang w:eastAsia="zh-CN"/>
        </w:rPr>
        <w:t>；</w:t>
      </w:r>
    </w:p>
    <w:p w14:paraId="3845EBA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量化率达到87.5%</w:t>
      </w:r>
      <w:r>
        <w:rPr>
          <w:rFonts w:hint="eastAsia" w:ascii="仿宋_GB2312" w:hAnsi="仿宋_GB2312" w:eastAsia="仿宋_GB2312" w:cs="仿宋_GB2312"/>
          <w:color w:val="auto"/>
          <w:sz w:val="32"/>
          <w:szCs w:val="32"/>
          <w:lang w:eastAsia="zh-CN"/>
        </w:rPr>
        <w:t>；</w:t>
      </w:r>
    </w:p>
    <w:p w14:paraId="69D82A6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③《项目绩效目标申报表》中，三级指标的年度指标值与年度绩效目标中任务数一致。</w:t>
      </w:r>
    </w:p>
    <w:p w14:paraId="5C6D35C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已设置的绩效目标具备明确性、可衡量性、可实现性、相关性、时限性。</w:t>
      </w:r>
    </w:p>
    <w:p w14:paraId="0D7F470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1967DC4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7" w:name="_Toc19401"/>
      <w:bookmarkStart w:id="118" w:name="_Toc8296"/>
      <w:r>
        <w:rPr>
          <w:rFonts w:hint="eastAsia" w:ascii="仿宋_GB2312" w:hAnsi="仿宋_GB2312" w:eastAsia="仿宋_GB2312" w:cs="仿宋_GB2312"/>
          <w:b/>
          <w:bCs/>
          <w:sz w:val="32"/>
          <w:szCs w:val="32"/>
          <w:lang w:val="en-US" w:eastAsia="zh-CN"/>
        </w:rPr>
        <w:t>5.预算编制科学性</w:t>
      </w:r>
      <w:bookmarkEnd w:id="117"/>
      <w:bookmarkEnd w:id="118"/>
    </w:p>
    <w:p w14:paraId="51E4AC6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根据项目预算批复，项目的</w:t>
      </w:r>
      <w:r>
        <w:rPr>
          <w:rFonts w:hint="eastAsia" w:ascii="仿宋_GB2312" w:hAnsi="仿宋_GB2312" w:eastAsia="仿宋_GB2312" w:cs="仿宋_GB2312"/>
          <w:sz w:val="32"/>
          <w:szCs w:val="32"/>
          <w:lang w:eastAsia="zh-CN"/>
        </w:rPr>
        <w:t>预算编制经过科学论证；</w:t>
      </w:r>
    </w:p>
    <w:p w14:paraId="207AB02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lang w:eastAsia="zh-CN"/>
        </w:rPr>
        <w:t>预算申请内容为</w:t>
      </w:r>
      <w:r>
        <w:rPr>
          <w:rFonts w:hint="eastAsia" w:ascii="仿宋_GB2312" w:hAnsi="仿宋_GB2312" w:eastAsia="仿宋_GB2312" w:cs="仿宋_GB2312"/>
          <w:color w:val="auto"/>
          <w:sz w:val="32"/>
          <w:szCs w:val="32"/>
          <w:lang w:eastAsia="zh-CN"/>
        </w:rPr>
        <w:t>学校正常运转率、改善教学环境，提供良好的学生成长条件，项目实际内容为学校正常运转率、改善教学环境，提供良好的学生成长条件，</w:t>
      </w:r>
      <w:r>
        <w:rPr>
          <w:rFonts w:hint="eastAsia" w:ascii="仿宋_GB2312" w:hAnsi="仿宋_GB2312" w:eastAsia="仿宋_GB2312" w:cs="仿宋_GB2312"/>
          <w:sz w:val="32"/>
          <w:szCs w:val="32"/>
          <w:lang w:eastAsia="zh-CN"/>
        </w:rPr>
        <w:t>预算申请与项目内容匹配；</w:t>
      </w:r>
    </w:p>
    <w:p w14:paraId="176EADD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③</w:t>
      </w:r>
      <w:r>
        <w:rPr>
          <w:rFonts w:hint="eastAsia" w:ascii="仿宋_GB2312" w:hAnsi="仿宋_GB2312" w:eastAsia="仿宋_GB2312" w:cs="仿宋_GB2312"/>
          <w:sz w:val="32"/>
          <w:szCs w:val="32"/>
          <w:lang w:eastAsia="zh-CN"/>
        </w:rPr>
        <w:t>项目预算申请资金</w:t>
      </w:r>
      <w:r>
        <w:rPr>
          <w:rFonts w:hint="eastAsia" w:ascii="仿宋_GB2312" w:hAnsi="仿宋_GB2312" w:eastAsia="仿宋_GB2312" w:cs="仿宋_GB2312"/>
          <w:sz w:val="32"/>
          <w:szCs w:val="32"/>
          <w:lang w:val="en-US" w:eastAsia="zh-CN"/>
        </w:rPr>
        <w:t>14.56</w:t>
      </w:r>
      <w:r>
        <w:rPr>
          <w:rFonts w:hint="eastAsia" w:ascii="仿宋_GB2312" w:hAnsi="仿宋_GB2312" w:eastAsia="仿宋_GB2312" w:cs="仿宋_GB2312"/>
          <w:color w:val="auto"/>
          <w:sz w:val="32"/>
          <w:szCs w:val="32"/>
          <w:lang w:val="en-US" w:eastAsia="zh-CN"/>
        </w:rPr>
        <w:t>万</w:t>
      </w:r>
      <w:r>
        <w:rPr>
          <w:rFonts w:hint="eastAsia" w:ascii="仿宋_GB2312" w:hAnsi="仿宋_GB2312" w:eastAsia="仿宋_GB2312" w:cs="仿宋_GB2312"/>
          <w:sz w:val="32"/>
          <w:szCs w:val="32"/>
          <w:lang w:eastAsia="zh-CN"/>
        </w:rPr>
        <w:t>元，我单位在预算申请中严格按照项目实施内容及测算标准进行核算，其中：</w:t>
      </w:r>
      <w:r>
        <w:rPr>
          <w:rFonts w:hint="eastAsia" w:ascii="仿宋_GB2312" w:hAnsi="仿宋_GB2312" w:eastAsia="仿宋_GB2312" w:cs="仿宋_GB2312"/>
          <w:color w:val="auto"/>
          <w:sz w:val="32"/>
          <w:szCs w:val="32"/>
          <w:lang w:eastAsia="zh-CN"/>
        </w:rPr>
        <w:t>办公费用</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万元、印刷费用</w:t>
      </w:r>
      <w:r>
        <w:rPr>
          <w:rFonts w:hint="eastAsia" w:ascii="仿宋_GB2312" w:hAnsi="仿宋_GB2312" w:eastAsia="仿宋_GB2312" w:cs="仿宋_GB2312"/>
          <w:color w:val="auto"/>
          <w:sz w:val="32"/>
          <w:szCs w:val="32"/>
          <w:lang w:val="en-US" w:eastAsia="zh-CN"/>
        </w:rPr>
        <w:t>1.54</w:t>
      </w:r>
      <w:r>
        <w:rPr>
          <w:rFonts w:hint="eastAsia" w:ascii="仿宋_GB2312" w:hAnsi="仿宋_GB2312" w:eastAsia="仿宋_GB2312" w:cs="仿宋_GB2312"/>
          <w:color w:val="auto"/>
          <w:sz w:val="32"/>
          <w:szCs w:val="32"/>
          <w:lang w:eastAsia="zh-CN"/>
        </w:rPr>
        <w:t>万元、维修费</w:t>
      </w:r>
      <w:r>
        <w:rPr>
          <w:rFonts w:hint="eastAsia" w:ascii="仿宋_GB2312" w:hAnsi="仿宋_GB2312" w:eastAsia="仿宋_GB2312" w:cs="仿宋_GB2312"/>
          <w:color w:val="auto"/>
          <w:sz w:val="32"/>
          <w:szCs w:val="32"/>
          <w:lang w:val="en-US" w:eastAsia="zh-CN"/>
        </w:rPr>
        <w:t>1.57万元、</w:t>
      </w:r>
      <w:r>
        <w:rPr>
          <w:rFonts w:hint="eastAsia" w:ascii="仿宋_GB2312" w:hAnsi="仿宋_GB2312" w:eastAsia="仿宋_GB2312" w:cs="仿宋_GB2312"/>
          <w:color w:val="auto"/>
          <w:sz w:val="32"/>
          <w:szCs w:val="32"/>
          <w:lang w:eastAsia="zh-CN"/>
        </w:rPr>
        <w:t>水费</w:t>
      </w:r>
      <w:r>
        <w:rPr>
          <w:rFonts w:hint="eastAsia" w:ascii="仿宋_GB2312" w:hAnsi="仿宋_GB2312" w:eastAsia="仿宋_GB2312" w:cs="仿宋_GB2312"/>
          <w:color w:val="auto"/>
          <w:sz w:val="32"/>
          <w:szCs w:val="32"/>
          <w:lang w:val="en-US" w:eastAsia="zh-CN"/>
        </w:rPr>
        <w:t>1.77</w:t>
      </w:r>
      <w:r>
        <w:rPr>
          <w:rFonts w:hint="eastAsia" w:ascii="仿宋_GB2312" w:hAnsi="仿宋_GB2312" w:eastAsia="仿宋_GB2312" w:cs="仿宋_GB2312"/>
          <w:color w:val="auto"/>
          <w:sz w:val="32"/>
          <w:szCs w:val="32"/>
          <w:lang w:eastAsia="zh-CN"/>
        </w:rPr>
        <w:t>万元、电费</w:t>
      </w:r>
      <w:r>
        <w:rPr>
          <w:rFonts w:hint="eastAsia" w:ascii="仿宋_GB2312" w:hAnsi="仿宋_GB2312" w:eastAsia="仿宋_GB2312" w:cs="仿宋_GB2312"/>
          <w:color w:val="auto"/>
          <w:sz w:val="32"/>
          <w:szCs w:val="32"/>
          <w:lang w:val="en-US" w:eastAsia="zh-CN"/>
        </w:rPr>
        <w:t>2.9</w:t>
      </w:r>
      <w:r>
        <w:rPr>
          <w:rFonts w:hint="eastAsia" w:ascii="仿宋_GB2312" w:hAnsi="仿宋_GB2312" w:eastAsia="仿宋_GB2312" w:cs="仿宋_GB2312"/>
          <w:color w:val="auto"/>
          <w:sz w:val="32"/>
          <w:szCs w:val="32"/>
          <w:lang w:eastAsia="zh-CN"/>
        </w:rPr>
        <w:t>万元、邮电费</w:t>
      </w:r>
      <w:r>
        <w:rPr>
          <w:rFonts w:hint="eastAsia" w:ascii="仿宋_GB2312" w:hAnsi="仿宋_GB2312" w:eastAsia="仿宋_GB2312" w:cs="仿宋_GB2312"/>
          <w:color w:val="auto"/>
          <w:sz w:val="32"/>
          <w:szCs w:val="32"/>
          <w:lang w:val="en-US" w:eastAsia="zh-CN"/>
        </w:rPr>
        <w:t>2.13</w:t>
      </w:r>
      <w:r>
        <w:rPr>
          <w:rFonts w:hint="eastAsia" w:ascii="仿宋_GB2312" w:hAnsi="仿宋_GB2312" w:eastAsia="仿宋_GB2312" w:cs="仿宋_GB2312"/>
          <w:color w:val="auto"/>
          <w:sz w:val="32"/>
          <w:szCs w:val="32"/>
          <w:lang w:eastAsia="zh-CN"/>
        </w:rPr>
        <w:t>万元、取</w:t>
      </w:r>
      <w:r>
        <w:rPr>
          <w:rFonts w:hint="eastAsia" w:ascii="仿宋_GB2312" w:hAnsi="仿宋_GB2312" w:eastAsia="仿宋_GB2312" w:cs="仿宋_GB2312"/>
          <w:color w:val="auto"/>
          <w:sz w:val="32"/>
          <w:szCs w:val="32"/>
          <w:lang w:val="en-US" w:eastAsia="zh-CN"/>
        </w:rPr>
        <w:t>物业管理费1.15万元、交通费0.32万、其他商品服务支出1.18万元</w:t>
      </w:r>
      <w:r>
        <w:rPr>
          <w:rFonts w:hint="eastAsia" w:ascii="仿宋_GB2312" w:hAnsi="仿宋_GB2312" w:eastAsia="仿宋_GB2312" w:cs="仿宋_GB2312"/>
          <w:color w:val="auto"/>
          <w:sz w:val="32"/>
          <w:szCs w:val="32"/>
          <w:lang w:eastAsia="zh-CN"/>
        </w:rPr>
        <w:t>。</w:t>
      </w:r>
    </w:p>
    <w:p w14:paraId="4BCB2B9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14:paraId="11E2C22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综上，该项指标满分2分，得分2分。</w:t>
      </w:r>
    </w:p>
    <w:p w14:paraId="0E29B3F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9" w:name="_Toc697"/>
      <w:bookmarkStart w:id="120" w:name="_Toc20556"/>
      <w:r>
        <w:rPr>
          <w:rFonts w:hint="eastAsia" w:ascii="仿宋_GB2312" w:hAnsi="仿宋_GB2312" w:eastAsia="仿宋_GB2312" w:cs="仿宋_GB2312"/>
          <w:b/>
          <w:bCs/>
          <w:sz w:val="32"/>
          <w:szCs w:val="32"/>
          <w:lang w:val="en-US" w:eastAsia="zh-CN"/>
        </w:rPr>
        <w:t>6.资金分配合理性</w:t>
      </w:r>
      <w:bookmarkEnd w:id="119"/>
      <w:bookmarkEnd w:id="120"/>
    </w:p>
    <w:p w14:paraId="49DA020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①项目实际分配资金以</w:t>
      </w:r>
      <w:r>
        <w:rPr>
          <w:rFonts w:hint="eastAsia" w:ascii="仿宋_GB2312" w:hAnsi="仿宋_GB2312" w:eastAsia="仿宋_GB2312" w:cs="仿宋_GB2312"/>
          <w:sz w:val="32"/>
          <w:szCs w:val="32"/>
          <w:lang w:eastAsia="zh-Hans"/>
        </w:rPr>
        <w:t>《关于</w:t>
      </w:r>
      <w:r>
        <w:rPr>
          <w:rFonts w:hint="eastAsia" w:ascii="仿宋_GB2312" w:hAnsi="仿宋_GB2312" w:eastAsia="仿宋_GB2312" w:cs="仿宋_GB2312"/>
          <w:sz w:val="32"/>
          <w:szCs w:val="32"/>
          <w:lang w:eastAsia="zh-CN"/>
        </w:rPr>
        <w:t>申请</w:t>
      </w:r>
      <w:r>
        <w:rPr>
          <w:rFonts w:hint="eastAsia" w:ascii="仿宋_GB2312" w:hAnsi="仿宋_GB2312" w:eastAsia="仿宋_GB2312" w:cs="仿宋_GB2312"/>
          <w:color w:val="auto"/>
          <w:sz w:val="32"/>
          <w:szCs w:val="32"/>
          <w:lang w:eastAsia="zh-CN"/>
        </w:rPr>
        <w:t>2024年小学义务教育生均经费项目资金的请示</w:t>
      </w:r>
      <w:r>
        <w:rPr>
          <w:rFonts w:hint="eastAsia" w:ascii="仿宋_GB2312" w:hAnsi="仿宋_GB2312" w:eastAsia="仿宋_GB2312" w:cs="仿宋_GB2312"/>
          <w:color w:val="auto"/>
          <w:sz w:val="32"/>
          <w:szCs w:val="32"/>
          <w:lang w:eastAsia="zh-Hans"/>
        </w:rPr>
        <w:t>》为依据进行资金分配，预算资</w:t>
      </w:r>
      <w:r>
        <w:rPr>
          <w:rFonts w:hint="eastAsia" w:ascii="仿宋_GB2312" w:hAnsi="仿宋_GB2312" w:eastAsia="仿宋_GB2312" w:cs="仿宋_GB2312"/>
          <w:sz w:val="32"/>
          <w:szCs w:val="32"/>
          <w:lang w:eastAsia="zh-Hans"/>
        </w:rPr>
        <w:t>金分配依据充分</w:t>
      </w:r>
      <w:r>
        <w:rPr>
          <w:rFonts w:hint="eastAsia" w:ascii="仿宋_GB2312" w:hAnsi="仿宋_GB2312" w:eastAsia="仿宋_GB2312" w:cs="仿宋_GB2312"/>
          <w:sz w:val="32"/>
          <w:szCs w:val="32"/>
          <w:lang w:eastAsia="zh-CN"/>
        </w:rPr>
        <w:t>。</w:t>
      </w:r>
    </w:p>
    <w:p w14:paraId="466CB5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②项目实际到位资金</w:t>
      </w:r>
      <w:r>
        <w:rPr>
          <w:rFonts w:hint="eastAsia" w:ascii="仿宋_GB2312" w:hAnsi="仿宋_GB2312" w:eastAsia="仿宋_GB2312" w:cs="仿宋_GB2312"/>
          <w:sz w:val="32"/>
          <w:szCs w:val="32"/>
          <w:lang w:val="en-US" w:eastAsia="zh-CN"/>
        </w:rPr>
        <w:t>14.56</w:t>
      </w:r>
      <w:r>
        <w:rPr>
          <w:rFonts w:hint="eastAsia" w:ascii="仿宋_GB2312" w:hAnsi="仿宋_GB2312" w:eastAsia="仿宋_GB2312" w:cs="仿宋_GB2312"/>
          <w:sz w:val="32"/>
          <w:szCs w:val="32"/>
          <w:lang w:eastAsia="zh-CN"/>
        </w:rPr>
        <w:t>万元，资金分配额度合理，与项目单位</w:t>
      </w:r>
      <w:r>
        <w:rPr>
          <w:rFonts w:hint="eastAsia" w:ascii="仿宋_GB2312" w:hAnsi="仿宋_GB2312" w:eastAsia="仿宋_GB2312" w:cs="仿宋_GB2312"/>
          <w:sz w:val="32"/>
          <w:szCs w:val="32"/>
          <w:lang w:val="en-US" w:eastAsia="zh-CN"/>
        </w:rPr>
        <w:t>及项目实际实施情况相</w:t>
      </w:r>
      <w:r>
        <w:rPr>
          <w:rFonts w:hint="eastAsia" w:ascii="仿宋_GB2312" w:hAnsi="仿宋_GB2312" w:eastAsia="仿宋_GB2312" w:cs="仿宋_GB2312"/>
          <w:sz w:val="32"/>
          <w:szCs w:val="32"/>
          <w:lang w:eastAsia="zh-CN"/>
        </w:rPr>
        <w:t>适应。</w:t>
      </w:r>
    </w:p>
    <w:p w14:paraId="0D4D83F6">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178AED00">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kern w:val="28"/>
          <w:sz w:val="32"/>
        </w:rPr>
      </w:pPr>
      <w:bookmarkStart w:id="121" w:name="_Toc10564"/>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项目过程情况</w:t>
      </w:r>
      <w:bookmarkEnd w:id="121"/>
    </w:p>
    <w:p w14:paraId="36B0144F">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057255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7FDBCC77">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3C3E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551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2D1B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64BC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5AD4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059A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D0D2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30EE1245">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8B34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4202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934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90A8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E84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CC94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A70A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BEAD48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AB8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1E26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48CB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7741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628D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3817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6036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3.75</w:t>
            </w:r>
          </w:p>
        </w:tc>
      </w:tr>
      <w:tr w14:paraId="56F9F4D0">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B1D4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2731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F4B76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54DF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0C43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C568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E484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9398D0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BDBF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A83B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B343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6344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C843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2513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988A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836481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EA7D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C5A5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33DA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D517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42C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0FD6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E556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8BBED6E">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EF6A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D9F3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FAF9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0592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B36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19.75</w:t>
            </w:r>
          </w:p>
        </w:tc>
      </w:tr>
    </w:tbl>
    <w:p w14:paraId="0FBB848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3886"/>
      <w:bookmarkStart w:id="123" w:name="_Toc20449"/>
      <w:r>
        <w:rPr>
          <w:rFonts w:hint="eastAsia" w:ascii="仿宋_GB2312" w:hAnsi="仿宋_GB2312" w:eastAsia="仿宋_GB2312" w:cs="仿宋_GB2312"/>
          <w:b/>
          <w:bCs/>
          <w:sz w:val="32"/>
          <w:szCs w:val="32"/>
          <w:lang w:val="en-US" w:eastAsia="zh-CN"/>
        </w:rPr>
        <w:t>1.资金到位率</w:t>
      </w:r>
      <w:bookmarkEnd w:id="122"/>
      <w:bookmarkEnd w:id="123"/>
    </w:p>
    <w:p w14:paraId="63742E7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b w:val="0"/>
          <w:bCs w:val="0"/>
          <w:color w:val="auto"/>
          <w:sz w:val="32"/>
          <w:szCs w:val="32"/>
          <w:lang w:val="en-US" w:eastAsia="zh-CN"/>
        </w:rPr>
        <w:t>14.56</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b w:val="0"/>
          <w:bCs w:val="0"/>
          <w:color w:val="auto"/>
          <w:sz w:val="32"/>
          <w:szCs w:val="32"/>
          <w:lang w:val="en-US" w:eastAsia="zh-CN"/>
        </w:rPr>
        <w:t>14.56</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64D4DFF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color w:val="auto"/>
          <w:sz w:val="32"/>
          <w:szCs w:val="32"/>
          <w:lang w:val="en-US" w:eastAsia="zh-CN"/>
        </w:rPr>
        <w:t>14.56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14.56</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=100%</w:t>
      </w:r>
    </w:p>
    <w:p w14:paraId="5A45F0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p>
    <w:p w14:paraId="2FB49E6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4" w:name="_Toc9705"/>
      <w:bookmarkStart w:id="125" w:name="_Toc17709"/>
      <w:r>
        <w:rPr>
          <w:rFonts w:hint="eastAsia" w:ascii="仿宋_GB2312" w:hAnsi="仿宋_GB2312" w:eastAsia="仿宋_GB2312" w:cs="仿宋_GB2312"/>
          <w:b/>
          <w:bCs/>
          <w:sz w:val="32"/>
          <w:szCs w:val="32"/>
          <w:lang w:val="en-US" w:eastAsia="zh-CN"/>
        </w:rPr>
        <w:t>2.预算执行率</w:t>
      </w:r>
      <w:bookmarkEnd w:id="124"/>
      <w:bookmarkEnd w:id="125"/>
    </w:p>
    <w:p w14:paraId="31D9EF80">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截至2024年12月31日，项目实际支出13.66万元。</w:t>
      </w:r>
    </w:p>
    <w:p w14:paraId="22A3DE1A">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color w:val="auto"/>
          <w:sz w:val="32"/>
          <w:szCs w:val="32"/>
          <w:lang w:val="en-US" w:eastAsia="zh-CN"/>
        </w:rPr>
        <w:t>13.56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14.56</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=93.82%</w:t>
      </w:r>
    </w:p>
    <w:p w14:paraId="308223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综上，该项指标满分4分，得分3.75分。</w:t>
      </w:r>
    </w:p>
    <w:p w14:paraId="61C2FD7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6" w:name="_Toc18691"/>
      <w:bookmarkStart w:id="127" w:name="_Toc28875"/>
      <w:r>
        <w:rPr>
          <w:rFonts w:hint="eastAsia" w:ascii="仿宋_GB2312" w:hAnsi="仿宋_GB2312" w:eastAsia="仿宋_GB2312" w:cs="仿宋_GB2312"/>
          <w:b/>
          <w:bCs/>
          <w:sz w:val="32"/>
          <w:szCs w:val="32"/>
          <w:lang w:val="en-US" w:eastAsia="zh-CN"/>
        </w:rPr>
        <w:t>3.资金使用合规性</w:t>
      </w:r>
      <w:bookmarkEnd w:id="126"/>
      <w:bookmarkEnd w:id="127"/>
    </w:p>
    <w:p w14:paraId="7322E60D">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FF0000"/>
          <w:sz w:val="32"/>
          <w:szCs w:val="32"/>
        </w:rPr>
      </w:pPr>
      <w:r>
        <w:rPr>
          <w:rFonts w:hint="eastAsia" w:ascii="仿宋_GB2312" w:hAnsi="仿宋_GB2312" w:eastAsia="仿宋_GB2312" w:cs="仿宋_GB2312"/>
          <w:sz w:val="32"/>
          <w:szCs w:val="32"/>
          <w:lang w:eastAsia="zh-CN"/>
        </w:rPr>
        <w:t>①本项目资金支出符合国家财经法规、《政府会计制度》《阜康市第三小学单位资金管理办法》《阜康市第三小学专项资金管理办法》；</w:t>
      </w:r>
    </w:p>
    <w:p w14:paraId="30F19A3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1B6392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4DFAA36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50D864B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highlight w:val="none"/>
          <w:lang w:val="en-US" w:eastAsia="zh-CN"/>
        </w:rPr>
        <w:t xml:space="preserve"> </w:t>
      </w:r>
    </w:p>
    <w:p w14:paraId="56E47F1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6EA78AEF">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sz w:val="32"/>
          <w:szCs w:val="32"/>
          <w:lang w:val="en-US" w:eastAsia="zh-CN"/>
        </w:rPr>
        <w:t>管理制度健全性</w:t>
      </w:r>
    </w:p>
    <w:p w14:paraId="5180FDE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eastAsia="zh-CN"/>
        </w:rPr>
        <w:t>我单位已制定《阜康市第三小学资金管理办法》《阜康市第三小学收支业务管理制度》《阜康市第三小学政府采购业务管理制度》《阜康市第三小学合同管理制度》，</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制度均符合行政事业单位内控管理要求；</w:t>
      </w:r>
    </w:p>
    <w:p w14:paraId="4D93190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②已制定的</w:t>
      </w:r>
      <w:r>
        <w:rPr>
          <w:rFonts w:hint="eastAsia" w:ascii="仿宋_GB2312" w:hAnsi="仿宋_GB2312" w:eastAsia="仿宋_GB2312" w:cs="仿宋_GB2312"/>
          <w:sz w:val="32"/>
          <w:szCs w:val="32"/>
          <w:lang w:eastAsia="zh-CN"/>
        </w:rPr>
        <w:t>财务和业务管理制度合法、合规、完整，本项目执行符合上述制度规定。</w:t>
      </w:r>
    </w:p>
    <w:p w14:paraId="009DF1E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p>
    <w:p w14:paraId="79F70923">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bookmarkStart w:id="128" w:name="_Toc31684"/>
      <w:bookmarkStart w:id="129" w:name="_Toc13984"/>
      <w:r>
        <w:rPr>
          <w:rFonts w:hint="eastAsia" w:ascii="仿宋_GB2312" w:hAnsi="仿宋_GB2312" w:eastAsia="仿宋_GB2312" w:cs="仿宋_GB2312"/>
          <w:b/>
          <w:bCs/>
          <w:sz w:val="32"/>
          <w:szCs w:val="32"/>
          <w:lang w:val="en-US" w:eastAsia="zh-CN"/>
        </w:rPr>
        <w:t>5.制度执行有效性</w:t>
      </w:r>
      <w:bookmarkEnd w:id="128"/>
      <w:bookmarkEnd w:id="129"/>
    </w:p>
    <w:p w14:paraId="681CB12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eastAsia="zh-CN"/>
        </w:rPr>
        <w:t>阜康市第三小学</w:t>
      </w:r>
      <w:r>
        <w:rPr>
          <w:rFonts w:hint="eastAsia" w:ascii="仿宋_GB2312" w:hAnsi="仿宋_GB2312" w:eastAsia="仿宋_GB2312" w:cs="仿宋_GB2312"/>
          <w:color w:val="auto"/>
          <w:sz w:val="32"/>
          <w:szCs w:val="32"/>
        </w:rPr>
        <w:t>办法》《</w:t>
      </w:r>
      <w:r>
        <w:rPr>
          <w:rFonts w:hint="eastAsia" w:ascii="仿宋_GB2312" w:hAnsi="仿宋_GB2312" w:eastAsia="仿宋_GB2312" w:cs="仿宋_GB2312"/>
          <w:color w:val="auto"/>
          <w:sz w:val="32"/>
          <w:szCs w:val="32"/>
          <w:lang w:eastAsia="zh-CN"/>
        </w:rPr>
        <w:t>阜康市第三小学</w:t>
      </w:r>
      <w:r>
        <w:rPr>
          <w:rFonts w:hint="eastAsia" w:ascii="仿宋_GB2312" w:hAnsi="仿宋_GB2312" w:eastAsia="仿宋_GB2312" w:cs="仿宋_GB2312"/>
          <w:color w:val="auto"/>
          <w:sz w:val="32"/>
          <w:szCs w:val="32"/>
        </w:rPr>
        <w:t>管理制度》《</w:t>
      </w:r>
      <w:r>
        <w:rPr>
          <w:rFonts w:hint="eastAsia" w:ascii="仿宋_GB2312" w:hAnsi="仿宋_GB2312" w:eastAsia="仿宋_GB2312" w:cs="仿宋_GB2312"/>
          <w:color w:val="auto"/>
          <w:sz w:val="32"/>
          <w:szCs w:val="32"/>
          <w:lang w:eastAsia="zh-CN"/>
        </w:rPr>
        <w:t>阜康市第三小学</w:t>
      </w:r>
      <w:r>
        <w:rPr>
          <w:rFonts w:hint="eastAsia" w:ascii="仿宋_GB2312" w:hAnsi="仿宋_GB2312" w:eastAsia="仿宋_GB2312" w:cs="仿宋_GB2312"/>
          <w:color w:val="auto"/>
          <w:sz w:val="32"/>
          <w:szCs w:val="32"/>
        </w:rPr>
        <w:t>采购业务管理制度》《</w:t>
      </w:r>
      <w:r>
        <w:rPr>
          <w:rFonts w:hint="eastAsia" w:ascii="仿宋_GB2312" w:hAnsi="仿宋_GB2312" w:eastAsia="仿宋_GB2312" w:cs="仿宋_GB2312"/>
          <w:color w:val="auto"/>
          <w:sz w:val="32"/>
          <w:szCs w:val="32"/>
          <w:lang w:eastAsia="zh-CN"/>
        </w:rPr>
        <w:t>阜康市第三小学</w:t>
      </w:r>
      <w:r>
        <w:rPr>
          <w:rFonts w:hint="eastAsia" w:ascii="仿宋_GB2312" w:hAnsi="仿宋_GB2312" w:eastAsia="仿宋_GB2312" w:cs="仿宋_GB2312"/>
          <w:color w:val="auto"/>
          <w:sz w:val="32"/>
          <w:szCs w:val="32"/>
        </w:rPr>
        <w:t>合同管理制度》等管理规定，</w:t>
      </w:r>
      <w:r>
        <w:rPr>
          <w:rFonts w:hint="eastAsia" w:ascii="仿宋_GB2312" w:hAnsi="仿宋_GB2312" w:eastAsia="仿宋_GB2312" w:cs="仿宋_GB2312"/>
          <w:color w:val="auto"/>
          <w:sz w:val="32"/>
          <w:szCs w:val="32"/>
          <w:lang w:eastAsia="zh-CN"/>
        </w:rPr>
        <w:t>；</w:t>
      </w:r>
    </w:p>
    <w:p w14:paraId="7B8291D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该项目实施过程中不存在调整事项</w:t>
      </w:r>
      <w:r>
        <w:rPr>
          <w:rFonts w:hint="eastAsia" w:ascii="仿宋_GB2312" w:hAnsi="仿宋_GB2312" w:eastAsia="仿宋_GB2312" w:cs="仿宋_GB2312"/>
          <w:color w:val="auto"/>
          <w:sz w:val="32"/>
          <w:szCs w:val="32"/>
          <w:lang w:eastAsia="zh-CN"/>
        </w:rPr>
        <w:t>。</w:t>
      </w:r>
    </w:p>
    <w:p w14:paraId="6EC6E122">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5A04082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2024年小学义务教育生均经费项目工作领导小组，由</w:t>
      </w:r>
      <w:r>
        <w:rPr>
          <w:rFonts w:hint="eastAsia" w:ascii="仿宋_GB2312" w:hAnsi="仿宋_GB2312" w:eastAsia="仿宋_GB2312" w:cs="仿宋_GB2312"/>
          <w:color w:val="auto"/>
          <w:sz w:val="32"/>
          <w:szCs w:val="32"/>
          <w:highlight w:val="none"/>
          <w:shd w:val="clear" w:color="auto" w:fill="auto"/>
          <w:lang w:val="en-US" w:eastAsia="zh-CN"/>
        </w:rPr>
        <w:t>鲁锋</w:t>
      </w:r>
      <w:r>
        <w:rPr>
          <w:rFonts w:hint="eastAsia" w:ascii="仿宋_GB2312" w:hAnsi="仿宋_GB2312" w:eastAsia="仿宋_GB2312" w:cs="仿宋_GB2312"/>
          <w:color w:val="auto"/>
          <w:sz w:val="32"/>
          <w:szCs w:val="32"/>
          <w:lang w:eastAsia="zh-CN"/>
        </w:rPr>
        <w:t>任组长，负责项目的组织工作；</w:t>
      </w:r>
      <w:r>
        <w:rPr>
          <w:rFonts w:hint="eastAsia" w:ascii="仿宋_GB2312" w:hAnsi="仿宋_GB2312" w:eastAsia="仿宋_GB2312" w:cs="仿宋_GB2312"/>
          <w:color w:val="auto"/>
          <w:sz w:val="32"/>
          <w:szCs w:val="32"/>
          <w:highlight w:val="none"/>
          <w:shd w:val="clear" w:color="auto" w:fill="auto"/>
          <w:lang w:val="en-US" w:eastAsia="zh-CN"/>
        </w:rPr>
        <w:t>李玉霞</w:t>
      </w:r>
      <w:r>
        <w:rPr>
          <w:rFonts w:hint="eastAsia" w:ascii="仿宋_GB2312" w:hAnsi="仿宋_GB2312" w:eastAsia="仿宋_GB2312" w:cs="仿宋_GB2312"/>
          <w:color w:val="auto"/>
          <w:sz w:val="32"/>
          <w:szCs w:val="32"/>
          <w:lang w:eastAsia="zh-CN"/>
        </w:rPr>
        <w:t>任副组长，负责项目的实施工作；组员包括：刘刚、杨婷、马顺远、徐宏菊，主要负责项目监督管理、验收以及资金核拨等工作。</w:t>
      </w:r>
    </w:p>
    <w:p w14:paraId="3F2D991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p>
    <w:p w14:paraId="10B7874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0" w:name="_Toc2441"/>
      <w:r>
        <w:rPr>
          <w:rFonts w:hint="eastAsia" w:ascii="Times New Roman" w:hAnsi="Times New Roman" w:eastAsia="楷体_GB2312" w:cs="Times New Roman"/>
          <w:kern w:val="28"/>
          <w:sz w:val="32"/>
          <w:lang w:val="en-US" w:eastAsia="zh-CN"/>
        </w:rPr>
        <w:t>（三）项目产出情况</w:t>
      </w:r>
      <w:bookmarkEnd w:id="130"/>
    </w:p>
    <w:p w14:paraId="2BFA8623">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bCs/>
          <w:color w:val="FF0000"/>
          <w:kern w:val="0"/>
          <w:sz w:val="32"/>
          <w:szCs w:val="32"/>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包括产出数量、产出质量、产出时效、产出成本四方面</w:t>
      </w:r>
      <w:r>
        <w:rPr>
          <w:rFonts w:hint="default" w:ascii="Times New Roman" w:hAnsi="Times New Roman" w:eastAsia="仿宋_GB2312" w:cs="Times New Roman"/>
          <w:color w:val="auto"/>
          <w:sz w:val="32"/>
          <w:szCs w:val="32"/>
          <w:lang w:val="en-US" w:eastAsia="zh-CN"/>
        </w:rPr>
        <w:t>的内容，</w:t>
      </w:r>
      <w:r>
        <w:rPr>
          <w:rFonts w:hint="eastAsia" w:ascii="Times New Roman" w:hAnsi="Times New Roman" w:eastAsia="仿宋_GB2312" w:cs="Times New Roman"/>
          <w:color w:val="auto"/>
          <w:sz w:val="32"/>
          <w:szCs w:val="32"/>
          <w:lang w:val="en-US" w:eastAsia="zh-CN"/>
        </w:rPr>
        <w:t>共4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5C4F6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26BECC17">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3D0F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570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33F1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C8B9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3845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793C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11FC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41F9E025">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67FC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AA6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475B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在校学生人数（人）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62D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=1430人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16C9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9D24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1430人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D91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4ECE073B">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FF4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D3D4FA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588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CC31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E8B6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942D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B5BA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7A07B910">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74A0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2083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F49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师培训结业率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CC78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E426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403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937C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2EC6ACF2">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866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DB86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0BA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公用经费支出及时率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150E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E951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F52B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EABF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465AAE3C">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434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688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E93C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708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=720元/人/年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E07A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3EC8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=720元/人/年</w:t>
            </w:r>
          </w:p>
          <w:p w14:paraId="381E748D">
            <w:pPr>
              <w:keepNext w:val="0"/>
              <w:keepLines w:val="0"/>
              <w:pageBreakBefore w:val="0"/>
              <w:kinsoku/>
              <w:wordWrap/>
              <w:overflowPunct/>
              <w:topLinePunct w:val="0"/>
              <w:autoSpaceDE/>
              <w:autoSpaceDN/>
              <w:bidi w:val="0"/>
              <w:adjustRightInd/>
              <w:spacing w:line="300" w:lineRule="exact"/>
              <w:textAlignment w:val="auto"/>
              <w:rPr>
                <w:color w:val="auto"/>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16F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13</w:t>
            </w:r>
          </w:p>
        </w:tc>
      </w:tr>
      <w:tr w14:paraId="524F5981">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AB48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788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0407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8C77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7E83D03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FF0000"/>
          <w:sz w:val="32"/>
          <w:szCs w:val="32"/>
          <w:lang w:val="en-US" w:eastAsia="zh-CN"/>
        </w:rPr>
      </w:pPr>
      <w:bookmarkStart w:id="131" w:name="_Toc26689"/>
      <w:bookmarkStart w:id="132" w:name="_Toc11067"/>
      <w:r>
        <w:rPr>
          <w:rFonts w:hint="eastAsia" w:ascii="仿宋_GB2312" w:hAnsi="仿宋_GB2312" w:eastAsia="仿宋_GB2312" w:cs="仿宋_GB2312"/>
          <w:b/>
          <w:bCs/>
          <w:sz w:val="32"/>
          <w:szCs w:val="32"/>
          <w:lang w:val="en-US" w:eastAsia="zh-CN"/>
        </w:rPr>
        <w:t>1.数量指标完成情况</w:t>
      </w:r>
      <w:bookmarkEnd w:id="131"/>
      <w:bookmarkEnd w:id="132"/>
    </w:p>
    <w:p w14:paraId="0B046A8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在校学生人数（人）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指标，预期目标值为=1430人，实际完成为1430人。实际完成率=（1430/1430）×100%=100%。</w:t>
      </w:r>
    </w:p>
    <w:p w14:paraId="239E6BE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8分，得分8分。</w:t>
      </w:r>
    </w:p>
    <w:p w14:paraId="1D5DED0B">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3" w:name="_Toc31739"/>
      <w:bookmarkStart w:id="134" w:name="_Toc14255"/>
      <w:r>
        <w:rPr>
          <w:rFonts w:hint="eastAsia" w:ascii="仿宋_GB2312" w:hAnsi="仿宋_GB2312" w:eastAsia="仿宋_GB2312" w:cs="仿宋_GB2312"/>
          <w:b/>
          <w:bCs/>
          <w:sz w:val="32"/>
          <w:szCs w:val="32"/>
          <w:lang w:val="en-US" w:eastAsia="zh-CN"/>
        </w:rPr>
        <w:t>2.</w:t>
      </w:r>
      <w:bookmarkEnd w:id="133"/>
      <w:r>
        <w:rPr>
          <w:rFonts w:hint="eastAsia" w:ascii="仿宋_GB2312" w:hAnsi="仿宋_GB2312" w:eastAsia="仿宋_GB2312" w:cs="仿宋_GB2312"/>
          <w:b/>
          <w:bCs/>
          <w:sz w:val="32"/>
          <w:szCs w:val="32"/>
          <w:lang w:val="en-US" w:eastAsia="zh-CN"/>
        </w:rPr>
        <w:t>质量指标完成情况</w:t>
      </w:r>
      <w:bookmarkEnd w:id="134"/>
    </w:p>
    <w:p w14:paraId="1F2BC65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公用经费享受比例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w:t>
      </w:r>
    </w:p>
    <w:p w14:paraId="42D6EE2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lang w:eastAsia="zh-CN"/>
        </w:rPr>
        <w:t>“教师</w:t>
      </w:r>
      <w:r>
        <w:rPr>
          <w:rFonts w:hint="eastAsia" w:ascii="仿宋_GB2312" w:hAnsi="仿宋_GB2312" w:eastAsia="仿宋_GB2312" w:cs="仿宋_GB2312"/>
          <w:color w:val="auto"/>
          <w:sz w:val="32"/>
          <w:szCs w:val="32"/>
          <w:lang w:val="en-US" w:eastAsia="zh-CN"/>
        </w:rPr>
        <w:t>师培训结业率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w:t>
      </w:r>
    </w:p>
    <w:p w14:paraId="33B98F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综上，该项指标满分7分，得分7分。</w:t>
      </w:r>
    </w:p>
    <w:p w14:paraId="434FB413">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5" w:name="_Toc18307"/>
      <w:bookmarkStart w:id="136" w:name="_Toc28885"/>
      <w:r>
        <w:rPr>
          <w:rFonts w:hint="eastAsia" w:ascii="仿宋_GB2312" w:hAnsi="仿宋_GB2312" w:eastAsia="仿宋_GB2312" w:cs="仿宋_GB2312"/>
          <w:b/>
          <w:bCs/>
          <w:sz w:val="32"/>
          <w:szCs w:val="32"/>
          <w:lang w:val="en-US" w:eastAsia="zh-CN"/>
        </w:rPr>
        <w:t>3.</w:t>
      </w:r>
      <w:bookmarkEnd w:id="135"/>
      <w:r>
        <w:rPr>
          <w:rFonts w:hint="eastAsia" w:ascii="仿宋_GB2312" w:hAnsi="仿宋_GB2312" w:eastAsia="仿宋_GB2312" w:cs="仿宋_GB2312"/>
          <w:b/>
          <w:bCs/>
          <w:sz w:val="32"/>
          <w:szCs w:val="32"/>
          <w:lang w:val="en-US" w:eastAsia="zh-CN"/>
        </w:rPr>
        <w:t>时效指标完成情况</w:t>
      </w:r>
      <w:bookmarkEnd w:id="136"/>
    </w:p>
    <w:p w14:paraId="6C45FD6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公用经费支出及时率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w:t>
      </w:r>
    </w:p>
    <w:p w14:paraId="479FD6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综上，该项指标满分6分，得分6分。</w:t>
      </w:r>
    </w:p>
    <w:p w14:paraId="1ED244C4">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7" w:name="_Toc32765"/>
      <w:bookmarkStart w:id="138" w:name="_Toc20607"/>
      <w:r>
        <w:rPr>
          <w:rFonts w:hint="eastAsia" w:ascii="仿宋_GB2312" w:hAnsi="仿宋_GB2312" w:eastAsia="仿宋_GB2312" w:cs="仿宋_GB2312"/>
          <w:b/>
          <w:bCs/>
          <w:sz w:val="32"/>
          <w:szCs w:val="32"/>
          <w:lang w:val="en-US" w:eastAsia="zh-CN"/>
        </w:rPr>
        <w:t>4.项目</w:t>
      </w:r>
      <w:bookmarkEnd w:id="137"/>
      <w:r>
        <w:rPr>
          <w:rFonts w:hint="eastAsia" w:ascii="仿宋_GB2312" w:hAnsi="仿宋_GB2312" w:eastAsia="仿宋_GB2312" w:cs="仿宋_GB2312"/>
          <w:b/>
          <w:bCs/>
          <w:sz w:val="32"/>
          <w:szCs w:val="32"/>
          <w:lang w:val="en-US" w:eastAsia="zh-CN"/>
        </w:rPr>
        <w:t>成本情况</w:t>
      </w:r>
      <w:bookmarkEnd w:id="138"/>
    </w:p>
    <w:p w14:paraId="5068A52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lang w:eastAsia="zh-CN"/>
        </w:rPr>
        <w:t>成本指标完成情况</w:t>
      </w:r>
    </w:p>
    <w:p w14:paraId="7A9FC88D">
      <w:pPr>
        <w:pageBreakBefore w:val="0"/>
        <w:numPr>
          <w:ilvl w:val="0"/>
          <w:numId w:val="2"/>
        </w:numP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指标，预期目标值为=720元/人/年，实际完成为720元/人/年。实际完成率=（720/720）×100%=100%。</w:t>
      </w:r>
    </w:p>
    <w:p w14:paraId="1BA32249">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综上，该项指标满分6分，得分6分。</w:t>
      </w:r>
    </w:p>
    <w:p w14:paraId="0B5C0C7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14:paraId="521FB7D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48D534F">
      <w:pPr>
        <w:pageBreakBefore w:val="0"/>
        <w:widowControl w:val="0"/>
        <w:kinsoku/>
        <w:wordWrap/>
        <w:overflowPunct/>
        <w:topLinePunct w:val="0"/>
        <w:autoSpaceDE/>
        <w:autoSpaceDN/>
        <w:bidi w:val="0"/>
        <w:adjustRightInd/>
        <w:spacing w:line="560" w:lineRule="exact"/>
        <w:ind w:firstLine="560"/>
        <w:jc w:val="center"/>
        <w:textAlignment w:val="auto"/>
        <w:rPr>
          <w:rFonts w:hint="default" w:ascii="宋体" w:hAnsi="宋体" w:eastAsia="宋体" w:cs="宋体"/>
          <w:color w:val="auto"/>
          <w:kern w:val="2"/>
          <w:highlight w:val="none"/>
          <w:u w:color="000000"/>
          <w:shd w:val="clear" w:color="auto" w:fill="auto"/>
          <w:lang w:val="en-US" w:eastAsia="zh-TW"/>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0F6677E6">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EE6FFA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11903DB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73D4C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E3E6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E2A7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15A5A8C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D2BE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0C2A9C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3715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083C89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BF1A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350FE81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0FE7313F">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7CAE7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7F84E7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70EF0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学校正常运转率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B8F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BB87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8E9B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347C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DB9F41F">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3C6595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0F3334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4994B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5359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942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F07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3EE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4E79C352">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469A9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B64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EE4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B780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3BA9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E6AD6">
            <w:pPr>
              <w:keepNext w:val="0"/>
              <w:keepLines w:val="0"/>
              <w:pageBreakBefore w:val="0"/>
              <w:widowControl/>
              <w:kinsoku/>
              <w:wordWrap/>
              <w:overflowPunct/>
              <w:topLinePunct w:val="0"/>
              <w:autoSpaceDE/>
              <w:autoSpaceDN/>
              <w:bidi w:val="0"/>
              <w:adjustRightInd/>
              <w:snapToGrid w:val="0"/>
              <w:spacing w:line="240" w:lineRule="auto"/>
              <w:ind w:firstLine="400" w:firstLineChars="200"/>
              <w:jc w:val="both"/>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3B7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3CDD4A63">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378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382A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B97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C43A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1418286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27006"/>
      <w:bookmarkStart w:id="141" w:name="_Toc29606"/>
      <w:r>
        <w:rPr>
          <w:rFonts w:hint="eastAsia" w:ascii="仿宋_GB2312" w:hAnsi="仿宋_GB2312" w:eastAsia="仿宋_GB2312" w:cs="仿宋_GB2312"/>
          <w:b/>
          <w:bCs/>
          <w:sz w:val="32"/>
          <w:szCs w:val="32"/>
          <w:lang w:val="en-US" w:eastAsia="zh-CN"/>
        </w:rPr>
        <w:t>1.社会效益指标</w:t>
      </w:r>
      <w:bookmarkEnd w:id="140"/>
      <w:r>
        <w:rPr>
          <w:rFonts w:hint="eastAsia" w:ascii="仿宋_GB2312" w:hAnsi="仿宋_GB2312" w:eastAsia="仿宋_GB2312" w:cs="仿宋_GB2312"/>
          <w:b/>
          <w:bCs/>
          <w:sz w:val="32"/>
          <w:szCs w:val="32"/>
          <w:lang w:val="en-US" w:eastAsia="zh-CN"/>
        </w:rPr>
        <w:t>完成情况</w:t>
      </w:r>
      <w:bookmarkEnd w:id="141"/>
    </w:p>
    <w:p w14:paraId="7720E7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学校正常运转率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w:t>
      </w:r>
    </w:p>
    <w:p w14:paraId="7BDB79B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改善教学环境，提供良好的学生成长条件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指标，预期目标值为改善，实际完成为达到预期指标。</w:t>
      </w:r>
    </w:p>
    <w:p w14:paraId="141242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综上，该项指标满分13分，得分13分。</w:t>
      </w:r>
    </w:p>
    <w:p w14:paraId="4E1ADD6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2"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2"/>
    </w:p>
    <w:p w14:paraId="4977E58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师生满意度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指标，预期目标值为≥90%，实际完成为90%。</w:t>
      </w:r>
    </w:p>
    <w:p w14:paraId="16C1CC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综上，该项指标满分7分，得分7分。</w:t>
      </w:r>
    </w:p>
    <w:p w14:paraId="1D5098FA">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3"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3"/>
    </w:p>
    <w:p w14:paraId="0FF72EA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4" w:name="_Toc15449"/>
      <w:bookmarkStart w:id="145" w:name="_Toc28290"/>
      <w:bookmarkStart w:id="146" w:name="_Toc1921"/>
      <w:r>
        <w:rPr>
          <w:rFonts w:hint="eastAsia" w:ascii="Times New Roman" w:hAnsi="Times New Roman" w:eastAsia="楷体_GB2312" w:cs="Times New Roman"/>
          <w:b/>
          <w:bCs/>
          <w:kern w:val="28"/>
          <w:sz w:val="32"/>
          <w:highlight w:val="none"/>
          <w:lang w:val="en-US" w:eastAsia="zh-CN"/>
        </w:rPr>
        <w:t>（一）主要经验及做法</w:t>
      </w:r>
      <w:bookmarkEnd w:id="144"/>
    </w:p>
    <w:p w14:paraId="6D6BC1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2024年小学义务教育生均经费项目</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14.56</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13.66</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93.82</w:t>
      </w:r>
      <w:r>
        <w:rPr>
          <w:rFonts w:hint="eastAsia" w:ascii="仿宋_GB2312" w:hAnsi="仿宋_GB2312" w:eastAsia="仿宋_GB2312" w:cs="仿宋_GB2312"/>
          <w:color w:val="auto"/>
          <w:sz w:val="32"/>
          <w:szCs w:val="32"/>
          <w:lang w:eastAsia="zh-CN"/>
        </w:rPr>
        <w:t>%。</w:t>
      </w:r>
    </w:p>
    <w:p w14:paraId="3425CF0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阜康市第三小学单位</w:t>
      </w:r>
      <w:r>
        <w:rPr>
          <w:rFonts w:hint="eastAsia" w:ascii="仿宋_GB2312" w:hAnsi="仿宋_GB2312" w:eastAsia="仿宋_GB2312" w:cs="仿宋_GB2312"/>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阜康市第三小学事业发展中关系民生与稳定的项目，切实优化资源配置，提高了资金使用的效率和效果。</w:t>
      </w:r>
    </w:p>
    <w:bookmarkEnd w:id="145"/>
    <w:bookmarkEnd w:id="146"/>
    <w:p w14:paraId="46F64CF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7" w:name="_Toc29168"/>
      <w:r>
        <w:rPr>
          <w:rFonts w:hint="eastAsia" w:ascii="Times New Roman" w:hAnsi="Times New Roman" w:eastAsia="楷体_GB2312" w:cs="Times New Roman"/>
          <w:b/>
          <w:bCs/>
          <w:kern w:val="28"/>
          <w:sz w:val="32"/>
          <w:highlight w:val="none"/>
          <w:lang w:val="en-US" w:eastAsia="zh-CN"/>
        </w:rPr>
        <w:t>（二）存在的问题及原因分析</w:t>
      </w:r>
      <w:bookmarkEnd w:id="147"/>
    </w:p>
    <w:p w14:paraId="0914B0C0">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1.</w:t>
      </w:r>
      <w:r>
        <w:rPr>
          <w:rFonts w:hint="eastAsia" w:ascii="仿宋_GB2312" w:hAnsi="仿宋_GB2312" w:eastAsia="仿宋_GB2312" w:cs="仿宋_GB2312"/>
          <w:sz w:val="32"/>
          <w:szCs w:val="32"/>
          <w:lang w:val="en-US" w:eastAsia="zh-CN"/>
        </w:rPr>
        <w:t>财务管理中财务对票据审核不够严谨，出现超规格的报销，财务人员对各种报销规定掌握不熟练，审核不严格。</w:t>
      </w:r>
    </w:p>
    <w:p w14:paraId="00589E5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2、对本单位的经费配置结构不够清晰，造成日常核算中出现差错，年底财务决算数据不清晰。</w:t>
      </w:r>
    </w:p>
    <w:p w14:paraId="2875108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3、因年初预算数据不够清晰明确到明细科目，使得整个年度财务核算及审核流程不能准确清晰。</w:t>
      </w:r>
    </w:p>
    <w:p w14:paraId="2043315D">
      <w:pPr>
        <w:pageBreakBefore w:val="0"/>
        <w:kinsoku/>
        <w:wordWrap/>
        <w:overflowPunct/>
        <w:topLinePunct w:val="0"/>
        <w:autoSpaceDE/>
        <w:autoSpaceDN/>
        <w:bidi w:val="0"/>
        <w:spacing w:line="560" w:lineRule="exact"/>
        <w:textAlignment w:val="auto"/>
        <w:rPr>
          <w:rFonts w:hint="default"/>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预算执行率93.82%未达到100%，原因分析：年底工作人员未能及时与财政沟通，错过了资金拨付时间</w:t>
      </w:r>
      <w:r>
        <w:rPr>
          <w:rFonts w:hint="eastAsia" w:ascii="仿宋_GB2312" w:hAnsi="仿宋_GB2312" w:eastAsia="仿宋_GB2312" w:cs="仿宋_GB2312"/>
          <w:sz w:val="32"/>
          <w:szCs w:val="32"/>
          <w:lang w:eastAsia="zh-CN"/>
        </w:rPr>
        <w:t>。</w:t>
      </w:r>
    </w:p>
    <w:p w14:paraId="08DA12A6">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8" w:name="_Toc3333"/>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48"/>
    </w:p>
    <w:p w14:paraId="72ECC13A">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bookmarkStart w:id="149" w:name="_Toc14256"/>
      <w:r>
        <w:rPr>
          <w:rFonts w:hint="eastAsia" w:cs="Times New Roman"/>
          <w:color w:val="auto"/>
          <w:kern w:val="2"/>
          <w:sz w:val="32"/>
          <w:szCs w:val="28"/>
          <w:highlight w:val="none"/>
          <w:lang w:val="en-US" w:eastAsia="zh-CN" w:bidi="ar-SA"/>
        </w:rPr>
        <w:t>（</w:t>
      </w:r>
      <w:r>
        <w:rPr>
          <w:rFonts w:hint="eastAsia" w:ascii="仿宋_GB2312" w:hAnsi="仿宋_GB2312" w:eastAsia="仿宋_GB2312" w:cs="仿宋_GB2312"/>
          <w:sz w:val="32"/>
          <w:szCs w:val="32"/>
          <w:lang w:val="en-US" w:eastAsia="zh-CN"/>
        </w:rPr>
        <w:t>一）建立严格的资金管理制度，确保资金的安全,合规和有效使用。提高财务人员业务素质。</w:t>
      </w:r>
    </w:p>
    <w:p w14:paraId="4ACC47E1">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（二）实施专款专用，项目资金应严格按照项目预算进行支出，确保专款专用，避免资金挪用。</w:t>
      </w:r>
    </w:p>
    <w:p w14:paraId="01AA565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（三）加强项目管理，健全单位项目管理制度体系。 加大项目管理人员的业务培训，确保项目能够顺利实施。</w:t>
      </w:r>
    </w:p>
    <w:p w14:paraId="793A09C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（四）加强财务人员业务培训，在年底及时与各科室联系，将年初预算数据填写清晰，确保财务支付审核程序顺利进行。</w:t>
      </w:r>
    </w:p>
    <w:p w14:paraId="78D1A809">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七、其他需要说明的问题</w:t>
      </w:r>
      <w:bookmarkEnd w:id="149"/>
    </w:p>
    <w:p w14:paraId="4AFEA3D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283DFADA">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6C6812CE">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0" w:name="_Toc11349"/>
      <w:bookmarkStart w:id="151"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0"/>
      <w:bookmarkEnd w:id="151"/>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5"/>
        <w:gridCol w:w="905"/>
        <w:gridCol w:w="905"/>
        <w:gridCol w:w="905"/>
        <w:gridCol w:w="1155"/>
        <w:gridCol w:w="1155"/>
        <w:gridCol w:w="1155"/>
        <w:gridCol w:w="1072"/>
        <w:gridCol w:w="1155"/>
        <w:gridCol w:w="905"/>
        <w:gridCol w:w="1072"/>
        <w:gridCol w:w="906"/>
        <w:gridCol w:w="906"/>
        <w:gridCol w:w="1073"/>
      </w:tblGrid>
      <w:tr w14:paraId="23149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44B5F6FD">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67231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0CBE8E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2758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45FD06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6"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4F540E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2024年小学义务教育生均经费</w:t>
            </w:r>
          </w:p>
        </w:tc>
      </w:tr>
      <w:tr w14:paraId="36390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330A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8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DC838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2ECC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96C5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阜康市第三小学</w:t>
            </w:r>
          </w:p>
        </w:tc>
      </w:tr>
      <w:tr w14:paraId="7874F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89F9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51A5F7">
            <w:pPr>
              <w:jc w:val="center"/>
              <w:rPr>
                <w:rFonts w:hint="eastAsia" w:ascii="宋体" w:hAnsi="宋体" w:eastAsia="宋体" w:cs="宋体"/>
                <w:b/>
                <w:bCs/>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660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1144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FAE6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2237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4AC6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093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10417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2F9C5">
            <w:pPr>
              <w:jc w:val="center"/>
              <w:rPr>
                <w:rFonts w:hint="eastAsia" w:ascii="宋体" w:hAnsi="宋体" w:eastAsia="宋体" w:cs="宋体"/>
                <w:b/>
                <w:bCs/>
                <w:i w:val="0"/>
                <w:iCs w:val="0"/>
                <w:color w:val="000000"/>
                <w:sz w:val="18"/>
                <w:szCs w:val="18"/>
                <w:u w:val="none"/>
              </w:rPr>
            </w:pPr>
          </w:p>
        </w:tc>
        <w:tc>
          <w:tcPr>
            <w:tcW w:w="8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76C4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3A8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17.97</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EB9B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14.56</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FB92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13.66</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F9A3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2C5E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93.82%</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CEB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9.38</w:t>
            </w:r>
          </w:p>
        </w:tc>
      </w:tr>
      <w:tr w14:paraId="2E8C7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24A3F">
            <w:pPr>
              <w:jc w:val="center"/>
              <w:rPr>
                <w:rFonts w:hint="eastAsia" w:ascii="宋体" w:hAnsi="宋体" w:eastAsia="宋体" w:cs="宋体"/>
                <w:b/>
                <w:bCs/>
                <w:i w:val="0"/>
                <w:iCs w:val="0"/>
                <w:color w:val="000000"/>
                <w:sz w:val="18"/>
                <w:szCs w:val="18"/>
                <w:u w:val="none"/>
              </w:rPr>
            </w:pPr>
          </w:p>
        </w:tc>
        <w:tc>
          <w:tcPr>
            <w:tcW w:w="8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1B25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21C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17.97</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F318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14.56</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2741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13.66</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CE25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2986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26C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E7BE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471C9">
            <w:pPr>
              <w:jc w:val="center"/>
              <w:rPr>
                <w:rFonts w:hint="eastAsia" w:ascii="宋体" w:hAnsi="宋体" w:eastAsia="宋体" w:cs="宋体"/>
                <w:b/>
                <w:bCs/>
                <w:i w:val="0"/>
                <w:iCs w:val="0"/>
                <w:color w:val="000000"/>
                <w:sz w:val="18"/>
                <w:szCs w:val="18"/>
                <w:u w:val="none"/>
              </w:rPr>
            </w:pPr>
          </w:p>
        </w:tc>
        <w:tc>
          <w:tcPr>
            <w:tcW w:w="8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614F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5B9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245F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729B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A0DC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F617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045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AF77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4906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8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49A55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8699FC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FAE9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B2A8F">
            <w:pPr>
              <w:jc w:val="center"/>
              <w:rPr>
                <w:rFonts w:hint="eastAsia" w:ascii="宋体" w:hAnsi="宋体" w:eastAsia="宋体" w:cs="宋体"/>
                <w:b/>
                <w:bCs/>
                <w:i w:val="0"/>
                <w:iCs w:val="0"/>
                <w:color w:val="000000"/>
                <w:sz w:val="18"/>
                <w:szCs w:val="18"/>
                <w:u w:val="none"/>
              </w:rPr>
            </w:pPr>
          </w:p>
        </w:tc>
        <w:tc>
          <w:tcPr>
            <w:tcW w:w="198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AB840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学校正常运转，完成教学活动及其他日常业务的正常运转。2024年学校在校学生人数1430人，计划完成每学年以720元/生/学年的标准使用公用经费，公用经费、教师培训结业率达到100%。项目实施将有效改善教学环境，提供良好的学生成长条件，保障学校正常运转,师生满意度预计将达到90%以上。</w:t>
            </w:r>
          </w:p>
        </w:tc>
        <w:tc>
          <w:tcPr>
            <w:tcW w:w="28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7D46E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每学年以720元/生/学年的标准使用公用经费，在校人数1430人，公用经费、教师培训结业率均达到100%，学校正常运转率达到100%，公用经费支出及时率达到100%，该项目的实施有效改善教学环境，提供良好的学生成长条件，保障学校正常运转效益，师生满意度达到90%。</w:t>
            </w:r>
          </w:p>
        </w:tc>
      </w:tr>
      <w:tr w14:paraId="57F2F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575353">
            <w:pPr>
              <w:jc w:val="center"/>
              <w:rPr>
                <w:rFonts w:hint="eastAsia" w:ascii="宋体" w:hAnsi="宋体" w:eastAsia="宋体" w:cs="宋体"/>
                <w:i w:val="0"/>
                <w:iCs w:val="0"/>
                <w:color w:val="000000"/>
                <w:sz w:val="18"/>
                <w:szCs w:val="18"/>
                <w:u w:val="none"/>
              </w:rPr>
            </w:pP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5EAA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5869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54" w:name="_GoBack"/>
            <w:bookmarkEnd w:id="154"/>
            <w:r>
              <w:rPr>
                <w:rFonts w:hint="eastAsia" w:ascii="宋体" w:hAnsi="宋体" w:eastAsia="宋体" w:cs="宋体"/>
                <w:b/>
                <w:bCs/>
                <w:i w:val="0"/>
                <w:iCs w:val="0"/>
                <w:color w:val="000000"/>
                <w:kern w:val="0"/>
                <w:sz w:val="18"/>
                <w:szCs w:val="18"/>
                <w:u w:val="none"/>
                <w:lang w:val="en-US" w:eastAsia="zh-CN" w:bidi="ar"/>
              </w:rPr>
              <w:t>二级指标</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690D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FEF8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1CF5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D65AE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61B6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DED8E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A201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FB0C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7D1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8F35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7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2A826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BA5B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D4970">
            <w:pPr>
              <w:jc w:val="center"/>
              <w:rPr>
                <w:rFonts w:hint="eastAsia" w:ascii="宋体" w:hAnsi="宋体" w:eastAsia="宋体" w:cs="宋体"/>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9AB27">
            <w:pPr>
              <w:jc w:val="center"/>
              <w:rPr>
                <w:rFonts w:hint="eastAsia" w:ascii="宋体" w:hAnsi="宋体" w:eastAsia="宋体" w:cs="宋体"/>
                <w:b/>
                <w:bCs/>
                <w:i w:val="0"/>
                <w:iCs w:val="0"/>
                <w:color w:val="000000"/>
                <w:sz w:val="18"/>
                <w:szCs w:val="18"/>
                <w:u w:val="none"/>
              </w:rPr>
            </w:pPr>
          </w:p>
        </w:tc>
        <w:tc>
          <w:tcPr>
            <w:tcW w:w="3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C1B3B">
            <w:pPr>
              <w:jc w:val="center"/>
              <w:rPr>
                <w:rFonts w:hint="eastAsia" w:ascii="宋体" w:hAnsi="宋体" w:eastAsia="宋体" w:cs="宋体"/>
                <w:b/>
                <w:bCs/>
                <w:i w:val="0"/>
                <w:iCs w:val="0"/>
                <w:color w:val="000000"/>
                <w:sz w:val="18"/>
                <w:szCs w:val="18"/>
                <w:u w:val="none"/>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08803">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8ADE5">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2AEA0">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2891A">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ED117">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C86DC">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11039">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169C5">
            <w:pPr>
              <w:jc w:val="center"/>
              <w:rPr>
                <w:rFonts w:hint="eastAsia" w:ascii="宋体" w:hAnsi="宋体" w:eastAsia="宋体" w:cs="宋体"/>
                <w:b/>
                <w:bCs/>
                <w:i w:val="0"/>
                <w:iCs w:val="0"/>
                <w:color w:val="000000"/>
                <w:sz w:val="18"/>
                <w:szCs w:val="18"/>
                <w:u w:val="none"/>
              </w:rPr>
            </w:pPr>
          </w:p>
        </w:tc>
        <w:tc>
          <w:tcPr>
            <w:tcW w:w="3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A8FD5">
            <w:pPr>
              <w:jc w:val="center"/>
              <w:rPr>
                <w:rFonts w:hint="eastAsia" w:ascii="宋体" w:hAnsi="宋体" w:eastAsia="宋体" w:cs="宋体"/>
                <w:b/>
                <w:bCs/>
                <w:i w:val="0"/>
                <w:iCs w:val="0"/>
                <w:color w:val="000000"/>
                <w:sz w:val="18"/>
                <w:szCs w:val="18"/>
                <w:u w:val="none"/>
              </w:rPr>
            </w:pPr>
          </w:p>
        </w:tc>
        <w:tc>
          <w:tcPr>
            <w:tcW w:w="3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AF68E">
            <w:pPr>
              <w:jc w:val="center"/>
              <w:rPr>
                <w:rFonts w:hint="eastAsia" w:ascii="宋体" w:hAnsi="宋体" w:eastAsia="宋体" w:cs="宋体"/>
                <w:b/>
                <w:bCs/>
                <w:i w:val="0"/>
                <w:iCs w:val="0"/>
                <w:color w:val="000000"/>
                <w:sz w:val="18"/>
                <w:szCs w:val="18"/>
                <w:u w:val="none"/>
              </w:rPr>
            </w:pPr>
          </w:p>
        </w:tc>
        <w:tc>
          <w:tcPr>
            <w:tcW w:w="7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30BB9">
            <w:pPr>
              <w:jc w:val="center"/>
              <w:rPr>
                <w:rFonts w:hint="eastAsia" w:ascii="宋体" w:hAnsi="宋体" w:eastAsia="宋体" w:cs="宋体"/>
                <w:b/>
                <w:bCs/>
                <w:i w:val="0"/>
                <w:iCs w:val="0"/>
                <w:color w:val="000000"/>
                <w:sz w:val="18"/>
                <w:szCs w:val="18"/>
                <w:u w:val="none"/>
              </w:rPr>
            </w:pPr>
          </w:p>
        </w:tc>
      </w:tr>
      <w:tr w14:paraId="0C1BD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0B9B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050E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083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6D8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在校学生人数（人）</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706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F35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=1430人</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CE2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=1430人</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A157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CEA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09E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C15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1297人</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E66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7D6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EF3BF">
            <w:pPr>
              <w:jc w:val="center"/>
              <w:rPr>
                <w:rFonts w:hint="eastAsia" w:ascii="宋体" w:hAnsi="宋体" w:eastAsia="宋体" w:cs="宋体"/>
                <w:i w:val="0"/>
                <w:iCs w:val="0"/>
                <w:color w:val="000000"/>
                <w:sz w:val="18"/>
                <w:szCs w:val="18"/>
                <w:u w:val="none"/>
              </w:rPr>
            </w:pPr>
          </w:p>
        </w:tc>
      </w:tr>
      <w:tr w14:paraId="7F448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6AEB7">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47288">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2D3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921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F84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D15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10C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6E59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707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5F6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84D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70B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21C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DCBB9">
            <w:pPr>
              <w:jc w:val="center"/>
              <w:rPr>
                <w:rFonts w:hint="eastAsia" w:ascii="宋体" w:hAnsi="宋体" w:eastAsia="宋体" w:cs="宋体"/>
                <w:i w:val="0"/>
                <w:iCs w:val="0"/>
                <w:color w:val="000000"/>
                <w:sz w:val="18"/>
                <w:szCs w:val="18"/>
                <w:u w:val="none"/>
              </w:rPr>
            </w:pPr>
          </w:p>
        </w:tc>
      </w:tr>
      <w:tr w14:paraId="744C5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FC0B6">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6050C9">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A4A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F1B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教师培训结业率</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886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364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629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E542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5FB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588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C51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B5F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28A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9FBBF">
            <w:pPr>
              <w:jc w:val="center"/>
              <w:rPr>
                <w:rFonts w:hint="eastAsia" w:ascii="宋体" w:hAnsi="宋体" w:eastAsia="宋体" w:cs="宋体"/>
                <w:i w:val="0"/>
                <w:iCs w:val="0"/>
                <w:color w:val="000000"/>
                <w:sz w:val="18"/>
                <w:szCs w:val="18"/>
                <w:u w:val="none"/>
              </w:rPr>
            </w:pPr>
          </w:p>
        </w:tc>
      </w:tr>
      <w:tr w14:paraId="147DE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5BFFD">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4B5A5">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D6A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EC2CF">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FBD50">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1D4A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57411">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7542F">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092DE">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D9AC5">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F365A">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56010">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A9236">
            <w:pPr>
              <w:jc w:val="cente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750DB">
            <w:pPr>
              <w:jc w:val="center"/>
              <w:rPr>
                <w:rFonts w:hint="eastAsia" w:ascii="宋体" w:hAnsi="宋体" w:eastAsia="宋体" w:cs="宋体"/>
                <w:i w:val="0"/>
                <w:iCs w:val="0"/>
                <w:color w:val="000000"/>
                <w:sz w:val="18"/>
                <w:szCs w:val="18"/>
                <w:u w:val="none"/>
              </w:rPr>
            </w:pPr>
          </w:p>
        </w:tc>
      </w:tr>
      <w:tr w14:paraId="50616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63AA4">
            <w:pPr>
              <w:jc w:val="center"/>
              <w:rPr>
                <w:rFonts w:hint="eastAsia" w:ascii="宋体" w:hAnsi="宋体" w:eastAsia="宋体" w:cs="宋体"/>
                <w:b/>
                <w:bCs/>
                <w:i w:val="0"/>
                <w:iCs w:val="0"/>
                <w:color w:val="000000"/>
                <w:sz w:val="18"/>
                <w:szCs w:val="18"/>
                <w:u w:val="none"/>
              </w:rPr>
            </w:pP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821C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622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E6E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D77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0EE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=720元/人/年</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962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=720元/人/年</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154B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DA3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631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28B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650元/人/年</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A82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AE2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正式材料,原始凭证</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566B9">
            <w:pPr>
              <w:jc w:val="center"/>
              <w:rPr>
                <w:rFonts w:hint="eastAsia" w:ascii="宋体" w:hAnsi="宋体" w:eastAsia="宋体" w:cs="宋体"/>
                <w:i w:val="0"/>
                <w:iCs w:val="0"/>
                <w:color w:val="000000"/>
                <w:sz w:val="18"/>
                <w:szCs w:val="18"/>
                <w:u w:val="none"/>
              </w:rPr>
            </w:pPr>
          </w:p>
        </w:tc>
      </w:tr>
      <w:tr w14:paraId="19EE3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B5F47">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C672A">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858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C880A">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F7B0B">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8C1BA">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16A20">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961B0">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7A2A3">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B8EF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17D33">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FFA5A">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34FEC">
            <w:pPr>
              <w:jc w:val="cente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A7DF1">
            <w:pPr>
              <w:jc w:val="center"/>
              <w:rPr>
                <w:rFonts w:hint="eastAsia" w:ascii="宋体" w:hAnsi="宋体" w:eastAsia="宋体" w:cs="宋体"/>
                <w:i w:val="0"/>
                <w:iCs w:val="0"/>
                <w:color w:val="000000"/>
                <w:sz w:val="18"/>
                <w:szCs w:val="18"/>
                <w:u w:val="none"/>
              </w:rPr>
            </w:pPr>
          </w:p>
        </w:tc>
      </w:tr>
      <w:tr w14:paraId="08741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0C6BD">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0F13C">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B6D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C8818">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4E32D">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FF11D">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17659">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C70D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17476">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D9874">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71327">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18C52">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CF4AC">
            <w:pPr>
              <w:jc w:val="cente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F2B93">
            <w:pPr>
              <w:jc w:val="center"/>
              <w:rPr>
                <w:rFonts w:hint="eastAsia" w:ascii="宋体" w:hAnsi="宋体" w:eastAsia="宋体" w:cs="宋体"/>
                <w:i w:val="0"/>
                <w:iCs w:val="0"/>
                <w:color w:val="000000"/>
                <w:sz w:val="18"/>
                <w:szCs w:val="18"/>
                <w:u w:val="none"/>
              </w:rPr>
            </w:pPr>
          </w:p>
        </w:tc>
      </w:tr>
      <w:tr w14:paraId="56F5C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19767">
            <w:pPr>
              <w:jc w:val="center"/>
              <w:rPr>
                <w:rFonts w:hint="eastAsia" w:ascii="宋体" w:hAnsi="宋体" w:eastAsia="宋体" w:cs="宋体"/>
                <w:b/>
                <w:bCs/>
                <w:i w:val="0"/>
                <w:iCs w:val="0"/>
                <w:color w:val="000000"/>
                <w:sz w:val="18"/>
                <w:szCs w:val="18"/>
                <w:u w:val="none"/>
              </w:rPr>
            </w:pP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8D6F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316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97687">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56CA1">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69211">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C43CB">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67BD5">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5196A">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8C0C7">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D2F8D">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1542D">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5C3F3">
            <w:pPr>
              <w:jc w:val="cente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05384">
            <w:pPr>
              <w:jc w:val="center"/>
              <w:rPr>
                <w:rFonts w:hint="eastAsia" w:ascii="宋体" w:hAnsi="宋体" w:eastAsia="宋体" w:cs="宋体"/>
                <w:i w:val="0"/>
                <w:iCs w:val="0"/>
                <w:color w:val="000000"/>
                <w:sz w:val="18"/>
                <w:szCs w:val="18"/>
                <w:u w:val="none"/>
              </w:rPr>
            </w:pPr>
          </w:p>
        </w:tc>
      </w:tr>
      <w:tr w14:paraId="31217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E2E43">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23C41">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A5B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145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244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DD0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379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F24C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73D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EB3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879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9C0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609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工作资料,说明材料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47968">
            <w:pPr>
              <w:jc w:val="center"/>
              <w:rPr>
                <w:rFonts w:hint="eastAsia" w:ascii="宋体" w:hAnsi="宋体" w:eastAsia="宋体" w:cs="宋体"/>
                <w:i w:val="0"/>
                <w:iCs w:val="0"/>
                <w:color w:val="000000"/>
                <w:sz w:val="18"/>
                <w:szCs w:val="18"/>
                <w:u w:val="none"/>
              </w:rPr>
            </w:pPr>
          </w:p>
        </w:tc>
      </w:tr>
      <w:tr w14:paraId="66613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C8D05">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944B7">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3AD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840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65C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AF8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2C7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5F4B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983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5E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C7C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B41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2FC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297DE">
            <w:pPr>
              <w:jc w:val="center"/>
              <w:rPr>
                <w:rFonts w:hint="eastAsia" w:ascii="宋体" w:hAnsi="宋体" w:eastAsia="宋体" w:cs="宋体"/>
                <w:i w:val="0"/>
                <w:iCs w:val="0"/>
                <w:color w:val="000000"/>
                <w:sz w:val="18"/>
                <w:szCs w:val="18"/>
                <w:u w:val="none"/>
              </w:rPr>
            </w:pPr>
          </w:p>
        </w:tc>
      </w:tr>
      <w:tr w14:paraId="75A40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4D067">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8C30B">
            <w:pPr>
              <w:jc w:val="center"/>
              <w:rPr>
                <w:rFonts w:hint="eastAsia" w:ascii="宋体" w:hAnsi="宋体" w:eastAsia="宋体" w:cs="宋体"/>
                <w:i w:val="0"/>
                <w:iCs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90A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A669C">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62C3E">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0233D">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E0179">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D2879">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4E313">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A2DE0">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1660E">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A152F">
            <w:pPr>
              <w:jc w:val="cente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8DDB6">
            <w:pPr>
              <w:jc w:val="cente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7040E">
            <w:pPr>
              <w:jc w:val="center"/>
              <w:rPr>
                <w:rFonts w:hint="eastAsia" w:ascii="宋体" w:hAnsi="宋体" w:eastAsia="宋体" w:cs="宋体"/>
                <w:i w:val="0"/>
                <w:iCs w:val="0"/>
                <w:color w:val="000000"/>
                <w:sz w:val="18"/>
                <w:szCs w:val="18"/>
                <w:u w:val="none"/>
              </w:rPr>
            </w:pPr>
          </w:p>
        </w:tc>
      </w:tr>
      <w:tr w14:paraId="72CF1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F4CB1">
            <w:pPr>
              <w:jc w:val="center"/>
              <w:rPr>
                <w:rFonts w:hint="eastAsia" w:ascii="宋体" w:hAnsi="宋体" w:eastAsia="宋体" w:cs="宋体"/>
                <w:b/>
                <w:bCs/>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269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15F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747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A28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944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731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1220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D8C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954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888E6">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B88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73F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BA91A">
            <w:pPr>
              <w:jc w:val="center"/>
              <w:rPr>
                <w:rFonts w:hint="eastAsia" w:ascii="宋体" w:hAnsi="宋体" w:eastAsia="宋体" w:cs="宋体"/>
                <w:i w:val="0"/>
                <w:iCs w:val="0"/>
                <w:color w:val="000000"/>
                <w:sz w:val="18"/>
                <w:szCs w:val="18"/>
                <w:u w:val="none"/>
              </w:rPr>
            </w:pPr>
          </w:p>
        </w:tc>
      </w:tr>
      <w:tr w14:paraId="276B8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220" w:type="pct"/>
            <w:gridSpan w:val="4"/>
            <w:tcBorders>
              <w:top w:val="single" w:color="000000" w:sz="4" w:space="0"/>
              <w:left w:val="single" w:color="000000" w:sz="4" w:space="0"/>
              <w:bottom w:val="single" w:color="000000" w:sz="4" w:space="0"/>
              <w:right w:val="nil"/>
            </w:tcBorders>
            <w:shd w:val="clear" w:color="auto" w:fill="auto"/>
            <w:vAlign w:val="center"/>
          </w:tcPr>
          <w:p w14:paraId="13FFC4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D7F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nil"/>
              <w:bottom w:val="single" w:color="000000" w:sz="4" w:space="0"/>
              <w:right w:val="single" w:color="000000" w:sz="4" w:space="0"/>
            </w:tcBorders>
            <w:shd w:val="clear" w:color="auto" w:fill="auto"/>
            <w:vAlign w:val="center"/>
          </w:tcPr>
          <w:p w14:paraId="779F58FC">
            <w:pPr>
              <w:rPr>
                <w:rFonts w:hint="eastAsia" w:ascii="宋体" w:hAnsi="宋体" w:eastAsia="宋体" w:cs="宋体"/>
                <w:b/>
                <w:bCs/>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AA913">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DD40E">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470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99.38分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281D6">
            <w:pP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182E2">
            <w:pP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9F739">
            <w:pPr>
              <w:rPr>
                <w:rFonts w:hint="eastAsia" w:ascii="宋体" w:hAnsi="宋体" w:eastAsia="宋体" w:cs="宋体"/>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435EB">
            <w:pPr>
              <w:rPr>
                <w:rFonts w:hint="eastAsia" w:ascii="宋体" w:hAnsi="宋体" w:eastAsia="宋体" w:cs="宋体"/>
                <w:i w:val="0"/>
                <w:iCs w:val="0"/>
                <w:color w:val="000000"/>
                <w:sz w:val="18"/>
                <w:szCs w:val="18"/>
                <w:u w:val="none"/>
              </w:rPr>
            </w:pP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2911F">
            <w:pPr>
              <w:rPr>
                <w:rFonts w:hint="eastAsia" w:ascii="宋体" w:hAnsi="宋体" w:eastAsia="宋体" w:cs="宋体"/>
                <w:i w:val="0"/>
                <w:iCs w:val="0"/>
                <w:color w:val="000000"/>
                <w:sz w:val="18"/>
                <w:szCs w:val="18"/>
                <w:u w:val="none"/>
              </w:rPr>
            </w:pPr>
          </w:p>
        </w:tc>
      </w:tr>
    </w:tbl>
    <w:p w14:paraId="26754421">
      <w:pPr>
        <w:ind w:left="0" w:leftChars="0" w:firstLine="0" w:firstLineChars="0"/>
      </w:pPr>
      <w:r>
        <w:br w:type="page"/>
      </w:r>
    </w:p>
    <w:p w14:paraId="59929B66">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2" w:name="_Toc15067"/>
      <w:bookmarkStart w:id="153"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2"/>
      <w:bookmarkEnd w:id="153"/>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578975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66B70A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4EA2AD2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45BC597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6846147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4317B87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0FBAFFD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0BECC8C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7153D0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740A082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1A68714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1E98051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05FDE14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51AC07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2F16E76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76A456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3BFE0B5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C02043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5485B18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6CC06A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2183420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4E9EEE06">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56D33CB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43ADDBE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7A7CF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54AC82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1469118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0E00CE6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12FE97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53D6593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4F962F0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9FADDC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286F25B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66622776">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2FE585C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0BDC5456">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2.2</w:t>
            </w:r>
          </w:p>
        </w:tc>
      </w:tr>
      <w:tr w14:paraId="329A7E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67F6263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45481AE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7BA34D2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75604A9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18CD8AC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FB6954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290642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4C16BEC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5607DB0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2CB2DD9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192BB2A8">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1BC0A18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5DF0ACA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032065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12A4FC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7588BF3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4BC7858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0E4AAD4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34F3162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6E7E34A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71DF68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47F8400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700DD82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7BFCC9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0684370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7A2264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709FE9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188A477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301A4AF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524CDE4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1B64538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5521E5D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091E191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1C1A17A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DDD2C2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6B4C44A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14DE4FB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3C343EC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51CB429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B721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16FA20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1FFA71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361D173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4D36502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4229CCE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5BA12E9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007A848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EC35B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6EE03AA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025CFF1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FEF24F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578FF7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6366744A">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54BA60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36856AF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6B742CD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37F79D0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72AC87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6039B22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5055D44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5F861A7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4061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4D8E9D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57863E08">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000E055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1E02026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341A24D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4B92E68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468E64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019D25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0F830D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3.75</w:t>
            </w:r>
          </w:p>
        </w:tc>
      </w:tr>
      <w:tr w14:paraId="6A99EC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12A12D6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135CF28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137210D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4CC2FAD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58B2144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53804ED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2C37BF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DA7F39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3032D1C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4DBAB29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1616BF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20C50D9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DD7863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033AFD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238CEC0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47BC296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7B157E6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0A0215D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41CD437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342E2E2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3DD49F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BAC91C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0BD2B14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20DEB64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5344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F5A48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03" w:hRule="atLeast"/>
          <w:jc w:val="center"/>
        </w:trPr>
        <w:tc>
          <w:tcPr>
            <w:tcW w:w="861" w:type="dxa"/>
            <w:vMerge w:val="continue"/>
            <w:shd w:val="clear" w:color="auto" w:fill="auto"/>
            <w:noWrap w:val="0"/>
            <w:vAlign w:val="center"/>
          </w:tcPr>
          <w:p w14:paraId="347BC09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29260E2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556CF10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54A00B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34ABAB6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50B0925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E396AD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2639E57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350D214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69F3E73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7482B9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437883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7C575C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F2836A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337052A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0260C74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highlight w:val="none"/>
              </w:rPr>
              <w:t>在校学生人数（人）</w:t>
            </w:r>
          </w:p>
        </w:tc>
        <w:tc>
          <w:tcPr>
            <w:tcW w:w="2141" w:type="dxa"/>
            <w:shd w:val="clear" w:color="auto" w:fill="auto"/>
            <w:noWrap w:val="0"/>
            <w:vAlign w:val="center"/>
          </w:tcPr>
          <w:p w14:paraId="188FBCB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240EBB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3B0410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77B8758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01CCE84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auto" w:fill="auto"/>
            <w:noWrap w:val="0"/>
            <w:vAlign w:val="center"/>
          </w:tcPr>
          <w:p w14:paraId="3C169D1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14:paraId="0FAEA7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2A87F03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629AD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359569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highlight w:val="none"/>
              </w:rPr>
              <w:t>公用经费享受比例</w:t>
            </w:r>
          </w:p>
        </w:tc>
        <w:tc>
          <w:tcPr>
            <w:tcW w:w="2141" w:type="dxa"/>
            <w:shd w:val="clear" w:color="auto" w:fill="auto"/>
            <w:noWrap w:val="0"/>
            <w:vAlign w:val="center"/>
          </w:tcPr>
          <w:p w14:paraId="3BC97C4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4E260E3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7B081DE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7208F3B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c>
          <w:tcPr>
            <w:tcW w:w="769" w:type="dxa"/>
            <w:shd w:val="clear" w:color="auto" w:fill="auto"/>
            <w:noWrap w:val="0"/>
            <w:vAlign w:val="center"/>
          </w:tcPr>
          <w:p w14:paraId="3DBB4CF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r>
      <w:tr w14:paraId="2F73AD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375F13A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271274B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820" w:type="dxa"/>
            <w:shd w:val="clear" w:color="auto" w:fill="auto"/>
            <w:noWrap w:val="0"/>
            <w:vAlign w:val="center"/>
          </w:tcPr>
          <w:p w14:paraId="10AA33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highlight w:val="none"/>
              </w:rPr>
              <w:t>教师培训结业率</w:t>
            </w:r>
          </w:p>
        </w:tc>
        <w:tc>
          <w:tcPr>
            <w:tcW w:w="2141" w:type="dxa"/>
            <w:shd w:val="clear" w:color="auto" w:fill="auto"/>
            <w:noWrap w:val="0"/>
            <w:vAlign w:val="center"/>
          </w:tcPr>
          <w:p w14:paraId="3682430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3EEB4FD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7B1A2A2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133C93D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769" w:type="dxa"/>
            <w:shd w:val="clear" w:color="auto" w:fill="auto"/>
            <w:noWrap w:val="0"/>
            <w:vAlign w:val="center"/>
          </w:tcPr>
          <w:p w14:paraId="2EFE49E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r w14:paraId="0520F1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275041D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shd w:val="clear" w:color="auto" w:fill="auto"/>
            <w:noWrap w:val="0"/>
            <w:vAlign w:val="center"/>
          </w:tcPr>
          <w:p w14:paraId="65E55AF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14:paraId="2149075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公用经费支出及时率</w:t>
            </w:r>
          </w:p>
        </w:tc>
        <w:tc>
          <w:tcPr>
            <w:tcW w:w="2141" w:type="dxa"/>
            <w:shd w:val="clear" w:color="auto" w:fill="auto"/>
            <w:noWrap w:val="0"/>
            <w:vAlign w:val="center"/>
          </w:tcPr>
          <w:p w14:paraId="0ECD244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auto" w:fill="auto"/>
            <w:noWrap w:val="0"/>
            <w:vAlign w:val="center"/>
          </w:tcPr>
          <w:p w14:paraId="3CCC925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6365874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1DF8E6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769" w:type="dxa"/>
            <w:shd w:val="clear" w:color="auto" w:fill="auto"/>
            <w:noWrap w:val="0"/>
            <w:vAlign w:val="center"/>
          </w:tcPr>
          <w:p w14:paraId="7D2DBF2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r w14:paraId="46D4AC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4983397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shd w:val="clear" w:color="auto" w:fill="auto"/>
            <w:noWrap w:val="0"/>
            <w:vAlign w:val="center"/>
          </w:tcPr>
          <w:p w14:paraId="7E2AA6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57A33CA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公用经费标准</w:t>
            </w:r>
          </w:p>
        </w:tc>
        <w:tc>
          <w:tcPr>
            <w:tcW w:w="2141" w:type="dxa"/>
            <w:shd w:val="clear" w:color="auto" w:fill="auto"/>
            <w:noWrap w:val="0"/>
            <w:vAlign w:val="center"/>
          </w:tcPr>
          <w:p w14:paraId="091A51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101398D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p w14:paraId="1FDD6D5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4168EB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65183FB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45764B3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13</w:t>
            </w:r>
          </w:p>
        </w:tc>
        <w:tc>
          <w:tcPr>
            <w:tcW w:w="769" w:type="dxa"/>
            <w:shd w:val="clear" w:color="auto" w:fill="auto"/>
            <w:noWrap w:val="0"/>
            <w:vAlign w:val="center"/>
          </w:tcPr>
          <w:p w14:paraId="235388A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13</w:t>
            </w:r>
          </w:p>
        </w:tc>
      </w:tr>
      <w:tr w14:paraId="2D4625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597B7CD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17BFA31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auto"/>
            <w:noWrap w:val="0"/>
            <w:vAlign w:val="center"/>
          </w:tcPr>
          <w:p w14:paraId="3EA0F71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学校正常运转率</w:t>
            </w:r>
          </w:p>
        </w:tc>
        <w:tc>
          <w:tcPr>
            <w:tcW w:w="2141" w:type="dxa"/>
            <w:shd w:val="clear" w:color="auto" w:fill="auto"/>
            <w:noWrap w:val="0"/>
            <w:vAlign w:val="center"/>
          </w:tcPr>
          <w:p w14:paraId="3A331EEE">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116C657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0D9949F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3112A54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24F82C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2431EF1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77D800E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6735AE4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改善教学环境，提供良好的学生成长条件</w:t>
            </w:r>
          </w:p>
        </w:tc>
        <w:tc>
          <w:tcPr>
            <w:tcW w:w="2141" w:type="dxa"/>
            <w:shd w:val="clear" w:color="auto" w:fill="auto"/>
            <w:noWrap w:val="0"/>
            <w:vAlign w:val="center"/>
          </w:tcPr>
          <w:p w14:paraId="4AA0D28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670C79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548C40D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c>
          <w:tcPr>
            <w:tcW w:w="769" w:type="dxa"/>
            <w:shd w:val="clear" w:color="auto" w:fill="auto"/>
            <w:noWrap w:val="0"/>
            <w:vAlign w:val="center"/>
          </w:tcPr>
          <w:p w14:paraId="6C9226D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7E144C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2E87CE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5F5E663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820" w:type="dxa"/>
            <w:shd w:val="clear" w:color="auto" w:fill="auto"/>
            <w:noWrap w:val="0"/>
            <w:vAlign w:val="center"/>
          </w:tcPr>
          <w:p w14:paraId="335475F8">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yellow"/>
                <w:lang w:val="en-US" w:eastAsia="zh-CN"/>
              </w:rPr>
            </w:pPr>
            <w:r>
              <w:rPr>
                <w:rFonts w:hint="eastAsia" w:cs="宋体"/>
                <w:color w:val="000000"/>
                <w:kern w:val="0"/>
                <w:sz w:val="22"/>
                <w:szCs w:val="22"/>
                <w:highlight w:val="none"/>
                <w:lang w:val="en-US" w:eastAsia="zh-CN"/>
              </w:rPr>
              <w:t>师生满意度</w:t>
            </w:r>
          </w:p>
        </w:tc>
        <w:tc>
          <w:tcPr>
            <w:tcW w:w="2141" w:type="dxa"/>
            <w:shd w:val="clear" w:color="auto" w:fill="auto"/>
            <w:noWrap w:val="0"/>
            <w:vAlign w:val="center"/>
          </w:tcPr>
          <w:p w14:paraId="5AB8F43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auto" w:fill="auto"/>
            <w:noWrap w:val="0"/>
            <w:vAlign w:val="center"/>
          </w:tcPr>
          <w:p w14:paraId="3ECB596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auto" w:fill="auto"/>
            <w:noWrap w:val="0"/>
            <w:vAlign w:val="center"/>
          </w:tcPr>
          <w:p w14:paraId="143DB6A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c>
          <w:tcPr>
            <w:tcW w:w="769" w:type="dxa"/>
            <w:shd w:val="clear" w:color="auto" w:fill="auto"/>
            <w:noWrap w:val="0"/>
            <w:vAlign w:val="center"/>
          </w:tcPr>
          <w:p w14:paraId="443A0E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r>
      <w:tr w14:paraId="243B25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3276A22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7821" w:type="dxa"/>
            <w:shd w:val="clear" w:color="auto" w:fill="auto"/>
            <w:noWrap w:val="0"/>
            <w:vAlign w:val="center"/>
          </w:tcPr>
          <w:p w14:paraId="5487439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4010DB30">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auto" w:fill="auto"/>
            <w:noWrap w:val="0"/>
            <w:vAlign w:val="center"/>
          </w:tcPr>
          <w:p w14:paraId="4635291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98.95</w:t>
            </w:r>
          </w:p>
        </w:tc>
      </w:tr>
    </w:tbl>
    <w:p w14:paraId="4DC747FB">
      <w:pPr>
        <w:keepNext w:val="0"/>
        <w:keepLines w:val="0"/>
        <w:pageBreakBefore w:val="0"/>
        <w:widowControl w:val="0"/>
        <w:kinsoku/>
        <w:wordWrap/>
        <w:overflowPunct/>
        <w:topLinePunct w:val="0"/>
        <w:autoSpaceDE/>
        <w:autoSpaceDN/>
        <w:bidi w:val="0"/>
        <w:adjustRightInd/>
        <w:snapToGrid/>
        <w:spacing w:line="20" w:lineRule="exact"/>
        <w:ind w:firstLine="0" w:firstLineChars="0"/>
        <w:textAlignment w:val="auto"/>
        <w:rPr>
          <w:rFonts w:hint="default" w:ascii="Times New Roman" w:hAnsi="Times New Roman" w:eastAsia="仿宋_GB2312" w:cs="Times New Roman"/>
          <w:sz w:val="30"/>
          <w:szCs w:val="24"/>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4836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B64010">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EB64010">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818504E"/>
    <w:multiLevelType w:val="singleLevel"/>
    <w:tmpl w:val="F818504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4591840"/>
    <w:rsid w:val="04D12EE4"/>
    <w:rsid w:val="04D63993"/>
    <w:rsid w:val="06591606"/>
    <w:rsid w:val="07890F4F"/>
    <w:rsid w:val="08892439"/>
    <w:rsid w:val="08EB30F3"/>
    <w:rsid w:val="09237408"/>
    <w:rsid w:val="09781BD6"/>
    <w:rsid w:val="09F359DF"/>
    <w:rsid w:val="0A575E65"/>
    <w:rsid w:val="0ACA0AB6"/>
    <w:rsid w:val="0C032502"/>
    <w:rsid w:val="0C27698C"/>
    <w:rsid w:val="0D4452F3"/>
    <w:rsid w:val="0F5E5042"/>
    <w:rsid w:val="0FE95707"/>
    <w:rsid w:val="10510571"/>
    <w:rsid w:val="10787A20"/>
    <w:rsid w:val="108672DE"/>
    <w:rsid w:val="10BF2F96"/>
    <w:rsid w:val="10EC685A"/>
    <w:rsid w:val="11FA6155"/>
    <w:rsid w:val="12CF0947"/>
    <w:rsid w:val="12F1313F"/>
    <w:rsid w:val="136C678E"/>
    <w:rsid w:val="13992344"/>
    <w:rsid w:val="13EB2FF5"/>
    <w:rsid w:val="14ED4CAC"/>
    <w:rsid w:val="15A46B04"/>
    <w:rsid w:val="165825BC"/>
    <w:rsid w:val="16BC5D73"/>
    <w:rsid w:val="16ED0989"/>
    <w:rsid w:val="1767603B"/>
    <w:rsid w:val="176F36D7"/>
    <w:rsid w:val="1795226D"/>
    <w:rsid w:val="18456B1E"/>
    <w:rsid w:val="1B5F6D25"/>
    <w:rsid w:val="1B8A61D6"/>
    <w:rsid w:val="1C1171C5"/>
    <w:rsid w:val="1D265138"/>
    <w:rsid w:val="1D7B6BCA"/>
    <w:rsid w:val="1DA41A79"/>
    <w:rsid w:val="1DF53469"/>
    <w:rsid w:val="1E2F24F2"/>
    <w:rsid w:val="1E58492F"/>
    <w:rsid w:val="1E5B6757"/>
    <w:rsid w:val="1ED10AC6"/>
    <w:rsid w:val="1F89225F"/>
    <w:rsid w:val="1F900A1F"/>
    <w:rsid w:val="1FC0575D"/>
    <w:rsid w:val="20270F13"/>
    <w:rsid w:val="206132C7"/>
    <w:rsid w:val="21B00C1D"/>
    <w:rsid w:val="23031BEB"/>
    <w:rsid w:val="23917691"/>
    <w:rsid w:val="244D65B8"/>
    <w:rsid w:val="245E1E24"/>
    <w:rsid w:val="25AD5E5D"/>
    <w:rsid w:val="263E5086"/>
    <w:rsid w:val="268E3C29"/>
    <w:rsid w:val="2732478D"/>
    <w:rsid w:val="27661469"/>
    <w:rsid w:val="27900EAD"/>
    <w:rsid w:val="279B538A"/>
    <w:rsid w:val="286F545C"/>
    <w:rsid w:val="29314FBC"/>
    <w:rsid w:val="2AA2081A"/>
    <w:rsid w:val="2B226E3C"/>
    <w:rsid w:val="2C024B86"/>
    <w:rsid w:val="2C927671"/>
    <w:rsid w:val="2CC6306F"/>
    <w:rsid w:val="2D7C5CD6"/>
    <w:rsid w:val="2E483E7E"/>
    <w:rsid w:val="2E690493"/>
    <w:rsid w:val="2E9854BD"/>
    <w:rsid w:val="2F0D407F"/>
    <w:rsid w:val="2F454B19"/>
    <w:rsid w:val="310224D9"/>
    <w:rsid w:val="31B4621C"/>
    <w:rsid w:val="31E3230A"/>
    <w:rsid w:val="324F4D98"/>
    <w:rsid w:val="330957E0"/>
    <w:rsid w:val="33356F64"/>
    <w:rsid w:val="33512DEB"/>
    <w:rsid w:val="33944516"/>
    <w:rsid w:val="34B62907"/>
    <w:rsid w:val="36BD137C"/>
    <w:rsid w:val="36F574C5"/>
    <w:rsid w:val="37E2490C"/>
    <w:rsid w:val="38053EDF"/>
    <w:rsid w:val="380812A4"/>
    <w:rsid w:val="385D37E7"/>
    <w:rsid w:val="38782EDD"/>
    <w:rsid w:val="3A685882"/>
    <w:rsid w:val="3B42664A"/>
    <w:rsid w:val="3BE452D7"/>
    <w:rsid w:val="3C7767B9"/>
    <w:rsid w:val="3CAD1E92"/>
    <w:rsid w:val="3D836A4E"/>
    <w:rsid w:val="3EA37E97"/>
    <w:rsid w:val="3FBE0BC5"/>
    <w:rsid w:val="3FC90D91"/>
    <w:rsid w:val="4048103A"/>
    <w:rsid w:val="40736643"/>
    <w:rsid w:val="40A15AA3"/>
    <w:rsid w:val="40D24A7A"/>
    <w:rsid w:val="42621029"/>
    <w:rsid w:val="433C66BA"/>
    <w:rsid w:val="435241E2"/>
    <w:rsid w:val="43975C51"/>
    <w:rsid w:val="439E3FA7"/>
    <w:rsid w:val="44B32266"/>
    <w:rsid w:val="44FC64F4"/>
    <w:rsid w:val="459A3F8A"/>
    <w:rsid w:val="467F4585"/>
    <w:rsid w:val="470628CB"/>
    <w:rsid w:val="4729480B"/>
    <w:rsid w:val="47555BD4"/>
    <w:rsid w:val="47BC2DB1"/>
    <w:rsid w:val="47E96399"/>
    <w:rsid w:val="47F76025"/>
    <w:rsid w:val="486E33F5"/>
    <w:rsid w:val="48E12B50"/>
    <w:rsid w:val="492434DC"/>
    <w:rsid w:val="499441BE"/>
    <w:rsid w:val="499A6C1C"/>
    <w:rsid w:val="4A195607"/>
    <w:rsid w:val="4A2138F0"/>
    <w:rsid w:val="4A583887"/>
    <w:rsid w:val="4B9F6E02"/>
    <w:rsid w:val="4C89637B"/>
    <w:rsid w:val="4E6E48A8"/>
    <w:rsid w:val="4EEC036B"/>
    <w:rsid w:val="4F714FA1"/>
    <w:rsid w:val="501D2673"/>
    <w:rsid w:val="50C80BF1"/>
    <w:rsid w:val="51852833"/>
    <w:rsid w:val="52F11AC8"/>
    <w:rsid w:val="534F49D9"/>
    <w:rsid w:val="53555F0F"/>
    <w:rsid w:val="535D23D5"/>
    <w:rsid w:val="56F4341A"/>
    <w:rsid w:val="575A7321"/>
    <w:rsid w:val="580C3AB9"/>
    <w:rsid w:val="583C7AE0"/>
    <w:rsid w:val="586C1E9A"/>
    <w:rsid w:val="586E0800"/>
    <w:rsid w:val="59216F96"/>
    <w:rsid w:val="598C4145"/>
    <w:rsid w:val="59957D1B"/>
    <w:rsid w:val="59D4294E"/>
    <w:rsid w:val="5B634312"/>
    <w:rsid w:val="5B9D2CCD"/>
    <w:rsid w:val="5B9E71EA"/>
    <w:rsid w:val="5E226FBC"/>
    <w:rsid w:val="5F857902"/>
    <w:rsid w:val="5FE72BD2"/>
    <w:rsid w:val="60120613"/>
    <w:rsid w:val="618D5292"/>
    <w:rsid w:val="621A275A"/>
    <w:rsid w:val="622E78FA"/>
    <w:rsid w:val="623076FB"/>
    <w:rsid w:val="62D97AAD"/>
    <w:rsid w:val="63343F70"/>
    <w:rsid w:val="64296E1C"/>
    <w:rsid w:val="64386FCC"/>
    <w:rsid w:val="64665E6B"/>
    <w:rsid w:val="649E64A2"/>
    <w:rsid w:val="64FB487E"/>
    <w:rsid w:val="65E5270A"/>
    <w:rsid w:val="663D3C54"/>
    <w:rsid w:val="667A6962"/>
    <w:rsid w:val="66862C89"/>
    <w:rsid w:val="66BB486D"/>
    <w:rsid w:val="67394C7D"/>
    <w:rsid w:val="68126B38"/>
    <w:rsid w:val="68291A1A"/>
    <w:rsid w:val="68352BB8"/>
    <w:rsid w:val="691327EB"/>
    <w:rsid w:val="691B1594"/>
    <w:rsid w:val="693A016B"/>
    <w:rsid w:val="69DF102E"/>
    <w:rsid w:val="6A17429C"/>
    <w:rsid w:val="6A567EA3"/>
    <w:rsid w:val="6B4B4368"/>
    <w:rsid w:val="6B79100E"/>
    <w:rsid w:val="6C844C00"/>
    <w:rsid w:val="6E10212C"/>
    <w:rsid w:val="6E43561A"/>
    <w:rsid w:val="6E557973"/>
    <w:rsid w:val="6E9568DB"/>
    <w:rsid w:val="6F0D6C22"/>
    <w:rsid w:val="6F47657F"/>
    <w:rsid w:val="6FAF23D9"/>
    <w:rsid w:val="70635CF6"/>
    <w:rsid w:val="70670707"/>
    <w:rsid w:val="714F20E7"/>
    <w:rsid w:val="71736A6D"/>
    <w:rsid w:val="720E3691"/>
    <w:rsid w:val="7249173A"/>
    <w:rsid w:val="724E244C"/>
    <w:rsid w:val="72DA6946"/>
    <w:rsid w:val="732764B3"/>
    <w:rsid w:val="74026044"/>
    <w:rsid w:val="74325A77"/>
    <w:rsid w:val="74746410"/>
    <w:rsid w:val="75C8506C"/>
    <w:rsid w:val="75E5007C"/>
    <w:rsid w:val="77636B63"/>
    <w:rsid w:val="77813724"/>
    <w:rsid w:val="77861774"/>
    <w:rsid w:val="77E872FF"/>
    <w:rsid w:val="78F31435"/>
    <w:rsid w:val="79300B45"/>
    <w:rsid w:val="794D3E18"/>
    <w:rsid w:val="79F3729A"/>
    <w:rsid w:val="7A880722"/>
    <w:rsid w:val="7ABE6120"/>
    <w:rsid w:val="7ACB0498"/>
    <w:rsid w:val="7AED0B4D"/>
    <w:rsid w:val="7B71246B"/>
    <w:rsid w:val="7C1E4487"/>
    <w:rsid w:val="7C215E02"/>
    <w:rsid w:val="7CF23764"/>
    <w:rsid w:val="7D851A94"/>
    <w:rsid w:val="7E797F74"/>
    <w:rsid w:val="7F924011"/>
    <w:rsid w:val="7FC52DC2"/>
    <w:rsid w:val="7FF264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 w:type="paragraph" w:styleId="2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10645</Words>
  <Characters>11318</Characters>
  <Lines>0</Lines>
  <Paragraphs>0</Paragraphs>
  <TotalTime>1</TotalTime>
  <ScaleCrop>false</ScaleCrop>
  <LinksUpToDate>false</LinksUpToDate>
  <CharactersWithSpaces>11389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2025-10-23T03:55:41Z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