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D091B">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15C6C83F">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4779924">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CEF3C1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5679"/>
      <w:bookmarkStart w:id="1" w:name="_Toc29123"/>
      <w:bookmarkStart w:id="2" w:name="_Toc25575"/>
      <w:bookmarkStart w:id="3" w:name="_Toc1949"/>
      <w:r>
        <w:rPr>
          <w:rFonts w:hint="eastAsia" w:cs="宋体"/>
          <w:b/>
          <w:bCs/>
          <w:color w:val="auto"/>
          <w:sz w:val="40"/>
          <w:szCs w:val="40"/>
          <w:highlight w:val="none"/>
          <w:shd w:val="clear" w:color="auto" w:fill="auto"/>
          <w:lang w:val="en-US" w:eastAsia="zh-CN"/>
        </w:rPr>
        <w:t>昌州财教提前下达2024年城乡义务教育补助经费公用经费小学及特教项</w:t>
      </w:r>
      <w:r>
        <w:rPr>
          <w:rFonts w:hint="eastAsia" w:ascii="宋体" w:hAnsi="宋体" w:eastAsia="宋体" w:cs="宋体"/>
          <w:b/>
          <w:bCs/>
          <w:color w:val="auto"/>
          <w:sz w:val="40"/>
          <w:szCs w:val="40"/>
          <w:highlight w:val="none"/>
          <w:shd w:val="clear" w:color="auto" w:fill="auto"/>
          <w:lang w:val="en-US" w:eastAsia="zh-CN"/>
        </w:rPr>
        <w:t>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07D99187">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422786E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BB43B9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0A911E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4AFDCB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BEA882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102C5580">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BD22D7C">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项目名称：</w:t>
      </w:r>
      <w:r>
        <w:rPr>
          <w:rFonts w:hint="eastAsia" w:ascii="黑体" w:hAnsi="Times New Roman" w:eastAsia="黑体"/>
          <w:b w:val="0"/>
          <w:bCs/>
          <w:color w:val="000000"/>
          <w:sz w:val="30"/>
          <w:szCs w:val="30"/>
          <w:lang w:eastAsia="zh-CN"/>
        </w:rPr>
        <w:t>昌州财教提前下达2024年城乡义务教育补助经费公用经费小学及特教</w:t>
      </w:r>
    </w:p>
    <w:p w14:paraId="35EDDDAC">
      <w:pPr>
        <w:spacing w:line="360" w:lineRule="auto"/>
        <w:ind w:firstLine="0" w:firstLineChars="0"/>
        <w:jc w:val="left"/>
        <w:rPr>
          <w:rFonts w:hint="eastAsia"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实施单位：</w:t>
      </w:r>
      <w:r>
        <w:rPr>
          <w:rFonts w:hint="eastAsia" w:ascii="黑体" w:hAnsi="Times New Roman" w:eastAsia="黑体"/>
          <w:b w:val="0"/>
          <w:bCs/>
          <w:color w:val="000000"/>
          <w:sz w:val="30"/>
          <w:szCs w:val="30"/>
          <w:lang w:val="en-US" w:eastAsia="zh-CN"/>
        </w:rPr>
        <w:t>阜康市晋阜小学</w:t>
      </w:r>
    </w:p>
    <w:p w14:paraId="179B9B21">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rPr>
        <w:t>主管部门：</w:t>
      </w:r>
      <w:r>
        <w:rPr>
          <w:rFonts w:hint="eastAsia" w:ascii="黑体" w:hAnsi="Times New Roman" w:eastAsia="黑体"/>
          <w:b w:val="0"/>
          <w:bCs/>
          <w:color w:val="000000"/>
          <w:sz w:val="30"/>
          <w:szCs w:val="30"/>
          <w:lang w:eastAsia="zh-CN"/>
        </w:rPr>
        <w:t>阜康市教育局</w:t>
      </w:r>
    </w:p>
    <w:p w14:paraId="5BFE4661">
      <w:pPr>
        <w:spacing w:line="360" w:lineRule="auto"/>
        <w:ind w:firstLine="0" w:firstLineChars="0"/>
        <w:jc w:val="left"/>
        <w:rPr>
          <w:rFonts w:hint="eastAsia"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lang w:eastAsia="zh-CN"/>
        </w:rPr>
        <w:t>项目负责人：</w:t>
      </w:r>
      <w:r>
        <w:rPr>
          <w:rFonts w:hint="eastAsia" w:ascii="黑体" w:hAnsi="Times New Roman" w:eastAsia="黑体"/>
          <w:b w:val="0"/>
          <w:bCs/>
          <w:color w:val="000000"/>
          <w:sz w:val="30"/>
          <w:szCs w:val="30"/>
          <w:lang w:val="en-US" w:eastAsia="zh-CN"/>
        </w:rPr>
        <w:t>成伟</w:t>
      </w:r>
    </w:p>
    <w:p w14:paraId="7338E091">
      <w:pPr>
        <w:spacing w:line="360" w:lineRule="auto"/>
        <w:ind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2025年3月31日</w:t>
      </w:r>
    </w:p>
    <w:p w14:paraId="7AFF35B8">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34407C80">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14:paraId="06AF983F">
      <w:pPr>
        <w:pageBreakBefore w:val="0"/>
        <w:kinsoku/>
        <w:wordWrap/>
        <w:overflowPunct/>
        <w:topLinePunct w:val="0"/>
        <w:autoSpaceDE/>
        <w:autoSpaceDN/>
        <w:bidi w:val="0"/>
        <w:spacing w:line="560" w:lineRule="exact"/>
        <w:textAlignment w:val="auto"/>
        <w:rPr>
          <w:rFonts w:hint="eastAsia"/>
          <w:lang w:val="en-US" w:eastAsia="zh-CN"/>
        </w:rPr>
      </w:pP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1D70089B">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highlight w:val="none"/>
            </w:rPr>
          </w:pPr>
          <w:r>
            <w:rPr>
              <w:rFonts w:ascii="宋体" w:hAnsi="宋体" w:eastAsia="宋体"/>
              <w:b/>
              <w:bCs/>
              <w:sz w:val="40"/>
              <w:szCs w:val="40"/>
              <w:highlight w:val="none"/>
            </w:rPr>
            <w:t>目录</w:t>
          </w:r>
        </w:p>
        <w:p w14:paraId="0B0DD4EF">
          <w:pPr>
            <w:pStyle w:val="10"/>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37BCDC3A">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1</w:t>
          </w:r>
          <w:r>
            <w:fldChar w:fldCharType="end"/>
          </w:r>
          <w:r>
            <w:rPr>
              <w:rFonts w:hint="eastAsia"/>
              <w:szCs w:val="28"/>
              <w:lang w:val="en-US" w:eastAsia="zh-CN"/>
            </w:rPr>
            <w:fldChar w:fldCharType="end"/>
          </w:r>
        </w:p>
        <w:p w14:paraId="3C91364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1</w:t>
          </w:r>
          <w:r>
            <w:fldChar w:fldCharType="end"/>
          </w:r>
          <w:r>
            <w:rPr>
              <w:rFonts w:hint="eastAsia"/>
              <w:szCs w:val="28"/>
              <w:lang w:val="en-US" w:eastAsia="zh-CN"/>
            </w:rPr>
            <w:fldChar w:fldCharType="end"/>
          </w:r>
        </w:p>
        <w:p w14:paraId="64E2EE10">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2</w:t>
          </w:r>
          <w:r>
            <w:fldChar w:fldCharType="end"/>
          </w:r>
          <w:r>
            <w:rPr>
              <w:rFonts w:hint="eastAsia"/>
              <w:szCs w:val="28"/>
              <w:lang w:val="en-US" w:eastAsia="zh-CN"/>
            </w:rPr>
            <w:fldChar w:fldCharType="end"/>
          </w:r>
        </w:p>
        <w:p w14:paraId="1C58A1FC">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4</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C39E29F">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4</w:t>
          </w:r>
          <w:r>
            <w:fldChar w:fldCharType="end"/>
          </w:r>
          <w:r>
            <w:rPr>
              <w:rFonts w:hint="eastAsia"/>
              <w:szCs w:val="28"/>
              <w:lang w:val="en-US" w:eastAsia="zh-CN"/>
            </w:rPr>
            <w:fldChar w:fldCharType="end"/>
          </w:r>
        </w:p>
        <w:p w14:paraId="2814B99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8</w:t>
          </w:r>
          <w:r>
            <w:fldChar w:fldCharType="end"/>
          </w:r>
          <w:r>
            <w:rPr>
              <w:rFonts w:hint="eastAsia"/>
              <w:szCs w:val="28"/>
              <w:lang w:val="en-US" w:eastAsia="zh-CN"/>
            </w:rPr>
            <w:fldChar w:fldCharType="end"/>
          </w:r>
        </w:p>
        <w:p w14:paraId="0B45F394">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11</w:t>
          </w:r>
          <w:r>
            <w:fldChar w:fldCharType="end"/>
          </w:r>
          <w:r>
            <w:rPr>
              <w:rFonts w:hint="eastAsia"/>
              <w:szCs w:val="28"/>
              <w:lang w:val="en-US" w:eastAsia="zh-CN"/>
            </w:rPr>
            <w:fldChar w:fldCharType="end"/>
          </w:r>
        </w:p>
        <w:p w14:paraId="776250B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13</w:t>
          </w:r>
          <w:r>
            <w:fldChar w:fldCharType="end"/>
          </w:r>
          <w:r>
            <w:rPr>
              <w:rFonts w:hint="eastAsia"/>
              <w:szCs w:val="28"/>
              <w:lang w:val="en-US" w:eastAsia="zh-CN"/>
            </w:rPr>
            <w:fldChar w:fldCharType="end"/>
          </w:r>
        </w:p>
        <w:p w14:paraId="780E3F73">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13</w:t>
          </w:r>
          <w:r>
            <w:fldChar w:fldCharType="end"/>
          </w:r>
          <w:r>
            <w:rPr>
              <w:rFonts w:hint="eastAsia"/>
              <w:szCs w:val="28"/>
              <w:lang w:val="en-US" w:eastAsia="zh-CN"/>
            </w:rPr>
            <w:fldChar w:fldCharType="end"/>
          </w:r>
        </w:p>
        <w:p w14:paraId="4102689B">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13</w:t>
          </w:r>
          <w:r>
            <w:fldChar w:fldCharType="end"/>
          </w:r>
          <w:r>
            <w:rPr>
              <w:rFonts w:hint="eastAsia"/>
              <w:szCs w:val="28"/>
              <w:lang w:val="en-US" w:eastAsia="zh-CN"/>
            </w:rPr>
            <w:fldChar w:fldCharType="end"/>
          </w:r>
        </w:p>
        <w:p w14:paraId="7D54100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14</w:t>
          </w:r>
          <w:r>
            <w:fldChar w:fldCharType="end"/>
          </w:r>
          <w:r>
            <w:rPr>
              <w:rFonts w:hint="eastAsia"/>
              <w:szCs w:val="28"/>
              <w:lang w:val="en-US" w:eastAsia="zh-CN"/>
            </w:rPr>
            <w:fldChar w:fldCharType="end"/>
          </w:r>
        </w:p>
        <w:p w14:paraId="2F86326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14</w:t>
          </w:r>
          <w:r>
            <w:fldChar w:fldCharType="end"/>
          </w:r>
          <w:r>
            <w:rPr>
              <w:rFonts w:hint="eastAsia"/>
              <w:szCs w:val="28"/>
              <w:lang w:val="en-US" w:eastAsia="zh-CN"/>
            </w:rPr>
            <w:fldChar w:fldCharType="end"/>
          </w:r>
        </w:p>
        <w:p w14:paraId="4944D955">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18</w:t>
          </w:r>
          <w:r>
            <w:fldChar w:fldCharType="end"/>
          </w:r>
          <w:r>
            <w:rPr>
              <w:rFonts w:hint="eastAsia"/>
              <w:szCs w:val="28"/>
              <w:lang w:val="en-US" w:eastAsia="zh-CN"/>
            </w:rPr>
            <w:fldChar w:fldCharType="end"/>
          </w:r>
        </w:p>
        <w:p w14:paraId="76287B9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20</w:t>
          </w:r>
          <w:r>
            <w:fldChar w:fldCharType="end"/>
          </w:r>
          <w:r>
            <w:rPr>
              <w:rFonts w:hint="eastAsia"/>
              <w:szCs w:val="28"/>
              <w:lang w:val="en-US" w:eastAsia="zh-CN"/>
            </w:rPr>
            <w:fldChar w:fldCharType="end"/>
          </w:r>
        </w:p>
        <w:p w14:paraId="608F6229">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21</w:t>
          </w:r>
          <w:r>
            <w:fldChar w:fldCharType="end"/>
          </w:r>
          <w:r>
            <w:rPr>
              <w:rFonts w:hint="eastAsia"/>
              <w:szCs w:val="28"/>
              <w:lang w:val="en-US" w:eastAsia="zh-CN"/>
            </w:rPr>
            <w:fldChar w:fldCharType="end"/>
          </w:r>
        </w:p>
        <w:p w14:paraId="0BDFB68A">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_Toc23313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tab/>
          </w:r>
          <w:r>
            <w:fldChar w:fldCharType="begin"/>
          </w:r>
          <w:r>
            <w:instrText xml:space="preserve"> PAGEREF _Toc23313 \h </w:instrText>
          </w:r>
          <w:r>
            <w:fldChar w:fldCharType="separate"/>
          </w:r>
          <w:r>
            <w:t>22</w:t>
          </w:r>
          <w:r>
            <w:fldChar w:fldCharType="end"/>
          </w:r>
          <w:r>
            <w:rPr>
              <w:rFonts w:hint="eastAsia"/>
              <w:szCs w:val="28"/>
              <w:lang w:val="en-US" w:eastAsia="zh-CN"/>
            </w:rPr>
            <w:fldChar w:fldCharType="end"/>
          </w:r>
        </w:p>
        <w:p w14:paraId="0E675879">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22</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1C25793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22</w:t>
          </w:r>
          <w:r>
            <w:fldChar w:fldCharType="end"/>
          </w:r>
          <w:r>
            <w:rPr>
              <w:rFonts w:hint="eastAsia"/>
              <w:szCs w:val="28"/>
              <w:lang w:val="en-US" w:eastAsia="zh-CN"/>
            </w:rPr>
            <w:fldChar w:fldCharType="end"/>
          </w:r>
        </w:p>
        <w:p w14:paraId="5CFD7AA5">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23</w:t>
          </w:r>
          <w:r>
            <w:fldChar w:fldCharType="end"/>
          </w:r>
          <w:r>
            <w:rPr>
              <w:rFonts w:hint="eastAsia"/>
              <w:szCs w:val="28"/>
              <w:lang w:val="en-US" w:eastAsia="zh-CN"/>
            </w:rPr>
            <w:fldChar w:fldCharType="end"/>
          </w:r>
        </w:p>
        <w:p w14:paraId="5139652D">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23</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E8FD987">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23</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49FE455">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24</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22750D1">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24</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6B0A321">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cols w:space="720" w:num="1"/>
              <w:docGrid w:type="lines" w:linePitch="408" w:charSpace="0"/>
            </w:sectPr>
          </w:pPr>
          <w:r>
            <w:rPr>
              <w:rFonts w:hint="eastAsia"/>
              <w:szCs w:val="28"/>
              <w:lang w:val="en-US" w:eastAsia="zh-CN"/>
            </w:rPr>
            <w:fldChar w:fldCharType="end"/>
          </w:r>
        </w:p>
      </w:sdtContent>
    </w:sdt>
    <w:p w14:paraId="368A6D6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22946"/>
      <w:bookmarkStart w:id="5" w:name="_Toc3663"/>
      <w:bookmarkStart w:id="6" w:name="_Toc1194"/>
      <w:bookmarkStart w:id="7" w:name="_Toc20432"/>
      <w:r>
        <w:rPr>
          <w:rFonts w:hint="eastAsia" w:cs="宋体"/>
          <w:b/>
          <w:bCs/>
          <w:color w:val="auto"/>
          <w:sz w:val="36"/>
          <w:szCs w:val="36"/>
          <w:highlight w:val="none"/>
          <w:shd w:val="clear" w:color="auto" w:fill="auto"/>
          <w:lang w:val="en-US" w:eastAsia="zh-CN"/>
        </w:rPr>
        <w:t>昌州财教提前下达2024年城乡义务教育补助经费公用经费小学及特教</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7AB89CFF">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5B2E7D2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9" w:name="_Toc23184"/>
      <w:r>
        <w:rPr>
          <w:rFonts w:hint="eastAsia" w:ascii="Times New Roman" w:hAnsi="Times New Roman" w:eastAsia="楷体_GB2312" w:cs="Times New Roman"/>
          <w:color w:val="auto"/>
          <w:kern w:val="28"/>
          <w:sz w:val="32"/>
          <w:lang w:val="en-US" w:eastAsia="zh-CN"/>
        </w:rPr>
        <w:t>（一）项目概况</w:t>
      </w:r>
      <w:bookmarkEnd w:id="9"/>
    </w:p>
    <w:p w14:paraId="69B4CD3F">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29812"/>
      <w:bookmarkStart w:id="11" w:name="_Toc22346"/>
      <w:bookmarkStart w:id="12" w:name="_Toc10645"/>
      <w:bookmarkStart w:id="13" w:name="_Toc5043"/>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172EDFCE">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4" w:name="_Toc27343"/>
      <w:bookmarkStart w:id="15" w:name="_Toc1630"/>
      <w:bookmarkStart w:id="16" w:name="_Toc10730"/>
      <w:bookmarkStart w:id="17" w:name="_Toc17880"/>
      <w:r>
        <w:rPr>
          <w:rFonts w:hint="eastAsia" w:ascii="仿宋_GB2312" w:hAnsi="仿宋_GB2312" w:eastAsia="仿宋_GB2312" w:cs="仿宋_GB2312"/>
          <w:color w:val="auto"/>
          <w:sz w:val="32"/>
          <w:szCs w:val="32"/>
          <w:highlight w:val="none"/>
        </w:rPr>
        <w:t>国务院印发《关于进一步完善城乡义务教育经费保障机制的通知》，进一步完善城乡义务教育经费保障机制，通过“三个统一、两个巩固”，建立城乡统一、重在农村的义务教育经费保障机制，推动教育经费随学生流动可携带，明确了生均公用经费基准定额等相关政策，为义务教育生均经费项目提供了政策依据和保障。学校日常运转需资金支持，如教学业务与管理、教师培训、</w:t>
      </w:r>
      <w:r>
        <w:rPr>
          <w:rFonts w:hint="eastAsia" w:ascii="仿宋_GB2312" w:hAnsi="仿宋_GB2312" w:eastAsia="仿宋_GB2312" w:cs="仿宋_GB2312"/>
          <w:color w:val="auto"/>
          <w:sz w:val="32"/>
          <w:szCs w:val="32"/>
          <w:highlight w:val="none"/>
          <w:lang w:val="en-US" w:eastAsia="zh-CN"/>
        </w:rPr>
        <w:t>维修维护</w:t>
      </w:r>
      <w:r>
        <w:rPr>
          <w:rFonts w:hint="eastAsia" w:ascii="仿宋_GB2312" w:hAnsi="仿宋_GB2312" w:eastAsia="仿宋_GB2312" w:cs="仿宋_GB2312"/>
          <w:color w:val="auto"/>
          <w:sz w:val="32"/>
          <w:szCs w:val="32"/>
          <w:highlight w:val="none"/>
        </w:rPr>
        <w:t>、文体活动、水电、交通差旅等支出</w:t>
      </w:r>
      <w:r>
        <w:rPr>
          <w:rFonts w:hint="eastAsia" w:ascii="仿宋_GB2312" w:hAnsi="仿宋_GB2312" w:eastAsia="仿宋_GB2312" w:cs="仿宋_GB2312"/>
          <w:color w:val="auto"/>
          <w:sz w:val="32"/>
          <w:szCs w:val="32"/>
          <w:highlight w:val="none"/>
          <w:lang w:eastAsia="zh-CN"/>
        </w:rPr>
        <w:t>。</w:t>
      </w:r>
    </w:p>
    <w:p w14:paraId="21840C16">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14:paraId="11EEEDDB">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pPr>
      <w:bookmarkStart w:id="18" w:name="_Toc27245"/>
      <w:bookmarkStart w:id="19" w:name="_Toc27409"/>
      <w:bookmarkStart w:id="20" w:name="_Toc16592"/>
      <w:bookmarkStart w:id="21" w:name="_Toc21898"/>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依据学校在校人数，按一定标准核算并下发生均经费。经费主要用于日常水费、电费、电话宽带费，教育教学所需的办公用品、实验器材、信息化设备，校园基础设施的日常修缮及维护，教师参加的各类培训，根据残疾儿童的特殊教育需求，采购教学用品等</w:t>
      </w:r>
      <w:r>
        <w:rPr>
          <w:rFonts w:hint="eastAsia" w:cs="仿宋_GB2312"/>
          <w:b w:val="0"/>
          <w:bCs w:val="0"/>
          <w:color w:val="auto"/>
          <w:kern w:val="2"/>
          <w:sz w:val="32"/>
          <w:szCs w:val="32"/>
          <w:highlight w:val="none"/>
          <w:shd w:val="clear" w:color="auto" w:fill="auto"/>
          <w:lang w:val="en-US" w:eastAsia="zh-CN" w:bidi="ar-SA"/>
        </w:rPr>
        <w:t>。</w:t>
      </w:r>
    </w:p>
    <w:p w14:paraId="58207A2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本项目自2023年11月27日经昌州财教</w:t>
      </w:r>
      <w:r>
        <w:rPr>
          <w:rStyle w:val="18"/>
          <w:rFonts w:hint="eastAsia" w:ascii="仿宋_GB2312" w:hAnsi="仿宋_GB2312" w:eastAsia="仿宋_GB2312" w:cs="仿宋_GB2312"/>
          <w:b w:val="0"/>
          <w:color w:val="auto"/>
          <w:spacing w:val="-4"/>
          <w:kern w:val="2"/>
          <w:sz w:val="32"/>
          <w:szCs w:val="32"/>
          <w:highlight w:val="none"/>
          <w:lang w:val="en-US" w:eastAsia="zh-CN" w:bidi="ar-SA"/>
        </w:rPr>
        <w:t>〔2023〕</w:t>
      </w:r>
      <w:r>
        <w:rPr>
          <w:rFonts w:hint="eastAsia" w:ascii="仿宋_GB2312" w:hAnsi="仿宋_GB2312" w:eastAsia="仿宋_GB2312" w:cs="仿宋_GB2312"/>
          <w:color w:val="auto"/>
          <w:sz w:val="32"/>
          <w:szCs w:val="32"/>
          <w:highlight w:val="none"/>
          <w:shd w:val="clear" w:color="auto" w:fill="auto"/>
          <w:lang w:val="en-US" w:eastAsia="zh-CN"/>
        </w:rPr>
        <w:t>（保民生）提前下达2024年城乡义务教育补助经费〔中央直达资金〕公用经费小学及特教文件批复，经学校党支部会议，确定了项目领导小组，明确了责任分工：组长为成伟，副组长为马燕，项目负责人为罗艳荣,组员为张兴麒、来媛、徐琴、杨志媛，其中：罗艳荣负责监管工作，杨志媛负责项目档案资料，徐琴负责资金拨付工作。</w:t>
      </w:r>
    </w:p>
    <w:p w14:paraId="2F0E6B9C">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2024年12月31日，本项目涉及学生人数1473人，公用经费享受比例达到100%，教师培训结业率达到100%，公用经费标准以720元/人/年完成，达到学校正常运转率提高，改善教学环境，提供良好的学生成长条件，保障学校正常运转,师生满意度达到90%。</w:t>
      </w:r>
    </w:p>
    <w:p w14:paraId="3702A65F">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22" w:name="_Toc10240"/>
      <w:bookmarkStart w:id="23" w:name="_Toc12348"/>
      <w:bookmarkStart w:id="24" w:name="_Toc1858"/>
      <w:bookmarkStart w:id="25" w:name="_Toc569"/>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2"/>
      <w:bookmarkEnd w:id="23"/>
      <w:bookmarkEnd w:id="24"/>
      <w:bookmarkEnd w:id="25"/>
    </w:p>
    <w:p w14:paraId="4BBB39C2">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6" w:name="_Toc23509"/>
      <w:bookmarkStart w:id="27" w:name="_Toc694"/>
      <w:bookmarkStart w:id="28" w:name="_Toc26369"/>
      <w:r>
        <w:rPr>
          <w:rFonts w:hint="eastAsia" w:ascii="仿宋_GB2312" w:hAnsi="仿宋_GB2312" w:eastAsia="仿宋_GB2312" w:cs="仿宋_GB2312"/>
          <w:sz w:val="32"/>
          <w:szCs w:val="32"/>
          <w:highlight w:val="none"/>
          <w:lang w:val="en-US" w:eastAsia="zh-CN"/>
        </w:rPr>
        <w:t>（1）资金投入情况</w:t>
      </w:r>
      <w:bookmarkEnd w:id="26"/>
      <w:bookmarkEnd w:id="27"/>
      <w:bookmarkEnd w:id="28"/>
    </w:p>
    <w:p w14:paraId="0FA816BF">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5573"/>
      <w:bookmarkStart w:id="30" w:name="_Toc9464"/>
      <w:bookmarkStart w:id="31" w:name="_Toc29190"/>
      <w:r>
        <w:rPr>
          <w:rFonts w:hint="eastAsia" w:ascii="仿宋_GB2312" w:hAnsi="仿宋_GB2312" w:eastAsia="仿宋_GB2312" w:cs="仿宋_GB2312"/>
          <w:sz w:val="32"/>
          <w:szCs w:val="32"/>
          <w:highlight w:val="none"/>
          <w:lang w:val="en-US" w:eastAsia="zh-CN"/>
        </w:rPr>
        <w:t>该项目年初预算数</w:t>
      </w:r>
      <w:r>
        <w:rPr>
          <w:rFonts w:hint="eastAsia" w:ascii="仿宋_GB2312" w:hAnsi="仿宋_GB2312" w:eastAsia="仿宋_GB2312" w:cs="仿宋_GB2312"/>
          <w:sz w:val="32"/>
          <w:szCs w:val="32"/>
          <w:lang w:val="en-US" w:eastAsia="zh-CN"/>
        </w:rPr>
        <w:t>117.60万元</w:t>
      </w:r>
      <w:r>
        <w:rPr>
          <w:rFonts w:hint="eastAsia" w:ascii="仿宋_GB2312" w:hAnsi="仿宋_GB2312" w:eastAsia="仿宋_GB2312" w:cs="仿宋_GB2312"/>
          <w:sz w:val="32"/>
          <w:szCs w:val="32"/>
          <w:highlight w:val="none"/>
          <w:lang w:val="en-US" w:eastAsia="zh-CN"/>
        </w:rPr>
        <w:t>，全年预算数</w:t>
      </w:r>
      <w:r>
        <w:rPr>
          <w:rFonts w:hint="eastAsia" w:ascii="仿宋_GB2312" w:hAnsi="仿宋_GB2312" w:eastAsia="仿宋_GB2312" w:cs="仿宋_GB2312"/>
          <w:sz w:val="32"/>
          <w:szCs w:val="32"/>
          <w:lang w:val="en-US" w:eastAsia="zh-CN"/>
        </w:rPr>
        <w:t>117.60万元</w:t>
      </w:r>
      <w:r>
        <w:rPr>
          <w:rFonts w:hint="eastAsia" w:ascii="仿宋_GB2312" w:hAnsi="仿宋_GB2312" w:eastAsia="仿宋_GB2312" w:cs="仿宋_GB2312"/>
          <w:sz w:val="32"/>
          <w:szCs w:val="32"/>
          <w:highlight w:val="none"/>
          <w:lang w:val="en-US" w:eastAsia="zh-CN"/>
        </w:rPr>
        <w:t>，该项目资金已全部落实</w:t>
      </w:r>
      <w:r>
        <w:rPr>
          <w:rFonts w:hint="eastAsia" w:ascii="仿宋_GB2312" w:hAnsi="仿宋_GB2312" w:eastAsia="仿宋_GB2312" w:cs="仿宋_GB2312"/>
          <w:color w:val="auto"/>
          <w:sz w:val="32"/>
          <w:szCs w:val="32"/>
          <w:highlight w:val="none"/>
          <w:lang w:val="en-US" w:eastAsia="zh-CN"/>
        </w:rPr>
        <w:t>到位，资金来源为财政拨款。</w:t>
      </w:r>
      <w:bookmarkEnd w:id="29"/>
      <w:bookmarkEnd w:id="30"/>
      <w:bookmarkEnd w:id="31"/>
      <w:bookmarkStart w:id="32" w:name="_Toc3409"/>
      <w:bookmarkStart w:id="33" w:name="_Toc28187"/>
      <w:bookmarkStart w:id="34" w:name="_Toc1166"/>
    </w:p>
    <w:p w14:paraId="51DB48D1">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6285FDF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35" w:name="_Toc11647"/>
      <w:bookmarkStart w:id="36" w:name="_Toc1430"/>
      <w:bookmarkStart w:id="37" w:name="_Toc29121"/>
      <w:r>
        <w:rPr>
          <w:rFonts w:hint="eastAsia" w:ascii="仿宋_GB2312" w:hAnsi="仿宋_GB2312" w:eastAsia="仿宋_GB2312" w:cs="仿宋_GB2312"/>
          <w:color w:val="auto"/>
          <w:sz w:val="32"/>
          <w:szCs w:val="32"/>
          <w:highlight w:val="none"/>
          <w:lang w:val="en-US" w:eastAsia="zh-CN"/>
        </w:rPr>
        <w:t>该项目年初预算数117.60万元，全年预算数117.60万元，，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全年执行数117.60万元，预算执行率为100%，主要用于：主要用于主要用于支付日常办公用品采购、卫生用品购置、水费、电费、邮电费、取暖费缴纳、学校设施设备维修等。</w:t>
      </w:r>
      <w:bookmarkEnd w:id="35"/>
      <w:bookmarkEnd w:id="36"/>
      <w:bookmarkEnd w:id="37"/>
    </w:p>
    <w:p w14:paraId="23ADAD3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8" w:name="_Toc9109"/>
      <w:r>
        <w:rPr>
          <w:rFonts w:hint="eastAsia" w:ascii="Times New Roman" w:hAnsi="Times New Roman" w:eastAsia="楷体_GB2312" w:cs="Times New Roman"/>
          <w:kern w:val="28"/>
          <w:sz w:val="32"/>
          <w:lang w:val="en-US" w:eastAsia="zh-CN"/>
        </w:rPr>
        <w:t>（二）项目绩效目标</w:t>
      </w:r>
      <w:bookmarkEnd w:id="38"/>
    </w:p>
    <w:p w14:paraId="495AB62B">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8528"/>
      <w:bookmarkStart w:id="40" w:name="_Toc2547"/>
      <w:bookmarkStart w:id="41" w:name="_Toc10047"/>
      <w:bookmarkStart w:id="42" w:name="_Toc1475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3A70937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FF0000"/>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 xml:space="preserve">  昌州财教提前下达2024年城乡义务教育补助经费公用经费小学及特教项目绩效总体目标为：保障学校正常运转，完成教学活动及其他日常业务的正常运转。2024年学校在校学生人数1473人，计划完成每学年以720元/生/学年的标准使用公用经费,公用经费、教师培训结业率达到100%。通过项目实施，将有效改善教学环境，提供良好的学生成长条件，保障学校正常运转,师生满意度预计将达到90%以上。</w:t>
      </w:r>
    </w:p>
    <w:p w14:paraId="0EEB65EF">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3" w:name="_Toc4487"/>
      <w:bookmarkStart w:id="44" w:name="_Toc8990"/>
      <w:bookmarkStart w:id="45" w:name="_Toc4007"/>
      <w:bookmarkStart w:id="46" w:name="_Toc3255"/>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19DDDDB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3852C51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7ECEA46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①数量指标</w:t>
      </w:r>
    </w:p>
    <w:p w14:paraId="3EE017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“在校学生人数（人）”指标，预期目标值为=1473人；</w:t>
      </w:r>
    </w:p>
    <w:p w14:paraId="493D47F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②质量指标</w:t>
      </w:r>
    </w:p>
    <w:p w14:paraId="1D19250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“公用经费享受比例”指标，预期目标值为=100%；</w:t>
      </w:r>
    </w:p>
    <w:p w14:paraId="3063D7F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“教师培训结业率”指标，预期目标值为=100%；</w:t>
      </w:r>
    </w:p>
    <w:p w14:paraId="0CB0CDD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③时效指标</w:t>
      </w:r>
    </w:p>
    <w:p w14:paraId="78EF402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“完成时间”指标，预期目标值为2024年12月31日前；</w:t>
      </w:r>
    </w:p>
    <w:p w14:paraId="15C21F3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成本指标</w:t>
      </w:r>
    </w:p>
    <w:p w14:paraId="70B1EFF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“公用经费标准”指标，预期目标值为≦720元/人/年；</w:t>
      </w:r>
    </w:p>
    <w:p w14:paraId="5EA935C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）项目效益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指标</w:t>
      </w:r>
    </w:p>
    <w:p w14:paraId="2F7D3499">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①经济效益指标</w:t>
      </w:r>
    </w:p>
    <w:p w14:paraId="6C549C6F">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本项目不涉及经济效益指标；</w:t>
      </w:r>
    </w:p>
    <w:p w14:paraId="01CDAD7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②社会效益指标</w:t>
      </w:r>
    </w:p>
    <w:p w14:paraId="3317DD5F">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学校正常运转率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545B2939">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改善教学环境，提供良好的学生成长条件</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指标，预期目标值为改善；</w:t>
      </w:r>
    </w:p>
    <w:p w14:paraId="781C1A4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③生态效益指标</w:t>
      </w:r>
    </w:p>
    <w:p w14:paraId="385096D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yellow"/>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本项目不涉及生态效益指标；</w:t>
      </w:r>
    </w:p>
    <w:p w14:paraId="74F89EE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④可持续影响</w:t>
      </w:r>
    </w:p>
    <w:p w14:paraId="290FECC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本项目不涉及可持续影响；</w:t>
      </w:r>
    </w:p>
    <w:p w14:paraId="6CCFB8A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⑤</w:t>
      </w:r>
      <w:r>
        <w:rPr>
          <w:rFonts w:hint="eastAsia" w:ascii="仿宋_GB2312" w:hAnsi="仿宋_GB2312" w:eastAsia="仿宋_GB2312" w:cs="仿宋_GB2312"/>
          <w:color w:val="auto"/>
          <w:sz w:val="32"/>
          <w:szCs w:val="32"/>
          <w:highlight w:val="none"/>
          <w:shd w:val="clear" w:color="auto" w:fill="auto"/>
          <w:lang w:val="en-US" w:eastAsia="zh-CN"/>
        </w:rPr>
        <w:t>满意度指标</w:t>
      </w:r>
    </w:p>
    <w:p w14:paraId="0FBEB07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师生满意度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指标，预期目标值为≥90%。</w:t>
      </w:r>
    </w:p>
    <w:p w14:paraId="46196BE4">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47"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7"/>
    </w:p>
    <w:p w14:paraId="5D5CAF2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8" w:name="_Toc12868"/>
      <w:bookmarkStart w:id="49" w:name="_Toc26632"/>
      <w:bookmarkStart w:id="50" w:name="_Toc5462343"/>
      <w:bookmarkStart w:id="51" w:name="_Toc22169_WPSOffice_Level2"/>
      <w:bookmarkStart w:id="52" w:name="_Toc5258"/>
      <w:bookmarkStart w:id="53" w:name="_Toc21664"/>
      <w:bookmarkStart w:id="54" w:name="_Toc480473081"/>
      <w:bookmarkStart w:id="55" w:name="_Toc22922"/>
      <w:bookmarkStart w:id="56" w:name="_Toc22839"/>
      <w:r>
        <w:rPr>
          <w:rFonts w:hint="eastAsia"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kern w:val="28"/>
          <w:sz w:val="32"/>
          <w:lang w:val="en-US" w:eastAsia="zh-CN"/>
        </w:rPr>
        <w:t>、对象和范围</w:t>
      </w:r>
      <w:bookmarkEnd w:id="56"/>
    </w:p>
    <w:p w14:paraId="49650968">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6B96FEB4">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ACFFBC9">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50CF3B61">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511D98D7">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3FBFFCAA">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5D15C4A2">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8" w:name="_Toc21770"/>
      <w:bookmarkStart w:id="59" w:name="_Toc417"/>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7"/>
      <w:bookmarkEnd w:id="58"/>
      <w:bookmarkEnd w:id="59"/>
    </w:p>
    <w:p w14:paraId="2FE494ED">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2BB2B1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60" w:name="_Toc30609"/>
      <w:r>
        <w:rPr>
          <w:rFonts w:hint="default" w:ascii="Times New Roman" w:hAnsi="Times New Roman" w:eastAsia="仿宋_GB2312" w:cs="Times New Roman"/>
          <w:sz w:val="32"/>
          <w:szCs w:val="32"/>
          <w:highlight w:val="none"/>
        </w:rPr>
        <w:t>（1）评估项目实施效果</w:t>
      </w:r>
    </w:p>
    <w:p w14:paraId="4F8FF3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7F6046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4CCB5B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232FDE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17F314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2FD039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1FCB2F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75D0B0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6E69C7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188CB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01BB00C0">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1" w:name="_Toc16346"/>
      <w:bookmarkStart w:id="62" w:name="_Toc31970"/>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0"/>
      <w:bookmarkEnd w:id="61"/>
      <w:bookmarkEnd w:id="62"/>
    </w:p>
    <w:p w14:paraId="3B4C8A7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此次我单位根据</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《财政支出绩效评价管理暂行办法》（</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财预〔2020〕10号</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文件要求对2024年度</w:t>
      </w:r>
      <w:r>
        <w:rPr>
          <w:rFonts w:hint="eastAsia" w:ascii="仿宋_GB2312" w:hAnsi="仿宋_GB2312" w:eastAsia="仿宋_GB2312" w:cs="仿宋_GB2312"/>
          <w:color w:val="auto"/>
          <w:sz w:val="32"/>
          <w:szCs w:val="32"/>
          <w:highlight w:val="none"/>
          <w:shd w:val="clear" w:color="auto" w:fill="auto"/>
          <w:lang w:val="en-US" w:eastAsia="zh-CN"/>
        </w:rPr>
        <w:t>我单位实施的昌州财教提前下达2024年城乡义务教育补助经费公用经费小学及特教项目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31EEBC64">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阜康市晋阜小学</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简述项目目标或预期成果</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117.6万元</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w:t>
      </w:r>
    </w:p>
    <w:p w14:paraId="709E561D">
      <w:pPr>
        <w:pStyle w:val="4"/>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3" w:name="_Toc21311"/>
      <w:bookmarkStart w:id="64" w:name="_Toc11666"/>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05952F48">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A11D8E2">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26AA85D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7E75CA8F">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1098A88A">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生态等</w:t>
      </w:r>
      <w:r>
        <w:rPr>
          <w:rFonts w:hint="eastAsia" w:ascii="仿宋_GB2312" w:hAnsi="仿宋_GB2312" w:eastAsia="仿宋_GB2312" w:cs="仿宋_GB2312"/>
          <w:b w:val="0"/>
          <w:bCs w:val="0"/>
          <w:sz w:val="32"/>
          <w:szCs w:val="32"/>
          <w:highlight w:val="none"/>
        </w:rPr>
        <w:t>影响：考察项目对社会、</w:t>
      </w:r>
      <w:r>
        <w:rPr>
          <w:rFonts w:hint="eastAsia" w:ascii="仿宋_GB2312" w:hAnsi="仿宋_GB2312" w:eastAsia="仿宋_GB2312" w:cs="仿宋_GB2312"/>
          <w:b w:val="0"/>
          <w:bCs w:val="0"/>
          <w:sz w:val="32"/>
          <w:szCs w:val="32"/>
          <w:highlight w:val="none"/>
          <w:lang w:val="en-US" w:eastAsia="zh-CN"/>
        </w:rPr>
        <w:t>生态</w:t>
      </w:r>
      <w:r>
        <w:rPr>
          <w:rFonts w:hint="eastAsia" w:ascii="仿宋_GB2312" w:hAnsi="仿宋_GB2312" w:eastAsia="仿宋_GB2312" w:cs="仿宋_GB2312"/>
          <w:b w:val="0"/>
          <w:bCs w:val="0"/>
          <w:sz w:val="32"/>
          <w:szCs w:val="32"/>
          <w:highlight w:val="none"/>
        </w:rPr>
        <w:t>、经济等方面的综合影响。</w:t>
      </w:r>
    </w:p>
    <w:p w14:paraId="6898E45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5" w:name="_Toc29785"/>
      <w:bookmarkStart w:id="66" w:name="_Toc1286"/>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5"/>
      <w:bookmarkEnd w:id="66"/>
    </w:p>
    <w:p w14:paraId="14520EF9">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67" w:name="_Toc5354"/>
      <w:bookmarkStart w:id="68" w:name="_Toc24506"/>
      <w:bookmarkStart w:id="69" w:name="_Toc13694"/>
      <w:r>
        <w:rPr>
          <w:rFonts w:hint="eastAsia"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3F43B42F">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依据《财政支出绩效评价管理暂行办法》（财预〔20</w:t>
      </w:r>
      <w:r>
        <w:rPr>
          <w:rFonts w:hint="eastAsia" w:ascii="Times New Roman" w:hAnsi="Times New Roman" w:eastAsia="仿宋_GB2312" w:cs="Times New Roman"/>
          <w:color w:val="000000"/>
          <w:sz w:val="32"/>
          <w:szCs w:val="32"/>
          <w:lang w:val="en-US" w:eastAsia="zh-CN"/>
        </w:rPr>
        <w:t>20</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10</w:t>
      </w:r>
      <w:r>
        <w:rPr>
          <w:rFonts w:hint="eastAsia" w:ascii="Times New Roman" w:hAnsi="Times New Roman" w:eastAsia="仿宋_GB2312" w:cs="Times New Roman"/>
          <w:color w:val="000000"/>
          <w:sz w:val="32"/>
          <w:szCs w:val="32"/>
          <w:lang w:eastAsia="zh-CN"/>
        </w:rPr>
        <w:t>号）本次绩效评价秉承科学规范、公正公开、分级分类、绩效相关等原则</w:t>
      </w:r>
      <w:r>
        <w:rPr>
          <w:rFonts w:hint="eastAsia" w:ascii="Times New Roman" w:hAnsi="Times New Roman" w:eastAsia="仿宋_GB2312" w:cs="Times New Roman"/>
          <w:color w:val="auto"/>
          <w:sz w:val="32"/>
          <w:szCs w:val="32"/>
          <w:lang w:eastAsia="zh-CN"/>
        </w:rPr>
        <w:t>，按照从投入、过程到产出效果和影响的绩效逻辑路径，结合</w:t>
      </w:r>
      <w:r>
        <w:rPr>
          <w:rFonts w:hint="eastAsia" w:ascii="Times New Roman" w:hAnsi="Times New Roman" w:eastAsia="仿宋_GB2312" w:cs="Times New Roman"/>
          <w:color w:val="auto"/>
          <w:sz w:val="32"/>
          <w:szCs w:val="32"/>
          <w:lang w:val="en-US" w:eastAsia="zh-CN"/>
        </w:rPr>
        <w:t>昌州财教提前下达2024年城乡义务教育补助经费公用经费小学及特教</w:t>
      </w:r>
      <w:r>
        <w:rPr>
          <w:rFonts w:hint="eastAsia" w:ascii="Times New Roman" w:hAnsi="Times New Roman" w:eastAsia="仿宋_GB2312" w:cs="Times New Roman"/>
          <w:color w:val="auto"/>
          <w:sz w:val="32"/>
          <w:szCs w:val="32"/>
          <w:lang w:eastAsia="zh-CN"/>
        </w:rPr>
        <w:t>实际开展情况，运用定量和定性分析相结合的方法，总结经验做法，反思项目实施和管理中的问题，</w:t>
      </w:r>
      <w:r>
        <w:rPr>
          <w:rFonts w:hint="eastAsia" w:ascii="Times New Roman" w:hAnsi="Times New Roman" w:eastAsia="仿宋_GB2312" w:cs="Times New Roman"/>
          <w:color w:val="000000"/>
          <w:sz w:val="32"/>
          <w:szCs w:val="32"/>
          <w:lang w:eastAsia="zh-CN"/>
        </w:rPr>
        <w:t>以切实提升财政资金管理的科学化、规范化和精细化水平。</w:t>
      </w:r>
    </w:p>
    <w:p w14:paraId="0A39CE23">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14:paraId="2BF0CAA4">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46940D36">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6B11D3A4">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4624B321">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14:paraId="57D75E18">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0" w:name="_Toc1913"/>
      <w:bookmarkStart w:id="71" w:name="_Toc419984722"/>
      <w:bookmarkStart w:id="72" w:name="_Toc26131"/>
      <w:bookmarkStart w:id="73" w:name="_Toc24396"/>
      <w:bookmarkStart w:id="74" w:name="_Toc428278230"/>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0"/>
      <w:bookmarkEnd w:id="71"/>
      <w:bookmarkEnd w:id="72"/>
      <w:bookmarkEnd w:id="73"/>
      <w:bookmarkEnd w:id="74"/>
    </w:p>
    <w:p w14:paraId="21AF7A6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5"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58E8B305">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74ED093E">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0380F7D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5051E1D9">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4DE2DD99">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482E57FA">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2E0AA6EC">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589146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14:paraId="4D59B705">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5690"/>
      <w:bookmarkStart w:id="77" w:name="_Toc30114"/>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14:paraId="2627560D">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8" w:name="_Toc25391"/>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评价核心为资金的支出完成情况和项目的产出效益。</w:t>
      </w:r>
    </w:p>
    <w:p w14:paraId="17C14FB8">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7FCB4F4C">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lang w:val="en-US" w:eastAsia="zh-CN"/>
        </w:rPr>
      </w:pPr>
      <w:bookmarkStart w:id="79" w:name="_Toc6081"/>
      <w:bookmarkStart w:id="80" w:name="_Toc25651"/>
      <w:r>
        <w:rPr>
          <w:rFonts w:hint="eastAsia" w:ascii="仿宋_GB2312" w:hAnsi="仿宋_GB2312" w:eastAsia="仿宋_GB2312" w:cs="仿宋_GB2312"/>
          <w:color w:val="000000"/>
          <w:spacing w:val="17"/>
          <w:sz w:val="32"/>
          <w:szCs w:val="32"/>
        </w:rPr>
        <w:t>本次绩效评价采用的方法</w:t>
      </w:r>
      <w:r>
        <w:rPr>
          <w:rFonts w:hint="eastAsia" w:ascii="仿宋_GB2312" w:hAnsi="仿宋_GB2312" w:eastAsia="仿宋_GB2312" w:cs="仿宋_GB2312"/>
          <w:color w:val="000000"/>
          <w:spacing w:val="17"/>
          <w:sz w:val="32"/>
          <w:szCs w:val="32"/>
          <w:lang w:val="en-US" w:eastAsia="zh-CN"/>
        </w:rPr>
        <w:t>为</w:t>
      </w:r>
      <w:r>
        <w:rPr>
          <w:rFonts w:hint="eastAsia" w:ascii="仿宋_GB2312" w:hAnsi="仿宋_GB2312" w:eastAsia="仿宋_GB2312" w:cs="仿宋_GB2312"/>
          <w:color w:val="000000"/>
          <w:spacing w:val="17"/>
          <w:sz w:val="32"/>
          <w:szCs w:val="32"/>
        </w:rPr>
        <w:t>比较法</w:t>
      </w:r>
      <w:r>
        <w:rPr>
          <w:rFonts w:hint="eastAsia" w:ascii="仿宋_GB2312" w:hAnsi="仿宋_GB2312" w:eastAsia="仿宋_GB2312" w:cs="仿宋_GB2312"/>
          <w:color w:val="000000"/>
          <w:spacing w:val="17"/>
          <w:sz w:val="32"/>
          <w:szCs w:val="32"/>
          <w:lang w:eastAsia="zh-CN"/>
        </w:rPr>
        <w:t>、因素分析法、</w:t>
      </w:r>
      <w:r>
        <w:rPr>
          <w:rFonts w:hint="default" w:ascii="仿宋_GB2312" w:hAnsi="仿宋_GB2312" w:eastAsia="仿宋_GB2312" w:cs="仿宋_GB2312"/>
          <w:color w:val="000000"/>
          <w:spacing w:val="17"/>
          <w:sz w:val="32"/>
          <w:szCs w:val="32"/>
        </w:rPr>
        <w:t>最低成本法</w:t>
      </w:r>
      <w:r>
        <w:rPr>
          <w:rFonts w:hint="eastAsia" w:ascii="仿宋_GB2312" w:hAnsi="仿宋_GB2312" w:eastAsia="仿宋_GB2312" w:cs="仿宋_GB2312"/>
          <w:color w:val="000000"/>
          <w:spacing w:val="17"/>
          <w:sz w:val="32"/>
          <w:szCs w:val="32"/>
          <w:lang w:val="en-US" w:eastAsia="zh-CN"/>
        </w:rPr>
        <w:t>对项目绩效目标预期目标值与实施情况进行比较，以及采取公众问卷及抽样调查等方式进行评判的方法对昌州财教提前下达2024年城乡义务教育补助经费公用经费小学及特教项目进行评价。</w:t>
      </w:r>
    </w:p>
    <w:p w14:paraId="117A4428">
      <w:pPr>
        <w:pStyle w:val="4"/>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2AEDD4F1">
      <w:pPr>
        <w:spacing w:line="560" w:lineRule="exact"/>
        <w:ind w:firstLine="708" w:firstLineChars="200"/>
        <w:rPr>
          <w:rFonts w:hint="default"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历史标准</w:t>
      </w:r>
      <w:r>
        <w:rPr>
          <w:rFonts w:hint="default" w:ascii="Times New Roman" w:hAnsi="Times New Roman" w:eastAsia="仿宋_GB2312" w:cs="Times New Roman"/>
          <w:color w:val="FF0000"/>
          <w:spacing w:val="17"/>
          <w:sz w:val="32"/>
          <w:szCs w:val="32"/>
          <w:highlight w:val="none"/>
        </w:rPr>
        <w:t>。</w:t>
      </w:r>
    </w:p>
    <w:p w14:paraId="4B723F5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14:paraId="2713D3EF">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历</w:t>
      </w:r>
      <w:r>
        <w:rPr>
          <w:rFonts w:hint="default" w:ascii="Times New Roman" w:hAnsi="Times New Roman" w:eastAsia="仿宋_GB2312" w:cs="Times New Roman"/>
          <w:color w:val="000000"/>
          <w:spacing w:val="17"/>
          <w:sz w:val="32"/>
          <w:szCs w:val="32"/>
          <w:highlight w:val="none"/>
        </w:rPr>
        <w:t>史标准。指参照历史数据制定的评价标准，为体现绩效改进的原则，在可实现的条件下应当确定相对较高的评价标准。</w:t>
      </w:r>
    </w:p>
    <w:p w14:paraId="609EA78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1" w:name="_Toc21435"/>
      <w:r>
        <w:rPr>
          <w:rFonts w:hint="eastAsia" w:ascii="Times New Roman" w:hAnsi="Times New Roman" w:eastAsia="楷体_GB2312" w:cs="Times New Roman"/>
          <w:kern w:val="28"/>
          <w:sz w:val="32"/>
          <w:lang w:val="en-US" w:eastAsia="zh-CN"/>
        </w:rPr>
        <w:t>（三）绩效评价工作过程</w:t>
      </w:r>
      <w:bookmarkEnd w:id="81"/>
    </w:p>
    <w:p w14:paraId="14F2EEF3">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14:paraId="6D4FF666">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1658C58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7905D2B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3"/>
    </w:p>
    <w:p w14:paraId="7F29CC2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4"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w:t>
      </w:r>
      <w:r>
        <w:rPr>
          <w:rFonts w:hint="eastAsia" w:ascii="Times New Roman" w:hAnsi="Times New Roman" w:eastAsia="仿宋_GB2312" w:cs="Times New Roman"/>
          <w:color w:val="auto"/>
          <w:spacing w:val="17"/>
          <w:sz w:val="32"/>
          <w:szCs w:val="32"/>
          <w:highlight w:val="none"/>
          <w:lang w:val="en-US" w:eastAsia="zh-CN"/>
        </w:rPr>
        <w:t>目实施前期调研。通过调研对昌州财教提前下达2024年城乡义务教育补助经费公用经费小学及特教实施内容、目标信息、预算信息以及其他的一些项目</w:t>
      </w:r>
      <w:r>
        <w:rPr>
          <w:rFonts w:hint="eastAsia" w:ascii="Times New Roman" w:hAnsi="Times New Roman" w:eastAsia="仿宋_GB2312" w:cs="Times New Roman"/>
          <w:color w:val="000000"/>
          <w:spacing w:val="17"/>
          <w:sz w:val="32"/>
          <w:szCs w:val="32"/>
          <w:highlight w:val="none"/>
          <w:lang w:val="en-US" w:eastAsia="zh-CN"/>
        </w:rPr>
        <w:t>基本信息，有了初步了解，为制定绩效评价工作方案做好准备。</w:t>
      </w:r>
      <w:bookmarkEnd w:id="84"/>
    </w:p>
    <w:p w14:paraId="66E35FE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5"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85"/>
    </w:p>
    <w:p w14:paraId="43E9608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6"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57237F06">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7"/>
    </w:p>
    <w:p w14:paraId="1C4862F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8"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8"/>
    </w:p>
    <w:p w14:paraId="647465A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9"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9"/>
    </w:p>
    <w:p w14:paraId="562ED527">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0"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0"/>
    </w:p>
    <w:p w14:paraId="3BB5F34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1"/>
    </w:p>
    <w:p w14:paraId="2779D276">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2"/>
    </w:p>
    <w:p w14:paraId="5B41F39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3"/>
    </w:p>
    <w:p w14:paraId="1BB8D8A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4"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4"/>
    </w:p>
    <w:p w14:paraId="132500C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5"/>
    </w:p>
    <w:p w14:paraId="69927DF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6"/>
    </w:p>
    <w:p w14:paraId="5C6E68A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5ED84ACE">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8"/>
    </w:p>
    <w:p w14:paraId="0095FBA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99"/>
    </w:p>
    <w:p w14:paraId="7B23EB9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0"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0"/>
    </w:p>
    <w:p w14:paraId="78B89D07">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1"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011C890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2"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2"/>
    </w:p>
    <w:p w14:paraId="4A84B8BF">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3"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206413DD">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4"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4"/>
    </w:p>
    <w:p w14:paraId="0B879DC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5" w:name="_Toc23319"/>
      <w:r>
        <w:rPr>
          <w:rFonts w:hint="eastAsia" w:ascii="Times New Roman" w:hAnsi="Times New Roman" w:eastAsia="楷体_GB2312" w:cs="Times New Roman"/>
          <w:kern w:val="28"/>
          <w:sz w:val="32"/>
          <w:lang w:val="en-US" w:eastAsia="zh-CN"/>
        </w:rPr>
        <w:t>（一）综合评价情况及评价结论</w:t>
      </w:r>
      <w:bookmarkEnd w:id="105"/>
    </w:p>
    <w:p w14:paraId="63668A64">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w:t>
      </w:r>
      <w:r>
        <w:rPr>
          <w:rFonts w:hint="default" w:ascii="Times New Roman" w:hAnsi="Times New Roman" w:eastAsia="仿宋_GB2312" w:cs="Times New Roman"/>
          <w:color w:val="auto"/>
          <w:sz w:val="32"/>
          <w:szCs w:val="32"/>
          <w:highlight w:val="none"/>
        </w:rPr>
        <w:t>况来看，</w:t>
      </w:r>
      <w:r>
        <w:rPr>
          <w:rFonts w:hint="eastAsia" w:ascii="Times New Roman" w:hAnsi="Times New Roman" w:eastAsia="仿宋_GB2312" w:cs="Times New Roman"/>
          <w:color w:val="auto"/>
          <w:sz w:val="32"/>
          <w:szCs w:val="32"/>
          <w:highlight w:val="none"/>
          <w:lang w:val="en-US" w:eastAsia="zh-CN"/>
        </w:rPr>
        <w:t>昌州财教提前下达2024年城乡义务教育补助经费公用经费小学及特教</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7CCB28C4">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阜康市晋阜小学</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3C723A4A">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从项目效益的角度来看，本项目不仅实现了预期的社会效益等方面产生了积极的影响。具体而言改善教学环境，提供良好的学生成长条件等方面的提升，为项目的利益相关者带来了实实在在的利益。</w:t>
      </w:r>
    </w:p>
    <w:p w14:paraId="5B5CDF16">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昌州财教提前下达2024年城乡义务教育补助经费公用经费小学及特教</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评价等级为优秀</w:t>
      </w:r>
      <w:r>
        <w:rPr>
          <w:rFonts w:hint="default" w:ascii="Times New Roman" w:hAnsi="Times New Roman" w:eastAsia="仿宋_GB2312" w:cs="Times New Roman"/>
          <w:color w:val="auto"/>
          <w:sz w:val="32"/>
          <w:szCs w:val="32"/>
          <w:highlight w:val="none"/>
        </w:rPr>
        <w:t>。</w:t>
      </w:r>
    </w:p>
    <w:p w14:paraId="30ABE8D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06" w:name="_Toc11863"/>
      <w:r>
        <w:rPr>
          <w:rFonts w:hint="eastAsia" w:ascii="Times New Roman" w:hAnsi="Times New Roman" w:eastAsia="楷体_GB2312" w:cs="Times New Roman"/>
          <w:color w:val="auto"/>
          <w:kern w:val="28"/>
          <w:sz w:val="32"/>
          <w:lang w:val="en-US" w:eastAsia="zh-CN"/>
        </w:rPr>
        <w:t>（二）相关评分表</w:t>
      </w:r>
      <w:bookmarkEnd w:id="106"/>
    </w:p>
    <w:p w14:paraId="259B6A29">
      <w:pPr>
        <w:spacing w:line="560" w:lineRule="exact"/>
        <w:ind w:firstLine="708" w:firstLineChars="200"/>
        <w:rPr>
          <w:rFonts w:hint="eastAsia" w:ascii="Times New Roman" w:hAnsi="Times New Roman" w:eastAsia="仿宋_GB2312" w:cs="Times New Roman"/>
          <w:color w:val="000000"/>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z w:val="32"/>
          <w:szCs w:val="32"/>
          <w:highlight w:val="none"/>
          <w:lang w:val="en-US" w:eastAsia="zh-CN"/>
        </w:rPr>
        <w:t>昌州财教提前下达2024年城乡义务教育补助经费公用经费小学及特教</w:t>
      </w:r>
      <w:r>
        <w:rPr>
          <w:rFonts w:hint="eastAsia" w:ascii="Times New Roman" w:hAnsi="Times New Roman" w:eastAsia="仿宋_GB2312" w:cs="Times New Roman"/>
          <w:color w:val="auto"/>
          <w:spacing w:val="17"/>
          <w:sz w:val="32"/>
          <w:szCs w:val="32"/>
          <w:highlight w:val="none"/>
          <w:lang w:val="zh-TW" w:eastAsia="zh-TW"/>
        </w:rPr>
        <w:t>绩效进行客观</w:t>
      </w:r>
      <w:r>
        <w:rPr>
          <w:rFonts w:hint="eastAsia" w:ascii="Times New Roman" w:hAnsi="Times New Roman" w:eastAsia="仿宋_GB2312" w:cs="Times New Roman"/>
          <w:color w:val="000000"/>
          <w:spacing w:val="17"/>
          <w:sz w:val="32"/>
          <w:szCs w:val="32"/>
          <w:highlight w:val="none"/>
          <w:lang w:val="zh-TW" w:eastAsia="zh-TW"/>
        </w:rPr>
        <w:t>评价，最终评分结果：</w:t>
      </w:r>
      <w:r>
        <w:rPr>
          <w:rFonts w:hint="default" w:ascii="Times New Roman" w:hAnsi="Times New Roman" w:eastAsia="仿宋_GB2312" w:cs="Times New Roman"/>
          <w:color w:val="000000"/>
          <w:spacing w:val="17"/>
          <w:sz w:val="32"/>
          <w:szCs w:val="32"/>
          <w:highlight w:val="none"/>
          <w:lang w:val="en-US" w:eastAsia="zh-CN"/>
        </w:rPr>
        <w:t>总</w:t>
      </w:r>
      <w:r>
        <w:rPr>
          <w:rFonts w:hint="default" w:ascii="Times New Roman" w:hAnsi="Times New Roman" w:eastAsia="仿宋_GB2312" w:cs="Times New Roman"/>
          <w:color w:val="auto"/>
          <w:spacing w:val="17"/>
          <w:sz w:val="32"/>
          <w:szCs w:val="32"/>
          <w:highlight w:val="none"/>
          <w:lang w:val="en-US" w:eastAsia="zh-CN"/>
        </w:rPr>
        <w:t>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000000"/>
          <w:spacing w:val="17"/>
          <w:sz w:val="32"/>
          <w:szCs w:val="32"/>
          <w:highlight w:val="none"/>
          <w:lang w:val="en-US" w:eastAsia="zh-CN"/>
        </w:rPr>
        <w:t>汇总</w:t>
      </w:r>
      <w:r>
        <w:rPr>
          <w:rFonts w:hint="eastAsia" w:ascii="Times New Roman" w:hAnsi="Times New Roman" w:eastAsia="仿宋_GB2312" w:cs="Times New Roman"/>
          <w:color w:val="000000"/>
          <w:spacing w:val="17"/>
          <w:sz w:val="32"/>
          <w:szCs w:val="32"/>
          <w:highlight w:val="none"/>
          <w:lang w:val="zh-TW" w:eastAsia="zh-TW"/>
        </w:rPr>
        <w:t>分值如下表</w:t>
      </w:r>
      <w:r>
        <w:rPr>
          <w:rFonts w:hint="eastAsia" w:ascii="Times New Roman" w:hAnsi="Times New Roman" w:eastAsia="仿宋_GB2312" w:cs="Times New Roman"/>
          <w:color w:val="000000"/>
          <w:spacing w:val="17"/>
          <w:sz w:val="32"/>
          <w:szCs w:val="32"/>
          <w:highlight w:val="none"/>
          <w:lang w:val="en-US" w:eastAsia="zh-CN"/>
        </w:rPr>
        <w:t>3-1</w:t>
      </w:r>
      <w:r>
        <w:rPr>
          <w:rFonts w:hint="eastAsia" w:ascii="Times New Roman" w:hAnsi="Times New Roman" w:eastAsia="仿宋_GB2312" w:cs="Times New Roman"/>
          <w:color w:val="000000"/>
          <w:spacing w:val="17"/>
          <w:sz w:val="32"/>
          <w:szCs w:val="32"/>
          <w:highlight w:val="none"/>
          <w:lang w:val="zh-TW" w:eastAsia="zh-TW"/>
        </w:rPr>
        <w:t>所示</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en-US" w:eastAsia="zh-CN"/>
        </w:rPr>
        <w:t>详见上传的附件</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2197212">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1FC9A5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ascii="Times New Roman" w:hAnsi="Times New Roman" w:eastAsia="仿宋_GB2312" w:cs="Times New Roman"/>
                <w:color w:val="auto"/>
                <w:sz w:val="32"/>
                <w:szCs w:val="32"/>
                <w:highlight w:val="none"/>
                <w:lang w:val="en-US" w:eastAsia="zh-CN"/>
              </w:rPr>
              <w:t>昌州财教提前下达2024年城乡义务教育补助经费公用经费小学及特教</w:t>
            </w:r>
            <w:r>
              <w:rPr>
                <w:rFonts w:hint="eastAsia" w:ascii="宋体" w:hAnsi="宋体" w:eastAsia="宋体" w:cs="宋体"/>
                <w:b/>
                <w:bCs/>
                <w:color w:val="auto"/>
                <w:kern w:val="0"/>
                <w:sz w:val="28"/>
                <w:szCs w:val="28"/>
                <w:highlight w:val="none"/>
                <w:shd w:val="clear" w:color="auto" w:fill="auto"/>
                <w:lang w:val="en-US" w:eastAsia="zh-CN"/>
              </w:rPr>
              <w:t>得分表</w:t>
            </w:r>
          </w:p>
        </w:tc>
      </w:tr>
      <w:tr w14:paraId="6717DF5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18A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3B6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462D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152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FDCE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F799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127B6F86">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9A4B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79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D56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325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97A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051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3DE2D0D6">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74F8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759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77E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D1E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4A8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C22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p>
        </w:tc>
      </w:tr>
      <w:tr w14:paraId="253EC0B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B4E7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339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582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258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278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2C2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r>
    </w:tbl>
    <w:p w14:paraId="19FF03FA">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07" w:name="_Toc1494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07"/>
    </w:p>
    <w:p w14:paraId="6FE4B8A0">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kern w:val="28"/>
          <w:sz w:val="32"/>
        </w:rPr>
      </w:pPr>
      <w:bookmarkStart w:id="108" w:name="_Toc6759"/>
      <w:r>
        <w:rPr>
          <w:rFonts w:hint="eastAsia" w:ascii="Times New Roman" w:hAnsi="Times New Roman" w:eastAsia="楷体_GB2312" w:cs="Times New Roman"/>
          <w:kern w:val="28"/>
          <w:sz w:val="32"/>
        </w:rPr>
        <w:t>（一）项目决策情况</w:t>
      </w:r>
      <w:bookmarkEnd w:id="108"/>
    </w:p>
    <w:p w14:paraId="754A0E51">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2B65FB8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06F87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522" w:hRule="atLeast"/>
          <w:tblHeader/>
          <w:jc w:val="center"/>
        </w:trPr>
        <w:tc>
          <w:tcPr>
            <w:tcW w:w="1077" w:type="dxa"/>
            <w:shd w:val="clear" w:color="auto" w:fill="auto"/>
            <w:tcMar>
              <w:top w:w="12" w:type="dxa"/>
              <w:left w:w="12" w:type="dxa"/>
              <w:right w:w="12" w:type="dxa"/>
            </w:tcMar>
            <w:vAlign w:val="center"/>
          </w:tcPr>
          <w:p w14:paraId="5E91D0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shd w:val="clear" w:color="auto" w:fill="auto"/>
            <w:tcMar>
              <w:top w:w="12" w:type="dxa"/>
              <w:left w:w="12" w:type="dxa"/>
              <w:right w:w="12" w:type="dxa"/>
            </w:tcMar>
            <w:vAlign w:val="center"/>
          </w:tcPr>
          <w:p w14:paraId="0D5793A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shd w:val="clear" w:color="auto" w:fill="auto"/>
            <w:tcMar>
              <w:top w:w="12" w:type="dxa"/>
              <w:left w:w="12" w:type="dxa"/>
              <w:right w:w="12" w:type="dxa"/>
            </w:tcMar>
            <w:vAlign w:val="center"/>
          </w:tcPr>
          <w:p w14:paraId="6EA9E1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shd w:val="clear" w:color="auto" w:fill="auto"/>
            <w:tcMar>
              <w:top w:w="12" w:type="dxa"/>
              <w:left w:w="12" w:type="dxa"/>
              <w:right w:w="12" w:type="dxa"/>
            </w:tcMar>
            <w:vAlign w:val="center"/>
          </w:tcPr>
          <w:p w14:paraId="2499F40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shd w:val="clear" w:color="auto" w:fill="auto"/>
            <w:tcMar>
              <w:top w:w="12" w:type="dxa"/>
              <w:left w:w="12" w:type="dxa"/>
              <w:right w:w="12" w:type="dxa"/>
            </w:tcMar>
            <w:vAlign w:val="center"/>
          </w:tcPr>
          <w:p w14:paraId="31260F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shd w:val="clear" w:color="auto" w:fill="auto"/>
            <w:tcMar>
              <w:top w:w="12" w:type="dxa"/>
              <w:left w:w="12" w:type="dxa"/>
              <w:right w:w="12" w:type="dxa"/>
            </w:tcMar>
            <w:vAlign w:val="center"/>
          </w:tcPr>
          <w:p w14:paraId="1806FD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shd w:val="clear" w:color="auto" w:fill="auto"/>
            <w:tcMar>
              <w:top w:w="12" w:type="dxa"/>
              <w:left w:w="12" w:type="dxa"/>
              <w:right w:w="12" w:type="dxa"/>
            </w:tcMar>
            <w:vAlign w:val="center"/>
          </w:tcPr>
          <w:p w14:paraId="22DB755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01F7B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334" w:hRule="atLeast"/>
          <w:tblHeader/>
          <w:jc w:val="center"/>
        </w:trPr>
        <w:tc>
          <w:tcPr>
            <w:tcW w:w="1077" w:type="dxa"/>
            <w:vMerge w:val="restart"/>
            <w:shd w:val="clear" w:color="auto" w:fill="auto"/>
            <w:tcMar>
              <w:top w:w="12" w:type="dxa"/>
              <w:left w:w="12" w:type="dxa"/>
              <w:right w:w="12" w:type="dxa"/>
            </w:tcMar>
            <w:vAlign w:val="center"/>
          </w:tcPr>
          <w:p w14:paraId="7B5BD0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shd w:val="clear" w:color="auto" w:fill="auto"/>
            <w:tcMar>
              <w:top w:w="12" w:type="dxa"/>
              <w:left w:w="12" w:type="dxa"/>
              <w:right w:w="12" w:type="dxa"/>
            </w:tcMar>
            <w:vAlign w:val="center"/>
          </w:tcPr>
          <w:p w14:paraId="6290364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shd w:val="clear" w:color="auto" w:fill="auto"/>
            <w:tcMar>
              <w:top w:w="12" w:type="dxa"/>
              <w:left w:w="12" w:type="dxa"/>
              <w:right w:w="12" w:type="dxa"/>
            </w:tcMar>
            <w:vAlign w:val="center"/>
          </w:tcPr>
          <w:p w14:paraId="1454F4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shd w:val="clear" w:color="auto" w:fill="auto"/>
            <w:tcMar>
              <w:top w:w="12" w:type="dxa"/>
              <w:left w:w="12" w:type="dxa"/>
              <w:right w:w="12" w:type="dxa"/>
            </w:tcMar>
            <w:vAlign w:val="center"/>
          </w:tcPr>
          <w:p w14:paraId="41FB3A6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shd w:val="clear" w:color="auto" w:fill="auto"/>
            <w:tcMar>
              <w:top w:w="12" w:type="dxa"/>
              <w:left w:w="12" w:type="dxa"/>
              <w:right w:w="12" w:type="dxa"/>
            </w:tcMar>
            <w:vAlign w:val="center"/>
          </w:tcPr>
          <w:p w14:paraId="17D9ED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shd w:val="clear" w:color="auto" w:fill="auto"/>
            <w:tcMar>
              <w:top w:w="12" w:type="dxa"/>
              <w:left w:w="12" w:type="dxa"/>
              <w:right w:w="12" w:type="dxa"/>
            </w:tcMar>
            <w:vAlign w:val="center"/>
          </w:tcPr>
          <w:p w14:paraId="048F62D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shd w:val="clear" w:color="auto" w:fill="auto"/>
            <w:tcMar>
              <w:top w:w="12" w:type="dxa"/>
              <w:left w:w="12" w:type="dxa"/>
              <w:right w:w="12" w:type="dxa"/>
            </w:tcMar>
            <w:vAlign w:val="center"/>
          </w:tcPr>
          <w:p w14:paraId="27905EE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1929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334" w:hRule="atLeast"/>
          <w:tblHeader/>
          <w:jc w:val="center"/>
        </w:trPr>
        <w:tc>
          <w:tcPr>
            <w:tcW w:w="1077" w:type="dxa"/>
            <w:vMerge w:val="continue"/>
            <w:shd w:val="clear" w:color="auto" w:fill="auto"/>
            <w:tcMar>
              <w:top w:w="12" w:type="dxa"/>
              <w:left w:w="12" w:type="dxa"/>
              <w:right w:w="12" w:type="dxa"/>
            </w:tcMar>
            <w:vAlign w:val="center"/>
          </w:tcPr>
          <w:p w14:paraId="01A174E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shd w:val="clear" w:color="auto" w:fill="auto"/>
            <w:tcMar>
              <w:top w:w="12" w:type="dxa"/>
              <w:left w:w="12" w:type="dxa"/>
              <w:right w:w="12" w:type="dxa"/>
            </w:tcMar>
            <w:vAlign w:val="center"/>
          </w:tcPr>
          <w:p w14:paraId="1AD75B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shd w:val="clear" w:color="auto" w:fill="auto"/>
            <w:tcMar>
              <w:top w:w="12" w:type="dxa"/>
              <w:left w:w="12" w:type="dxa"/>
              <w:right w:w="12" w:type="dxa"/>
            </w:tcMar>
            <w:vAlign w:val="center"/>
          </w:tcPr>
          <w:p w14:paraId="512133E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shd w:val="clear" w:color="auto" w:fill="auto"/>
            <w:tcMar>
              <w:top w:w="12" w:type="dxa"/>
              <w:left w:w="12" w:type="dxa"/>
              <w:right w:w="12" w:type="dxa"/>
            </w:tcMar>
            <w:vAlign w:val="center"/>
          </w:tcPr>
          <w:p w14:paraId="7B7DDC9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shd w:val="clear" w:color="auto" w:fill="auto"/>
            <w:tcMar>
              <w:top w:w="12" w:type="dxa"/>
              <w:left w:w="12" w:type="dxa"/>
              <w:right w:w="12" w:type="dxa"/>
            </w:tcMar>
            <w:vAlign w:val="center"/>
          </w:tcPr>
          <w:p w14:paraId="5F0F7F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shd w:val="clear" w:color="auto" w:fill="auto"/>
            <w:tcMar>
              <w:top w:w="12" w:type="dxa"/>
              <w:left w:w="12" w:type="dxa"/>
              <w:right w:w="12" w:type="dxa"/>
            </w:tcMar>
            <w:vAlign w:val="center"/>
          </w:tcPr>
          <w:p w14:paraId="445173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shd w:val="clear" w:color="auto" w:fill="auto"/>
            <w:tcMar>
              <w:top w:w="12" w:type="dxa"/>
              <w:left w:w="12" w:type="dxa"/>
              <w:right w:w="12" w:type="dxa"/>
            </w:tcMar>
            <w:vAlign w:val="center"/>
          </w:tcPr>
          <w:p w14:paraId="30B06B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A8F4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334" w:hRule="atLeast"/>
          <w:tblHeader/>
          <w:jc w:val="center"/>
        </w:trPr>
        <w:tc>
          <w:tcPr>
            <w:tcW w:w="1077" w:type="dxa"/>
            <w:vMerge w:val="continue"/>
            <w:shd w:val="clear" w:color="auto" w:fill="auto"/>
            <w:tcMar>
              <w:top w:w="12" w:type="dxa"/>
              <w:left w:w="12" w:type="dxa"/>
              <w:right w:w="12" w:type="dxa"/>
            </w:tcMar>
            <w:vAlign w:val="center"/>
          </w:tcPr>
          <w:p w14:paraId="28F93C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shd w:val="clear" w:color="auto" w:fill="auto"/>
            <w:tcMar>
              <w:top w:w="12" w:type="dxa"/>
              <w:left w:w="12" w:type="dxa"/>
              <w:right w:w="12" w:type="dxa"/>
            </w:tcMar>
            <w:vAlign w:val="center"/>
          </w:tcPr>
          <w:p w14:paraId="36AA38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shd w:val="clear" w:color="auto" w:fill="auto"/>
            <w:tcMar>
              <w:top w:w="12" w:type="dxa"/>
              <w:left w:w="12" w:type="dxa"/>
              <w:right w:w="12" w:type="dxa"/>
            </w:tcMar>
            <w:vAlign w:val="center"/>
          </w:tcPr>
          <w:p w14:paraId="3AE5859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shd w:val="clear" w:color="auto" w:fill="auto"/>
            <w:tcMar>
              <w:top w:w="12" w:type="dxa"/>
              <w:left w:w="12" w:type="dxa"/>
              <w:right w:w="12" w:type="dxa"/>
            </w:tcMar>
            <w:vAlign w:val="center"/>
          </w:tcPr>
          <w:p w14:paraId="2695A5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shd w:val="clear" w:color="auto" w:fill="auto"/>
            <w:tcMar>
              <w:top w:w="12" w:type="dxa"/>
              <w:left w:w="12" w:type="dxa"/>
              <w:right w:w="12" w:type="dxa"/>
            </w:tcMar>
            <w:vAlign w:val="center"/>
          </w:tcPr>
          <w:p w14:paraId="3A634F3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shd w:val="clear" w:color="auto" w:fill="auto"/>
            <w:tcMar>
              <w:top w:w="12" w:type="dxa"/>
              <w:left w:w="12" w:type="dxa"/>
              <w:right w:w="12" w:type="dxa"/>
            </w:tcMar>
            <w:vAlign w:val="center"/>
          </w:tcPr>
          <w:p w14:paraId="155605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shd w:val="clear" w:color="auto" w:fill="auto"/>
            <w:tcMar>
              <w:top w:w="12" w:type="dxa"/>
              <w:left w:w="12" w:type="dxa"/>
              <w:right w:w="12" w:type="dxa"/>
            </w:tcMar>
            <w:vAlign w:val="center"/>
          </w:tcPr>
          <w:p w14:paraId="33BC14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B72B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334" w:hRule="atLeast"/>
          <w:tblHeader/>
          <w:jc w:val="center"/>
        </w:trPr>
        <w:tc>
          <w:tcPr>
            <w:tcW w:w="1077" w:type="dxa"/>
            <w:vMerge w:val="continue"/>
            <w:shd w:val="clear" w:color="auto" w:fill="auto"/>
            <w:tcMar>
              <w:top w:w="12" w:type="dxa"/>
              <w:left w:w="12" w:type="dxa"/>
              <w:right w:w="12" w:type="dxa"/>
            </w:tcMar>
            <w:vAlign w:val="center"/>
          </w:tcPr>
          <w:p w14:paraId="40EC9B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shd w:val="clear" w:color="auto" w:fill="auto"/>
            <w:tcMar>
              <w:top w:w="12" w:type="dxa"/>
              <w:left w:w="12" w:type="dxa"/>
              <w:right w:w="12" w:type="dxa"/>
            </w:tcMar>
            <w:vAlign w:val="center"/>
          </w:tcPr>
          <w:p w14:paraId="3532DE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shd w:val="clear" w:color="auto" w:fill="auto"/>
            <w:tcMar>
              <w:top w:w="12" w:type="dxa"/>
              <w:left w:w="12" w:type="dxa"/>
              <w:right w:w="12" w:type="dxa"/>
            </w:tcMar>
            <w:vAlign w:val="center"/>
          </w:tcPr>
          <w:p w14:paraId="4437BE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shd w:val="clear" w:color="auto" w:fill="auto"/>
            <w:tcMar>
              <w:top w:w="12" w:type="dxa"/>
              <w:left w:w="12" w:type="dxa"/>
              <w:right w:w="12" w:type="dxa"/>
            </w:tcMar>
            <w:vAlign w:val="center"/>
          </w:tcPr>
          <w:p w14:paraId="3D9BF0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shd w:val="clear" w:color="auto" w:fill="auto"/>
            <w:tcMar>
              <w:top w:w="12" w:type="dxa"/>
              <w:left w:w="12" w:type="dxa"/>
              <w:right w:w="12" w:type="dxa"/>
            </w:tcMar>
            <w:vAlign w:val="center"/>
          </w:tcPr>
          <w:p w14:paraId="4F734E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shd w:val="clear" w:color="auto" w:fill="auto"/>
            <w:tcMar>
              <w:top w:w="12" w:type="dxa"/>
              <w:left w:w="12" w:type="dxa"/>
              <w:right w:w="12" w:type="dxa"/>
            </w:tcMar>
            <w:vAlign w:val="center"/>
          </w:tcPr>
          <w:p w14:paraId="35BA5B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shd w:val="clear" w:color="auto" w:fill="auto"/>
            <w:tcMar>
              <w:top w:w="12" w:type="dxa"/>
              <w:left w:w="12" w:type="dxa"/>
              <w:right w:w="12" w:type="dxa"/>
            </w:tcMar>
            <w:vAlign w:val="center"/>
          </w:tcPr>
          <w:p w14:paraId="6CE538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4904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334" w:hRule="atLeast"/>
          <w:tblHeader/>
          <w:jc w:val="center"/>
        </w:trPr>
        <w:tc>
          <w:tcPr>
            <w:tcW w:w="1077" w:type="dxa"/>
            <w:vMerge w:val="continue"/>
            <w:shd w:val="clear" w:color="auto" w:fill="auto"/>
            <w:tcMar>
              <w:top w:w="12" w:type="dxa"/>
              <w:left w:w="12" w:type="dxa"/>
              <w:right w:w="12" w:type="dxa"/>
            </w:tcMar>
            <w:vAlign w:val="center"/>
          </w:tcPr>
          <w:p w14:paraId="6EE847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shd w:val="clear" w:color="auto" w:fill="auto"/>
            <w:tcMar>
              <w:top w:w="12" w:type="dxa"/>
              <w:left w:w="12" w:type="dxa"/>
              <w:right w:w="12" w:type="dxa"/>
            </w:tcMar>
            <w:vAlign w:val="center"/>
          </w:tcPr>
          <w:p w14:paraId="4DDB9D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shd w:val="clear" w:color="auto" w:fill="auto"/>
            <w:tcMar>
              <w:top w:w="12" w:type="dxa"/>
              <w:left w:w="12" w:type="dxa"/>
              <w:right w:w="12" w:type="dxa"/>
            </w:tcMar>
            <w:vAlign w:val="center"/>
          </w:tcPr>
          <w:p w14:paraId="6CCA8D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shd w:val="clear" w:color="auto" w:fill="auto"/>
            <w:tcMar>
              <w:top w:w="12" w:type="dxa"/>
              <w:left w:w="12" w:type="dxa"/>
              <w:right w:w="12" w:type="dxa"/>
            </w:tcMar>
            <w:vAlign w:val="center"/>
          </w:tcPr>
          <w:p w14:paraId="601C2D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shd w:val="clear" w:color="auto" w:fill="auto"/>
            <w:tcMar>
              <w:top w:w="12" w:type="dxa"/>
              <w:left w:w="12" w:type="dxa"/>
              <w:right w:w="12" w:type="dxa"/>
            </w:tcMar>
            <w:vAlign w:val="center"/>
          </w:tcPr>
          <w:p w14:paraId="0233E0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shd w:val="clear" w:color="auto" w:fill="auto"/>
            <w:tcMar>
              <w:top w:w="12" w:type="dxa"/>
              <w:left w:w="12" w:type="dxa"/>
              <w:right w:w="12" w:type="dxa"/>
            </w:tcMar>
            <w:vAlign w:val="center"/>
          </w:tcPr>
          <w:p w14:paraId="440365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shd w:val="clear" w:color="auto" w:fill="auto"/>
            <w:tcMar>
              <w:top w:w="12" w:type="dxa"/>
              <w:left w:w="12" w:type="dxa"/>
              <w:right w:w="12" w:type="dxa"/>
            </w:tcMar>
            <w:vAlign w:val="center"/>
          </w:tcPr>
          <w:p w14:paraId="332D9B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3F9A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334" w:hRule="atLeast"/>
          <w:tblHeader/>
          <w:jc w:val="center"/>
        </w:trPr>
        <w:tc>
          <w:tcPr>
            <w:tcW w:w="1077" w:type="dxa"/>
            <w:vMerge w:val="continue"/>
            <w:shd w:val="clear" w:color="auto" w:fill="auto"/>
            <w:tcMar>
              <w:top w:w="12" w:type="dxa"/>
              <w:left w:w="12" w:type="dxa"/>
              <w:right w:w="12" w:type="dxa"/>
            </w:tcMar>
            <w:vAlign w:val="center"/>
          </w:tcPr>
          <w:p w14:paraId="1EFBB9B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shd w:val="clear" w:color="auto" w:fill="auto"/>
            <w:tcMar>
              <w:top w:w="12" w:type="dxa"/>
              <w:left w:w="12" w:type="dxa"/>
              <w:right w:w="12" w:type="dxa"/>
            </w:tcMar>
            <w:vAlign w:val="center"/>
          </w:tcPr>
          <w:p w14:paraId="6D6446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shd w:val="clear" w:color="auto" w:fill="auto"/>
            <w:tcMar>
              <w:top w:w="12" w:type="dxa"/>
              <w:left w:w="12" w:type="dxa"/>
              <w:right w:w="12" w:type="dxa"/>
            </w:tcMar>
            <w:vAlign w:val="center"/>
          </w:tcPr>
          <w:p w14:paraId="33271E9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shd w:val="clear" w:color="auto" w:fill="auto"/>
            <w:tcMar>
              <w:top w:w="12" w:type="dxa"/>
              <w:left w:w="12" w:type="dxa"/>
              <w:right w:w="12" w:type="dxa"/>
            </w:tcMar>
            <w:vAlign w:val="center"/>
          </w:tcPr>
          <w:p w14:paraId="6721405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shd w:val="clear" w:color="auto" w:fill="auto"/>
            <w:tcMar>
              <w:top w:w="12" w:type="dxa"/>
              <w:left w:w="12" w:type="dxa"/>
              <w:right w:w="12" w:type="dxa"/>
            </w:tcMar>
            <w:vAlign w:val="center"/>
          </w:tcPr>
          <w:p w14:paraId="27D365A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shd w:val="clear" w:color="auto" w:fill="auto"/>
            <w:tcMar>
              <w:top w:w="12" w:type="dxa"/>
              <w:left w:w="12" w:type="dxa"/>
              <w:right w:w="12" w:type="dxa"/>
            </w:tcMar>
            <w:vAlign w:val="center"/>
          </w:tcPr>
          <w:p w14:paraId="41D940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shd w:val="clear" w:color="auto" w:fill="auto"/>
            <w:tcMar>
              <w:top w:w="12" w:type="dxa"/>
              <w:left w:w="12" w:type="dxa"/>
              <w:right w:w="12" w:type="dxa"/>
            </w:tcMar>
            <w:vAlign w:val="center"/>
          </w:tcPr>
          <w:p w14:paraId="3549267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26179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4" w:hRule="atLeast"/>
          <w:tblHeader/>
          <w:jc w:val="center"/>
        </w:trPr>
        <w:tc>
          <w:tcPr>
            <w:tcW w:w="3285" w:type="dxa"/>
            <w:gridSpan w:val="3"/>
            <w:shd w:val="clear" w:color="auto" w:fill="auto"/>
            <w:tcMar>
              <w:top w:w="12" w:type="dxa"/>
              <w:left w:w="12" w:type="dxa"/>
              <w:right w:w="12" w:type="dxa"/>
            </w:tcMar>
            <w:vAlign w:val="center"/>
          </w:tcPr>
          <w:p w14:paraId="5137D2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shd w:val="clear" w:color="auto" w:fill="auto"/>
            <w:tcMar>
              <w:top w:w="12" w:type="dxa"/>
              <w:left w:w="12" w:type="dxa"/>
              <w:right w:w="12" w:type="dxa"/>
            </w:tcMar>
            <w:vAlign w:val="center"/>
          </w:tcPr>
          <w:p w14:paraId="5606D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shd w:val="clear" w:color="auto" w:fill="auto"/>
            <w:tcMar>
              <w:top w:w="12" w:type="dxa"/>
              <w:left w:w="12" w:type="dxa"/>
              <w:right w:w="12" w:type="dxa"/>
            </w:tcMar>
            <w:vAlign w:val="center"/>
          </w:tcPr>
          <w:p w14:paraId="6E59D7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shd w:val="clear" w:color="auto" w:fill="auto"/>
            <w:tcMar>
              <w:top w:w="12" w:type="dxa"/>
              <w:left w:w="12" w:type="dxa"/>
              <w:right w:w="12" w:type="dxa"/>
            </w:tcMar>
            <w:vAlign w:val="center"/>
          </w:tcPr>
          <w:p w14:paraId="21A25F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shd w:val="clear" w:color="auto" w:fill="auto"/>
            <w:tcMar>
              <w:top w:w="12" w:type="dxa"/>
              <w:left w:w="12" w:type="dxa"/>
              <w:right w:w="12" w:type="dxa"/>
            </w:tcMar>
            <w:vAlign w:val="center"/>
          </w:tcPr>
          <w:p w14:paraId="33972F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7D2DE2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09" w:name="_Toc28069"/>
      <w:bookmarkStart w:id="110" w:name="_Toc13522"/>
      <w:r>
        <w:rPr>
          <w:rFonts w:hint="eastAsia" w:ascii="仿宋_GB2312" w:hAnsi="仿宋_GB2312" w:eastAsia="仿宋_GB2312" w:cs="仿宋_GB2312"/>
          <w:b/>
          <w:bCs/>
          <w:sz w:val="32"/>
          <w:szCs w:val="32"/>
          <w:lang w:val="en-US" w:eastAsia="zh-CN"/>
        </w:rPr>
        <w:t>1.立项依据充分性</w:t>
      </w:r>
      <w:bookmarkEnd w:id="109"/>
      <w:bookmarkEnd w:id="110"/>
    </w:p>
    <w:p w14:paraId="7800367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①项目立项符合</w:t>
      </w:r>
      <w:r>
        <w:rPr>
          <w:rFonts w:hint="eastAsia" w:ascii="仿宋_GB2312" w:hAnsi="仿宋_GB2312" w:eastAsia="仿宋_GB2312" w:cs="仿宋_GB2312"/>
          <w:sz w:val="32"/>
          <w:szCs w:val="32"/>
          <w:lang w:val="en-US" w:eastAsia="zh-CN"/>
        </w:rPr>
        <w:t>财教【2023】64号关于下达2024年城乡义务教育补助经费预算的通知；</w:t>
      </w:r>
    </w:p>
    <w:p w14:paraId="36805043">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sz w:val="32"/>
          <w:szCs w:val="32"/>
          <w:lang w:eastAsia="zh-CN"/>
        </w:rPr>
        <w:t>②项目立项符合项目立项符合《</w:t>
      </w:r>
      <w:r>
        <w:rPr>
          <w:rFonts w:hint="eastAsia" w:ascii="仿宋_GB2312" w:hAnsi="仿宋_GB2312" w:eastAsia="仿宋_GB2312" w:cs="仿宋_GB2312"/>
          <w:sz w:val="32"/>
          <w:szCs w:val="32"/>
          <w:lang w:val="en-US" w:eastAsia="zh-CN"/>
        </w:rPr>
        <w:t>阜康市教育扶贫惠民政策宣传手册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lang w:eastAsia="zh-CN"/>
        </w:rPr>
        <w:t>政策要求；</w:t>
      </w:r>
    </w:p>
    <w:p w14:paraId="6CB1577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③项目立项</w:t>
      </w:r>
      <w:r>
        <w:rPr>
          <w:rFonts w:hint="eastAsia" w:ascii="仿宋_GB2312" w:hAnsi="仿宋_GB2312" w:eastAsia="仿宋_GB2312" w:cs="仿宋_GB2312"/>
          <w:sz w:val="32"/>
          <w:szCs w:val="32"/>
          <w:lang w:val="en-US" w:eastAsia="zh-CN"/>
        </w:rPr>
        <w:t>与宣传贯彻党和国家的教育方针、教育政策、教育法律法规、贯彻执行上级教育行政部门的各项规章制度的</w:t>
      </w:r>
      <w:r>
        <w:rPr>
          <w:rFonts w:hint="eastAsia" w:ascii="仿宋_GB2312" w:hAnsi="仿宋_GB2312" w:eastAsia="仿宋_GB2312" w:cs="仿宋_GB2312"/>
          <w:sz w:val="32"/>
          <w:szCs w:val="32"/>
          <w:lang w:eastAsia="zh-CN"/>
        </w:rPr>
        <w:t>部门职责范围相符，属于部门履职所需；</w:t>
      </w:r>
    </w:p>
    <w:p w14:paraId="12171B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④项目属于公共财政支持范围，符合中央、地方事权支出责任划分原则；</w:t>
      </w:r>
    </w:p>
    <w:p w14:paraId="49D5AEE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⑤项目与相关部门同类项目、部门内部相关项目</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重复。</w:t>
      </w:r>
    </w:p>
    <w:p w14:paraId="4C3E30E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分2分，得分2分。</w:t>
      </w:r>
    </w:p>
    <w:p w14:paraId="606B91F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1976"/>
      <w:bookmarkStart w:id="112" w:name="_Toc23240"/>
      <w:r>
        <w:rPr>
          <w:rFonts w:hint="eastAsia" w:ascii="仿宋_GB2312" w:hAnsi="仿宋_GB2312" w:eastAsia="仿宋_GB2312" w:cs="仿宋_GB2312"/>
          <w:b/>
          <w:bCs/>
          <w:color w:val="auto"/>
          <w:sz w:val="32"/>
          <w:szCs w:val="32"/>
          <w:lang w:val="en-US" w:eastAsia="zh-CN"/>
        </w:rPr>
        <w:t>2.立项程序规范性</w:t>
      </w:r>
      <w:bookmarkEnd w:id="111"/>
      <w:bookmarkEnd w:id="112"/>
    </w:p>
    <w:p w14:paraId="75B680A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①项目按照规定的程序申请设立；</w:t>
      </w:r>
    </w:p>
    <w:p w14:paraId="2ED0235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②审批文件、材料符合相关要求；</w:t>
      </w:r>
    </w:p>
    <w:p w14:paraId="64011C4A">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③事前</w:t>
      </w:r>
      <w:r>
        <w:rPr>
          <w:rFonts w:hint="eastAsia" w:ascii="仿宋_GB2312" w:hAnsi="仿宋_GB2312" w:eastAsia="仿宋_GB2312" w:cs="仿宋_GB2312"/>
          <w:color w:val="auto"/>
          <w:sz w:val="32"/>
          <w:szCs w:val="32"/>
          <w:highlight w:val="none"/>
          <w:lang w:val="en-US" w:eastAsia="zh-CN"/>
        </w:rPr>
        <w:t>经过</w:t>
      </w:r>
      <w:r>
        <w:rPr>
          <w:rFonts w:hint="eastAsia" w:ascii="仿宋_GB2312" w:hAnsi="仿宋_GB2312" w:eastAsia="仿宋_GB2312" w:cs="仿宋_GB2312"/>
          <w:color w:val="auto"/>
          <w:sz w:val="32"/>
          <w:szCs w:val="32"/>
          <w:highlight w:val="none"/>
          <w:lang w:eastAsia="zh-CN"/>
        </w:rPr>
        <w:t>集体决策，</w:t>
      </w:r>
      <w:r>
        <w:rPr>
          <w:rFonts w:hint="eastAsia" w:ascii="仿宋_GB2312" w:hAnsi="仿宋_GB2312" w:eastAsia="仿宋_GB2312" w:cs="仿宋_GB2312"/>
          <w:color w:val="auto"/>
          <w:sz w:val="32"/>
          <w:szCs w:val="32"/>
          <w:highlight w:val="none"/>
          <w:lang w:val="en-US" w:eastAsia="zh-CN"/>
        </w:rPr>
        <w:t>未</w:t>
      </w:r>
      <w:r>
        <w:rPr>
          <w:rFonts w:hint="eastAsia" w:ascii="仿宋_GB2312" w:hAnsi="仿宋_GB2312" w:eastAsia="仿宋_GB2312" w:cs="仿宋_GB2312"/>
          <w:color w:val="auto"/>
          <w:sz w:val="32"/>
          <w:szCs w:val="32"/>
          <w:highlight w:val="none"/>
          <w:lang w:eastAsia="zh-CN"/>
        </w:rPr>
        <w:t>经过必要的可行性研究、专家论证、风险评估、绩效评估。</w:t>
      </w:r>
      <w:r>
        <w:rPr>
          <w:rFonts w:hint="eastAsia" w:ascii="仿宋_GB2312" w:hAnsi="仿宋_GB2312" w:eastAsia="仿宋_GB2312" w:cs="仿宋_GB2312"/>
          <w:color w:val="auto"/>
          <w:sz w:val="32"/>
          <w:szCs w:val="32"/>
          <w:highlight w:val="none"/>
          <w:lang w:val="en-US" w:eastAsia="zh-CN"/>
        </w:rPr>
        <w:t>扣1分。</w:t>
      </w:r>
    </w:p>
    <w:p w14:paraId="7847EFC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综上，该项指标满分3分，得分2分。</w:t>
      </w:r>
    </w:p>
    <w:p w14:paraId="0F893FA9">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3" w:name="_Toc15382"/>
      <w:bookmarkStart w:id="114" w:name="_Toc23542"/>
      <w:r>
        <w:rPr>
          <w:rFonts w:hint="eastAsia" w:ascii="仿宋_GB2312" w:hAnsi="仿宋_GB2312" w:eastAsia="仿宋_GB2312" w:cs="仿宋_GB2312"/>
          <w:b/>
          <w:bCs/>
          <w:color w:val="auto"/>
          <w:sz w:val="32"/>
          <w:szCs w:val="32"/>
          <w:lang w:val="en-US" w:eastAsia="zh-CN"/>
        </w:rPr>
        <w:t>3.绩效目标合理性</w:t>
      </w:r>
      <w:bookmarkEnd w:id="113"/>
      <w:bookmarkEnd w:id="114"/>
    </w:p>
    <w:p w14:paraId="423D64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①该项目已设置年度绩效目标。</w:t>
      </w:r>
    </w:p>
    <w:p w14:paraId="6CEDEB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eastAsia="zh-CN"/>
        </w:rPr>
        <w:t>②该项目实际工</w:t>
      </w:r>
      <w:r>
        <w:rPr>
          <w:rFonts w:hint="eastAsia" w:ascii="仿宋_GB2312" w:hAnsi="仿宋_GB2312" w:eastAsia="仿宋_GB2312" w:cs="仿宋_GB2312"/>
          <w:color w:val="auto"/>
          <w:sz w:val="32"/>
          <w:szCs w:val="32"/>
          <w:highlight w:val="none"/>
          <w:lang w:eastAsia="zh-CN"/>
        </w:rPr>
        <w:t>作内容为：保障学校正常运转，完成教学活动及其他日常业务的正常运转。2024年学校在校学生人数1473人，计划完成每学年以720元/生/学年的标准使用公用经费,公用经费、教师培训结业率达到100%。通过项目实施，将有效改善教学环境，提供良好的学生成长条件，保障学校正常运转。绩效目标与实际工作内容一致，两者具有相关性。</w:t>
      </w:r>
    </w:p>
    <w:p w14:paraId="7C8F08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③该项目按照绩效目标完成数量指标、质量指标、时效指标、成本指标，项目的完成达到改善教学环境，提供良好的学生成长条件</w:t>
      </w:r>
      <w:r>
        <w:rPr>
          <w:rFonts w:hint="eastAsia" w:ascii="仿宋_GB2312" w:hAnsi="仿宋_GB2312" w:eastAsia="仿宋_GB2312" w:cs="仿宋_GB2312"/>
          <w:sz w:val="32"/>
          <w:szCs w:val="32"/>
          <w:highlight w:val="none"/>
          <w:lang w:val="en-US" w:eastAsia="zh-CN"/>
        </w:rPr>
        <w:t>的</w:t>
      </w:r>
      <w:r>
        <w:rPr>
          <w:rFonts w:hint="eastAsia" w:ascii="仿宋_GB2312" w:hAnsi="仿宋_GB2312" w:eastAsia="仿宋_GB2312" w:cs="仿宋_GB2312"/>
          <w:sz w:val="32"/>
          <w:szCs w:val="32"/>
          <w:highlight w:val="none"/>
          <w:lang w:eastAsia="zh-CN"/>
        </w:rPr>
        <w:t>效益，预期产出效益和效果是否符合正常的业绩水平。</w:t>
      </w:r>
    </w:p>
    <w:p w14:paraId="4C0BAC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④《项目支出绩效目标表</w:t>
      </w:r>
      <w:r>
        <w:rPr>
          <w:rFonts w:hint="eastAsia" w:ascii="仿宋_GB2312" w:hAnsi="仿宋_GB2312" w:eastAsia="仿宋_GB2312" w:cs="仿宋_GB2312"/>
          <w:color w:val="auto"/>
          <w:sz w:val="32"/>
          <w:szCs w:val="32"/>
          <w:highlight w:val="none"/>
          <w:lang w:eastAsia="zh-CN"/>
        </w:rPr>
        <w:t>》中预算金额为</w:t>
      </w:r>
      <w:r>
        <w:rPr>
          <w:rFonts w:hint="eastAsia" w:ascii="仿宋_GB2312" w:hAnsi="仿宋_GB2312" w:eastAsia="仿宋_GB2312" w:cs="仿宋_GB2312"/>
          <w:color w:val="auto"/>
          <w:sz w:val="32"/>
          <w:szCs w:val="32"/>
          <w:highlight w:val="none"/>
          <w:lang w:val="en-US" w:eastAsia="zh-CN"/>
        </w:rPr>
        <w:t>117.60万元</w:t>
      </w:r>
      <w:r>
        <w:rPr>
          <w:rFonts w:hint="eastAsia" w:ascii="仿宋_GB2312" w:hAnsi="仿宋_GB2312" w:eastAsia="仿宋_GB2312" w:cs="仿宋_GB2312"/>
          <w:color w:val="auto"/>
          <w:sz w:val="32"/>
          <w:szCs w:val="32"/>
          <w:highlight w:val="none"/>
          <w:lang w:eastAsia="zh-CN"/>
        </w:rPr>
        <w:t>，预算确定的项目资金与预算确定的项目投资额相匹配</w:t>
      </w:r>
      <w:r>
        <w:rPr>
          <w:rFonts w:hint="eastAsia" w:ascii="仿宋_GB2312" w:hAnsi="仿宋_GB2312" w:eastAsia="仿宋_GB2312" w:cs="仿宋_GB2312"/>
          <w:sz w:val="32"/>
          <w:szCs w:val="32"/>
          <w:highlight w:val="none"/>
          <w:lang w:eastAsia="zh-CN"/>
        </w:rPr>
        <w:t>。</w:t>
      </w:r>
    </w:p>
    <w:p w14:paraId="476776D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满分5分，得分5分。</w:t>
      </w:r>
    </w:p>
    <w:p w14:paraId="4155A89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5" w:name="_Toc18198"/>
      <w:bookmarkStart w:id="116" w:name="_Toc10650"/>
      <w:r>
        <w:rPr>
          <w:rFonts w:hint="eastAsia" w:ascii="仿宋_GB2312" w:hAnsi="仿宋_GB2312" w:eastAsia="仿宋_GB2312" w:cs="仿宋_GB2312"/>
          <w:b/>
          <w:bCs/>
          <w:color w:val="auto"/>
          <w:sz w:val="32"/>
          <w:szCs w:val="32"/>
          <w:lang w:val="en-US" w:eastAsia="zh-CN"/>
        </w:rPr>
        <w:t>4.绩效指标明确性</w:t>
      </w:r>
      <w:bookmarkEnd w:id="115"/>
      <w:bookmarkEnd w:id="116"/>
    </w:p>
    <w:p w14:paraId="56D8196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①将项目绩效目标细化分解为具体的绩效指标，</w:t>
      </w:r>
      <w:r>
        <w:rPr>
          <w:rFonts w:hint="eastAsia" w:ascii="仿宋_GB2312" w:hAnsi="仿宋_GB2312" w:eastAsia="仿宋_GB2312" w:cs="仿宋_GB2312"/>
          <w:color w:val="auto"/>
          <w:sz w:val="32"/>
          <w:szCs w:val="32"/>
          <w:lang w:val="en-US" w:eastAsia="zh-CN"/>
        </w:rPr>
        <w:t>其中三级指标共计8个</w:t>
      </w:r>
      <w:r>
        <w:rPr>
          <w:rFonts w:hint="eastAsia" w:ascii="仿宋_GB2312" w:hAnsi="仿宋_GB2312" w:eastAsia="仿宋_GB2312" w:cs="仿宋_GB2312"/>
          <w:color w:val="auto"/>
          <w:sz w:val="32"/>
          <w:szCs w:val="32"/>
          <w:lang w:eastAsia="zh-CN"/>
        </w:rPr>
        <w:t>；</w:t>
      </w:r>
    </w:p>
    <w:p w14:paraId="0B6FB69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②通过清晰、可衡量的指标值予以体现，</w:t>
      </w:r>
      <w:r>
        <w:rPr>
          <w:rFonts w:hint="eastAsia" w:ascii="仿宋_GB2312" w:hAnsi="仿宋_GB2312" w:eastAsia="仿宋_GB2312" w:cs="仿宋_GB2312"/>
          <w:color w:val="auto"/>
          <w:sz w:val="32"/>
          <w:szCs w:val="32"/>
          <w:lang w:val="en-US" w:eastAsia="zh-CN"/>
        </w:rPr>
        <w:t>量化率达到87.5%</w:t>
      </w:r>
      <w:r>
        <w:rPr>
          <w:rFonts w:hint="eastAsia" w:ascii="仿宋_GB2312" w:hAnsi="仿宋_GB2312" w:eastAsia="仿宋_GB2312" w:cs="仿宋_GB2312"/>
          <w:color w:val="auto"/>
          <w:sz w:val="32"/>
          <w:szCs w:val="32"/>
          <w:lang w:eastAsia="zh-CN"/>
        </w:rPr>
        <w:t>；</w:t>
      </w:r>
    </w:p>
    <w:p w14:paraId="4923918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③《项目绩效目标申报表》中，三级指标的年度指标值与年度绩效目标中任务数一致。</w:t>
      </w:r>
    </w:p>
    <w:p w14:paraId="005C23F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eastAsia="zh-CN"/>
        </w:rPr>
        <w:t>已设置的绩效目标具备明确性、可衡量性、可实</w:t>
      </w:r>
      <w:r>
        <w:rPr>
          <w:rFonts w:hint="eastAsia" w:ascii="仿宋_GB2312" w:hAnsi="仿宋_GB2312" w:eastAsia="仿宋_GB2312" w:cs="仿宋_GB2312"/>
          <w:sz w:val="32"/>
          <w:szCs w:val="32"/>
          <w:lang w:eastAsia="zh-CN"/>
        </w:rPr>
        <w:t>现性、相关性、时限性。</w:t>
      </w:r>
    </w:p>
    <w:p w14:paraId="4DEBD0A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满分5分，得分5分。</w:t>
      </w:r>
    </w:p>
    <w:p w14:paraId="4BEB4CA5">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7" w:name="_Toc8296"/>
      <w:bookmarkStart w:id="118" w:name="_Toc19401"/>
      <w:r>
        <w:rPr>
          <w:rFonts w:hint="eastAsia" w:ascii="仿宋_GB2312" w:hAnsi="仿宋_GB2312" w:eastAsia="仿宋_GB2312" w:cs="仿宋_GB2312"/>
          <w:b/>
          <w:bCs/>
          <w:color w:val="auto"/>
          <w:sz w:val="32"/>
          <w:szCs w:val="32"/>
          <w:lang w:val="en-US" w:eastAsia="zh-CN"/>
        </w:rPr>
        <w:t>5.预算编制科学性</w:t>
      </w:r>
      <w:bookmarkEnd w:id="117"/>
      <w:bookmarkEnd w:id="118"/>
    </w:p>
    <w:p w14:paraId="29B1EB4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lang w:val="en-US" w:eastAsia="zh-CN"/>
        </w:rPr>
        <w:t>根据项目预算批复，项目的</w:t>
      </w:r>
      <w:r>
        <w:rPr>
          <w:rFonts w:hint="eastAsia" w:ascii="仿宋_GB2312" w:hAnsi="仿宋_GB2312" w:eastAsia="仿宋_GB2312" w:cs="仿宋_GB2312"/>
          <w:color w:val="auto"/>
          <w:sz w:val="32"/>
          <w:szCs w:val="32"/>
          <w:lang w:eastAsia="zh-CN"/>
        </w:rPr>
        <w:t>预算编制经过科学论证；</w:t>
      </w:r>
    </w:p>
    <w:p w14:paraId="2946C02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②</w:t>
      </w:r>
      <w:r>
        <w:rPr>
          <w:rFonts w:hint="eastAsia" w:ascii="仿宋_GB2312" w:hAnsi="仿宋_GB2312" w:eastAsia="仿宋_GB2312" w:cs="仿宋_GB2312"/>
          <w:color w:val="auto"/>
          <w:sz w:val="32"/>
          <w:szCs w:val="32"/>
          <w:lang w:eastAsia="zh-CN"/>
        </w:rPr>
        <w:t>预算申请内容为</w:t>
      </w:r>
      <w:r>
        <w:rPr>
          <w:rFonts w:hint="eastAsia" w:ascii="仿宋_GB2312" w:hAnsi="仿宋_GB2312" w:eastAsia="仿宋_GB2312" w:cs="仿宋_GB2312"/>
          <w:color w:val="auto"/>
          <w:sz w:val="32"/>
          <w:szCs w:val="32"/>
          <w:lang w:val="en-US" w:eastAsia="zh-CN"/>
        </w:rPr>
        <w:t>有</w:t>
      </w:r>
      <w:r>
        <w:rPr>
          <w:rFonts w:hint="eastAsia" w:ascii="仿宋_GB2312" w:hAnsi="仿宋_GB2312" w:eastAsia="仿宋_GB2312" w:cs="仿宋_GB2312"/>
          <w:color w:val="auto"/>
          <w:sz w:val="32"/>
          <w:szCs w:val="32"/>
          <w:lang w:eastAsia="zh-CN"/>
        </w:rPr>
        <w:t>效改善教学环境，提供良好的学生成长条件，保障学校正常运转,项目实际内容为</w:t>
      </w:r>
      <w:r>
        <w:rPr>
          <w:rFonts w:hint="eastAsia" w:ascii="仿宋_GB2312" w:hAnsi="仿宋_GB2312" w:eastAsia="仿宋_GB2312" w:cs="仿宋_GB2312"/>
          <w:color w:val="auto"/>
          <w:sz w:val="32"/>
          <w:szCs w:val="32"/>
          <w:lang w:val="en-US" w:eastAsia="zh-CN"/>
        </w:rPr>
        <w:t>有</w:t>
      </w:r>
      <w:r>
        <w:rPr>
          <w:rFonts w:hint="eastAsia" w:ascii="仿宋_GB2312" w:hAnsi="仿宋_GB2312" w:eastAsia="仿宋_GB2312" w:cs="仿宋_GB2312"/>
          <w:color w:val="auto"/>
          <w:sz w:val="32"/>
          <w:szCs w:val="32"/>
          <w:lang w:eastAsia="zh-CN"/>
        </w:rPr>
        <w:t>有效改善教学环境，提供良好的学生成长条件，保障学校正常运转,预算申请与项目内容匹配；</w:t>
      </w:r>
    </w:p>
    <w:p w14:paraId="5F20805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lang w:val="en-US" w:eastAsia="zh-CN"/>
        </w:rPr>
        <w:t>③</w:t>
      </w:r>
      <w:r>
        <w:rPr>
          <w:rFonts w:hint="eastAsia" w:ascii="仿宋_GB2312" w:hAnsi="仿宋_GB2312" w:eastAsia="仿宋_GB2312" w:cs="仿宋_GB2312"/>
          <w:color w:val="auto"/>
          <w:sz w:val="32"/>
          <w:szCs w:val="32"/>
          <w:lang w:eastAsia="zh-CN"/>
        </w:rPr>
        <w:t>项目预算申请资金</w:t>
      </w:r>
      <w:r>
        <w:rPr>
          <w:rFonts w:hint="eastAsia" w:ascii="仿宋_GB2312" w:hAnsi="仿宋_GB2312" w:eastAsia="仿宋_GB2312" w:cs="仿宋_GB2312"/>
          <w:color w:val="auto"/>
          <w:sz w:val="32"/>
          <w:szCs w:val="32"/>
          <w:lang w:val="en-US" w:eastAsia="zh-CN"/>
        </w:rPr>
        <w:t>117.6万元</w:t>
      </w:r>
      <w:r>
        <w:rPr>
          <w:rFonts w:hint="eastAsia" w:ascii="仿宋_GB2312" w:hAnsi="仿宋_GB2312" w:eastAsia="仿宋_GB2312" w:cs="仿宋_GB2312"/>
          <w:color w:val="auto"/>
          <w:sz w:val="32"/>
          <w:szCs w:val="32"/>
          <w:lang w:eastAsia="zh-CN"/>
        </w:rPr>
        <w:t>，我单</w:t>
      </w:r>
      <w:r>
        <w:rPr>
          <w:rFonts w:hint="eastAsia" w:ascii="仿宋_GB2312" w:hAnsi="仿宋_GB2312" w:eastAsia="仿宋_GB2312" w:cs="仿宋_GB2312"/>
          <w:sz w:val="32"/>
          <w:szCs w:val="32"/>
          <w:lang w:eastAsia="zh-CN"/>
        </w:rPr>
        <w:t>位在预算申请中严格按照项目实施内容及测算标准进行核算，其中</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办公</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lang w:val="en-US" w:eastAsia="zh-CN"/>
        </w:rPr>
        <w:t>9.60</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印刷</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lang w:val="en-US" w:eastAsia="zh-CN"/>
        </w:rPr>
        <w:t>8.62</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取暖</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lang w:val="en-US" w:eastAsia="zh-CN"/>
        </w:rPr>
        <w:t>27.91</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水电</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lang w:val="en-US" w:eastAsia="zh-CN"/>
        </w:rPr>
        <w:t>10.13</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邮电</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lang w:val="en-US" w:eastAsia="zh-CN"/>
        </w:rPr>
        <w:t>7.20</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物业管理</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lang w:val="en-US" w:eastAsia="zh-CN"/>
        </w:rPr>
        <w:t>20.91</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差旅</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lang w:val="en-US" w:eastAsia="zh-CN"/>
        </w:rPr>
        <w:t>4.01</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维修（护）</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lang w:val="en-US" w:eastAsia="zh-CN"/>
        </w:rPr>
        <w:t>15.68</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培训</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lang w:val="en-US" w:eastAsia="zh-CN"/>
        </w:rPr>
        <w:t>4.08</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其他商品和服务支出等</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lang w:val="en-US" w:eastAsia="zh-CN"/>
        </w:rPr>
        <w:t>9.46</w:t>
      </w:r>
      <w:r>
        <w:rPr>
          <w:rFonts w:hint="eastAsia" w:ascii="仿宋_GB2312" w:hAnsi="仿宋_GB2312" w:eastAsia="仿宋_GB2312" w:cs="仿宋_GB2312"/>
          <w:color w:val="auto"/>
          <w:sz w:val="32"/>
          <w:szCs w:val="32"/>
          <w:highlight w:val="none"/>
          <w:lang w:eastAsia="zh-CN"/>
        </w:rPr>
        <w:t>万元。</w:t>
      </w:r>
    </w:p>
    <w:p w14:paraId="46DBE0E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④</w:t>
      </w:r>
      <w:r>
        <w:rPr>
          <w:rFonts w:hint="eastAsia" w:ascii="仿宋_GB2312" w:hAnsi="仿宋_GB2312" w:eastAsia="仿宋_GB2312" w:cs="仿宋_GB2312"/>
          <w:sz w:val="32"/>
          <w:szCs w:val="32"/>
          <w:lang w:eastAsia="zh-CN"/>
        </w:rPr>
        <w:t>预算确定资金量与实际工作任务相匹配。项目预算额度测算依据充分，严格按照标准编制，项目资金量与</w:t>
      </w:r>
      <w:r>
        <w:rPr>
          <w:rFonts w:hint="eastAsia" w:ascii="仿宋_GB2312" w:hAnsi="仿宋_GB2312" w:eastAsia="仿宋_GB2312" w:cs="仿宋_GB2312"/>
          <w:sz w:val="32"/>
          <w:szCs w:val="32"/>
          <w:lang w:val="en-US" w:eastAsia="zh-CN"/>
        </w:rPr>
        <w:t>项目实施内容</w:t>
      </w:r>
      <w:r>
        <w:rPr>
          <w:rFonts w:hint="eastAsia" w:ascii="仿宋_GB2312" w:hAnsi="仿宋_GB2312" w:eastAsia="仿宋_GB2312" w:cs="仿宋_GB2312"/>
          <w:sz w:val="32"/>
          <w:szCs w:val="32"/>
          <w:lang w:eastAsia="zh-CN"/>
        </w:rPr>
        <w:t>相匹配。</w:t>
      </w:r>
    </w:p>
    <w:p w14:paraId="58BD021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w:t>
      </w:r>
      <w:r>
        <w:rPr>
          <w:rFonts w:hint="eastAsia" w:ascii="仿宋_GB2312" w:hAnsi="仿宋_GB2312" w:eastAsia="仿宋_GB2312" w:cs="仿宋_GB2312"/>
          <w:b/>
          <w:bCs/>
          <w:color w:val="auto"/>
          <w:sz w:val="32"/>
          <w:szCs w:val="32"/>
          <w:lang w:val="en-US" w:eastAsia="zh-CN"/>
        </w:rPr>
        <w:t>指标满分2分，得分2分。</w:t>
      </w:r>
    </w:p>
    <w:p w14:paraId="2280EC9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9" w:name="_Toc697"/>
      <w:bookmarkStart w:id="120" w:name="_Toc20556"/>
      <w:r>
        <w:rPr>
          <w:rFonts w:hint="eastAsia" w:ascii="仿宋_GB2312" w:hAnsi="仿宋_GB2312" w:eastAsia="仿宋_GB2312" w:cs="仿宋_GB2312"/>
          <w:b/>
          <w:bCs/>
          <w:color w:val="auto"/>
          <w:sz w:val="32"/>
          <w:szCs w:val="32"/>
          <w:lang w:val="en-US" w:eastAsia="zh-CN"/>
        </w:rPr>
        <w:t>6.资金分配合理性</w:t>
      </w:r>
      <w:bookmarkEnd w:id="119"/>
      <w:bookmarkEnd w:id="120"/>
    </w:p>
    <w:p w14:paraId="4EE6681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①项目实际分配资金以《财政支出预算管理办法》</w:t>
      </w:r>
      <w:r>
        <w:rPr>
          <w:rFonts w:hint="eastAsia" w:ascii="仿宋_GB2312" w:hAnsi="仿宋_GB2312" w:eastAsia="仿宋_GB2312" w:cs="仿宋_GB2312"/>
          <w:color w:val="auto"/>
          <w:sz w:val="32"/>
          <w:szCs w:val="32"/>
          <w:lang w:eastAsia="zh-Hans"/>
        </w:rPr>
        <w:t>《202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Hans"/>
        </w:rPr>
        <w:t>年公用经费收支预算表》为依据进行资金分配，预算资金分配依据充分</w:t>
      </w:r>
      <w:r>
        <w:rPr>
          <w:rFonts w:hint="eastAsia" w:ascii="仿宋_GB2312" w:hAnsi="仿宋_GB2312" w:eastAsia="仿宋_GB2312" w:cs="仿宋_GB2312"/>
          <w:color w:val="auto"/>
          <w:sz w:val="32"/>
          <w:szCs w:val="32"/>
          <w:lang w:eastAsia="zh-CN"/>
        </w:rPr>
        <w:t>。</w:t>
      </w:r>
    </w:p>
    <w:p w14:paraId="761A98E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②项目实际到位资金</w:t>
      </w:r>
      <w:r>
        <w:rPr>
          <w:rFonts w:hint="eastAsia" w:ascii="仿宋_GB2312" w:hAnsi="仿宋_GB2312" w:eastAsia="仿宋_GB2312" w:cs="仿宋_GB2312"/>
          <w:color w:val="auto"/>
          <w:sz w:val="32"/>
          <w:szCs w:val="32"/>
          <w:lang w:val="en-US" w:eastAsia="zh-CN"/>
        </w:rPr>
        <w:t>117.6万元</w:t>
      </w:r>
      <w:r>
        <w:rPr>
          <w:rFonts w:hint="eastAsia" w:ascii="仿宋_GB2312" w:hAnsi="仿宋_GB2312" w:eastAsia="仿宋_GB2312" w:cs="仿宋_GB2312"/>
          <w:color w:val="auto"/>
          <w:sz w:val="32"/>
          <w:szCs w:val="32"/>
          <w:lang w:eastAsia="zh-CN"/>
        </w:rPr>
        <w:t>，资金分配</w:t>
      </w:r>
      <w:r>
        <w:rPr>
          <w:rFonts w:hint="eastAsia" w:ascii="仿宋_GB2312" w:hAnsi="仿宋_GB2312" w:eastAsia="仿宋_GB2312" w:cs="仿宋_GB2312"/>
          <w:sz w:val="32"/>
          <w:szCs w:val="32"/>
          <w:lang w:eastAsia="zh-CN"/>
        </w:rPr>
        <w:t>额度合理，与项目单位</w:t>
      </w:r>
      <w:r>
        <w:rPr>
          <w:rFonts w:hint="eastAsia" w:ascii="仿宋_GB2312" w:hAnsi="仿宋_GB2312" w:eastAsia="仿宋_GB2312" w:cs="仿宋_GB2312"/>
          <w:sz w:val="32"/>
          <w:szCs w:val="32"/>
          <w:lang w:val="en-US" w:eastAsia="zh-CN"/>
        </w:rPr>
        <w:t>及项目</w:t>
      </w:r>
      <w:r>
        <w:rPr>
          <w:rFonts w:hint="eastAsia" w:ascii="仿宋_GB2312" w:hAnsi="仿宋_GB2312" w:eastAsia="仿宋_GB2312" w:cs="仿宋_GB2312"/>
          <w:color w:val="auto"/>
          <w:sz w:val="32"/>
          <w:szCs w:val="32"/>
          <w:lang w:val="en-US" w:eastAsia="zh-CN"/>
        </w:rPr>
        <w:t>实际实施情况相</w:t>
      </w:r>
      <w:r>
        <w:rPr>
          <w:rFonts w:hint="eastAsia" w:ascii="仿宋_GB2312" w:hAnsi="仿宋_GB2312" w:eastAsia="仿宋_GB2312" w:cs="仿宋_GB2312"/>
          <w:color w:val="auto"/>
          <w:sz w:val="32"/>
          <w:szCs w:val="32"/>
          <w:lang w:eastAsia="zh-CN"/>
        </w:rPr>
        <w:t>适应。</w:t>
      </w:r>
    </w:p>
    <w:p w14:paraId="5C69131E">
      <w:pPr>
        <w:pageBreakBefore w:val="0"/>
        <w:kinsoku/>
        <w:wordWrap/>
        <w:overflowPunct/>
        <w:topLinePunct w:val="0"/>
        <w:autoSpaceDE/>
        <w:autoSpaceDN/>
        <w:bidi w:val="0"/>
        <w:spacing w:line="560" w:lineRule="exact"/>
        <w:textAlignment w:val="auto"/>
        <w:rPr>
          <w:rFonts w:hint="eastAsia"/>
          <w:color w:val="auto"/>
          <w:lang w:eastAsia="zh-CN"/>
        </w:rPr>
      </w:pPr>
      <w:r>
        <w:rPr>
          <w:rFonts w:hint="eastAsia" w:ascii="仿宋_GB2312" w:hAnsi="仿宋_GB2312" w:eastAsia="仿宋_GB2312" w:cs="仿宋_GB2312"/>
          <w:b/>
          <w:bCs/>
          <w:color w:val="auto"/>
          <w:sz w:val="32"/>
          <w:szCs w:val="32"/>
          <w:lang w:val="en-US" w:eastAsia="zh-CN"/>
        </w:rPr>
        <w:t>综上，该项指标满分3分，得分3分。</w:t>
      </w:r>
    </w:p>
    <w:p w14:paraId="7C7CDBD6">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rPr>
      </w:pPr>
      <w:bookmarkStart w:id="121" w:name="_Toc10564"/>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lang w:val="en-US" w:eastAsia="zh-CN"/>
        </w:rPr>
        <w:t>二</w:t>
      </w:r>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rPr>
        <w:t>项目过程情况</w:t>
      </w:r>
      <w:bookmarkEnd w:id="121"/>
    </w:p>
    <w:p w14:paraId="38E2DA9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0388A2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6CB95901">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D1CFA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8BB7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5FA5E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EB8A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A789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46FA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F390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6755F533">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ACE0B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DE23E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B621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83E1A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5726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1A7C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B5AC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59A6B06">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2911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D3E6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D6E5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77F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3A59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E236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D2CE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3C3FDA6">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ADB0E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CA0D2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A300A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3E0D7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DE48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7C47E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3623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98A84C6">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D89FE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137D3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8A22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4A34D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6F338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9D21A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6816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7C078BD">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D4AF7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96E0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A4B7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F76B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6E0D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3A2D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BB2B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A7D12D8">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97D0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AC23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5144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512D9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8343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37B3C66B">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lang w:val="en-US" w:eastAsia="zh-CN"/>
        </w:rPr>
      </w:pPr>
      <w:bookmarkStart w:id="122" w:name="_Toc3886"/>
      <w:bookmarkStart w:id="123" w:name="_Toc20449"/>
      <w:r>
        <w:rPr>
          <w:rFonts w:hint="eastAsia" w:ascii="仿宋_GB2312" w:hAnsi="仿宋_GB2312" w:eastAsia="仿宋_GB2312" w:cs="仿宋_GB2312"/>
          <w:b/>
          <w:bCs/>
          <w:sz w:val="32"/>
          <w:szCs w:val="32"/>
          <w:lang w:val="en-US" w:eastAsia="zh-CN"/>
        </w:rPr>
        <w:t>1.资金到位率</w:t>
      </w:r>
      <w:bookmarkEnd w:id="122"/>
      <w:bookmarkEnd w:id="123"/>
    </w:p>
    <w:p w14:paraId="39314E6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117.6万元</w:t>
      </w:r>
      <w:r>
        <w:rPr>
          <w:rFonts w:hint="eastAsia" w:ascii="仿宋_GB2312" w:hAnsi="仿宋_GB2312" w:eastAsia="仿宋_GB2312" w:cs="仿宋_GB2312"/>
          <w:b w:val="0"/>
          <w:bCs w:val="0"/>
          <w:color w:val="auto"/>
          <w:sz w:val="32"/>
          <w:szCs w:val="32"/>
          <w:highlight w:val="none"/>
        </w:rPr>
        <w:t>，其中：财政安排资金</w:t>
      </w:r>
      <w:r>
        <w:rPr>
          <w:rFonts w:hint="eastAsia" w:ascii="仿宋_GB2312" w:hAnsi="仿宋_GB2312" w:eastAsia="仿宋_GB2312" w:cs="仿宋_GB2312"/>
          <w:b w:val="0"/>
          <w:bCs w:val="0"/>
          <w:color w:val="auto"/>
          <w:sz w:val="32"/>
          <w:szCs w:val="32"/>
          <w:highlight w:val="none"/>
          <w:lang w:val="en-US" w:eastAsia="zh-CN"/>
        </w:rPr>
        <w:t>117.6万元</w:t>
      </w:r>
      <w:r>
        <w:rPr>
          <w:rFonts w:hint="eastAsia" w:ascii="仿宋_GB2312" w:hAnsi="仿宋_GB2312" w:eastAsia="仿宋_GB2312" w:cs="仿宋_GB2312"/>
          <w:b w:val="0"/>
          <w:bCs w:val="0"/>
          <w:color w:val="auto"/>
          <w:sz w:val="32"/>
          <w:szCs w:val="32"/>
          <w:highlight w:val="none"/>
        </w:rPr>
        <w:t>，其他资金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381AF0D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color w:val="auto"/>
          <w:sz w:val="32"/>
          <w:szCs w:val="32"/>
          <w:highlight w:val="none"/>
          <w:lang w:val="en-US" w:eastAsia="zh-CN"/>
        </w:rPr>
        <w:t>117.6万元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117.6万元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100%</w:t>
      </w:r>
    </w:p>
    <w:p w14:paraId="11E2DCE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1FD682E2">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17709"/>
      <w:bookmarkStart w:id="125" w:name="_Toc9705"/>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15B85877">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117.6万元</w:t>
      </w:r>
      <w:r>
        <w:rPr>
          <w:rFonts w:hint="eastAsia" w:ascii="仿宋_GB2312" w:hAnsi="仿宋_GB2312" w:eastAsia="仿宋_GB2312" w:cs="仿宋_GB2312"/>
          <w:color w:val="auto"/>
          <w:sz w:val="32"/>
          <w:szCs w:val="32"/>
          <w:highlight w:val="none"/>
          <w:lang w:val="en-US" w:eastAsia="zh-CN"/>
        </w:rPr>
        <w:t>。</w:t>
      </w:r>
    </w:p>
    <w:p w14:paraId="0F3E83D0">
      <w:pPr>
        <w:pageBreakBefore w:val="0"/>
        <w:kinsoku/>
        <w:wordWrap/>
        <w:overflowPunct/>
        <w:topLinePunct w:val="0"/>
        <w:autoSpaceDE/>
        <w:autoSpaceDN/>
        <w:bidi w:val="0"/>
        <w:spacing w:line="560" w:lineRule="exact"/>
        <w:ind w:left="638" w:leftChars="228" w:firstLine="0" w:firstLineChars="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b w:val="0"/>
          <w:bCs w:val="0"/>
          <w:color w:val="auto"/>
          <w:sz w:val="32"/>
          <w:szCs w:val="32"/>
          <w:highlight w:val="none"/>
          <w:lang w:val="en-US" w:eastAsia="zh-CN"/>
        </w:rPr>
        <w:t>117.6万元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117.6万元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综上，该项指标满分4分，得分4分。</w:t>
      </w:r>
    </w:p>
    <w:p w14:paraId="7A8EECD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18691"/>
      <w:bookmarkStart w:id="127" w:name="_Toc28875"/>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54B4FCF8">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rPr>
      </w:pPr>
      <w:r>
        <w:rPr>
          <w:rFonts w:hint="eastAsia" w:ascii="仿宋_GB2312" w:hAnsi="仿宋_GB2312" w:eastAsia="仿宋_GB2312" w:cs="仿宋_GB2312"/>
          <w:sz w:val="32"/>
          <w:szCs w:val="32"/>
          <w:lang w:eastAsia="zh-CN"/>
        </w:rPr>
        <w:t>①本项目资金支出符合国家财经法规、《政府会计制度》《</w:t>
      </w:r>
      <w:r>
        <w:rPr>
          <w:rFonts w:hint="eastAsia" w:ascii="仿宋_GB2312" w:hAnsi="仿宋_GB2312" w:eastAsia="仿宋_GB2312" w:cs="仿宋_GB2312"/>
          <w:sz w:val="32"/>
          <w:szCs w:val="32"/>
          <w:lang w:val="en-US" w:eastAsia="zh-CN"/>
        </w:rPr>
        <w:t>阜康市晋阜小学</w:t>
      </w:r>
      <w:r>
        <w:rPr>
          <w:rFonts w:hint="eastAsia" w:ascii="仿宋_GB2312" w:hAnsi="仿宋_GB2312" w:eastAsia="仿宋_GB2312" w:cs="仿宋_GB2312"/>
          <w:sz w:val="32"/>
          <w:szCs w:val="32"/>
          <w:lang w:eastAsia="zh-CN"/>
        </w:rPr>
        <w:t>单位资金管理办法</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阜康市晋阜小学</w:t>
      </w:r>
      <w:r>
        <w:rPr>
          <w:rFonts w:hint="eastAsia" w:ascii="仿宋_GB2312" w:hAnsi="仿宋_GB2312" w:eastAsia="仿宋_GB2312" w:cs="仿宋_GB2312"/>
          <w:color w:val="auto"/>
          <w:sz w:val="32"/>
          <w:szCs w:val="32"/>
          <w:lang w:eastAsia="zh-CN"/>
        </w:rPr>
        <w:t>专项资金管理办法》；</w:t>
      </w:r>
    </w:p>
    <w:p w14:paraId="487F619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②资金的拨付有完整的审批程序和手续；</w:t>
      </w:r>
    </w:p>
    <w:p w14:paraId="37D55FE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③符合项目预算批复或合同规定的用途；</w:t>
      </w:r>
    </w:p>
    <w:p w14:paraId="12CB0F3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存在截留、挤占、挪用、虚列支出等情况。</w:t>
      </w:r>
    </w:p>
    <w:p w14:paraId="68C5C8A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lang w:val="en-US" w:eastAsia="zh-CN"/>
        </w:rPr>
      </w:pPr>
      <w:r>
        <w:rPr>
          <w:rFonts w:hint="default" w:ascii="Times New Roman" w:hAnsi="Times New Roman" w:eastAsia="仿宋_GB2312" w:cs="Times New Roman"/>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w:t>
      </w:r>
      <w:r>
        <w:rPr>
          <w:rFonts w:hint="default" w:ascii="Times New Roman" w:hAnsi="Times New Roman" w:eastAsia="仿宋_GB2312" w:cs="Times New Roman"/>
          <w:color w:val="auto"/>
          <w:sz w:val="32"/>
          <w:szCs w:val="32"/>
          <w:highlight w:val="none"/>
          <w:lang w:eastAsia="zh-CN"/>
        </w:rPr>
        <w:t>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3C86034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1BA27092">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kern w:val="2"/>
          <w:sz w:val="32"/>
          <w:szCs w:val="32"/>
          <w:lang w:val="en-US" w:eastAsia="zh-CN" w:bidi="ar-SA"/>
        </w:rPr>
        <w:t>4.</w:t>
      </w:r>
      <w:r>
        <w:rPr>
          <w:rFonts w:hint="eastAsia" w:ascii="仿宋_GB2312" w:hAnsi="仿宋_GB2312" w:eastAsia="仿宋_GB2312" w:cs="仿宋_GB2312"/>
          <w:b/>
          <w:bCs/>
          <w:color w:val="auto"/>
          <w:sz w:val="32"/>
          <w:szCs w:val="32"/>
          <w:lang w:val="en-US" w:eastAsia="zh-CN"/>
        </w:rPr>
        <w:t>管理制度健全性</w:t>
      </w:r>
    </w:p>
    <w:p w14:paraId="5387A7B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①</w:t>
      </w:r>
      <w:r>
        <w:rPr>
          <w:rFonts w:hint="eastAsia" w:ascii="仿宋_GB2312" w:hAnsi="仿宋_GB2312" w:eastAsia="仿宋_GB2312" w:cs="仿宋_GB2312"/>
          <w:color w:val="auto"/>
          <w:sz w:val="32"/>
          <w:szCs w:val="32"/>
          <w:lang w:eastAsia="zh-CN"/>
        </w:rPr>
        <w:t>我单位已制定《</w:t>
      </w:r>
      <w:r>
        <w:rPr>
          <w:rFonts w:hint="eastAsia" w:ascii="仿宋_GB2312" w:hAnsi="仿宋_GB2312" w:eastAsia="仿宋_GB2312" w:cs="仿宋_GB2312"/>
          <w:color w:val="auto"/>
          <w:sz w:val="32"/>
          <w:szCs w:val="32"/>
          <w:lang w:val="en-US" w:eastAsia="zh-CN"/>
        </w:rPr>
        <w:t>阜康市晋阜小学</w:t>
      </w:r>
      <w:r>
        <w:rPr>
          <w:rFonts w:hint="eastAsia" w:ascii="仿宋_GB2312" w:hAnsi="仿宋_GB2312" w:eastAsia="仿宋_GB2312" w:cs="仿宋_GB2312"/>
          <w:color w:val="auto"/>
          <w:sz w:val="32"/>
          <w:szCs w:val="32"/>
          <w:lang w:eastAsia="zh-CN"/>
        </w:rPr>
        <w:t>资金管理办法》《</w:t>
      </w:r>
      <w:r>
        <w:rPr>
          <w:rFonts w:hint="eastAsia" w:ascii="仿宋_GB2312" w:hAnsi="仿宋_GB2312" w:eastAsia="仿宋_GB2312" w:cs="仿宋_GB2312"/>
          <w:color w:val="auto"/>
          <w:sz w:val="32"/>
          <w:szCs w:val="32"/>
          <w:lang w:val="en-US" w:eastAsia="zh-CN"/>
        </w:rPr>
        <w:t>阜康市晋阜小学</w:t>
      </w:r>
      <w:r>
        <w:rPr>
          <w:rFonts w:hint="eastAsia" w:ascii="仿宋_GB2312" w:hAnsi="仿宋_GB2312" w:eastAsia="仿宋_GB2312" w:cs="仿宋_GB2312"/>
          <w:color w:val="auto"/>
          <w:sz w:val="32"/>
          <w:szCs w:val="32"/>
          <w:lang w:eastAsia="zh-CN"/>
        </w:rPr>
        <w:t>收支业务管理制度》《</w:t>
      </w:r>
      <w:r>
        <w:rPr>
          <w:rFonts w:hint="eastAsia" w:ascii="仿宋_GB2312" w:hAnsi="仿宋_GB2312" w:eastAsia="仿宋_GB2312" w:cs="仿宋_GB2312"/>
          <w:color w:val="auto"/>
          <w:sz w:val="32"/>
          <w:szCs w:val="32"/>
          <w:lang w:val="en-US" w:eastAsia="zh-CN"/>
        </w:rPr>
        <w:t>阜康市晋阜小学</w:t>
      </w:r>
      <w:r>
        <w:rPr>
          <w:rFonts w:hint="eastAsia" w:ascii="仿宋_GB2312" w:hAnsi="仿宋_GB2312" w:eastAsia="仿宋_GB2312" w:cs="仿宋_GB2312"/>
          <w:color w:val="auto"/>
          <w:sz w:val="32"/>
          <w:szCs w:val="32"/>
          <w:lang w:eastAsia="zh-CN"/>
        </w:rPr>
        <w:t>政府采购业务管理制度》《</w:t>
      </w:r>
      <w:r>
        <w:rPr>
          <w:rFonts w:hint="eastAsia" w:ascii="仿宋_GB2312" w:hAnsi="仿宋_GB2312" w:eastAsia="仿宋_GB2312" w:cs="仿宋_GB2312"/>
          <w:color w:val="auto"/>
          <w:sz w:val="32"/>
          <w:szCs w:val="32"/>
          <w:lang w:val="en-US" w:eastAsia="zh-CN"/>
        </w:rPr>
        <w:t>阜康市晋阜小学</w:t>
      </w:r>
      <w:r>
        <w:rPr>
          <w:rFonts w:hint="eastAsia" w:ascii="仿宋_GB2312" w:hAnsi="仿宋_GB2312" w:eastAsia="仿宋_GB2312" w:cs="仿宋_GB2312"/>
          <w:color w:val="auto"/>
          <w:sz w:val="32"/>
          <w:szCs w:val="32"/>
          <w:lang w:eastAsia="zh-CN"/>
        </w:rPr>
        <w:t>合同管理制度》，</w:t>
      </w:r>
      <w:r>
        <w:rPr>
          <w:rFonts w:hint="eastAsia" w:ascii="仿宋_GB2312" w:hAnsi="仿宋_GB2312" w:eastAsia="仿宋_GB2312" w:cs="仿宋_GB2312"/>
          <w:color w:val="auto"/>
          <w:sz w:val="32"/>
          <w:szCs w:val="32"/>
          <w:lang w:val="en-US" w:eastAsia="zh-CN"/>
        </w:rPr>
        <w:t>相关</w:t>
      </w:r>
      <w:r>
        <w:rPr>
          <w:rFonts w:hint="eastAsia" w:ascii="仿宋_GB2312" w:hAnsi="仿宋_GB2312" w:eastAsia="仿宋_GB2312" w:cs="仿宋_GB2312"/>
          <w:color w:val="auto"/>
          <w:sz w:val="32"/>
          <w:szCs w:val="32"/>
          <w:lang w:eastAsia="zh-CN"/>
        </w:rPr>
        <w:t>制度均符合行政事业单位内控管理要求；</w:t>
      </w:r>
    </w:p>
    <w:p w14:paraId="13C6A3C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②已制定的</w:t>
      </w:r>
      <w:r>
        <w:rPr>
          <w:rFonts w:hint="eastAsia" w:ascii="仿宋_GB2312" w:hAnsi="仿宋_GB2312" w:eastAsia="仿宋_GB2312" w:cs="仿宋_GB2312"/>
          <w:color w:val="auto"/>
          <w:sz w:val="32"/>
          <w:szCs w:val="32"/>
          <w:lang w:eastAsia="zh-CN"/>
        </w:rPr>
        <w:t>财务和业务管理制度合法、合规、</w:t>
      </w:r>
      <w:r>
        <w:rPr>
          <w:rFonts w:hint="eastAsia" w:ascii="仿宋_GB2312" w:hAnsi="仿宋_GB2312" w:eastAsia="仿宋_GB2312" w:cs="仿宋_GB2312"/>
          <w:sz w:val="32"/>
          <w:szCs w:val="32"/>
          <w:lang w:eastAsia="zh-CN"/>
        </w:rPr>
        <w:t>完整，本项目执行符合上述制</w:t>
      </w:r>
      <w:r>
        <w:rPr>
          <w:rFonts w:hint="eastAsia" w:ascii="仿宋_GB2312" w:hAnsi="仿宋_GB2312" w:eastAsia="仿宋_GB2312" w:cs="仿宋_GB2312"/>
          <w:color w:val="auto"/>
          <w:sz w:val="32"/>
          <w:szCs w:val="32"/>
          <w:lang w:eastAsia="zh-CN"/>
        </w:rPr>
        <w:t>度规定。</w:t>
      </w:r>
    </w:p>
    <w:p w14:paraId="0F035E1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2A1341CB">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lang w:val="en-US" w:eastAsia="zh-CN"/>
        </w:rPr>
      </w:pPr>
      <w:bookmarkStart w:id="128" w:name="_Toc31684"/>
      <w:bookmarkStart w:id="129" w:name="_Toc13984"/>
      <w:r>
        <w:rPr>
          <w:rFonts w:hint="eastAsia" w:ascii="仿宋_GB2312" w:hAnsi="仿宋_GB2312" w:eastAsia="仿宋_GB2312" w:cs="仿宋_GB2312"/>
          <w:b/>
          <w:bCs/>
          <w:color w:val="auto"/>
          <w:sz w:val="32"/>
          <w:szCs w:val="32"/>
          <w:lang w:val="en-US" w:eastAsia="zh-CN"/>
        </w:rPr>
        <w:t>5.制度执行有效性</w:t>
      </w:r>
      <w:bookmarkEnd w:id="128"/>
      <w:bookmarkEnd w:id="129"/>
    </w:p>
    <w:p w14:paraId="54843C4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rPr>
        <w:t>项目的实施</w:t>
      </w:r>
      <w:r>
        <w:rPr>
          <w:rFonts w:hint="eastAsia" w:ascii="仿宋_GB2312" w:hAnsi="仿宋_GB2312" w:eastAsia="仿宋_GB2312" w:cs="仿宋_GB2312"/>
          <w:color w:val="auto"/>
          <w:sz w:val="32"/>
          <w:szCs w:val="32"/>
          <w:lang w:eastAsia="zh-CN"/>
        </w:rPr>
        <w:t>遵守相关法律法规</w:t>
      </w:r>
      <w:r>
        <w:rPr>
          <w:rFonts w:hint="eastAsia" w:ascii="仿宋_GB2312" w:hAnsi="仿宋_GB2312" w:eastAsia="仿宋_GB2312" w:cs="仿宋_GB2312"/>
          <w:color w:val="auto"/>
          <w:sz w:val="32"/>
          <w:szCs w:val="32"/>
          <w:lang w:val="en-US" w:eastAsia="zh-CN"/>
        </w:rPr>
        <w:t>及</w:t>
      </w:r>
      <w:r>
        <w:rPr>
          <w:rFonts w:hint="eastAsia" w:ascii="仿宋_GB2312" w:hAnsi="仿宋_GB2312" w:eastAsia="仿宋_GB2312" w:cs="仿宋_GB2312"/>
          <w:color w:val="auto"/>
          <w:sz w:val="32"/>
          <w:szCs w:val="32"/>
          <w:lang w:eastAsia="zh-CN"/>
        </w:rPr>
        <w:t>相关管理规定，</w:t>
      </w:r>
      <w:r>
        <w:rPr>
          <w:rFonts w:hint="eastAsia" w:ascii="仿宋_GB2312" w:hAnsi="仿宋_GB2312" w:eastAsia="仿宋_GB2312" w:cs="仿宋_GB2312"/>
          <w:color w:val="auto"/>
          <w:sz w:val="32"/>
          <w:szCs w:val="32"/>
        </w:rPr>
        <w:t>符合《</w:t>
      </w:r>
      <w:r>
        <w:rPr>
          <w:rFonts w:hint="eastAsia" w:ascii="仿宋_GB2312" w:hAnsi="仿宋_GB2312" w:eastAsia="仿宋_GB2312" w:cs="仿宋_GB2312"/>
          <w:color w:val="auto"/>
          <w:sz w:val="32"/>
          <w:szCs w:val="32"/>
          <w:lang w:val="en-US" w:eastAsia="zh-CN"/>
        </w:rPr>
        <w:t>阜康市晋阜小学</w:t>
      </w:r>
      <w:r>
        <w:rPr>
          <w:rFonts w:hint="eastAsia" w:ascii="仿宋_GB2312" w:hAnsi="仿宋_GB2312" w:eastAsia="仿宋_GB2312" w:cs="仿宋_GB2312"/>
          <w:color w:val="auto"/>
          <w:sz w:val="32"/>
          <w:szCs w:val="32"/>
        </w:rPr>
        <w:t>办法》《</w:t>
      </w:r>
      <w:r>
        <w:rPr>
          <w:rFonts w:hint="eastAsia" w:ascii="仿宋_GB2312" w:hAnsi="仿宋_GB2312" w:eastAsia="仿宋_GB2312" w:cs="仿宋_GB2312"/>
          <w:color w:val="auto"/>
          <w:sz w:val="32"/>
          <w:szCs w:val="32"/>
          <w:lang w:val="en-US" w:eastAsia="zh-CN"/>
        </w:rPr>
        <w:t>阜康市晋阜小学</w:t>
      </w:r>
      <w:r>
        <w:rPr>
          <w:rFonts w:hint="eastAsia" w:ascii="仿宋_GB2312" w:hAnsi="仿宋_GB2312" w:eastAsia="仿宋_GB2312" w:cs="仿宋_GB2312"/>
          <w:color w:val="auto"/>
          <w:sz w:val="32"/>
          <w:szCs w:val="32"/>
        </w:rPr>
        <w:t>管理制度》《</w:t>
      </w:r>
      <w:r>
        <w:rPr>
          <w:rFonts w:hint="eastAsia" w:ascii="仿宋_GB2312" w:hAnsi="仿宋_GB2312" w:eastAsia="仿宋_GB2312" w:cs="仿宋_GB2312"/>
          <w:color w:val="auto"/>
          <w:sz w:val="32"/>
          <w:szCs w:val="32"/>
          <w:lang w:val="en-US" w:eastAsia="zh-CN"/>
        </w:rPr>
        <w:t>阜康市晋阜小学</w:t>
      </w:r>
      <w:r>
        <w:rPr>
          <w:rFonts w:hint="eastAsia" w:ascii="仿宋_GB2312" w:hAnsi="仿宋_GB2312" w:eastAsia="仿宋_GB2312" w:cs="仿宋_GB2312"/>
          <w:color w:val="auto"/>
          <w:sz w:val="32"/>
          <w:szCs w:val="32"/>
        </w:rPr>
        <w:t>采购业务管理制度》《</w:t>
      </w:r>
      <w:r>
        <w:rPr>
          <w:rFonts w:hint="eastAsia" w:ascii="仿宋_GB2312" w:hAnsi="仿宋_GB2312" w:eastAsia="仿宋_GB2312" w:cs="仿宋_GB2312"/>
          <w:color w:val="auto"/>
          <w:sz w:val="32"/>
          <w:szCs w:val="32"/>
          <w:lang w:val="en-US" w:eastAsia="zh-CN"/>
        </w:rPr>
        <w:t>阜康市晋阜小学</w:t>
      </w:r>
      <w:r>
        <w:rPr>
          <w:rFonts w:hint="eastAsia" w:ascii="仿宋_GB2312" w:hAnsi="仿宋_GB2312" w:eastAsia="仿宋_GB2312" w:cs="仿宋_GB2312"/>
          <w:color w:val="auto"/>
          <w:sz w:val="32"/>
          <w:szCs w:val="32"/>
        </w:rPr>
        <w:t>合同管理制度》等管理规定</w:t>
      </w:r>
      <w:r>
        <w:rPr>
          <w:rFonts w:hint="eastAsia" w:ascii="仿宋_GB2312" w:hAnsi="仿宋_GB2312" w:eastAsia="仿宋_GB2312" w:cs="仿宋_GB2312"/>
          <w:color w:val="auto"/>
          <w:sz w:val="32"/>
          <w:szCs w:val="32"/>
          <w:lang w:eastAsia="zh-CN"/>
        </w:rPr>
        <w:t>；</w:t>
      </w:r>
    </w:p>
    <w:p w14:paraId="5AE452F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w:t>
      </w:r>
      <w:r>
        <w:rPr>
          <w:rFonts w:hint="eastAsia" w:ascii="仿宋_GB2312" w:hAnsi="仿宋_GB2312" w:eastAsia="仿宋_GB2312" w:cs="仿宋_GB2312"/>
          <w:color w:val="auto"/>
          <w:sz w:val="32"/>
          <w:szCs w:val="32"/>
        </w:rPr>
        <w:t>项目</w:t>
      </w:r>
      <w:r>
        <w:rPr>
          <w:rFonts w:hint="eastAsia" w:ascii="仿宋_GB2312" w:hAnsi="仿宋_GB2312" w:eastAsia="仿宋_GB2312" w:cs="仿宋_GB2312"/>
          <w:color w:val="auto"/>
          <w:sz w:val="32"/>
          <w:szCs w:val="32"/>
          <w:lang w:val="en-US" w:eastAsia="zh-CN"/>
        </w:rPr>
        <w:t>不</w:t>
      </w:r>
      <w:r>
        <w:rPr>
          <w:rFonts w:hint="eastAsia" w:ascii="仿宋_GB2312" w:hAnsi="仿宋_GB2312" w:eastAsia="仿宋_GB2312" w:cs="仿宋_GB2312"/>
          <w:color w:val="auto"/>
          <w:sz w:val="32"/>
          <w:szCs w:val="32"/>
        </w:rPr>
        <w:t>存在调整</w:t>
      </w:r>
      <w:r>
        <w:rPr>
          <w:rFonts w:hint="eastAsia" w:ascii="仿宋_GB2312" w:hAnsi="仿宋_GB2312" w:eastAsia="仿宋_GB2312" w:cs="仿宋_GB2312"/>
          <w:color w:val="auto"/>
          <w:sz w:val="32"/>
          <w:szCs w:val="32"/>
          <w:lang w:eastAsia="zh-CN"/>
        </w:rPr>
        <w:t>。</w:t>
      </w:r>
    </w:p>
    <w:p w14:paraId="60818251">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项目合同书、验收评审表、财务支付凭证等资料齐全并及时归档。</w:t>
      </w:r>
    </w:p>
    <w:p w14:paraId="1AB4165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color w:val="auto"/>
          <w:sz w:val="32"/>
          <w:szCs w:val="32"/>
          <w:lang w:eastAsia="zh-CN"/>
        </w:rPr>
        <w:t>项目实施所需要的项目人员和场地设备均已落实到位，具体涉及内容包括：项目资金支出严格按照自治区、地区以及本单位资金管理办法执行，项目启动实施后，为了加快本项目的实施，</w:t>
      </w:r>
      <w:r>
        <w:rPr>
          <w:rFonts w:hint="eastAsia" w:ascii="仿宋_GB2312" w:hAnsi="仿宋_GB2312" w:eastAsia="仿宋_GB2312" w:cs="仿宋_GB2312"/>
          <w:color w:val="auto"/>
          <w:sz w:val="32"/>
          <w:szCs w:val="32"/>
          <w:highlight w:val="none"/>
          <w:lang w:eastAsia="zh-CN"/>
        </w:rPr>
        <w:t>成立了昌州财教提前下达2024年城乡义务教育补助经费公用经费小学及特教项目工作领导小组，由</w:t>
      </w:r>
      <w:r>
        <w:rPr>
          <w:rFonts w:hint="eastAsia" w:ascii="仿宋_GB2312" w:hAnsi="仿宋_GB2312" w:eastAsia="仿宋_GB2312" w:cs="仿宋_GB2312"/>
          <w:color w:val="auto"/>
          <w:sz w:val="32"/>
          <w:szCs w:val="32"/>
          <w:highlight w:val="none"/>
          <w:lang w:val="en-US" w:eastAsia="zh-CN"/>
        </w:rPr>
        <w:t>成伟</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马燕</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lang w:val="en-US" w:eastAsia="zh-CN"/>
        </w:rPr>
        <w:t>张兴麒</w:t>
      </w:r>
      <w:r>
        <w:rPr>
          <w:rFonts w:hint="eastAsia" w:ascii="仿宋_GB2312" w:hAnsi="仿宋_GB2312" w:eastAsia="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lang w:val="en-US" w:eastAsia="zh-CN"/>
        </w:rPr>
        <w:t>杨志媛</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0C4173B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67F4EEA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30" w:name="_Toc2441"/>
      <w:r>
        <w:rPr>
          <w:rFonts w:hint="eastAsia" w:ascii="Times New Roman" w:hAnsi="Times New Roman" w:eastAsia="楷体_GB2312" w:cs="Times New Roman"/>
          <w:color w:val="auto"/>
          <w:kern w:val="28"/>
          <w:sz w:val="32"/>
          <w:lang w:val="en-US" w:eastAsia="zh-CN"/>
        </w:rPr>
        <w:t>（三）项目产出情况</w:t>
      </w:r>
      <w:bookmarkEnd w:id="130"/>
    </w:p>
    <w:p w14:paraId="44E7150B">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lang w:val="en-US" w:eastAsia="zh-CN"/>
        </w:rPr>
        <w:t>包括产出数量、产出质量、产出时效、产出成本四方面的</w:t>
      </w:r>
      <w:r>
        <w:rPr>
          <w:rFonts w:hint="default" w:ascii="Times New Roman" w:hAnsi="Times New Roman" w:eastAsia="仿宋_GB2312" w:cs="Times New Roman"/>
          <w:color w:val="auto"/>
          <w:sz w:val="32"/>
          <w:szCs w:val="32"/>
          <w:lang w:val="en-US" w:eastAsia="zh-CN"/>
        </w:rPr>
        <w:t>内容，</w:t>
      </w:r>
      <w:r>
        <w:rPr>
          <w:rFonts w:hint="eastAsia" w:ascii="Times New Roman" w:hAnsi="Times New Roman" w:eastAsia="仿宋_GB2312" w:cs="Times New Roman"/>
          <w:color w:val="auto"/>
          <w:sz w:val="32"/>
          <w:szCs w:val="32"/>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7882F7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121EFCBD">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D11E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FDAB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92E3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5C16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E6F4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4B03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611C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3E6F8291">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B86D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40DC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F090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在校学生人数（人）</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28B9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1473人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B0B5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3C00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1473人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59B7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04EEF89">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68CC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E6518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1B7D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公用经费享受比例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DD2A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D334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18C9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EB9A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6DFE04F">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406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D5F0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7157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教师培训结业率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57E6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E247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A9B5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9248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F1D5D6B">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B05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AD15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AA14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67FD3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2024年12月31日前</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E473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739C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2024</w:t>
            </w:r>
            <w:r>
              <w:rPr>
                <w:rFonts w:hint="eastAsia" w:cs="宋体"/>
                <w:color w:val="auto"/>
                <w:kern w:val="0"/>
                <w:sz w:val="20"/>
                <w:szCs w:val="20"/>
                <w:highlight w:val="none"/>
                <w:shd w:val="clear" w:color="auto" w:fill="auto"/>
                <w:lang w:val="en-US" w:eastAsia="zh-CN"/>
              </w:rPr>
              <w:t>年</w:t>
            </w:r>
            <w:r>
              <w:rPr>
                <w:rFonts w:hint="eastAsia" w:ascii="宋体" w:hAnsi="宋体" w:eastAsia="宋体" w:cs="宋体"/>
                <w:color w:val="auto"/>
                <w:kern w:val="0"/>
                <w:sz w:val="20"/>
                <w:szCs w:val="20"/>
                <w:highlight w:val="none"/>
                <w:shd w:val="clear" w:color="auto" w:fill="auto"/>
                <w:lang w:val="en-US" w:eastAsia="zh-CN"/>
              </w:rPr>
              <w:t>12</w:t>
            </w:r>
            <w:r>
              <w:rPr>
                <w:rFonts w:hint="eastAsia" w:cs="宋体"/>
                <w:color w:val="auto"/>
                <w:kern w:val="0"/>
                <w:sz w:val="20"/>
                <w:szCs w:val="20"/>
                <w:highlight w:val="none"/>
                <w:shd w:val="clear" w:color="auto" w:fill="auto"/>
                <w:lang w:val="en-US" w:eastAsia="zh-CN"/>
              </w:rPr>
              <w:t>月</w:t>
            </w:r>
            <w:r>
              <w:rPr>
                <w:rFonts w:hint="eastAsia" w:ascii="宋体" w:hAnsi="宋体" w:eastAsia="宋体" w:cs="宋体"/>
                <w:color w:val="auto"/>
                <w:kern w:val="0"/>
                <w:sz w:val="20"/>
                <w:szCs w:val="20"/>
                <w:highlight w:val="none"/>
                <w:shd w:val="clear" w:color="auto" w:fill="auto"/>
                <w:lang w:val="en-US" w:eastAsia="zh-CN"/>
              </w:rPr>
              <w:t>30</w:t>
            </w:r>
            <w:r>
              <w:rPr>
                <w:rFonts w:hint="eastAsia" w:cs="宋体"/>
                <w:color w:val="auto"/>
                <w:kern w:val="0"/>
                <w:sz w:val="20"/>
                <w:szCs w:val="20"/>
                <w:highlight w:val="none"/>
                <w:shd w:val="clear" w:color="auto" w:fill="auto"/>
                <w:lang w:val="en-US" w:eastAsia="zh-CN"/>
              </w:rPr>
              <w:t>日</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BB42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4A6BEBE0">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7007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1C5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A22F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147F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r>
              <w:rPr>
                <w:rFonts w:hint="eastAsia" w:ascii="宋体" w:hAnsi="宋体" w:eastAsia="宋体" w:cs="宋体"/>
                <w:color w:val="auto"/>
                <w:kern w:val="0"/>
                <w:sz w:val="20"/>
                <w:szCs w:val="20"/>
                <w:highlight w:val="none"/>
                <w:shd w:val="clear" w:color="auto" w:fill="auto"/>
                <w:lang w:val="en-US" w:eastAsia="zh-CN"/>
              </w:rPr>
              <w:t>720元/人/年</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CFAF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33B2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color w:val="auto"/>
              </w:rPr>
            </w:pPr>
            <w:r>
              <w:rPr>
                <w:rFonts w:hint="eastAsia" w:ascii="宋体" w:hAnsi="宋体" w:eastAsia="宋体" w:cs="宋体"/>
                <w:color w:val="auto"/>
                <w:kern w:val="0"/>
                <w:sz w:val="20"/>
                <w:szCs w:val="20"/>
                <w:highlight w:val="none"/>
                <w:shd w:val="clear" w:color="auto" w:fill="auto"/>
                <w:lang w:val="en-US" w:eastAsia="zh-CN"/>
              </w:rPr>
              <w:t>720元/人/年</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18F1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521B1358">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A82F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5CD4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D960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2EAD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1A532A4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FF0000"/>
          <w:sz w:val="32"/>
          <w:szCs w:val="32"/>
          <w:lang w:val="en-US" w:eastAsia="zh-CN"/>
        </w:rPr>
      </w:pPr>
      <w:bookmarkStart w:id="131" w:name="_Toc11067"/>
      <w:bookmarkStart w:id="132" w:name="_Toc26689"/>
      <w:r>
        <w:rPr>
          <w:rFonts w:hint="eastAsia" w:ascii="仿宋_GB2312" w:hAnsi="仿宋_GB2312" w:eastAsia="仿宋_GB2312" w:cs="仿宋_GB2312"/>
          <w:b/>
          <w:bCs/>
          <w:color w:val="auto"/>
          <w:kern w:val="2"/>
          <w:sz w:val="32"/>
          <w:szCs w:val="32"/>
          <w:lang w:val="en-US" w:eastAsia="zh-CN" w:bidi="ar-SA"/>
        </w:rPr>
        <w:t>1.</w:t>
      </w:r>
      <w:r>
        <w:rPr>
          <w:rFonts w:hint="eastAsia" w:ascii="仿宋_GB2312" w:hAnsi="仿宋_GB2312" w:eastAsia="仿宋_GB2312" w:cs="仿宋_GB2312"/>
          <w:b/>
          <w:bCs/>
          <w:color w:val="auto"/>
          <w:sz w:val="32"/>
          <w:szCs w:val="32"/>
          <w:lang w:val="en-US" w:eastAsia="zh-CN"/>
        </w:rPr>
        <w:t>数</w:t>
      </w:r>
      <w:r>
        <w:rPr>
          <w:rFonts w:hint="eastAsia" w:ascii="仿宋_GB2312" w:hAnsi="仿宋_GB2312" w:eastAsia="仿宋_GB2312" w:cs="仿宋_GB2312"/>
          <w:b/>
          <w:bCs/>
          <w:sz w:val="32"/>
          <w:szCs w:val="32"/>
          <w:lang w:val="en-US" w:eastAsia="zh-CN"/>
        </w:rPr>
        <w:t>量指标完成情况</w:t>
      </w:r>
      <w:bookmarkEnd w:id="131"/>
      <w:bookmarkEnd w:id="132"/>
    </w:p>
    <w:p w14:paraId="5FA5429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“在校学生人数（人）”指标，预期目标值为1473人，实际完成为1473人。实际完成率=（1473/1473）×100%=100%，无偏差。</w:t>
      </w:r>
    </w:p>
    <w:p w14:paraId="0B487E1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综上，该项指标满分10分，得分10分。</w:t>
      </w:r>
    </w:p>
    <w:p w14:paraId="74B8FBDF">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3" w:name="_Toc31739"/>
      <w:bookmarkStart w:id="134" w:name="_Toc14255"/>
      <w:r>
        <w:rPr>
          <w:rFonts w:hint="eastAsia" w:ascii="仿宋_GB2312" w:hAnsi="仿宋_GB2312" w:eastAsia="仿宋_GB2312" w:cs="仿宋_GB2312"/>
          <w:b/>
          <w:bCs/>
          <w:sz w:val="32"/>
          <w:szCs w:val="32"/>
          <w:lang w:val="en-US" w:eastAsia="zh-CN"/>
        </w:rPr>
        <w:t>2.</w:t>
      </w:r>
      <w:bookmarkEnd w:id="133"/>
      <w:r>
        <w:rPr>
          <w:rFonts w:hint="eastAsia" w:ascii="仿宋_GB2312" w:hAnsi="仿宋_GB2312" w:eastAsia="仿宋_GB2312" w:cs="仿宋_GB2312"/>
          <w:b/>
          <w:bCs/>
          <w:sz w:val="32"/>
          <w:szCs w:val="32"/>
          <w:lang w:val="en-US" w:eastAsia="zh-CN"/>
        </w:rPr>
        <w:t>质量指标完成情况</w:t>
      </w:r>
      <w:bookmarkEnd w:id="134"/>
    </w:p>
    <w:p w14:paraId="1C93EC7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公用经费享受比例”指标，预期目标值为100%，实际完成为100%。实际完成率100%，无偏差。</w:t>
      </w:r>
    </w:p>
    <w:p w14:paraId="5C0D8BC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（2）“教师培训结业率”指标，预期目标值为100%，实际完成为100%。实际完成率100%，无偏差</w:t>
      </w:r>
      <w:r>
        <w:rPr>
          <w:rFonts w:hint="eastAsia" w:ascii="仿宋_GB2312" w:hAnsi="仿宋_GB2312" w:eastAsia="仿宋_GB2312" w:cs="仿宋_GB2312"/>
          <w:color w:val="auto"/>
          <w:sz w:val="32"/>
          <w:szCs w:val="32"/>
          <w:highlight w:val="none"/>
          <w:lang w:eastAsia="zh-CN"/>
        </w:rPr>
        <w:t>。</w:t>
      </w:r>
    </w:p>
    <w:p w14:paraId="3FFC70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综上，该项指标满分10分，得分10分。</w:t>
      </w:r>
    </w:p>
    <w:p w14:paraId="17A3327A">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5" w:name="_Toc18307"/>
      <w:bookmarkStart w:id="136" w:name="_Toc28885"/>
      <w:r>
        <w:rPr>
          <w:rFonts w:hint="eastAsia" w:ascii="仿宋_GB2312" w:hAnsi="仿宋_GB2312" w:eastAsia="仿宋_GB2312" w:cs="仿宋_GB2312"/>
          <w:b/>
          <w:bCs/>
          <w:sz w:val="32"/>
          <w:szCs w:val="32"/>
          <w:lang w:val="en-US" w:eastAsia="zh-CN"/>
        </w:rPr>
        <w:t>3.</w:t>
      </w:r>
      <w:bookmarkEnd w:id="135"/>
      <w:r>
        <w:rPr>
          <w:rFonts w:hint="eastAsia" w:ascii="仿宋_GB2312" w:hAnsi="仿宋_GB2312" w:eastAsia="仿宋_GB2312" w:cs="仿宋_GB2312"/>
          <w:b/>
          <w:bCs/>
          <w:sz w:val="32"/>
          <w:szCs w:val="32"/>
          <w:lang w:val="en-US" w:eastAsia="zh-CN"/>
        </w:rPr>
        <w:t>时效指标完成情况</w:t>
      </w:r>
      <w:bookmarkEnd w:id="136"/>
    </w:p>
    <w:p w14:paraId="358BFF4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完成时间”指标，预期目标值为2024年12月31日前，实际完成为2024年12月30日。实际完成率100%，无偏差。</w:t>
      </w:r>
    </w:p>
    <w:p w14:paraId="1EEDB27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1B4EF693">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7" w:name="_Toc32765"/>
      <w:bookmarkStart w:id="138" w:name="_Toc20607"/>
      <w:r>
        <w:rPr>
          <w:rFonts w:hint="eastAsia" w:ascii="仿宋_GB2312" w:hAnsi="仿宋_GB2312" w:eastAsia="仿宋_GB2312" w:cs="仿宋_GB2312"/>
          <w:b/>
          <w:bCs/>
          <w:sz w:val="32"/>
          <w:szCs w:val="32"/>
          <w:lang w:val="en-US" w:eastAsia="zh-CN"/>
        </w:rPr>
        <w:t>4.项目</w:t>
      </w:r>
      <w:bookmarkEnd w:id="137"/>
      <w:r>
        <w:rPr>
          <w:rFonts w:hint="eastAsia" w:ascii="仿宋_GB2312" w:hAnsi="仿宋_GB2312" w:eastAsia="仿宋_GB2312" w:cs="仿宋_GB2312"/>
          <w:b/>
          <w:bCs/>
          <w:sz w:val="32"/>
          <w:szCs w:val="32"/>
          <w:lang w:val="en-US" w:eastAsia="zh-CN"/>
        </w:rPr>
        <w:t>成本情况</w:t>
      </w:r>
      <w:bookmarkEnd w:id="138"/>
    </w:p>
    <w:p w14:paraId="33ED0F0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经济</w:t>
      </w:r>
      <w:r>
        <w:rPr>
          <w:rFonts w:hint="eastAsia" w:ascii="仿宋_GB2312" w:hAnsi="仿宋_GB2312" w:eastAsia="仿宋_GB2312" w:cs="仿宋_GB2312"/>
          <w:b/>
          <w:bCs/>
          <w:sz w:val="32"/>
          <w:szCs w:val="32"/>
          <w:lang w:eastAsia="zh-CN"/>
        </w:rPr>
        <w:t>成本指标完成情况</w:t>
      </w:r>
    </w:p>
    <w:p w14:paraId="5640227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公用经费标准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指标，预期目标值为720元/人/年，实际完成为720元/人/年。实际完成率100%，无偏差。</w:t>
      </w:r>
    </w:p>
    <w:p w14:paraId="0118F16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556AFD9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9" w:name="_Toc19424"/>
      <w:r>
        <w:rPr>
          <w:rFonts w:hint="eastAsia" w:ascii="Times New Roman" w:hAnsi="Times New Roman" w:eastAsia="楷体_GB2312" w:cs="Times New Roman"/>
          <w:kern w:val="28"/>
          <w:sz w:val="32"/>
          <w:lang w:val="en-US" w:eastAsia="zh-CN"/>
        </w:rPr>
        <w:t>（四）项目效益情况</w:t>
      </w:r>
      <w:bookmarkEnd w:id="139"/>
    </w:p>
    <w:p w14:paraId="69D44072">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BE03F62">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6451757E">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623BB2D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14:paraId="56E4B24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D4296E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C7AF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4EC3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14:paraId="24E063B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8D3BD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14:paraId="51A6254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A899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14:paraId="3A9EE00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4966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14:paraId="1F1894D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383265CB">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01583A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效益</w:t>
            </w: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7E27C69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CEA509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学校正常运转率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1EF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DF6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4A14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F14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7D94144">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667AAB6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vMerge w:val="continue"/>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37ABDCA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10AF9B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改善教学环境，提供良好的学生成长条件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C8D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F3D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ECAB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达到预期目标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9303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3EFBF05F">
        <w:tblPrEx>
          <w:shd w:val="clear" w:color="auto" w:fill="auto"/>
          <w:tblCellMar>
            <w:top w:w="0" w:type="dxa"/>
            <w:left w:w="0" w:type="dxa"/>
            <w:bottom w:w="0" w:type="dxa"/>
            <w:right w:w="0" w:type="dxa"/>
          </w:tblCellMar>
        </w:tblPrEx>
        <w:trPr>
          <w:trHeight w:val="436" w:hRule="atLeast"/>
          <w:jc w:val="center"/>
        </w:trPr>
        <w:tc>
          <w:tcPr>
            <w:tcW w:w="685" w:type="dxa"/>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73EBBA8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780A4B4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10A7CC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师生满意度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79E5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D837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DCD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E680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8</w:t>
            </w:r>
          </w:p>
        </w:tc>
      </w:tr>
      <w:tr w14:paraId="741970AB">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507D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BF34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326B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CA7C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0B2B365D">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40" w:name="_Toc5170"/>
      <w:bookmarkStart w:id="141" w:name="_Toc8010"/>
      <w:r>
        <w:rPr>
          <w:rFonts w:hint="eastAsia" w:ascii="仿宋_GB2312" w:hAnsi="仿宋_GB2312" w:eastAsia="仿宋_GB2312" w:cs="仿宋_GB2312"/>
          <w:b/>
          <w:bCs/>
          <w:sz w:val="32"/>
          <w:szCs w:val="32"/>
          <w:lang w:val="en-US" w:eastAsia="zh-CN"/>
        </w:rPr>
        <w:t>1.</w:t>
      </w:r>
      <w:bookmarkEnd w:id="140"/>
      <w:bookmarkEnd w:id="141"/>
      <w:bookmarkStart w:id="142" w:name="_Toc27006"/>
      <w:bookmarkStart w:id="143" w:name="_Toc29606"/>
      <w:r>
        <w:rPr>
          <w:rFonts w:hint="eastAsia" w:ascii="仿宋_GB2312" w:hAnsi="仿宋_GB2312" w:eastAsia="仿宋_GB2312" w:cs="仿宋_GB2312"/>
          <w:b/>
          <w:bCs/>
          <w:sz w:val="32"/>
          <w:szCs w:val="32"/>
          <w:lang w:val="en-US" w:eastAsia="zh-CN"/>
        </w:rPr>
        <w:t>社会效益指标</w:t>
      </w:r>
      <w:bookmarkEnd w:id="142"/>
      <w:r>
        <w:rPr>
          <w:rFonts w:hint="eastAsia" w:ascii="仿宋_GB2312" w:hAnsi="仿宋_GB2312" w:eastAsia="仿宋_GB2312" w:cs="仿宋_GB2312"/>
          <w:b/>
          <w:bCs/>
          <w:sz w:val="32"/>
          <w:szCs w:val="32"/>
          <w:lang w:val="en-US" w:eastAsia="zh-CN"/>
        </w:rPr>
        <w:t>完成情况</w:t>
      </w:r>
      <w:bookmarkEnd w:id="143"/>
    </w:p>
    <w:p w14:paraId="152070F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（1）“学校正常运转率”指标，预期目标值为=100%，，实际完成为100%。偏差原因：无偏差。</w:t>
      </w:r>
    </w:p>
    <w:p w14:paraId="1045526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通过项目的实施，学校正常运转率得到了提高。</w:t>
      </w:r>
    </w:p>
    <w:p w14:paraId="092A677D">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（2）</w:t>
      </w:r>
      <w:r>
        <w:rPr>
          <w:rFonts w:hint="eastAsia" w:ascii="仿宋_GB2312" w:hAnsi="仿宋_GB2312" w:eastAsia="仿宋_GB2312" w:cs="仿宋_GB2312"/>
          <w:sz w:val="32"/>
          <w:szCs w:val="32"/>
          <w:lang w:val="en-US" w:eastAsia="zh-CN"/>
        </w:rPr>
        <w:t>“改善教学环境，提供良好的学生成长条件”指标，预期目标值为改善，实际完成为达到预期目标。</w:t>
      </w:r>
    </w:p>
    <w:p w14:paraId="4DF1B8B5">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通过项目的实施，改善了教学环境，提供良好的学生成长条件。</w:t>
      </w:r>
    </w:p>
    <w:p w14:paraId="09E68F7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满分12分，得分12分。</w:t>
      </w:r>
    </w:p>
    <w:p w14:paraId="75AD46C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4"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4"/>
    </w:p>
    <w:p w14:paraId="7ABDC1C3">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“师生满意度”指标，预期目标值为≥90%，实际完成为90%。</w:t>
      </w:r>
    </w:p>
    <w:p w14:paraId="0EF741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综上，该项指标满分8分，得分8分。</w:t>
      </w:r>
    </w:p>
    <w:p w14:paraId="076ADA60">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5"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45"/>
    </w:p>
    <w:p w14:paraId="5833ADC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6" w:name="_Toc15449"/>
      <w:bookmarkStart w:id="147" w:name="_Toc28290"/>
      <w:bookmarkStart w:id="148" w:name="_Toc1921"/>
      <w:r>
        <w:rPr>
          <w:rFonts w:hint="eastAsia" w:ascii="Times New Roman" w:hAnsi="Times New Roman" w:eastAsia="楷体_GB2312" w:cs="Times New Roman"/>
          <w:b/>
          <w:bCs/>
          <w:kern w:val="28"/>
          <w:sz w:val="32"/>
          <w:highlight w:val="none"/>
          <w:lang w:val="en-US" w:eastAsia="zh-CN"/>
        </w:rPr>
        <w:t>（一）主要经验及做法</w:t>
      </w:r>
      <w:bookmarkEnd w:id="146"/>
    </w:p>
    <w:p w14:paraId="0C68279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昌州财教提前下达2024年城乡义务教育补助经费公用经费小学及特教</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eastAsia="zh-CN"/>
        </w:rPr>
        <w:t>年预算</w:t>
      </w:r>
      <w:r>
        <w:rPr>
          <w:rFonts w:hint="eastAsia" w:ascii="仿宋_GB2312" w:hAnsi="仿宋_GB2312" w:eastAsia="仿宋_GB2312" w:cs="仿宋_GB2312"/>
          <w:color w:val="auto"/>
          <w:sz w:val="32"/>
          <w:szCs w:val="32"/>
          <w:lang w:val="en-US" w:eastAsia="zh-CN"/>
        </w:rPr>
        <w:t>数</w:t>
      </w:r>
      <w:r>
        <w:rPr>
          <w:rFonts w:hint="eastAsia" w:ascii="仿宋_GB2312" w:hAnsi="仿宋_GB2312" w:eastAsia="仿宋_GB2312" w:cs="仿宋_GB2312"/>
          <w:color w:val="auto"/>
          <w:sz w:val="32"/>
          <w:szCs w:val="32"/>
          <w:lang w:eastAsia="zh-CN"/>
        </w:rPr>
        <w:t>为</w:t>
      </w:r>
      <w:r>
        <w:rPr>
          <w:rFonts w:hint="eastAsia" w:ascii="仿宋_GB2312" w:hAnsi="仿宋_GB2312" w:eastAsia="仿宋_GB2312" w:cs="仿宋_GB2312"/>
          <w:color w:val="auto"/>
          <w:sz w:val="32"/>
          <w:szCs w:val="32"/>
          <w:lang w:val="en-US" w:eastAsia="zh-CN"/>
        </w:rPr>
        <w:t>117.6万元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截至2024年12月31日共</w:t>
      </w:r>
      <w:r>
        <w:rPr>
          <w:rFonts w:hint="eastAsia" w:ascii="仿宋_GB2312" w:hAnsi="仿宋_GB2312" w:eastAsia="仿宋_GB2312" w:cs="仿宋_GB2312"/>
          <w:color w:val="auto"/>
          <w:sz w:val="32"/>
          <w:szCs w:val="32"/>
          <w:lang w:eastAsia="zh-CN"/>
        </w:rPr>
        <w:t>支出</w:t>
      </w:r>
      <w:r>
        <w:rPr>
          <w:rFonts w:hint="eastAsia" w:ascii="仿宋_GB2312" w:hAnsi="仿宋_GB2312" w:eastAsia="仿宋_GB2312" w:cs="仿宋_GB2312"/>
          <w:color w:val="auto"/>
          <w:sz w:val="32"/>
          <w:szCs w:val="32"/>
          <w:lang w:val="en-US" w:eastAsia="zh-CN"/>
        </w:rPr>
        <w:t>117.6万元</w:t>
      </w:r>
      <w:r>
        <w:rPr>
          <w:rFonts w:hint="eastAsia" w:ascii="仿宋_GB2312" w:hAnsi="仿宋_GB2312" w:eastAsia="仿宋_GB2312" w:cs="仿宋_GB2312"/>
          <w:color w:val="auto"/>
          <w:sz w:val="32"/>
          <w:szCs w:val="32"/>
          <w:lang w:eastAsia="zh-CN"/>
        </w:rPr>
        <w:t>，预算</w:t>
      </w:r>
      <w:r>
        <w:rPr>
          <w:rFonts w:hint="eastAsia" w:ascii="仿宋_GB2312" w:hAnsi="仿宋_GB2312" w:eastAsia="仿宋_GB2312" w:cs="仿宋_GB2312"/>
          <w:color w:val="auto"/>
          <w:sz w:val="32"/>
          <w:szCs w:val="32"/>
          <w:lang w:val="en-US" w:eastAsia="zh-CN"/>
        </w:rPr>
        <w:t>执行</w:t>
      </w:r>
      <w:r>
        <w:rPr>
          <w:rFonts w:hint="eastAsia" w:ascii="仿宋_GB2312" w:hAnsi="仿宋_GB2312" w:eastAsia="仿宋_GB2312" w:cs="仿宋_GB2312"/>
          <w:color w:val="auto"/>
          <w:sz w:val="32"/>
          <w:szCs w:val="32"/>
          <w:lang w:eastAsia="zh-CN"/>
        </w:rPr>
        <w:t>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p w14:paraId="24CD981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val="en-US" w:eastAsia="zh-CN"/>
        </w:rPr>
        <w:t>阜康市晋阜小学</w:t>
      </w:r>
      <w:r>
        <w:rPr>
          <w:rFonts w:hint="eastAsia" w:ascii="仿宋_GB2312" w:hAnsi="仿宋_GB2312" w:eastAsia="仿宋_GB2312" w:cs="仿宋_GB2312"/>
          <w:color w:val="auto"/>
          <w:sz w:val="32"/>
          <w:szCs w:val="32"/>
          <w:lang w:eastAsia="zh-CN"/>
        </w:rPr>
        <w:t>建立健全了预算管理规章制度，各部门严格按照预算编制的原则和要求做好当年预算编制工作，在预算绩效管理工作中，做到合理安排各项资金</w:t>
      </w:r>
      <w:r>
        <w:rPr>
          <w:rFonts w:hint="eastAsia" w:ascii="仿宋_GB2312" w:hAnsi="仿宋_GB2312" w:eastAsia="仿宋_GB2312" w:cs="仿宋_GB2312"/>
          <w:sz w:val="32"/>
          <w:szCs w:val="32"/>
          <w:lang w:eastAsia="zh-CN"/>
        </w:rPr>
        <w:t>，重点保障基本支出，按轻重缓急顺序原则，优先</w:t>
      </w:r>
      <w:r>
        <w:rPr>
          <w:rFonts w:hint="eastAsia" w:ascii="仿宋_GB2312" w:hAnsi="仿宋_GB2312" w:eastAsia="仿宋_GB2312" w:cs="仿宋_GB2312"/>
          <w:color w:val="auto"/>
          <w:sz w:val="32"/>
          <w:szCs w:val="32"/>
          <w:lang w:eastAsia="zh-CN"/>
        </w:rPr>
        <w:t>安排了</w:t>
      </w:r>
      <w:r>
        <w:rPr>
          <w:rFonts w:hint="eastAsia" w:ascii="仿宋_GB2312" w:hAnsi="仿宋_GB2312" w:eastAsia="仿宋_GB2312" w:cs="仿宋_GB2312"/>
          <w:color w:val="auto"/>
          <w:sz w:val="32"/>
          <w:szCs w:val="32"/>
          <w:lang w:val="en-US" w:eastAsia="zh-CN"/>
        </w:rPr>
        <w:t>阜康市晋阜小学</w:t>
      </w:r>
      <w:r>
        <w:rPr>
          <w:rFonts w:hint="eastAsia" w:ascii="仿宋_GB2312" w:hAnsi="仿宋_GB2312" w:eastAsia="仿宋_GB2312" w:cs="仿宋_GB2312"/>
          <w:color w:val="auto"/>
          <w:sz w:val="32"/>
          <w:szCs w:val="32"/>
          <w:lang w:eastAsia="zh-CN"/>
        </w:rPr>
        <w:t>事业发展中关系民生与稳定的项目，切实优</w:t>
      </w:r>
      <w:r>
        <w:rPr>
          <w:rFonts w:hint="eastAsia" w:ascii="仿宋_GB2312" w:hAnsi="仿宋_GB2312" w:eastAsia="仿宋_GB2312" w:cs="仿宋_GB2312"/>
          <w:sz w:val="32"/>
          <w:szCs w:val="32"/>
          <w:lang w:eastAsia="zh-CN"/>
        </w:rPr>
        <w:t>化资源配置，提高了资金使用的效率和效果。</w:t>
      </w:r>
    </w:p>
    <w:bookmarkEnd w:id="147"/>
    <w:bookmarkEnd w:id="148"/>
    <w:p w14:paraId="62493C1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9" w:name="_Toc29168"/>
      <w:r>
        <w:rPr>
          <w:rFonts w:hint="eastAsia" w:ascii="Times New Roman" w:hAnsi="Times New Roman" w:eastAsia="楷体_GB2312" w:cs="Times New Roman"/>
          <w:b/>
          <w:bCs/>
          <w:kern w:val="28"/>
          <w:sz w:val="32"/>
          <w:highlight w:val="none"/>
          <w:lang w:val="en-US" w:eastAsia="zh-CN"/>
        </w:rPr>
        <w:t>（二）存在的问题及原因分析</w:t>
      </w:r>
      <w:bookmarkEnd w:id="149"/>
    </w:p>
    <w:p w14:paraId="5FB6C4F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bookmarkStart w:id="150" w:name="_Toc3333"/>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在项目实施期间</w:t>
      </w:r>
      <w:r>
        <w:rPr>
          <w:rFonts w:hint="eastAsia" w:ascii="仿宋_GB2312" w:hAnsi="仿宋_GB2312" w:eastAsia="仿宋_GB2312" w:cs="仿宋_GB2312"/>
          <w:sz w:val="32"/>
          <w:szCs w:val="32"/>
          <w:lang w:eastAsia="zh-CN"/>
        </w:rPr>
        <w:t>部分业务人员未能全面深入认识理解</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管理工作的意义。</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管理经验不足，</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管理工作有待进一步落实。</w:t>
      </w:r>
    </w:p>
    <w:p w14:paraId="708B1E5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2.因年初预算数据不够清晰明确到明细科目，使得整个年度财务核算及审核流程不准确清晰。</w:t>
      </w:r>
    </w:p>
    <w:p w14:paraId="2EA41ECC">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、有关建议</w:t>
      </w:r>
      <w:bookmarkEnd w:id="150"/>
    </w:p>
    <w:p w14:paraId="28122707">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bookmarkStart w:id="151" w:name="_Toc3948"/>
      <w:bookmarkStart w:id="152" w:name="_Toc20454"/>
      <w:bookmarkStart w:id="153" w:name="_Toc14256"/>
      <w:r>
        <w:rPr>
          <w:rFonts w:hint="eastAsia" w:ascii="仿宋_GB2312" w:hAnsi="仿宋_GB2312" w:eastAsia="仿宋_GB2312" w:cs="仿宋_GB2312"/>
          <w:sz w:val="32"/>
          <w:szCs w:val="32"/>
          <w:lang w:val="en-US" w:eastAsia="zh-CN"/>
        </w:rPr>
        <w:t>（一）加强项目管理，健全单位项目管理制度体系。 加大项目管理人员的业务培训，确保项目能够顺利实施。</w:t>
      </w:r>
    </w:p>
    <w:p w14:paraId="5E6FF619">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（二）加强财务人员业务培训，在年初预算时及时与各科室联系，将年初预算数据填写清晰，确保财务支付审核程序顺利进行。</w:t>
      </w:r>
    </w:p>
    <w:bookmarkEnd w:id="151"/>
    <w:bookmarkEnd w:id="152"/>
    <w:p w14:paraId="308C8C97">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53"/>
    </w:p>
    <w:p w14:paraId="482579D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无其他需要说明的问题。</w:t>
      </w:r>
    </w:p>
    <w:p w14:paraId="66723033">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start="1"/>
          <w:cols w:space="720" w:num="1"/>
          <w:docGrid w:type="lines" w:linePitch="408" w:charSpace="0"/>
        </w:sectPr>
      </w:pPr>
    </w:p>
    <w:p w14:paraId="012F9883">
      <w:pPr>
        <w:pStyle w:val="2"/>
        <w:pageBreakBefore w:val="0"/>
        <w:numPr>
          <w:ilvl w:val="0"/>
          <w:numId w:val="0"/>
        </w:numPr>
        <w:kinsoku/>
        <w:wordWrap/>
        <w:overflowPunct/>
        <w:topLinePunct w:val="0"/>
        <w:autoSpaceDE/>
        <w:autoSpaceDN/>
        <w:bidi w:val="0"/>
        <w:adjustRightInd/>
        <w:spacing w:beforeLines="0" w:afterLines="0" w:line="560" w:lineRule="exact"/>
        <w:textAlignment w:val="auto"/>
      </w:pPr>
      <w:bookmarkStart w:id="154" w:name="_Toc28971"/>
      <w:bookmarkStart w:id="155" w:name="_Toc11349"/>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4"/>
      <w:bookmarkEnd w:id="155"/>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4"/>
        <w:gridCol w:w="895"/>
        <w:gridCol w:w="895"/>
        <w:gridCol w:w="895"/>
        <w:gridCol w:w="1224"/>
        <w:gridCol w:w="1224"/>
        <w:gridCol w:w="1142"/>
        <w:gridCol w:w="1059"/>
        <w:gridCol w:w="1224"/>
        <w:gridCol w:w="895"/>
        <w:gridCol w:w="895"/>
        <w:gridCol w:w="895"/>
        <w:gridCol w:w="895"/>
        <w:gridCol w:w="1142"/>
      </w:tblGrid>
      <w:tr w14:paraId="21DEC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69E0F5BA">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bookmarkStart w:id="156" w:name="_Toc15067"/>
            <w:bookmarkStart w:id="157" w:name="_Toc11223"/>
            <w:r>
              <w:rPr>
                <w:rFonts w:hint="eastAsia" w:ascii="宋体" w:hAnsi="宋体" w:eastAsia="宋体" w:cs="宋体"/>
                <w:b/>
                <w:bCs/>
                <w:i w:val="0"/>
                <w:iCs w:val="0"/>
                <w:color w:val="000000"/>
                <w:kern w:val="0"/>
                <w:sz w:val="32"/>
                <w:szCs w:val="32"/>
                <w:u w:val="none"/>
                <w:lang w:val="en-US" w:eastAsia="zh-CN" w:bidi="ar"/>
              </w:rPr>
              <w:t>项目支出绩效自评表</w:t>
            </w:r>
          </w:p>
        </w:tc>
      </w:tr>
      <w:tr w14:paraId="2E58D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70BEEE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7AE9A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6926942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5"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03C880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昌州财教提前下达2024年城乡义务教育补助经费公用经费小学及特教</w:t>
            </w:r>
          </w:p>
        </w:tc>
      </w:tr>
      <w:tr w14:paraId="3D5F9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14C4B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B462F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D122C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EF27B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阜康市晋阜小学</w:t>
            </w:r>
          </w:p>
        </w:tc>
      </w:tr>
      <w:tr w14:paraId="2205E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42DFD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7F84C0">
            <w:pPr>
              <w:jc w:val="center"/>
              <w:rPr>
                <w:rFonts w:hint="eastAsia" w:ascii="宋体" w:hAnsi="宋体" w:eastAsia="宋体" w:cs="宋体"/>
                <w:b/>
                <w:bCs/>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A74B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8D048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7F3FD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1ED67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CF27B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D1DC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29F9D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726CE8">
            <w:pPr>
              <w:jc w:val="center"/>
              <w:rPr>
                <w:rFonts w:hint="eastAsia" w:ascii="宋体" w:hAnsi="宋体" w:eastAsia="宋体" w:cs="宋体"/>
                <w:b/>
                <w:bCs/>
                <w:i w:val="0"/>
                <w:iCs w:val="0"/>
                <w:color w:val="000000"/>
                <w:sz w:val="18"/>
                <w:szCs w:val="18"/>
                <w:u w:val="none"/>
              </w:rPr>
            </w:pP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9FF28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0EA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117.60</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955E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117.60</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72B4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117.60</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3ED6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690C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984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09452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D1F245">
            <w:pPr>
              <w:jc w:val="center"/>
              <w:rPr>
                <w:rFonts w:hint="eastAsia" w:ascii="宋体" w:hAnsi="宋体" w:eastAsia="宋体" w:cs="宋体"/>
                <w:b/>
                <w:bCs/>
                <w:i w:val="0"/>
                <w:iCs w:val="0"/>
                <w:color w:val="000000"/>
                <w:sz w:val="18"/>
                <w:szCs w:val="18"/>
                <w:u w:val="none"/>
              </w:rPr>
            </w:pP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8F7A0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8E4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117.60</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4665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117.60</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CCF1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117.60</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2962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509B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451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48137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8BC51">
            <w:pPr>
              <w:jc w:val="center"/>
              <w:rPr>
                <w:rFonts w:hint="eastAsia" w:ascii="宋体" w:hAnsi="宋体" w:eastAsia="宋体" w:cs="宋体"/>
                <w:b/>
                <w:bCs/>
                <w:i w:val="0"/>
                <w:iCs w:val="0"/>
                <w:color w:val="000000"/>
                <w:sz w:val="18"/>
                <w:szCs w:val="18"/>
                <w:u w:val="none"/>
              </w:rPr>
            </w:pP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258B8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2CD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C058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2E2B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598B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C1FC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88B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93E1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A526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A44A7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2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953F48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157C9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C48B8C">
            <w:pPr>
              <w:jc w:val="center"/>
              <w:rPr>
                <w:rFonts w:hint="eastAsia" w:ascii="宋体" w:hAnsi="宋体" w:eastAsia="宋体" w:cs="宋体"/>
                <w:b/>
                <w:bCs/>
                <w:i w:val="0"/>
                <w:iCs w:val="0"/>
                <w:color w:val="000000"/>
                <w:sz w:val="18"/>
                <w:szCs w:val="18"/>
                <w:u w:val="none"/>
              </w:rPr>
            </w:pPr>
          </w:p>
        </w:tc>
        <w:tc>
          <w:tcPr>
            <w:tcW w:w="19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2D121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学校正常运转，完成教学活动及其他日常业务的正常运转。2024年学校在校学生人数1473人，计划完成每学年以720元/生/学年的标准使用公用经费，公用经费、教师培训结业率达到100%。通过项目实施将有效改善教学环境，提供良好的学生成长条件，保障学校正常运转，师生满意度预计将达到90%以上。</w:t>
            </w:r>
          </w:p>
        </w:tc>
        <w:tc>
          <w:tcPr>
            <w:tcW w:w="282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6E0A0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每学年以720元/生/学年的标准使用公用经费。公用经费享受比例达到100%，教师培训结业率达到100%。通过项目实施达到有效改善教学环境，提供良好的学生成长条件，保障学校正常运转的效益。师生满意度达到90%。</w:t>
            </w:r>
          </w:p>
        </w:tc>
      </w:tr>
      <w:tr w14:paraId="36864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4D88E1">
            <w:pPr>
              <w:jc w:val="center"/>
              <w:rPr>
                <w:rFonts w:hint="eastAsia" w:ascii="宋体" w:hAnsi="宋体" w:eastAsia="宋体" w:cs="宋体"/>
                <w:i w:val="0"/>
                <w:iCs w:val="0"/>
                <w:color w:val="000000"/>
                <w:sz w:val="18"/>
                <w:szCs w:val="18"/>
                <w:u w:val="none"/>
              </w:rPr>
            </w:pP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3D7E7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DBB39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C74BE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35E4A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FF6D1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B520B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056A9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E63A1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7DE86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83622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675C5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D2AA1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41BD7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57D08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BE386D">
            <w:pPr>
              <w:jc w:val="center"/>
              <w:rPr>
                <w:rFonts w:hint="eastAsia" w:ascii="宋体" w:hAnsi="宋体" w:eastAsia="宋体" w:cs="宋体"/>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FFE72">
            <w:pPr>
              <w:jc w:val="center"/>
              <w:rPr>
                <w:rFonts w:hint="eastAsia" w:ascii="宋体" w:hAnsi="宋体" w:eastAsia="宋体" w:cs="宋体"/>
                <w:b/>
                <w:bCs/>
                <w:i w:val="0"/>
                <w:iCs w:val="0"/>
                <w:color w:val="000000"/>
                <w:sz w:val="18"/>
                <w:szCs w:val="18"/>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74E41">
            <w:pPr>
              <w:jc w:val="center"/>
              <w:rPr>
                <w:rFonts w:hint="eastAsia" w:ascii="宋体" w:hAnsi="宋体" w:eastAsia="宋体" w:cs="宋体"/>
                <w:b/>
                <w:bCs/>
                <w:i w:val="0"/>
                <w:iCs w:val="0"/>
                <w:color w:val="000000"/>
                <w:sz w:val="18"/>
                <w:szCs w:val="18"/>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3470E">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44864">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9AF0F">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CC2A5">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C2007A">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FF023D">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65A768">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B7536">
            <w:pPr>
              <w:jc w:val="center"/>
              <w:rPr>
                <w:rFonts w:hint="eastAsia" w:ascii="宋体" w:hAnsi="宋体" w:eastAsia="宋体" w:cs="宋体"/>
                <w:b/>
                <w:bCs/>
                <w:i w:val="0"/>
                <w:iCs w:val="0"/>
                <w:color w:val="000000"/>
                <w:sz w:val="18"/>
                <w:szCs w:val="18"/>
                <w:u w:val="none"/>
              </w:rPr>
            </w:pPr>
          </w:p>
        </w:tc>
        <w:tc>
          <w:tcPr>
            <w:tcW w:w="3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986262">
            <w:pPr>
              <w:jc w:val="center"/>
              <w:rPr>
                <w:rFonts w:hint="eastAsia" w:ascii="宋体" w:hAnsi="宋体" w:eastAsia="宋体" w:cs="宋体"/>
                <w:b/>
                <w:bCs/>
                <w:i w:val="0"/>
                <w:iCs w:val="0"/>
                <w:color w:val="000000"/>
                <w:sz w:val="18"/>
                <w:szCs w:val="18"/>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A456A">
            <w:pPr>
              <w:jc w:val="center"/>
              <w:rPr>
                <w:rFonts w:hint="eastAsia" w:ascii="宋体" w:hAnsi="宋体" w:eastAsia="宋体" w:cs="宋体"/>
                <w:b/>
                <w:bCs/>
                <w:i w:val="0"/>
                <w:iCs w:val="0"/>
                <w:color w:val="000000"/>
                <w:sz w:val="18"/>
                <w:szCs w:val="18"/>
                <w:u w:val="none"/>
              </w:rPr>
            </w:pPr>
          </w:p>
        </w:tc>
        <w:tc>
          <w:tcPr>
            <w:tcW w:w="8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A59B1">
            <w:pPr>
              <w:jc w:val="center"/>
              <w:rPr>
                <w:rFonts w:hint="eastAsia" w:ascii="宋体" w:hAnsi="宋体" w:eastAsia="宋体" w:cs="宋体"/>
                <w:b/>
                <w:bCs/>
                <w:i w:val="0"/>
                <w:iCs w:val="0"/>
                <w:color w:val="000000"/>
                <w:sz w:val="18"/>
                <w:szCs w:val="18"/>
                <w:u w:val="none"/>
              </w:rPr>
            </w:pPr>
          </w:p>
        </w:tc>
      </w:tr>
      <w:tr w14:paraId="75307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8B52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9752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B5E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929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在校学生人数（人）</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083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F58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&gt;=1473人</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1BE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=1473人</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EDC3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81F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8C0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2269D">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01C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8B9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628E6">
            <w:pPr>
              <w:jc w:val="center"/>
              <w:rPr>
                <w:rFonts w:hint="eastAsia" w:ascii="宋体" w:hAnsi="宋体" w:eastAsia="宋体" w:cs="宋体"/>
                <w:i w:val="0"/>
                <w:iCs w:val="0"/>
                <w:color w:val="000000"/>
                <w:sz w:val="18"/>
                <w:szCs w:val="18"/>
                <w:u w:val="none"/>
              </w:rPr>
            </w:pPr>
          </w:p>
        </w:tc>
      </w:tr>
      <w:tr w14:paraId="74C88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0FC49">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5A875D">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3D0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31C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公用经费享受比例</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741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691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DDA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66A4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5E5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C01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F8781">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38A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D7A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AA20B">
            <w:pPr>
              <w:jc w:val="center"/>
              <w:rPr>
                <w:rFonts w:hint="eastAsia" w:ascii="宋体" w:hAnsi="宋体" w:eastAsia="宋体" w:cs="宋体"/>
                <w:i w:val="0"/>
                <w:iCs w:val="0"/>
                <w:color w:val="000000"/>
                <w:sz w:val="18"/>
                <w:szCs w:val="18"/>
                <w:u w:val="none"/>
              </w:rPr>
            </w:pPr>
          </w:p>
        </w:tc>
      </w:tr>
      <w:tr w14:paraId="1809A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3BB200">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08C329">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861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F05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教师培训结业率</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48A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507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5A0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0300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05B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74F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160CC">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666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67D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5D4EC">
            <w:pPr>
              <w:jc w:val="center"/>
              <w:rPr>
                <w:rFonts w:hint="eastAsia" w:ascii="宋体" w:hAnsi="宋体" w:eastAsia="宋体" w:cs="宋体"/>
                <w:i w:val="0"/>
                <w:iCs w:val="0"/>
                <w:color w:val="000000"/>
                <w:sz w:val="18"/>
                <w:szCs w:val="18"/>
                <w:u w:val="none"/>
              </w:rPr>
            </w:pPr>
          </w:p>
        </w:tc>
      </w:tr>
      <w:tr w14:paraId="5B4D5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0E3D2">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21F0E8">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A52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B19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626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D08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2024年12月31日前</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003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2024年12月30日</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223F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0D6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C09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E9F62">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EF1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1FA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99B8E">
            <w:pPr>
              <w:jc w:val="center"/>
              <w:rPr>
                <w:rFonts w:hint="eastAsia" w:ascii="宋体" w:hAnsi="宋体" w:eastAsia="宋体" w:cs="宋体"/>
                <w:i w:val="0"/>
                <w:iCs w:val="0"/>
                <w:color w:val="000000"/>
                <w:sz w:val="18"/>
                <w:szCs w:val="18"/>
                <w:u w:val="none"/>
              </w:rPr>
            </w:pPr>
          </w:p>
        </w:tc>
      </w:tr>
      <w:tr w14:paraId="2309E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6326B9">
            <w:pPr>
              <w:jc w:val="center"/>
              <w:rPr>
                <w:rFonts w:hint="eastAsia" w:ascii="宋体" w:hAnsi="宋体" w:eastAsia="宋体" w:cs="宋体"/>
                <w:b/>
                <w:bCs/>
                <w:i w:val="0"/>
                <w:iCs w:val="0"/>
                <w:color w:val="000000"/>
                <w:sz w:val="18"/>
                <w:szCs w:val="18"/>
                <w:u w:val="none"/>
              </w:rPr>
            </w:pP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E579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D8C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593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1C6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D05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&lt;=720元/生/学年</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A5C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=720元/生/学年</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7AA8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C9B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555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98C68">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2D9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021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BB7A2">
            <w:pPr>
              <w:jc w:val="center"/>
              <w:rPr>
                <w:rFonts w:hint="eastAsia" w:ascii="宋体" w:hAnsi="宋体" w:eastAsia="宋体" w:cs="宋体"/>
                <w:i w:val="0"/>
                <w:iCs w:val="0"/>
                <w:color w:val="000000"/>
                <w:sz w:val="18"/>
                <w:szCs w:val="18"/>
                <w:u w:val="none"/>
              </w:rPr>
            </w:pPr>
          </w:p>
        </w:tc>
      </w:tr>
      <w:tr w14:paraId="4002A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16134">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2E1C2">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C3D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A2287">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90D68">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5E83A">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F878D">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796BA">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CFE18">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C1698">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BD009">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6EE1D">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78C63">
            <w:pPr>
              <w:jc w:val="cente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C9EC8">
            <w:pPr>
              <w:jc w:val="center"/>
              <w:rPr>
                <w:rFonts w:hint="eastAsia" w:ascii="宋体" w:hAnsi="宋体" w:eastAsia="宋体" w:cs="宋体"/>
                <w:i w:val="0"/>
                <w:iCs w:val="0"/>
                <w:color w:val="000000"/>
                <w:sz w:val="18"/>
                <w:szCs w:val="18"/>
                <w:u w:val="none"/>
              </w:rPr>
            </w:pPr>
          </w:p>
        </w:tc>
      </w:tr>
      <w:tr w14:paraId="39701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020AFA">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7FB8A7">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C92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F2455">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BA80C">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2D516">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02F78">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A8DB0">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5BC14">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F36EB">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75EC3">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EB0E9">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71715">
            <w:pPr>
              <w:jc w:val="cente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0EB7E">
            <w:pPr>
              <w:jc w:val="center"/>
              <w:rPr>
                <w:rFonts w:hint="eastAsia" w:ascii="宋体" w:hAnsi="宋体" w:eastAsia="宋体" w:cs="宋体"/>
                <w:i w:val="0"/>
                <w:iCs w:val="0"/>
                <w:color w:val="000000"/>
                <w:sz w:val="18"/>
                <w:szCs w:val="18"/>
                <w:u w:val="none"/>
              </w:rPr>
            </w:pPr>
          </w:p>
        </w:tc>
      </w:tr>
      <w:tr w14:paraId="70C0B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4FFFB">
            <w:pPr>
              <w:jc w:val="center"/>
              <w:rPr>
                <w:rFonts w:hint="eastAsia" w:ascii="宋体" w:hAnsi="宋体" w:eastAsia="宋体" w:cs="宋体"/>
                <w:b/>
                <w:bCs/>
                <w:i w:val="0"/>
                <w:iCs w:val="0"/>
                <w:color w:val="000000"/>
                <w:sz w:val="18"/>
                <w:szCs w:val="18"/>
                <w:u w:val="none"/>
              </w:rPr>
            </w:pP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D933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109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DEC18">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79E08">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90925">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8078C">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9494A">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79341">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08E74">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AA68B">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409B4">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6D769">
            <w:pPr>
              <w:jc w:val="cente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019E5">
            <w:pPr>
              <w:jc w:val="center"/>
              <w:rPr>
                <w:rFonts w:hint="eastAsia" w:ascii="宋体" w:hAnsi="宋体" w:eastAsia="宋体" w:cs="宋体"/>
                <w:i w:val="0"/>
                <w:iCs w:val="0"/>
                <w:color w:val="000000"/>
                <w:sz w:val="18"/>
                <w:szCs w:val="18"/>
                <w:u w:val="none"/>
              </w:rPr>
            </w:pPr>
          </w:p>
        </w:tc>
      </w:tr>
      <w:tr w14:paraId="37DB9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C3842C">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0332EE">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2C9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4E4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学校正常运转率</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850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CD1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9E0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FA1E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CF4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CDD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DC03D">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AD1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86B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81444">
            <w:pPr>
              <w:jc w:val="center"/>
              <w:rPr>
                <w:rFonts w:hint="eastAsia" w:ascii="宋体" w:hAnsi="宋体" w:eastAsia="宋体" w:cs="宋体"/>
                <w:i w:val="0"/>
                <w:iCs w:val="0"/>
                <w:color w:val="000000"/>
                <w:sz w:val="18"/>
                <w:szCs w:val="18"/>
                <w:u w:val="none"/>
              </w:rPr>
            </w:pPr>
          </w:p>
        </w:tc>
      </w:tr>
      <w:tr w14:paraId="67C75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4948E5">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D2CDEB">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CF7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DF9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改善教学环境，提供良好的学生成长条件</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A9D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BAF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241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D947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A55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778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A410E">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C47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893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AD423">
            <w:pPr>
              <w:jc w:val="center"/>
              <w:rPr>
                <w:rFonts w:hint="eastAsia" w:ascii="宋体" w:hAnsi="宋体" w:eastAsia="宋体" w:cs="宋体"/>
                <w:i w:val="0"/>
                <w:iCs w:val="0"/>
                <w:color w:val="000000"/>
                <w:sz w:val="18"/>
                <w:szCs w:val="18"/>
                <w:u w:val="none"/>
              </w:rPr>
            </w:pPr>
          </w:p>
        </w:tc>
      </w:tr>
      <w:tr w14:paraId="4B7C3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4477D2">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212614">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E9B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5874B">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06BA8">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76107">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EECD0">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4C30F">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740BD">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8040D">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13EAB">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4E2A4">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1823C">
            <w:pPr>
              <w:jc w:val="cente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C4E96">
            <w:pPr>
              <w:jc w:val="center"/>
              <w:rPr>
                <w:rFonts w:hint="eastAsia" w:ascii="宋体" w:hAnsi="宋体" w:eastAsia="宋体" w:cs="宋体"/>
                <w:i w:val="0"/>
                <w:iCs w:val="0"/>
                <w:color w:val="000000"/>
                <w:sz w:val="18"/>
                <w:szCs w:val="18"/>
                <w:u w:val="none"/>
              </w:rPr>
            </w:pPr>
          </w:p>
        </w:tc>
      </w:tr>
      <w:tr w14:paraId="11003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2921B">
            <w:pPr>
              <w:jc w:val="center"/>
              <w:rPr>
                <w:rFonts w:hint="eastAsia" w:ascii="宋体" w:hAnsi="宋体" w:eastAsia="宋体" w:cs="宋体"/>
                <w:b/>
                <w:bCs/>
                <w:i w:val="0"/>
                <w:iCs w:val="0"/>
                <w:color w:val="000000"/>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C02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5B3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880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师生满意度</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D8C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E55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FA9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CA1E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519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7EB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w:t>
            </w:r>
            <w:bookmarkStart w:id="158" w:name="_GoBack"/>
            <w:bookmarkEnd w:id="158"/>
            <w:r>
              <w:rPr>
                <w:rFonts w:hint="eastAsia" w:ascii="宋体" w:hAnsi="宋体" w:eastAsia="宋体" w:cs="宋体"/>
                <w:i w:val="0"/>
                <w:iCs w:val="0"/>
                <w:color w:val="000000"/>
                <w:kern w:val="0"/>
                <w:sz w:val="18"/>
                <w:szCs w:val="18"/>
                <w:u w:val="none"/>
                <w:lang w:val="en-US" w:eastAsia="zh-CN" w:bidi="ar"/>
              </w:rPr>
              <w:t>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A31F5">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6CD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0C3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03ED1">
            <w:pPr>
              <w:jc w:val="center"/>
              <w:rPr>
                <w:rFonts w:hint="eastAsia" w:ascii="宋体" w:hAnsi="宋体" w:eastAsia="宋体" w:cs="宋体"/>
                <w:i w:val="0"/>
                <w:iCs w:val="0"/>
                <w:color w:val="000000"/>
                <w:sz w:val="18"/>
                <w:szCs w:val="18"/>
                <w:u w:val="none"/>
              </w:rPr>
            </w:pPr>
          </w:p>
        </w:tc>
      </w:tr>
      <w:tr w14:paraId="6B8EB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204" w:type="pct"/>
            <w:gridSpan w:val="4"/>
            <w:tcBorders>
              <w:top w:val="single" w:color="000000" w:sz="4" w:space="0"/>
              <w:left w:val="single" w:color="000000" w:sz="4" w:space="0"/>
              <w:bottom w:val="single" w:color="000000" w:sz="4" w:space="0"/>
              <w:right w:val="nil"/>
            </w:tcBorders>
            <w:shd w:val="clear" w:color="auto" w:fill="auto"/>
            <w:vAlign w:val="center"/>
          </w:tcPr>
          <w:p w14:paraId="02FE73C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EB2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nil"/>
              <w:bottom w:val="single" w:color="000000" w:sz="4" w:space="0"/>
              <w:right w:val="single" w:color="000000" w:sz="4" w:space="0"/>
            </w:tcBorders>
            <w:shd w:val="clear" w:color="auto" w:fill="auto"/>
            <w:vAlign w:val="center"/>
          </w:tcPr>
          <w:p w14:paraId="32E760EC">
            <w:pPr>
              <w:rPr>
                <w:rFonts w:hint="eastAsia" w:ascii="宋体" w:hAnsi="宋体" w:eastAsia="宋体" w:cs="宋体"/>
                <w:b/>
                <w:bCs/>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7CB18">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04A29">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01D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83175">
            <w:pP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4253D">
            <w:pP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B7AD7">
            <w:pP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54168">
            <w:pP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6D4E5">
            <w:pPr>
              <w:rPr>
                <w:rFonts w:hint="eastAsia" w:ascii="宋体" w:hAnsi="宋体" w:eastAsia="宋体" w:cs="宋体"/>
                <w:i w:val="0"/>
                <w:iCs w:val="0"/>
                <w:color w:val="000000"/>
                <w:sz w:val="18"/>
                <w:szCs w:val="18"/>
                <w:u w:val="none"/>
              </w:rPr>
            </w:pPr>
          </w:p>
        </w:tc>
      </w:tr>
    </w:tbl>
    <w:p w14:paraId="5B773DBC">
      <w:pPr>
        <w:bidi w:val="0"/>
        <w:jc w:val="left"/>
        <w:rPr>
          <w:rFonts w:hint="eastAsia"/>
          <w:lang w:val="en-US" w:eastAsia="zh-CN"/>
        </w:rPr>
        <w:sectPr>
          <w:pgSz w:w="16838" w:h="11906" w:orient="landscape"/>
          <w:pgMar w:top="1800" w:right="1440" w:bottom="1800" w:left="1440" w:header="737" w:footer="851" w:gutter="0"/>
          <w:pgNumType w:fmt="decimal"/>
          <w:cols w:space="720" w:num="1"/>
          <w:docGrid w:type="lines" w:linePitch="408" w:charSpace="0"/>
        </w:sectPr>
      </w:pPr>
    </w:p>
    <w:p w14:paraId="0AEB331C">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6"/>
      <w:bookmarkEnd w:id="157"/>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77F882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30C4F9A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7AC50D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auto"/>
            <w:noWrap w:val="0"/>
            <w:vAlign w:val="center"/>
          </w:tcPr>
          <w:p w14:paraId="6D8C4C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auto"/>
            <w:noWrap w:val="0"/>
            <w:vAlign w:val="center"/>
          </w:tcPr>
          <w:p w14:paraId="6FF94ED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auto"/>
            <w:noWrap w:val="0"/>
            <w:vAlign w:val="center"/>
          </w:tcPr>
          <w:p w14:paraId="7C36C9D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7175839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4446F1A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3E2802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6B7E687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17A65EE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5920BC3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0F12F2B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auto"/>
            <w:noWrap w:val="0"/>
            <w:vAlign w:val="center"/>
          </w:tcPr>
          <w:p w14:paraId="701CFE8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1EB2AB3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auto"/>
            <w:noWrap w:val="0"/>
            <w:vAlign w:val="center"/>
          </w:tcPr>
          <w:p w14:paraId="5A40E66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45B0D0D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8DF9EC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2F0FD71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364C4BE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1493454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74CD464D">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6327FF1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47A135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316E35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75D3EBB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450FA5D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64BD749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16CEA29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auto"/>
            <w:noWrap w:val="0"/>
            <w:vAlign w:val="center"/>
          </w:tcPr>
          <w:p w14:paraId="621C7C5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auto"/>
            <w:noWrap w:val="0"/>
            <w:vAlign w:val="center"/>
          </w:tcPr>
          <w:p w14:paraId="7E40966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E59EAA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7BBCBC3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21C8D11E">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2F12482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584509B0">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16481C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7B36E2D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23C9747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auto"/>
            <w:noWrap w:val="0"/>
            <w:vAlign w:val="center"/>
          </w:tcPr>
          <w:p w14:paraId="514F9D3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5E4BDA5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3B13265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6B04083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E2A7BA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628B24F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702FDA2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7881997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6E5482FE">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614376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4B816A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239C07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72932BA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26C3301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auto"/>
            <w:noWrap w:val="0"/>
            <w:vAlign w:val="center"/>
          </w:tcPr>
          <w:p w14:paraId="53C1B47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7EDB861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auto" w:fill="auto"/>
            <w:noWrap w:val="0"/>
            <w:vAlign w:val="center"/>
          </w:tcPr>
          <w:p w14:paraId="6586B33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54CC061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5A11BF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5477142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4397CE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45CA4FB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7F9252E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72D54FA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24888D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248D220C">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020FFE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38CB215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02043E6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76D3091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auto"/>
            <w:noWrap w:val="0"/>
            <w:vAlign w:val="center"/>
          </w:tcPr>
          <w:p w14:paraId="51EE5A0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392FF68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4CF3A1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56BE59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3B4C0AF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1E2D5D2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65C17A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B8B7A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7B671C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72EB95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78FE510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3C6B78F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6C49BD4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003E338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1472998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2F71E4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565FBB9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61DEE0D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7D7C2DB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2603BD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6FFC7897">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4B39A68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498F27D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auto" w:fill="auto"/>
            <w:noWrap w:val="0"/>
            <w:vAlign w:val="center"/>
          </w:tcPr>
          <w:p w14:paraId="1F05DD6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129618B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p w14:paraId="62BF652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实际到位资金/预算资金）×100%。</w:t>
            </w:r>
          </w:p>
          <w:p w14:paraId="43064AF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50FA8E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14:paraId="011C7B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1BDDF9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561419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016F653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7451C2C7">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820" w:type="dxa"/>
            <w:shd w:val="clear" w:color="auto" w:fill="auto"/>
            <w:noWrap w:val="0"/>
            <w:vAlign w:val="center"/>
          </w:tcPr>
          <w:p w14:paraId="4223510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auto"/>
            <w:noWrap w:val="0"/>
            <w:vAlign w:val="center"/>
          </w:tcPr>
          <w:p w14:paraId="582CDDD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auto"/>
            <w:noWrap w:val="0"/>
            <w:vAlign w:val="center"/>
          </w:tcPr>
          <w:p w14:paraId="3C7CC8F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23BF847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14:paraId="0346761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98A83C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039145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41F5CB4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595614E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auto"/>
            <w:noWrap w:val="0"/>
            <w:vAlign w:val="center"/>
          </w:tcPr>
          <w:p w14:paraId="69266B9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3F0B177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14:paraId="409BD5A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auto" w:fill="auto"/>
            <w:noWrap w:val="0"/>
            <w:vAlign w:val="center"/>
          </w:tcPr>
          <w:p w14:paraId="0FFD995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auto" w:fill="auto"/>
            <w:noWrap w:val="0"/>
            <w:vAlign w:val="center"/>
          </w:tcPr>
          <w:p w14:paraId="2F7676E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DA8A38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14:paraId="3A3AC71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14:paraId="1EDFB21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14:paraId="25F632B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785" w:type="dxa"/>
            <w:shd w:val="clear" w:color="auto" w:fill="auto"/>
            <w:noWrap w:val="0"/>
            <w:vAlign w:val="center"/>
          </w:tcPr>
          <w:p w14:paraId="758CDD6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DC4DCE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44FBE4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0097FA1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774B1E3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42C96EF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5E87E8C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5916060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auto" w:fill="auto"/>
            <w:noWrap w:val="0"/>
            <w:vAlign w:val="center"/>
          </w:tcPr>
          <w:p w14:paraId="7148C7A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77016D6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107C83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14:paraId="755ADC2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785" w:type="dxa"/>
            <w:shd w:val="clear" w:color="auto" w:fill="auto"/>
            <w:noWrap w:val="0"/>
            <w:vAlign w:val="center"/>
          </w:tcPr>
          <w:p w14:paraId="4C3A23C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BF37DE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4E2C92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26E6541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227D2F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2C93531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7BA807B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auto" w:fill="auto"/>
            <w:noWrap w:val="0"/>
            <w:vAlign w:val="center"/>
          </w:tcPr>
          <w:p w14:paraId="7E8A7E8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auto" w:fill="auto"/>
            <w:noWrap w:val="0"/>
            <w:vAlign w:val="center"/>
          </w:tcPr>
          <w:p w14:paraId="2EC57F9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0821A0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14:paraId="726F2ED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14:paraId="6F8CE05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14:paraId="17F11A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auto" w:fill="auto"/>
            <w:noWrap w:val="0"/>
            <w:vAlign w:val="center"/>
          </w:tcPr>
          <w:p w14:paraId="16F7C55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EFBAEF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5C330C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3AF0E83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752F46E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3F27F35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在校学生人数</w:t>
            </w:r>
          </w:p>
        </w:tc>
        <w:tc>
          <w:tcPr>
            <w:tcW w:w="2141" w:type="dxa"/>
            <w:shd w:val="clear" w:color="auto" w:fill="auto"/>
            <w:noWrap w:val="0"/>
            <w:vAlign w:val="center"/>
          </w:tcPr>
          <w:p w14:paraId="3210D3E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333E031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39EFADE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0805F52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2488D35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67D7796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6E0FC4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15C2530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5A39ACF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58583E9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公用经费享受比例</w:t>
            </w:r>
          </w:p>
        </w:tc>
        <w:tc>
          <w:tcPr>
            <w:tcW w:w="2141" w:type="dxa"/>
            <w:shd w:val="clear" w:color="auto" w:fill="auto"/>
            <w:noWrap w:val="0"/>
            <w:vAlign w:val="center"/>
          </w:tcPr>
          <w:p w14:paraId="284CAD6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42E59AA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75D000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41791AE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045E57F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5718B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748D259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14:paraId="40532AB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5B4C291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公用经费享受比例</w:t>
            </w:r>
          </w:p>
        </w:tc>
        <w:tc>
          <w:tcPr>
            <w:tcW w:w="2141" w:type="dxa"/>
            <w:shd w:val="clear" w:color="auto" w:fill="auto"/>
            <w:noWrap w:val="0"/>
            <w:vAlign w:val="center"/>
          </w:tcPr>
          <w:p w14:paraId="2943287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55C1AEF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05A1E3C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2D2F1B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220244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r>
      <w:tr w14:paraId="282A09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4B234FC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239924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149F5F4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教师培训结业率</w:t>
            </w:r>
          </w:p>
        </w:tc>
        <w:tc>
          <w:tcPr>
            <w:tcW w:w="2141" w:type="dxa"/>
            <w:shd w:val="clear" w:color="auto" w:fill="auto"/>
            <w:noWrap w:val="0"/>
            <w:vAlign w:val="center"/>
          </w:tcPr>
          <w:p w14:paraId="5690CF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740A4E8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09517E0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72F594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48E492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5</w:t>
            </w:r>
          </w:p>
        </w:tc>
      </w:tr>
      <w:tr w14:paraId="5C0F23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77C529A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25EC8B3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7382EBC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cs="宋体"/>
                <w:color w:val="auto"/>
                <w:kern w:val="0"/>
                <w:sz w:val="22"/>
                <w:szCs w:val="22"/>
                <w:highlight w:val="none"/>
                <w:lang w:eastAsia="zh-CN"/>
              </w:rPr>
              <w:t>完成时间</w:t>
            </w:r>
          </w:p>
        </w:tc>
        <w:tc>
          <w:tcPr>
            <w:tcW w:w="2141" w:type="dxa"/>
            <w:shd w:val="clear" w:color="auto" w:fill="auto"/>
            <w:noWrap w:val="0"/>
            <w:vAlign w:val="center"/>
          </w:tcPr>
          <w:p w14:paraId="6B27F33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06E5F39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7400E7E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0EE065D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3DC968D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10</w:t>
            </w:r>
          </w:p>
        </w:tc>
      </w:tr>
      <w:tr w14:paraId="23C4C2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33B7BD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4697540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1263C89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成本节约率</w:t>
            </w:r>
          </w:p>
        </w:tc>
        <w:tc>
          <w:tcPr>
            <w:tcW w:w="2141" w:type="dxa"/>
            <w:shd w:val="clear" w:color="auto" w:fill="auto"/>
            <w:noWrap w:val="0"/>
            <w:vAlign w:val="center"/>
          </w:tcPr>
          <w:p w14:paraId="5815478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1B16151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1889A48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112C270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0366CD6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1CB32F2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2107EB6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10</w:t>
            </w:r>
          </w:p>
        </w:tc>
      </w:tr>
      <w:tr w14:paraId="341547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68093F3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4006A4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522167C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正常运转率</w:t>
            </w:r>
          </w:p>
        </w:tc>
        <w:tc>
          <w:tcPr>
            <w:tcW w:w="2141" w:type="dxa"/>
            <w:shd w:val="clear" w:color="auto" w:fill="auto"/>
            <w:noWrap w:val="0"/>
            <w:vAlign w:val="center"/>
          </w:tcPr>
          <w:p w14:paraId="1D6FA48D">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12023B7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409C065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24218FB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r>
      <w:tr w14:paraId="6DE472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113E82E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6EA9E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247792B0">
            <w:pPr>
              <w:pageBreakBefore w:val="0"/>
              <w:widowControl/>
              <w:kinsoku/>
              <w:wordWrap/>
              <w:overflowPunct/>
              <w:topLinePunct w:val="0"/>
              <w:autoSpaceDE/>
              <w:autoSpaceDN/>
              <w:bidi w:val="0"/>
              <w:spacing w:line="240" w:lineRule="auto"/>
              <w:ind w:firstLine="0" w:firstLineChars="0"/>
              <w:jc w:val="center"/>
              <w:textAlignment w:val="auto"/>
              <w:rPr>
                <w:rFonts w:hint="eastAsia" w:cs="宋体"/>
                <w:color w:val="auto"/>
                <w:kern w:val="0"/>
                <w:sz w:val="22"/>
                <w:szCs w:val="22"/>
                <w:highlight w:val="none"/>
                <w:lang w:val="en-US" w:eastAsia="zh-CN"/>
              </w:rPr>
            </w:pPr>
            <w:r>
              <w:rPr>
                <w:rFonts w:hint="eastAsia" w:ascii="宋体" w:hAnsi="宋体" w:eastAsia="宋体" w:cs="宋体"/>
                <w:color w:val="auto"/>
                <w:kern w:val="0"/>
                <w:sz w:val="22"/>
                <w:szCs w:val="22"/>
                <w:highlight w:val="none"/>
              </w:rPr>
              <w:t>改善教学环境，提供良好的学生成长条件</w:t>
            </w:r>
          </w:p>
        </w:tc>
        <w:tc>
          <w:tcPr>
            <w:tcW w:w="2141" w:type="dxa"/>
            <w:shd w:val="clear" w:color="auto" w:fill="auto"/>
            <w:noWrap w:val="0"/>
            <w:vAlign w:val="center"/>
          </w:tcPr>
          <w:p w14:paraId="68BBC2B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58205CD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74FF582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7</w:t>
            </w:r>
          </w:p>
        </w:tc>
        <w:tc>
          <w:tcPr>
            <w:tcW w:w="769" w:type="dxa"/>
            <w:shd w:val="clear" w:color="auto" w:fill="auto"/>
            <w:noWrap w:val="0"/>
            <w:vAlign w:val="center"/>
          </w:tcPr>
          <w:p w14:paraId="08DD544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7</w:t>
            </w:r>
          </w:p>
        </w:tc>
      </w:tr>
      <w:tr w14:paraId="627A9D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74BAC82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7058B5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4E7A2CB7">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师生满意度</w:t>
            </w:r>
          </w:p>
        </w:tc>
        <w:tc>
          <w:tcPr>
            <w:tcW w:w="2141" w:type="dxa"/>
            <w:shd w:val="clear" w:color="auto" w:fill="auto"/>
            <w:noWrap w:val="0"/>
            <w:vAlign w:val="center"/>
          </w:tcPr>
          <w:p w14:paraId="7BA08B1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2E6DAF4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13B6A8E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6118ACC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8</w:t>
            </w:r>
          </w:p>
        </w:tc>
      </w:tr>
      <w:tr w14:paraId="4EAEE4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3752E64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lang w:val="en-US" w:eastAsia="zh-CN"/>
              </w:rPr>
            </w:pPr>
            <w:r>
              <w:rPr>
                <w:rFonts w:hint="eastAsia" w:ascii="宋体" w:hAnsi="宋体" w:eastAsia="宋体" w:cs="宋体"/>
                <w:color w:val="auto"/>
                <w:kern w:val="0"/>
                <w:sz w:val="22"/>
                <w:szCs w:val="22"/>
                <w:lang w:val="en-US" w:eastAsia="zh-CN"/>
              </w:rPr>
              <w:t>合计</w:t>
            </w:r>
          </w:p>
        </w:tc>
        <w:tc>
          <w:tcPr>
            <w:tcW w:w="7821" w:type="dxa"/>
            <w:shd w:val="clear" w:color="auto" w:fill="auto"/>
            <w:noWrap w:val="0"/>
            <w:vAlign w:val="center"/>
          </w:tcPr>
          <w:p w14:paraId="7090929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rPr>
            </w:pPr>
          </w:p>
        </w:tc>
        <w:tc>
          <w:tcPr>
            <w:tcW w:w="785" w:type="dxa"/>
            <w:shd w:val="clear" w:color="auto" w:fill="auto"/>
            <w:noWrap w:val="0"/>
            <w:vAlign w:val="center"/>
          </w:tcPr>
          <w:p w14:paraId="5C08C02A">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100</w:t>
            </w:r>
          </w:p>
        </w:tc>
        <w:tc>
          <w:tcPr>
            <w:tcW w:w="769" w:type="dxa"/>
            <w:shd w:val="clear" w:color="auto" w:fill="auto"/>
            <w:noWrap w:val="0"/>
            <w:vAlign w:val="center"/>
          </w:tcPr>
          <w:p w14:paraId="73C45719">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99</w:t>
            </w:r>
          </w:p>
        </w:tc>
      </w:tr>
    </w:tbl>
    <w:p w14:paraId="1E4F1F44">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rPr>
      </w:pPr>
    </w:p>
    <w:p w14:paraId="799954D6">
      <w:pPr>
        <w:pageBreakBefore w:val="0"/>
        <w:kinsoku/>
        <w:wordWrap/>
        <w:overflowPunct/>
        <w:topLinePunct w:val="0"/>
        <w:autoSpaceDE/>
        <w:autoSpaceDN/>
        <w:bidi w:val="0"/>
        <w:spacing w:line="560" w:lineRule="exact"/>
        <w:textAlignment w:val="auto"/>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10F74">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C0DEC6">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BC0DEC6">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5YWViMGQ5NGM4ZmNlOWZhOGNlMjBkMzJlOGQ5MmYifQ=="/>
  </w:docVars>
  <w:rsids>
    <w:rsidRoot w:val="68291A1A"/>
    <w:rsid w:val="007D6A04"/>
    <w:rsid w:val="00E23C81"/>
    <w:rsid w:val="01253350"/>
    <w:rsid w:val="01282E62"/>
    <w:rsid w:val="014029CF"/>
    <w:rsid w:val="01470C4C"/>
    <w:rsid w:val="02200440"/>
    <w:rsid w:val="02284B43"/>
    <w:rsid w:val="028C3E62"/>
    <w:rsid w:val="02B015E2"/>
    <w:rsid w:val="02DC08FA"/>
    <w:rsid w:val="03280603"/>
    <w:rsid w:val="033B569D"/>
    <w:rsid w:val="039C3BA0"/>
    <w:rsid w:val="03A845BB"/>
    <w:rsid w:val="03B45AD1"/>
    <w:rsid w:val="04D12EE4"/>
    <w:rsid w:val="04D63993"/>
    <w:rsid w:val="063F6102"/>
    <w:rsid w:val="07890F4F"/>
    <w:rsid w:val="08892439"/>
    <w:rsid w:val="08EB30F3"/>
    <w:rsid w:val="09237408"/>
    <w:rsid w:val="09781BD6"/>
    <w:rsid w:val="09F359DF"/>
    <w:rsid w:val="0A575E65"/>
    <w:rsid w:val="0ACA0AB6"/>
    <w:rsid w:val="0B8271BF"/>
    <w:rsid w:val="0C032502"/>
    <w:rsid w:val="0C27698C"/>
    <w:rsid w:val="0CE353ED"/>
    <w:rsid w:val="0D2A6248"/>
    <w:rsid w:val="0D4452F3"/>
    <w:rsid w:val="0F5E5042"/>
    <w:rsid w:val="0F634C04"/>
    <w:rsid w:val="0FE95707"/>
    <w:rsid w:val="103E38B5"/>
    <w:rsid w:val="10510571"/>
    <w:rsid w:val="10787A20"/>
    <w:rsid w:val="108672DE"/>
    <w:rsid w:val="10E277C0"/>
    <w:rsid w:val="10EC685A"/>
    <w:rsid w:val="11B00D0A"/>
    <w:rsid w:val="11FA6155"/>
    <w:rsid w:val="123B75B2"/>
    <w:rsid w:val="125E2408"/>
    <w:rsid w:val="12730976"/>
    <w:rsid w:val="129D4879"/>
    <w:rsid w:val="12CF0947"/>
    <w:rsid w:val="12F1313F"/>
    <w:rsid w:val="136C678E"/>
    <w:rsid w:val="13EB2FF5"/>
    <w:rsid w:val="14ED4CAC"/>
    <w:rsid w:val="15725168"/>
    <w:rsid w:val="15A46B04"/>
    <w:rsid w:val="165825BC"/>
    <w:rsid w:val="16BC5D73"/>
    <w:rsid w:val="176F36D7"/>
    <w:rsid w:val="1795226D"/>
    <w:rsid w:val="18456B1E"/>
    <w:rsid w:val="1C1171C5"/>
    <w:rsid w:val="1D265138"/>
    <w:rsid w:val="1D7B6BCA"/>
    <w:rsid w:val="1DA41A79"/>
    <w:rsid w:val="1DF53469"/>
    <w:rsid w:val="1E2F24F2"/>
    <w:rsid w:val="1E58492F"/>
    <w:rsid w:val="1E5B6757"/>
    <w:rsid w:val="1ED10AC6"/>
    <w:rsid w:val="1F89225F"/>
    <w:rsid w:val="1F900A1F"/>
    <w:rsid w:val="1F9B7FD7"/>
    <w:rsid w:val="1FB07E05"/>
    <w:rsid w:val="1FC0575D"/>
    <w:rsid w:val="206132C7"/>
    <w:rsid w:val="21B00C1D"/>
    <w:rsid w:val="23031BEB"/>
    <w:rsid w:val="23917691"/>
    <w:rsid w:val="244D65B8"/>
    <w:rsid w:val="245E1E24"/>
    <w:rsid w:val="25AD5E5D"/>
    <w:rsid w:val="26AA1ACC"/>
    <w:rsid w:val="2732478D"/>
    <w:rsid w:val="27661469"/>
    <w:rsid w:val="27900EAD"/>
    <w:rsid w:val="279B538A"/>
    <w:rsid w:val="286F545C"/>
    <w:rsid w:val="29314FBC"/>
    <w:rsid w:val="2AA2081A"/>
    <w:rsid w:val="2C024B86"/>
    <w:rsid w:val="2C927671"/>
    <w:rsid w:val="2CC6306F"/>
    <w:rsid w:val="2D355E3C"/>
    <w:rsid w:val="2D7C5CD6"/>
    <w:rsid w:val="2E483E7E"/>
    <w:rsid w:val="2E690493"/>
    <w:rsid w:val="2E9854BD"/>
    <w:rsid w:val="2F0D407F"/>
    <w:rsid w:val="2F454B19"/>
    <w:rsid w:val="310224D9"/>
    <w:rsid w:val="31B4621C"/>
    <w:rsid w:val="31E3230A"/>
    <w:rsid w:val="330957E0"/>
    <w:rsid w:val="33356F64"/>
    <w:rsid w:val="33944516"/>
    <w:rsid w:val="34B62907"/>
    <w:rsid w:val="36BD137C"/>
    <w:rsid w:val="38053EDF"/>
    <w:rsid w:val="380812A4"/>
    <w:rsid w:val="385D37E7"/>
    <w:rsid w:val="38782EDD"/>
    <w:rsid w:val="3B42664A"/>
    <w:rsid w:val="3C637785"/>
    <w:rsid w:val="3CAD1E92"/>
    <w:rsid w:val="3D836A4E"/>
    <w:rsid w:val="3EA37E97"/>
    <w:rsid w:val="3FBE0BC5"/>
    <w:rsid w:val="4048103A"/>
    <w:rsid w:val="40736643"/>
    <w:rsid w:val="40D24A7A"/>
    <w:rsid w:val="42621029"/>
    <w:rsid w:val="43424558"/>
    <w:rsid w:val="435241E2"/>
    <w:rsid w:val="43975C51"/>
    <w:rsid w:val="439E3FA7"/>
    <w:rsid w:val="44B32266"/>
    <w:rsid w:val="44FC64F4"/>
    <w:rsid w:val="467F4585"/>
    <w:rsid w:val="470628CB"/>
    <w:rsid w:val="4729480B"/>
    <w:rsid w:val="47555BD4"/>
    <w:rsid w:val="47BC2DB1"/>
    <w:rsid w:val="47E96399"/>
    <w:rsid w:val="47F76025"/>
    <w:rsid w:val="486E33F5"/>
    <w:rsid w:val="48E12B50"/>
    <w:rsid w:val="497D63FE"/>
    <w:rsid w:val="499441BE"/>
    <w:rsid w:val="499A6C1C"/>
    <w:rsid w:val="4A195607"/>
    <w:rsid w:val="4A2138F0"/>
    <w:rsid w:val="4A583887"/>
    <w:rsid w:val="4B9F6E02"/>
    <w:rsid w:val="4C0E1080"/>
    <w:rsid w:val="4C89637B"/>
    <w:rsid w:val="4D3C634C"/>
    <w:rsid w:val="4E6E48A8"/>
    <w:rsid w:val="4EEC036B"/>
    <w:rsid w:val="4F714FA1"/>
    <w:rsid w:val="4F9654F7"/>
    <w:rsid w:val="501D2673"/>
    <w:rsid w:val="506579BF"/>
    <w:rsid w:val="50C80BF1"/>
    <w:rsid w:val="51852833"/>
    <w:rsid w:val="52F11AC8"/>
    <w:rsid w:val="533174FB"/>
    <w:rsid w:val="534F49D9"/>
    <w:rsid w:val="53555F0F"/>
    <w:rsid w:val="535D23D5"/>
    <w:rsid w:val="55331723"/>
    <w:rsid w:val="56F4341A"/>
    <w:rsid w:val="575A7321"/>
    <w:rsid w:val="580C3AB9"/>
    <w:rsid w:val="583C7AE0"/>
    <w:rsid w:val="586C1E9A"/>
    <w:rsid w:val="586E0800"/>
    <w:rsid w:val="59216F96"/>
    <w:rsid w:val="598C4145"/>
    <w:rsid w:val="59957D1B"/>
    <w:rsid w:val="59D4294E"/>
    <w:rsid w:val="5B634312"/>
    <w:rsid w:val="5B9D2CCD"/>
    <w:rsid w:val="5B9E71EA"/>
    <w:rsid w:val="5E226FBC"/>
    <w:rsid w:val="5FE72BD2"/>
    <w:rsid w:val="60120613"/>
    <w:rsid w:val="618D5292"/>
    <w:rsid w:val="62143C96"/>
    <w:rsid w:val="622E78FA"/>
    <w:rsid w:val="63343F70"/>
    <w:rsid w:val="6377272F"/>
    <w:rsid w:val="63C139AA"/>
    <w:rsid w:val="64296E1C"/>
    <w:rsid w:val="64386FCC"/>
    <w:rsid w:val="649E64A2"/>
    <w:rsid w:val="65E5270A"/>
    <w:rsid w:val="663D3C54"/>
    <w:rsid w:val="667A6962"/>
    <w:rsid w:val="66862C89"/>
    <w:rsid w:val="66BB486D"/>
    <w:rsid w:val="67394C7D"/>
    <w:rsid w:val="68126B38"/>
    <w:rsid w:val="68291A1A"/>
    <w:rsid w:val="68352BB8"/>
    <w:rsid w:val="691327EB"/>
    <w:rsid w:val="691B1594"/>
    <w:rsid w:val="693A016B"/>
    <w:rsid w:val="6A17429C"/>
    <w:rsid w:val="6A567EA3"/>
    <w:rsid w:val="6B4B4368"/>
    <w:rsid w:val="6B79100E"/>
    <w:rsid w:val="6C844C00"/>
    <w:rsid w:val="6E10212C"/>
    <w:rsid w:val="6E43561A"/>
    <w:rsid w:val="6E557973"/>
    <w:rsid w:val="6E9568DB"/>
    <w:rsid w:val="6F0D6C22"/>
    <w:rsid w:val="6F47657F"/>
    <w:rsid w:val="6FAF23D9"/>
    <w:rsid w:val="70635CF6"/>
    <w:rsid w:val="70670707"/>
    <w:rsid w:val="720E3691"/>
    <w:rsid w:val="7249173A"/>
    <w:rsid w:val="724E244C"/>
    <w:rsid w:val="72DA6946"/>
    <w:rsid w:val="72E651DB"/>
    <w:rsid w:val="732764B3"/>
    <w:rsid w:val="74026044"/>
    <w:rsid w:val="74325A77"/>
    <w:rsid w:val="74746410"/>
    <w:rsid w:val="75C8506C"/>
    <w:rsid w:val="75E5007C"/>
    <w:rsid w:val="77636B63"/>
    <w:rsid w:val="77813724"/>
    <w:rsid w:val="77861774"/>
    <w:rsid w:val="77EE050C"/>
    <w:rsid w:val="78F31435"/>
    <w:rsid w:val="79300B45"/>
    <w:rsid w:val="794D3E18"/>
    <w:rsid w:val="79F3729A"/>
    <w:rsid w:val="7A880722"/>
    <w:rsid w:val="7ABE6120"/>
    <w:rsid w:val="7ACB0498"/>
    <w:rsid w:val="7AD93EE7"/>
    <w:rsid w:val="7AED0B4D"/>
    <w:rsid w:val="7C1E4487"/>
    <w:rsid w:val="7C215E02"/>
    <w:rsid w:val="7CF23764"/>
    <w:rsid w:val="7D851A94"/>
    <w:rsid w:val="7E797F74"/>
    <w:rsid w:val="7F924011"/>
    <w:rsid w:val="7FC52DC2"/>
    <w:rsid w:val="7FF30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20"/>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autoRedefine/>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character" w:styleId="18">
    <w:name w:val="Strong"/>
    <w:basedOn w:val="17"/>
    <w:qFormat/>
    <w:uiPriority w:val="0"/>
    <w:rPr>
      <w:b/>
      <w:bCs/>
    </w:rPr>
  </w:style>
  <w:style w:type="paragraph" w:customStyle="1" w:styleId="19">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Char"/>
    <w:link w:val="3"/>
    <w:autoRedefine/>
    <w:qFormat/>
    <w:uiPriority w:val="0"/>
    <w:rPr>
      <w:rFonts w:ascii="Arial" w:hAnsi="Arial" w:eastAsia="楷体"/>
      <w:b/>
      <w:sz w:val="32"/>
    </w:rPr>
  </w:style>
  <w:style w:type="paragraph" w:customStyle="1" w:styleId="21">
    <w:name w:val="WPSOffice手动目录 1"/>
    <w:autoRedefine/>
    <w:qFormat/>
    <w:uiPriority w:val="0"/>
    <w:pPr>
      <w:ind w:leftChars="0"/>
    </w:pPr>
    <w:rPr>
      <w:rFonts w:ascii="Times New Roman" w:hAnsi="Times New Roman" w:eastAsia="宋体" w:cs="Times New Roman"/>
      <w:sz w:val="20"/>
      <w:szCs w:val="20"/>
    </w:rPr>
  </w:style>
  <w:style w:type="paragraph" w:customStyle="1" w:styleId="22">
    <w:name w:val="WPSOffice手动目录 2"/>
    <w:autoRedefine/>
    <w:qFormat/>
    <w:uiPriority w:val="0"/>
    <w:pPr>
      <w:ind w:leftChars="200"/>
    </w:pPr>
    <w:rPr>
      <w:rFonts w:ascii="Times New Roman" w:hAnsi="Times New Roman" w:eastAsia="宋体" w:cs="Times New Roman"/>
      <w:sz w:val="20"/>
      <w:szCs w:val="20"/>
    </w:rPr>
  </w:style>
  <w:style w:type="paragraph" w:customStyle="1" w:styleId="23">
    <w:name w:val="WPSOffice手动目录 3"/>
    <w:autoRedefine/>
    <w:qFormat/>
    <w:uiPriority w:val="0"/>
    <w:pPr>
      <w:ind w:leftChars="400"/>
    </w:pPr>
    <w:rPr>
      <w:rFonts w:ascii="Times New Roman" w:hAnsi="Times New Roman" w:eastAsia="宋体" w:cs="Times New Roman"/>
      <w:sz w:val="20"/>
      <w:szCs w:val="20"/>
    </w:rPr>
  </w:style>
  <w:style w:type="character" w:customStyle="1" w:styleId="24">
    <w:name w:val="font61"/>
    <w:basedOn w:val="17"/>
    <w:qFormat/>
    <w:uiPriority w:val="0"/>
    <w:rPr>
      <w:rFonts w:ascii="宋体" w:hAnsi="宋体" w:eastAsia="宋体" w:cs="宋体"/>
      <w:color w:val="000000"/>
      <w:sz w:val="20"/>
      <w:szCs w:val="20"/>
      <w:u w:val="none"/>
    </w:rPr>
  </w:style>
  <w:style w:type="character" w:customStyle="1" w:styleId="25">
    <w:name w:val="font41"/>
    <w:basedOn w:val="1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10598</Words>
  <Characters>11208</Characters>
  <Lines>0</Lines>
  <Paragraphs>0</Paragraphs>
  <TotalTime>0</TotalTime>
  <ScaleCrop>false</ScaleCrop>
  <LinksUpToDate>false</LinksUpToDate>
  <CharactersWithSpaces>11281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2025-10-23T07:00:27Z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313D3C50A4B640418DB9949053D98319_13</vt:lpwstr>
  </property>
  <property fmtid="{D5CDD505-2E9C-101B-9397-08002B2CF9AE}" pid="4" name="KSOTemplateDocerSaveRecord">
    <vt:lpwstr>eyJoZGlkIjoiNTY3MmI4ODZmMjljZWZhNGFkN2U2N2Y4ODgwYjM5ZGIiLCJ1c2VySWQiOiIzNjI1MzY3NzcifQ==</vt:lpwstr>
  </property>
</Properties>
</file>