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9C682">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F6A1F36">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5BAB381">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074F84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bookmarkStart w:id="1" w:name="_Toc29123"/>
      <w:bookmarkStart w:id="2" w:name="_Toc1949"/>
      <w:bookmarkStart w:id="3" w:name="_Toc25575"/>
      <w:r>
        <w:rPr>
          <w:rFonts w:hint="eastAsia" w:cs="宋体"/>
          <w:b/>
          <w:bCs/>
          <w:color w:val="auto"/>
          <w:sz w:val="40"/>
          <w:szCs w:val="40"/>
          <w:highlight w:val="none"/>
          <w:shd w:val="clear" w:color="auto" w:fill="auto"/>
          <w:lang w:val="en-US" w:eastAsia="zh-CN"/>
        </w:rPr>
        <w:t>2024年选聘教师工资补助经费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3618892B">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7930E4F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7274C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C0388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170DB8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674CD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2917C0B">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48EA60A8">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项目名称：2024年选聘教师工资补助经费</w:t>
      </w:r>
    </w:p>
    <w:p w14:paraId="228A03B0">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实施单位：阜康市</w:t>
      </w:r>
      <w:r>
        <w:rPr>
          <w:rFonts w:hint="eastAsia" w:ascii="黑体" w:hAnsi="Times New Roman" w:eastAsia="黑体"/>
          <w:b w:val="0"/>
          <w:bCs/>
          <w:color w:val="auto"/>
          <w:sz w:val="30"/>
          <w:szCs w:val="30"/>
          <w:highlight w:val="none"/>
          <w:lang w:eastAsia="zh-CN"/>
        </w:rPr>
        <w:t>水磨沟</w:t>
      </w:r>
      <w:r>
        <w:rPr>
          <w:rFonts w:hint="eastAsia" w:ascii="黑体" w:hAnsi="Times New Roman" w:eastAsia="黑体"/>
          <w:b w:val="0"/>
          <w:bCs/>
          <w:color w:val="auto"/>
          <w:sz w:val="30"/>
          <w:szCs w:val="30"/>
          <w:highlight w:val="none"/>
        </w:rPr>
        <w:t>乡中心幼儿园</w:t>
      </w:r>
    </w:p>
    <w:p w14:paraId="755EA653">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主管部门：阜康市教育局</w:t>
      </w:r>
    </w:p>
    <w:p w14:paraId="73C8EC03">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马翠</w:t>
      </w:r>
    </w:p>
    <w:p w14:paraId="027DD1DF">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4156E204">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3EA2F524">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3BAD91A7">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6888F29D">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48FCB63E">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4490534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5D37F39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6C9D388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6755C5DB">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AE1475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4B250AE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10</w:t>
          </w:r>
          <w:r>
            <w:rPr>
              <w:color w:val="auto"/>
              <w:highlight w:val="none"/>
            </w:rPr>
            <w:fldChar w:fldCharType="end"/>
          </w:r>
          <w:r>
            <w:rPr>
              <w:rFonts w:hint="eastAsia"/>
              <w:color w:val="auto"/>
              <w:szCs w:val="28"/>
              <w:highlight w:val="none"/>
              <w:lang w:val="en-US" w:eastAsia="zh-CN"/>
            </w:rPr>
            <w:fldChar w:fldCharType="end"/>
          </w:r>
        </w:p>
        <w:p w14:paraId="314795D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5362E05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7455A68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09F16A5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0097C04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438135F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33372D3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20</w:t>
          </w:r>
          <w:r>
            <w:rPr>
              <w:color w:val="auto"/>
              <w:highlight w:val="none"/>
            </w:rPr>
            <w:fldChar w:fldCharType="end"/>
          </w:r>
          <w:r>
            <w:rPr>
              <w:rFonts w:hint="eastAsia"/>
              <w:color w:val="auto"/>
              <w:szCs w:val="28"/>
              <w:highlight w:val="none"/>
              <w:lang w:val="en-US" w:eastAsia="zh-CN"/>
            </w:rPr>
            <w:fldChar w:fldCharType="end"/>
          </w:r>
        </w:p>
        <w:p w14:paraId="2D1FC02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7B2832D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6B13832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6042A83C">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8CAB7D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5C9FBE2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794139AC">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1AE20C3">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A3EE46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075346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31</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55D0531">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5D98DF3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OLE_LINK1"/>
      <w:bookmarkStart w:id="5" w:name="OLE_LINK2"/>
      <w:bookmarkStart w:id="6" w:name="_Toc3663"/>
      <w:bookmarkStart w:id="7" w:name="_Toc22946"/>
      <w:bookmarkStart w:id="8" w:name="_Toc1194"/>
      <w:bookmarkStart w:id="9" w:name="_Toc20432"/>
      <w:r>
        <w:rPr>
          <w:rFonts w:hint="eastAsia" w:cs="宋体"/>
          <w:b/>
          <w:bCs/>
          <w:color w:val="auto"/>
          <w:sz w:val="36"/>
          <w:szCs w:val="36"/>
          <w:highlight w:val="none"/>
          <w:shd w:val="clear" w:color="auto" w:fill="auto"/>
          <w:lang w:val="en-US" w:eastAsia="zh-CN"/>
        </w:rPr>
        <w:t>2024年选聘教师工资补助经费</w:t>
      </w:r>
      <w:bookmarkEnd w:id="4"/>
      <w:r>
        <w:rPr>
          <w:rFonts w:hint="eastAsia" w:ascii="宋体" w:hAnsi="宋体" w:eastAsia="宋体" w:cs="宋体"/>
          <w:b/>
          <w:bCs/>
          <w:color w:val="auto"/>
          <w:sz w:val="36"/>
          <w:szCs w:val="36"/>
          <w:highlight w:val="none"/>
          <w:shd w:val="clear" w:color="auto" w:fill="auto"/>
          <w:lang w:val="en-US" w:eastAsia="zh-CN"/>
        </w:rPr>
        <w:t>项目</w:t>
      </w:r>
      <w:bookmarkEnd w:id="5"/>
      <w:r>
        <w:rPr>
          <w:rFonts w:hint="eastAsia" w:ascii="宋体" w:hAnsi="宋体" w:eastAsia="宋体" w:cs="宋体"/>
          <w:b/>
          <w:bCs/>
          <w:color w:val="auto"/>
          <w:sz w:val="36"/>
          <w:szCs w:val="36"/>
          <w:highlight w:val="none"/>
          <w:shd w:val="clear" w:color="auto" w:fill="auto"/>
        </w:rPr>
        <w:t>支出绩效评价报告</w:t>
      </w:r>
      <w:bookmarkEnd w:id="6"/>
      <w:bookmarkEnd w:id="7"/>
      <w:bookmarkEnd w:id="8"/>
      <w:bookmarkEnd w:id="9"/>
    </w:p>
    <w:p w14:paraId="1935F96B">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 w:name="_Toc18485"/>
      <w:r>
        <w:rPr>
          <w:rFonts w:hint="eastAsia" w:ascii="黑体" w:hAnsi="黑体" w:eastAsia="黑体" w:cs="黑体"/>
          <w:b w:val="0"/>
          <w:bCs w:val="0"/>
          <w:color w:val="auto"/>
          <w:highlight w:val="none"/>
          <w:shd w:val="clear" w:color="auto" w:fill="auto"/>
        </w:rPr>
        <w:t>一、基本情况</w:t>
      </w:r>
      <w:bookmarkEnd w:id="10"/>
    </w:p>
    <w:p w14:paraId="632A929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1" w:name="_Toc23184"/>
      <w:r>
        <w:rPr>
          <w:rFonts w:hint="eastAsia" w:ascii="Times New Roman" w:hAnsi="Times New Roman" w:eastAsia="楷体_GB2312" w:cs="Times New Roman"/>
          <w:color w:val="auto"/>
          <w:kern w:val="28"/>
          <w:sz w:val="32"/>
          <w:highlight w:val="none"/>
          <w:lang w:val="en-US" w:eastAsia="zh-CN"/>
        </w:rPr>
        <w:t>（一）项目概况</w:t>
      </w:r>
      <w:bookmarkEnd w:id="11"/>
    </w:p>
    <w:p w14:paraId="53EC4BD9">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2" w:name="_Toc5043"/>
      <w:bookmarkStart w:id="13" w:name="_Toc10645"/>
      <w:bookmarkStart w:id="14" w:name="_Toc29812"/>
      <w:bookmarkStart w:id="15" w:name="_Toc22346"/>
      <w:r>
        <w:rPr>
          <w:rFonts w:hint="eastAsia" w:ascii="仿宋_GB2312" w:hAnsi="仿宋_GB2312" w:eastAsia="仿宋_GB2312" w:cs="仿宋_GB2312"/>
          <w:color w:val="auto"/>
          <w:sz w:val="32"/>
          <w:szCs w:val="32"/>
          <w:highlight w:val="none"/>
          <w:shd w:val="clear" w:color="auto" w:fill="auto"/>
          <w:lang w:val="en-US" w:eastAsia="zh-CN"/>
        </w:rPr>
        <w:t>1.项目背景</w:t>
      </w:r>
      <w:bookmarkEnd w:id="12"/>
      <w:bookmarkEnd w:id="13"/>
      <w:bookmarkEnd w:id="14"/>
      <w:bookmarkEnd w:id="15"/>
    </w:p>
    <w:p w14:paraId="0BA3974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6" w:name="_Toc27343"/>
      <w:bookmarkStart w:id="17" w:name="_Toc1630"/>
      <w:bookmarkStart w:id="18" w:name="_Toc17880"/>
      <w:bookmarkStart w:id="19" w:name="_Toc10730"/>
      <w:r>
        <w:rPr>
          <w:rFonts w:hint="eastAsia" w:ascii="仿宋_GB2312" w:hAnsi="仿宋_GB2312" w:eastAsia="仿宋_GB2312" w:cs="仿宋_GB2312"/>
          <w:color w:val="auto"/>
          <w:sz w:val="32"/>
          <w:szCs w:val="32"/>
          <w:highlight w:val="none"/>
          <w:lang w:val="en-US" w:eastAsia="zh-CN"/>
        </w:rPr>
        <w:t>为响应国家推行教育优质均衡发展要求，解决城乡、区域师资配置不均问题政策要求通过科学补充和优化师资队伍，为教育提高质量发展提供人力保障。</w:t>
      </w:r>
    </w:p>
    <w:p w14:paraId="0B770EE5">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2.主要内容及实施情况</w:t>
      </w:r>
      <w:bookmarkEnd w:id="16"/>
      <w:bookmarkEnd w:id="17"/>
      <w:bookmarkEnd w:id="18"/>
      <w:bookmarkEnd w:id="19"/>
    </w:p>
    <w:p w14:paraId="67CCDA0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kern w:val="0"/>
          <w:sz w:val="32"/>
          <w:szCs w:val="32"/>
          <w:highlight w:val="none"/>
          <w:shd w:val="clear" w:color="auto" w:fill="auto"/>
          <w:lang w:val="en-US" w:eastAsia="zh-CN" w:bidi="ar-SA"/>
        </w:rPr>
      </w:pPr>
      <w:bookmarkStart w:id="20" w:name="_Toc21898"/>
      <w:bookmarkStart w:id="21" w:name="_Toc16592"/>
      <w:bookmarkStart w:id="22" w:name="_Toc27245"/>
      <w:bookmarkStart w:id="23" w:name="_Toc27409"/>
      <w:r>
        <w:rPr>
          <w:rFonts w:hint="eastAsia" w:ascii="仿宋_GB2312" w:hAnsi="仿宋_GB2312" w:eastAsia="仿宋_GB2312" w:cs="仿宋_GB2312"/>
          <w:b/>
          <w:bCs/>
          <w:color w:val="auto"/>
          <w:kern w:val="0"/>
          <w:sz w:val="32"/>
          <w:szCs w:val="32"/>
          <w:highlight w:val="none"/>
          <w:shd w:val="clear" w:color="auto" w:fill="auto"/>
          <w:lang w:val="en-US" w:eastAsia="zh-CN" w:bidi="ar-SA"/>
        </w:rPr>
        <w:t>项目主要内容：</w:t>
      </w:r>
      <w:bookmarkEnd w:id="20"/>
      <w:bookmarkEnd w:id="21"/>
      <w:bookmarkEnd w:id="22"/>
      <w:bookmarkEnd w:id="23"/>
    </w:p>
    <w:p w14:paraId="06F1F5EC">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依据幼儿园在园幼儿人数，按一定标准核算并下发生均经费。经费主要用于教师工资待遇提升，吸引和留住优秀师资；购置先进的教学设备，如多媒体教学工具、益智玩具等；开发适合幼儿的特色课程，丰富教学内容；完善幼儿园的安全防护设施，包括门禁系统、监控设备等。</w:t>
      </w:r>
    </w:p>
    <w:p w14:paraId="5C516C8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项目实施情况：</w:t>
      </w:r>
      <w:r>
        <w:rPr>
          <w:rFonts w:hint="eastAsia" w:ascii="仿宋_GB2312" w:hAnsi="仿宋_GB2312" w:eastAsia="仿宋_GB2312" w:cs="仿宋_GB2312"/>
          <w:sz w:val="32"/>
          <w:szCs w:val="32"/>
          <w:lang w:val="en-US" w:eastAsia="zh-CN"/>
        </w:rPr>
        <w:t>本项目自2024年2月1日经</w:t>
      </w:r>
      <w:bookmarkStart w:id="24" w:name="OLE_LINK14"/>
      <w:r>
        <w:rPr>
          <w:rFonts w:hint="eastAsia" w:ascii="仿宋_GB2312" w:hAnsi="仿宋_GB2312" w:eastAsia="仿宋_GB2312" w:cs="仿宋_GB2312"/>
          <w:sz w:val="32"/>
          <w:szCs w:val="32"/>
          <w:lang w:val="en-US" w:eastAsia="zh-CN"/>
        </w:rPr>
        <w:t>《阜康市财政局关于2024年部门预算批复》【阜财预字（2024）7号】</w:t>
      </w:r>
      <w:bookmarkEnd w:id="24"/>
      <w:r>
        <w:rPr>
          <w:rFonts w:hint="eastAsia" w:ascii="仿宋_GB2312" w:hAnsi="仿宋_GB2312" w:eastAsia="仿宋_GB2312" w:cs="仿宋_GB2312"/>
          <w:sz w:val="32"/>
          <w:szCs w:val="32"/>
          <w:lang w:val="en-US" w:eastAsia="zh-CN"/>
        </w:rPr>
        <w:t>文件批复，经阜康市水磨沟乡中心幼儿园财经会议和党支部会议，确定了项目领导小组，明确了责任分工：</w:t>
      </w:r>
    </w:p>
    <w:p w14:paraId="2707324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组长为王荣，副组长为马翠，项目负责人为腊红静,组员为俞晴、范文静，其中：腊红静负责监管工作，俞晴负责项目档案资料，范文静负责资金拨付工作。</w:t>
      </w:r>
    </w:p>
    <w:p w14:paraId="3A05590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本项目按每人每月0.47万元的标准，完成27名选聘教师工资发放10次，共支付131.73万元。项目实施达到保障教师的正常工资待遇，提高教师的归属感，减少教师队伍人员流失，有效改善教学环境，提供良好的幼儿成长条件。</w:t>
      </w:r>
    </w:p>
    <w:p w14:paraId="0F27BC92">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5" w:name="_Toc569"/>
      <w:bookmarkStart w:id="26" w:name="_Toc10240"/>
      <w:bookmarkStart w:id="27" w:name="_Toc1858"/>
      <w:bookmarkStart w:id="28" w:name="_Toc1234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5"/>
      <w:bookmarkEnd w:id="26"/>
      <w:bookmarkEnd w:id="27"/>
      <w:bookmarkEnd w:id="28"/>
    </w:p>
    <w:p w14:paraId="2A75664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23509"/>
      <w:bookmarkStart w:id="30" w:name="_Toc694"/>
      <w:bookmarkStart w:id="31" w:name="_Toc26369"/>
      <w:r>
        <w:rPr>
          <w:rFonts w:hint="eastAsia" w:ascii="仿宋_GB2312" w:hAnsi="仿宋_GB2312" w:eastAsia="仿宋_GB2312" w:cs="仿宋_GB2312"/>
          <w:color w:val="auto"/>
          <w:sz w:val="32"/>
          <w:szCs w:val="32"/>
          <w:highlight w:val="none"/>
          <w:lang w:val="en-US" w:eastAsia="zh-CN"/>
        </w:rPr>
        <w:t>（1）资金投入情况</w:t>
      </w:r>
      <w:bookmarkEnd w:id="29"/>
      <w:bookmarkEnd w:id="30"/>
      <w:bookmarkEnd w:id="31"/>
    </w:p>
    <w:p w14:paraId="54BED6E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2" w:name="_Toc5573"/>
      <w:bookmarkStart w:id="33" w:name="_Toc29190"/>
      <w:bookmarkStart w:id="34" w:name="_Toc9464"/>
      <w:r>
        <w:rPr>
          <w:rFonts w:hint="eastAsia" w:ascii="仿宋_GB2312" w:hAnsi="仿宋_GB2312" w:eastAsia="仿宋_GB2312" w:cs="仿宋_GB2312"/>
          <w:color w:val="auto"/>
          <w:sz w:val="32"/>
          <w:szCs w:val="32"/>
          <w:highlight w:val="none"/>
          <w:lang w:val="en-US" w:eastAsia="zh-CN"/>
        </w:rPr>
        <w:t>该项目年初预算数157.42万元，全年预算数157.42万元，该项目资金已全部落实到位，资金来源为财政拨款。</w:t>
      </w:r>
      <w:bookmarkEnd w:id="32"/>
      <w:bookmarkEnd w:id="33"/>
      <w:bookmarkEnd w:id="34"/>
      <w:bookmarkStart w:id="35" w:name="_Toc1166"/>
      <w:bookmarkStart w:id="36" w:name="_Toc3409"/>
      <w:bookmarkStart w:id="37" w:name="_Toc28187"/>
    </w:p>
    <w:p w14:paraId="57700EF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5"/>
      <w:bookmarkEnd w:id="36"/>
      <w:bookmarkEnd w:id="37"/>
    </w:p>
    <w:p w14:paraId="6AADA7C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8" w:name="_Toc1430"/>
      <w:bookmarkStart w:id="39" w:name="_Toc11647"/>
      <w:bookmarkStart w:id="40" w:name="_Toc29121"/>
      <w:r>
        <w:rPr>
          <w:rFonts w:hint="eastAsia" w:ascii="仿宋_GB2312" w:hAnsi="仿宋_GB2312" w:eastAsia="仿宋_GB2312" w:cs="仿宋_GB2312"/>
          <w:color w:val="auto"/>
          <w:sz w:val="32"/>
          <w:szCs w:val="32"/>
          <w:highlight w:val="none"/>
          <w:lang w:val="en-US" w:eastAsia="zh-CN"/>
        </w:rPr>
        <w:t>该项目年初预算数157.42万元，全年预算数157.42万元，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全年执行数131.73万元，预算执行率为83.70%，主要用于：选聘教师工资发放、社保缴纳。</w:t>
      </w:r>
      <w:bookmarkEnd w:id="38"/>
      <w:bookmarkEnd w:id="39"/>
      <w:bookmarkEnd w:id="40"/>
    </w:p>
    <w:p w14:paraId="375304D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1" w:name="_Toc9109"/>
      <w:r>
        <w:rPr>
          <w:rFonts w:hint="eastAsia" w:ascii="Times New Roman" w:hAnsi="Times New Roman" w:eastAsia="楷体_GB2312" w:cs="Times New Roman"/>
          <w:color w:val="auto"/>
          <w:kern w:val="28"/>
          <w:sz w:val="32"/>
          <w:highlight w:val="none"/>
          <w:lang w:val="en-US" w:eastAsia="zh-CN"/>
        </w:rPr>
        <w:t>（二）项目绩效目标</w:t>
      </w:r>
      <w:bookmarkEnd w:id="41"/>
    </w:p>
    <w:p w14:paraId="546FCE2D">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2" w:name="_Toc2547"/>
      <w:bookmarkStart w:id="43" w:name="_Toc14758"/>
      <w:bookmarkStart w:id="44" w:name="_Toc8528"/>
      <w:bookmarkStart w:id="45" w:name="_Toc100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42"/>
      <w:bookmarkEnd w:id="43"/>
      <w:bookmarkEnd w:id="44"/>
      <w:bookmarkEnd w:id="45"/>
    </w:p>
    <w:p w14:paraId="0D45E2F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绩效总体目标为：保障2024年幼儿园正常运转，维持幼儿园正常教学秩序。计划全年按时支付选聘教师27人10次工资补助经费，每人每月0.47万元。通过按时发放选聘教师工资，保障教师的正常工资待遇，提高教师的归属感，减少教师队伍人员流失，有效改善教学环境，提供良好的幼儿成长条件，达到幼儿园正常运转的目的。</w:t>
      </w:r>
    </w:p>
    <w:p w14:paraId="0C01434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6" w:name="_Toc8990"/>
      <w:bookmarkStart w:id="47" w:name="_Toc3255"/>
      <w:bookmarkStart w:id="48" w:name="_Toc4487"/>
      <w:bookmarkStart w:id="49" w:name="_Toc4007"/>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6"/>
      <w:bookmarkEnd w:id="47"/>
      <w:bookmarkEnd w:id="48"/>
      <w:bookmarkEnd w:id="49"/>
    </w:p>
    <w:p w14:paraId="1ABC34F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bCs/>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AD32B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706D442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582A5D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选聘教师人数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指标，预期目标值为≧27人；</w:t>
      </w:r>
    </w:p>
    <w:p w14:paraId="5EB915D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yellow"/>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工资支付次数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指标，预期目标值为=12次；</w:t>
      </w:r>
    </w:p>
    <w:p w14:paraId="7386CE1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0" w:name="OLE_LINK3"/>
      <w:r>
        <w:rPr>
          <w:rFonts w:hint="eastAsia" w:ascii="仿宋_GB2312" w:hAnsi="仿宋_GB2312" w:eastAsia="仿宋_GB2312" w:cs="仿宋_GB2312"/>
          <w:color w:val="auto"/>
          <w:sz w:val="32"/>
          <w:szCs w:val="32"/>
          <w:highlight w:val="none"/>
          <w:shd w:val="clear" w:color="auto" w:fill="auto"/>
          <w:lang w:val="en-US" w:eastAsia="zh-CN"/>
        </w:rPr>
        <w:t>②质量指标</w:t>
      </w:r>
    </w:p>
    <w:p w14:paraId="58A3342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人员经费享受比例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bookmarkEnd w:id="50"/>
    </w:p>
    <w:p w14:paraId="7548417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6CE0C93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“选聘教师工资发放时间”指标，预期目标值为=1次/月；</w:t>
      </w:r>
    </w:p>
    <w:p w14:paraId="475EFC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D39547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人员经费标准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指标，预期目标值为=5.62万元/人/学年；</w:t>
      </w:r>
    </w:p>
    <w:p w14:paraId="3B4AD77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78B9E4B5">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7F84A03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r>
        <w:rPr>
          <w:rFonts w:hint="eastAsia" w:ascii="仿宋_GB2312" w:hAnsi="仿宋_GB2312" w:eastAsia="仿宋_GB2312" w:cs="仿宋_GB2312"/>
          <w:color w:val="auto"/>
          <w:sz w:val="32"/>
          <w:szCs w:val="32"/>
          <w:highlight w:val="none"/>
          <w:shd w:val="clear" w:color="auto" w:fill="auto"/>
          <w:lang w:val="en-US" w:eastAsia="zh-CN"/>
        </w:rPr>
        <w:tab/>
      </w:r>
      <w:r>
        <w:rPr>
          <w:rFonts w:hint="eastAsia" w:ascii="仿宋_GB2312" w:hAnsi="仿宋_GB2312" w:eastAsia="仿宋_GB2312" w:cs="仿宋_GB2312"/>
          <w:color w:val="auto"/>
          <w:sz w:val="32"/>
          <w:szCs w:val="32"/>
          <w:highlight w:val="none"/>
          <w:shd w:val="clear" w:color="auto" w:fill="auto"/>
          <w:lang w:val="en-US" w:eastAsia="zh-CN"/>
        </w:rPr>
        <w:tab/>
      </w:r>
    </w:p>
    <w:p w14:paraId="17A46EF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50A39469">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51" w:name="_Toc26567"/>
      <w:r>
        <w:rPr>
          <w:rFonts w:hint="eastAsia" w:ascii="宋体" w:hAnsi="宋体" w:eastAsia="宋体" w:cs="宋体"/>
          <w:b/>
          <w:bCs/>
          <w:color w:val="auto"/>
          <w:highlight w:val="none"/>
          <w:shd w:val="clear" w:color="auto" w:fill="auto"/>
        </w:rPr>
        <w:t>二、绩效评价工作开展情况</w:t>
      </w:r>
      <w:bookmarkEnd w:id="51"/>
    </w:p>
    <w:p w14:paraId="6380331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52" w:name="_Toc21664"/>
      <w:bookmarkStart w:id="53" w:name="_Toc26632"/>
      <w:bookmarkStart w:id="54" w:name="_Toc22169_WPSOffice_Level2"/>
      <w:bookmarkStart w:id="55" w:name="_Toc5462343"/>
      <w:bookmarkStart w:id="56" w:name="_Toc5258"/>
      <w:bookmarkStart w:id="57" w:name="_Toc480473081"/>
      <w:bookmarkStart w:id="58" w:name="_Toc12868"/>
      <w:bookmarkStart w:id="59" w:name="_Toc22922"/>
      <w:bookmarkStart w:id="60" w:name="_Toc22839"/>
      <w:r>
        <w:rPr>
          <w:rFonts w:hint="eastAsia" w:ascii="Times New Roman" w:hAnsi="Times New Roman" w:eastAsia="楷体_GB2312" w:cs="Times New Roman"/>
          <w:color w:val="auto"/>
          <w:kern w:val="28"/>
          <w:sz w:val="32"/>
          <w:highlight w:val="none"/>
          <w:lang w:val="en-US" w:eastAsia="zh-CN"/>
        </w:rPr>
        <w:t>（一）绩效评价的目的</w:t>
      </w:r>
      <w:bookmarkEnd w:id="52"/>
      <w:bookmarkEnd w:id="53"/>
      <w:bookmarkEnd w:id="54"/>
      <w:bookmarkEnd w:id="55"/>
      <w:bookmarkEnd w:id="56"/>
      <w:bookmarkEnd w:id="57"/>
      <w:bookmarkEnd w:id="58"/>
      <w:bookmarkEnd w:id="59"/>
      <w:r>
        <w:rPr>
          <w:rFonts w:hint="eastAsia" w:ascii="Times New Roman" w:hAnsi="Times New Roman" w:eastAsia="楷体_GB2312" w:cs="Times New Roman"/>
          <w:color w:val="auto"/>
          <w:kern w:val="28"/>
          <w:sz w:val="32"/>
          <w:highlight w:val="none"/>
          <w:lang w:val="en-US" w:eastAsia="zh-CN"/>
        </w:rPr>
        <w:t>、对象和范围</w:t>
      </w:r>
      <w:bookmarkEnd w:id="60"/>
    </w:p>
    <w:p w14:paraId="5EC9091E">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61"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6259B2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2A2E3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1983FF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3BD01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245D0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5DC2CF4">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2" w:name="_Toc417"/>
      <w:bookmarkStart w:id="63"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61"/>
      <w:bookmarkEnd w:id="62"/>
      <w:bookmarkEnd w:id="63"/>
    </w:p>
    <w:p w14:paraId="11DABDA7">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5E7B73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4" w:name="_Toc30609"/>
      <w:r>
        <w:rPr>
          <w:rFonts w:hint="default" w:ascii="Times New Roman" w:hAnsi="Times New Roman" w:eastAsia="仿宋_GB2312" w:cs="Times New Roman"/>
          <w:color w:val="auto"/>
          <w:sz w:val="32"/>
          <w:szCs w:val="32"/>
          <w:highlight w:val="none"/>
        </w:rPr>
        <w:t>（1）评估项目实施效果</w:t>
      </w:r>
    </w:p>
    <w:p w14:paraId="79D292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通过对项目预算执行情况及各项绩效目标达成程度的系统性分析，全面、客观地评估项目在预定周期内的实施效果，包括社会效益以及可持续性等多维度指标，为项目后续的改进与优化提供科学依据。</w:t>
      </w:r>
    </w:p>
    <w:p w14:paraId="29EFE9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04E8B6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661B3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6333F518">
      <w:pPr>
        <w:pageBreakBefore w:val="0"/>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3EF53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520FD6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47496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3A0C1A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64466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CBBD2BD">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5" w:name="_Toc31970"/>
      <w:bookmarkStart w:id="66"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4"/>
      <w:bookmarkEnd w:id="65"/>
      <w:bookmarkEnd w:id="66"/>
    </w:p>
    <w:p w14:paraId="7D2B634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w:t>
      </w:r>
      <w:bookmarkStart w:id="67" w:name="OLE_LINK5"/>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67"/>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4FD7D7D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阜康市水磨沟乡中心幼儿园</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保障教师的正常工资待遇，提高教师的归属感，减少教师队伍人员流失，有效改善教学环境，提供良好的幼儿成长条件</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2024年2月1日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131.73</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6F907710">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8" w:name="_Toc21311"/>
      <w:bookmarkStart w:id="69" w:name="_Toc11666"/>
      <w:r>
        <w:rPr>
          <w:rFonts w:hint="default" w:cs="仿宋_GB2312"/>
          <w:color w:val="auto"/>
          <w:sz w:val="32"/>
          <w:szCs w:val="32"/>
          <w:highlight w:val="none"/>
          <w:shd w:val="clear" w:color="auto" w:fill="auto"/>
          <w:lang w:val="en-US" w:eastAsia="zh-CN"/>
        </w:rPr>
        <w:t>4.绩效评价的范围</w:t>
      </w:r>
      <w:bookmarkEnd w:id="68"/>
      <w:bookmarkEnd w:id="69"/>
    </w:p>
    <w:p w14:paraId="7E6B278A">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7B395F4D">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4667BBE1">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7B3C0E74">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5836343D">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val="en-US" w:eastAsia="zh-CN"/>
        </w:rPr>
        <w:t>等</w:t>
      </w:r>
      <w:r>
        <w:rPr>
          <w:rFonts w:hint="eastAsia" w:ascii="仿宋_GB2312" w:hAnsi="仿宋_GB2312" w:eastAsia="仿宋_GB2312" w:cs="仿宋_GB2312"/>
          <w:b w:val="0"/>
          <w:bCs w:val="0"/>
          <w:color w:val="auto"/>
          <w:sz w:val="32"/>
          <w:szCs w:val="32"/>
          <w:highlight w:val="none"/>
        </w:rPr>
        <w:t>影响：考察项目对社会等方面的综合影响。</w:t>
      </w:r>
    </w:p>
    <w:p w14:paraId="1E53207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left="638" w:leftChars="228" w:firstLine="0" w:firstLineChars="0"/>
        <w:jc w:val="both"/>
        <w:textAlignment w:val="auto"/>
        <w:rPr>
          <w:rFonts w:hint="eastAsia" w:ascii="Times New Roman" w:hAnsi="Times New Roman" w:eastAsia="楷体_GB2312" w:cs="Times New Roman"/>
          <w:color w:val="auto"/>
          <w:kern w:val="28"/>
          <w:sz w:val="32"/>
          <w:highlight w:val="none"/>
          <w:lang w:val="en-US" w:eastAsia="zh-CN"/>
        </w:rPr>
      </w:pPr>
      <w:bookmarkStart w:id="70" w:name="_Toc29785"/>
      <w:bookmarkStart w:id="71"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70"/>
      <w:bookmarkEnd w:id="71"/>
    </w:p>
    <w:p w14:paraId="7A98D275">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72" w:name="_Toc5354"/>
      <w:bookmarkStart w:id="73" w:name="_Toc13694"/>
      <w:bookmarkStart w:id="74"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72"/>
      <w:bookmarkEnd w:id="73"/>
      <w:bookmarkEnd w:id="74"/>
    </w:p>
    <w:p w14:paraId="5B1F7BA5">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2024年选聘教师工资补助经费项目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2125A6FF">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7984016B">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14B02BE5">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3C44EDF5">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6184ADF4">
      <w:pPr>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42406887">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5" w:name="_Toc24396"/>
      <w:bookmarkStart w:id="76" w:name="_Toc428278230"/>
      <w:bookmarkStart w:id="77" w:name="_Toc26131"/>
      <w:bookmarkStart w:id="78" w:name="_Toc419984722"/>
      <w:bookmarkStart w:id="79" w:name="_Toc1913"/>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5"/>
      <w:bookmarkEnd w:id="76"/>
      <w:bookmarkEnd w:id="77"/>
      <w:bookmarkEnd w:id="78"/>
      <w:bookmarkEnd w:id="79"/>
    </w:p>
    <w:p w14:paraId="437A682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80"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6E917F9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143724A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65FBC2B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3F8CB5E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1D0E89E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737E8D7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09C7AAB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2604EF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42358CF0">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1" w:name="_Toc5690"/>
      <w:bookmarkStart w:id="82"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80"/>
      <w:bookmarkEnd w:id="81"/>
      <w:bookmarkEnd w:id="82"/>
    </w:p>
    <w:p w14:paraId="2B46BB24">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83"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5C9FEB68">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6E763599">
      <w:pPr>
        <w:pageBreakBefore w:val="0"/>
        <w:kinsoku/>
        <w:wordWrap/>
        <w:overflowPunct/>
        <w:topLinePunct w:val="0"/>
        <w:autoSpaceDE/>
        <w:autoSpaceDN/>
        <w:bidi w:val="0"/>
        <w:adjustRightIn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bookmarkStart w:id="84" w:name="_Toc25651"/>
      <w:bookmarkStart w:id="85" w:name="_Toc6081"/>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49E9048D">
      <w:pPr>
        <w:pageBreakBefore w:val="0"/>
        <w:kinsoku/>
        <w:wordWrap/>
        <w:overflowPunct/>
        <w:topLinePunct w:val="0"/>
        <w:autoSpaceDE/>
        <w:autoSpaceDN/>
        <w:bidi w:val="0"/>
        <w:adjustRightIn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7CF58622">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）最低成本法。是指在绩效目标确定的前提下，成本最小者为优的方法</w:t>
      </w:r>
      <w:r>
        <w:rPr>
          <w:rFonts w:hint="eastAsia" w:ascii="Times New Roman" w:hAnsi="Times New Roman" w:eastAsia="仿宋_GB2312" w:cs="Times New Roman"/>
          <w:color w:val="auto"/>
          <w:spacing w:val="17"/>
          <w:sz w:val="32"/>
          <w:szCs w:val="32"/>
          <w:highlight w:val="none"/>
          <w:lang w:val="en-US" w:eastAsia="zh-CN"/>
        </w:rPr>
        <w:t>。</w:t>
      </w:r>
    </w:p>
    <w:p w14:paraId="099C9C74">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4.评价标准</w:t>
      </w:r>
      <w:bookmarkEnd w:id="83"/>
      <w:bookmarkEnd w:id="84"/>
      <w:bookmarkEnd w:id="85"/>
    </w:p>
    <w:p w14:paraId="69D33548">
      <w:pPr>
        <w:pageBreakBefore w:val="0"/>
        <w:kinsoku/>
        <w:wordWrap/>
        <w:overflowPunct/>
        <w:topLinePunct w:val="0"/>
        <w:autoSpaceDE/>
        <w:autoSpaceDN/>
        <w:bidi w:val="0"/>
        <w:adjustRightIn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预算支出标准</w:t>
      </w:r>
      <w:r>
        <w:rPr>
          <w:rFonts w:hint="default" w:ascii="Times New Roman" w:hAnsi="Times New Roman" w:eastAsia="仿宋_GB2312" w:cs="Times New Roman"/>
          <w:color w:val="auto"/>
          <w:spacing w:val="17"/>
          <w:sz w:val="32"/>
          <w:szCs w:val="32"/>
          <w:highlight w:val="none"/>
        </w:rPr>
        <w:t>。</w:t>
      </w:r>
    </w:p>
    <w:p w14:paraId="62DCA4B3">
      <w:pPr>
        <w:pageBreakBefore w:val="0"/>
        <w:kinsoku/>
        <w:wordWrap/>
        <w:overflowPunct/>
        <w:topLinePunct w:val="0"/>
        <w:autoSpaceDE/>
        <w:autoSpaceDN/>
        <w:bidi w:val="0"/>
        <w:adjustRightIn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004FA035">
      <w:pPr>
        <w:pageBreakBefore w:val="0"/>
        <w:kinsoku/>
        <w:wordWrap/>
        <w:overflowPunct/>
        <w:topLinePunct w:val="0"/>
        <w:autoSpaceDE/>
        <w:autoSpaceDN/>
        <w:bidi w:val="0"/>
        <w:adjustRightIn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财政部门和预算部门确认或认可的其他标准。</w:t>
      </w:r>
    </w:p>
    <w:p w14:paraId="33F8A03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6" w:name="_Toc21435"/>
      <w:r>
        <w:rPr>
          <w:rFonts w:hint="eastAsia" w:ascii="Times New Roman" w:hAnsi="Times New Roman" w:eastAsia="楷体_GB2312" w:cs="Times New Roman"/>
          <w:color w:val="auto"/>
          <w:kern w:val="28"/>
          <w:sz w:val="32"/>
          <w:highlight w:val="none"/>
          <w:lang w:val="en-US" w:eastAsia="zh-CN"/>
        </w:rPr>
        <w:t>（三）绩效评价工作过程</w:t>
      </w:r>
      <w:bookmarkEnd w:id="86"/>
    </w:p>
    <w:p w14:paraId="4AF305DC">
      <w:pPr>
        <w:pageBreakBefore w:val="0"/>
        <w:kinsoku/>
        <w:wordWrap/>
        <w:overflowPunct/>
        <w:topLinePunct w:val="0"/>
        <w:autoSpaceDE/>
        <w:autoSpaceDN/>
        <w:bidi w:val="0"/>
        <w:adjustRightInd/>
        <w:spacing w:line="560" w:lineRule="exact"/>
        <w:ind w:firstLine="711" w:firstLineChars="200"/>
        <w:textAlignment w:val="auto"/>
        <w:rPr>
          <w:rFonts w:hint="eastAsia" w:ascii="Times New Roman" w:hAnsi="Times New Roman" w:eastAsia="仿宋_GB2312" w:cs="Times New Roman"/>
          <w:b/>
          <w:bCs/>
          <w:color w:val="auto"/>
          <w:spacing w:val="17"/>
          <w:sz w:val="32"/>
          <w:szCs w:val="32"/>
          <w:highlight w:val="none"/>
          <w:lang w:val="en-US" w:eastAsia="zh-CN"/>
        </w:rPr>
      </w:pPr>
      <w:bookmarkStart w:id="87"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7"/>
    </w:p>
    <w:p w14:paraId="7CF4DEE0">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69A2AC1F">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2CF6A9EB">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88"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8"/>
    </w:p>
    <w:p w14:paraId="34401984">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89"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89"/>
    </w:p>
    <w:p w14:paraId="0C6258F6">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0"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90"/>
    </w:p>
    <w:p w14:paraId="2CFD88D4">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1"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91"/>
    </w:p>
    <w:p w14:paraId="226B6160">
      <w:pPr>
        <w:pageBreakBefore w:val="0"/>
        <w:kinsoku/>
        <w:wordWrap/>
        <w:overflowPunct/>
        <w:topLinePunct w:val="0"/>
        <w:autoSpaceDE/>
        <w:autoSpaceDN/>
        <w:bidi w:val="0"/>
        <w:adjustRightInd/>
        <w:spacing w:line="560" w:lineRule="exact"/>
        <w:ind w:firstLine="711" w:firstLineChars="200"/>
        <w:textAlignment w:val="auto"/>
        <w:rPr>
          <w:rFonts w:hint="eastAsia" w:ascii="Times New Roman" w:hAnsi="Times New Roman" w:eastAsia="仿宋_GB2312" w:cs="Times New Roman"/>
          <w:b/>
          <w:bCs/>
          <w:color w:val="auto"/>
          <w:spacing w:val="17"/>
          <w:sz w:val="32"/>
          <w:szCs w:val="32"/>
          <w:highlight w:val="none"/>
          <w:lang w:val="en-US" w:eastAsia="zh-CN"/>
        </w:rPr>
      </w:pPr>
      <w:bookmarkStart w:id="92"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92"/>
    </w:p>
    <w:p w14:paraId="313F1DE1">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3"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93"/>
    </w:p>
    <w:p w14:paraId="064D3A3B">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4"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94"/>
    </w:p>
    <w:p w14:paraId="2CBCB331">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5"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5"/>
    </w:p>
    <w:p w14:paraId="73F7E678">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6"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6"/>
    </w:p>
    <w:p w14:paraId="5749CD04">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7"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7"/>
    </w:p>
    <w:p w14:paraId="5AE4DF29">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8"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8"/>
    </w:p>
    <w:p w14:paraId="43A841BC">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99"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9"/>
    </w:p>
    <w:p w14:paraId="59E44A57">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0"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100"/>
    </w:p>
    <w:p w14:paraId="0E7C1696">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1"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101"/>
    </w:p>
    <w:p w14:paraId="4F46581D">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2"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02"/>
    </w:p>
    <w:p w14:paraId="5EBBF46F">
      <w:pPr>
        <w:pageBreakBefore w:val="0"/>
        <w:kinsoku/>
        <w:wordWrap/>
        <w:overflowPunct/>
        <w:topLinePunct w:val="0"/>
        <w:autoSpaceDE/>
        <w:autoSpaceDN/>
        <w:bidi w:val="0"/>
        <w:adjustRightInd/>
        <w:spacing w:line="560" w:lineRule="exact"/>
        <w:ind w:firstLine="711" w:firstLineChars="200"/>
        <w:textAlignment w:val="auto"/>
        <w:rPr>
          <w:rFonts w:hint="default" w:ascii="Times New Roman" w:hAnsi="Times New Roman" w:eastAsia="仿宋_GB2312" w:cs="Times New Roman"/>
          <w:b/>
          <w:bCs/>
          <w:color w:val="auto"/>
          <w:spacing w:val="17"/>
          <w:sz w:val="32"/>
          <w:szCs w:val="32"/>
          <w:highlight w:val="none"/>
          <w:lang w:val="en-US" w:eastAsia="zh-CN"/>
        </w:rPr>
      </w:pPr>
      <w:bookmarkStart w:id="103"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103"/>
    </w:p>
    <w:p w14:paraId="5DC7796C">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4"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104"/>
    </w:p>
    <w:p w14:paraId="6F225CF9">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5"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5"/>
    </w:p>
    <w:p w14:paraId="0E58AFFD">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6"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6"/>
    </w:p>
    <w:p w14:paraId="0BC33146">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7"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7"/>
    </w:p>
    <w:p w14:paraId="4AD36FD6">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en-US" w:eastAsia="zh-CN"/>
        </w:rPr>
      </w:pPr>
      <w:bookmarkStart w:id="108"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8"/>
    </w:p>
    <w:p w14:paraId="151F8F83">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9"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9"/>
    </w:p>
    <w:p w14:paraId="06F1CE5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10"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10"/>
    </w:p>
    <w:p w14:paraId="187733F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7C55DE43">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阜康市水磨沟乡中心幼儿园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54B001CB">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保障教师的正常工资待遇，提高教师的归属感，减少教师队伍人员流失</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10A3E2F0">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6FEF44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11" w:name="_Toc11863"/>
      <w:r>
        <w:rPr>
          <w:rFonts w:hint="eastAsia" w:ascii="Times New Roman" w:hAnsi="Times New Roman" w:eastAsia="楷体_GB2312" w:cs="Times New Roman"/>
          <w:color w:val="auto"/>
          <w:kern w:val="28"/>
          <w:sz w:val="32"/>
          <w:highlight w:val="none"/>
          <w:lang w:val="en-US" w:eastAsia="zh-CN"/>
        </w:rPr>
        <w:t>（二）相关评分表</w:t>
      </w:r>
      <w:bookmarkEnd w:id="111"/>
    </w:p>
    <w:p w14:paraId="02407386">
      <w:pPr>
        <w:pageBreakBefore w:val="0"/>
        <w:kinsoku/>
        <w:wordWrap/>
        <w:overflowPunct/>
        <w:topLinePunct w:val="0"/>
        <w:autoSpaceDE/>
        <w:autoSpaceDN/>
        <w:bidi w:val="0"/>
        <w:adjustRightInd/>
        <w:spacing w:line="560" w:lineRule="exact"/>
        <w:ind w:firstLine="708" w:firstLineChars="200"/>
        <w:textAlignment w:val="auto"/>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90.29</w:t>
      </w:r>
      <w:r>
        <w:rPr>
          <w:rFonts w:hint="default" w:ascii="Times New Roman" w:hAnsi="Times New Roman" w:eastAsia="仿宋_GB2312" w:cs="Times New Roman"/>
          <w:color w:val="auto"/>
          <w:spacing w:val="17"/>
          <w:sz w:val="32"/>
          <w:szCs w:val="32"/>
          <w:highlight w:val="none"/>
          <w:lang w:val="en-US" w:eastAsia="zh-CN"/>
        </w:rPr>
        <w:t>分，属于“</w:t>
      </w:r>
      <w:r>
        <w:rPr>
          <w:rFonts w:hint="eastAsia" w:ascii="Times New Roman" w:hAnsi="Times New Roman" w:eastAsia="仿宋_GB2312" w:cs="Times New Roman"/>
          <w:color w:val="auto"/>
          <w:spacing w:val="17"/>
          <w:sz w:val="32"/>
          <w:szCs w:val="32"/>
          <w:highlight w:val="none"/>
          <w:lang w:val="en-US" w:eastAsia="zh-CN"/>
        </w:rPr>
        <w:t>优</w:t>
      </w:r>
      <w:r>
        <w:rPr>
          <w:rFonts w:hint="default" w:ascii="Times New Roman" w:hAnsi="Times New Roman" w:eastAsia="仿宋_GB2312" w:cs="Times New Roman"/>
          <w:color w:val="auto"/>
          <w:spacing w:val="17"/>
          <w:sz w:val="32"/>
          <w:szCs w:val="32"/>
          <w:highlight w:val="none"/>
          <w:lang w:val="en-US" w:eastAsia="zh-CN"/>
        </w:rPr>
        <w:t>”。其中，项目决策类指标权重为20分，得分为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19.34</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31.75</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79.37</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7386B805">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1CC7C6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表3-1：2024年选聘教师工资补助经费项目得分表</w:t>
            </w:r>
          </w:p>
        </w:tc>
      </w:tr>
      <w:tr w14:paraId="2F5DF23C">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012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0FF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3CD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D78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873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C3E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4DE26550">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89E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bookmarkStart w:id="112" w:name="OLE_LINK6" w:colFirst="1" w:colLast="5"/>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11B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1D0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871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118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3BE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bookmarkEnd w:id="112"/>
      <w:tr w14:paraId="233AC00F">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166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AB4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A28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19.34</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CF5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31.75</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2D5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8D1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90.29</w:t>
            </w:r>
          </w:p>
        </w:tc>
      </w:tr>
      <w:tr w14:paraId="2F6C990E">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393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C45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bookmarkStart w:id="113" w:name="OLE_LINK7"/>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bookmarkEnd w:id="113"/>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9C5B0">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96.7</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D9B05">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79.37</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710B7">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997EE">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90.29</w:t>
            </w:r>
            <w:r>
              <w:rPr>
                <w:rFonts w:hint="eastAsia" w:ascii="宋体" w:hAnsi="宋体" w:eastAsia="宋体" w:cs="宋体"/>
                <w:color w:val="auto"/>
                <w:kern w:val="0"/>
                <w:sz w:val="21"/>
                <w:szCs w:val="21"/>
                <w:highlight w:val="none"/>
                <w:shd w:val="clear" w:color="auto" w:fill="auto"/>
                <w:lang w:val="en-US" w:eastAsia="zh-CN"/>
              </w:rPr>
              <w:t>%</w:t>
            </w:r>
          </w:p>
        </w:tc>
      </w:tr>
    </w:tbl>
    <w:p w14:paraId="271D6D69">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14" w:name="_Toc14941"/>
      <w:r>
        <w:rPr>
          <w:rFonts w:hint="eastAsia" w:ascii="黑体" w:hAnsi="黑体" w:eastAsia="黑体" w:cs="黑体"/>
          <w:b w:val="0"/>
          <w:bCs w:val="0"/>
          <w:color w:val="auto"/>
          <w:highlight w:val="none"/>
          <w:shd w:val="clear" w:color="auto" w:fill="auto"/>
          <w:lang w:val="en-US" w:eastAsia="zh-CN"/>
        </w:rPr>
        <w:t>四、绩效评价指标分析</w:t>
      </w:r>
      <w:bookmarkEnd w:id="114"/>
    </w:p>
    <w:p w14:paraId="27C4CF14">
      <w:pPr>
        <w:pStyle w:val="14"/>
        <w:pageBreakBefore w:val="0"/>
        <w:widowControl/>
        <w:kinsoku/>
        <w:wordWrap/>
        <w:overflowPunct/>
        <w:topLinePunct w:val="0"/>
        <w:autoSpaceDE/>
        <w:autoSpaceDN/>
        <w:bidi w:val="0"/>
        <w:adjustRightIn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rPr>
      </w:pPr>
      <w:bookmarkStart w:id="115" w:name="_Toc6759"/>
      <w:r>
        <w:rPr>
          <w:rFonts w:hint="eastAsia" w:ascii="Times New Roman" w:hAnsi="Times New Roman" w:eastAsia="楷体_GB2312" w:cs="Times New Roman"/>
          <w:color w:val="auto"/>
          <w:kern w:val="28"/>
          <w:sz w:val="32"/>
          <w:highlight w:val="none"/>
        </w:rPr>
        <w:t>（一）项目决策情况</w:t>
      </w:r>
      <w:bookmarkEnd w:id="115"/>
    </w:p>
    <w:p w14:paraId="1C5EEB52">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3245AA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5D3009E1">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72F8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BF95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002B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56C2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BB51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384E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2F91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F1F5621">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56AE6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16" w:name="OLE_LINK8" w:colFirst="5" w:colLast="5"/>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066D4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6FA92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2DA95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6C45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0FD1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026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3E3EBE6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7E43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6F5B6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6EAA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2A7C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7257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5BE2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3968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25FCA9D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B733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D664B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7C78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E7EC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B947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BF49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EAC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0ECD9B9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16DEA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8ED0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1803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3EA6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0254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A40C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C996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3444603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08337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9E28F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8D964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77CC8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7924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AE49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A3B2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5341FEB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2B15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DBE8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1044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BC7E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5F51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18CF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E069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bookmarkEnd w:id="116"/>
      <w:tr w14:paraId="7793E614">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AE4B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F89C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9FB7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EC31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3BA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3EE8F9AB">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28069"/>
      <w:bookmarkStart w:id="118" w:name="_Toc13522"/>
      <w:r>
        <w:rPr>
          <w:rFonts w:hint="eastAsia" w:ascii="仿宋_GB2312" w:hAnsi="仿宋_GB2312" w:eastAsia="仿宋_GB2312" w:cs="仿宋_GB2312"/>
          <w:b/>
          <w:bCs/>
          <w:color w:val="auto"/>
          <w:sz w:val="32"/>
          <w:szCs w:val="32"/>
          <w:highlight w:val="none"/>
          <w:lang w:val="en-US" w:eastAsia="zh-CN"/>
        </w:rPr>
        <w:t>1.立项依据充分性</w:t>
      </w:r>
      <w:bookmarkEnd w:id="117"/>
      <w:bookmarkEnd w:id="118"/>
    </w:p>
    <w:p w14:paraId="6CE62F0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①项目立项符合《中华人民共和国学前教育法》、《关于学前教育深化改革规范发展的若干意见》</w:t>
      </w:r>
      <w:r>
        <w:rPr>
          <w:rFonts w:hint="eastAsia" w:ascii="仿宋_GB2312" w:hAnsi="仿宋_GB2312" w:eastAsia="仿宋_GB2312" w:cs="仿宋_GB2312"/>
          <w:color w:val="auto"/>
          <w:sz w:val="32"/>
          <w:szCs w:val="32"/>
          <w:highlight w:val="none"/>
          <w:lang w:val="en-US" w:eastAsia="zh-CN"/>
        </w:rPr>
        <w:t>等</w:t>
      </w:r>
      <w:r>
        <w:rPr>
          <w:rFonts w:hint="eastAsia" w:ascii="仿宋_GB2312" w:hAnsi="仿宋_GB2312" w:eastAsia="仿宋_GB2312" w:cs="仿宋_GB2312"/>
          <w:color w:val="auto"/>
          <w:sz w:val="32"/>
          <w:szCs w:val="32"/>
          <w:highlight w:val="none"/>
          <w:lang w:eastAsia="zh-CN"/>
        </w:rPr>
        <w:t>；</w:t>
      </w:r>
    </w:p>
    <w:p w14:paraId="22A29F1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②项目立项符合《幼儿园教职工配备标准（暂行）》</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政策要求；</w:t>
      </w:r>
    </w:p>
    <w:p w14:paraId="37490B5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en-US" w:eastAsia="zh-CN"/>
        </w:rPr>
        <w:t>宣传贯彻党和国家的教育方针、教育政策、教育法律法规、贯彻执行上级教育行政部门的各项规章制度的</w:t>
      </w:r>
      <w:r>
        <w:rPr>
          <w:rFonts w:hint="eastAsia" w:ascii="仿宋_GB2312" w:hAnsi="仿宋_GB2312" w:eastAsia="仿宋_GB2312" w:cs="仿宋_GB2312"/>
          <w:color w:val="auto"/>
          <w:sz w:val="32"/>
          <w:szCs w:val="32"/>
          <w:highlight w:val="none"/>
          <w:lang w:eastAsia="zh-CN"/>
        </w:rPr>
        <w:t>部门职责范围相符，属于部门履职所需；</w:t>
      </w:r>
    </w:p>
    <w:p w14:paraId="434D0A1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671B4BB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115E86A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0738B68">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3240"/>
      <w:bookmarkStart w:id="120" w:name="_Toc21976"/>
      <w:r>
        <w:rPr>
          <w:rFonts w:hint="eastAsia" w:ascii="仿宋_GB2312" w:hAnsi="仿宋_GB2312" w:eastAsia="仿宋_GB2312" w:cs="仿宋_GB2312"/>
          <w:b/>
          <w:bCs/>
          <w:color w:val="auto"/>
          <w:sz w:val="32"/>
          <w:szCs w:val="32"/>
          <w:highlight w:val="none"/>
          <w:lang w:val="en-US" w:eastAsia="zh-CN"/>
        </w:rPr>
        <w:t>2.立项程序规范性</w:t>
      </w:r>
      <w:bookmarkEnd w:id="119"/>
      <w:bookmarkEnd w:id="120"/>
    </w:p>
    <w:p w14:paraId="4BA3FBE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6AA69FE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3A3F213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未经过可行性研究、专家论证、</w:t>
      </w:r>
      <w:r>
        <w:rPr>
          <w:rFonts w:hint="eastAsia" w:ascii="仿宋_GB2312" w:hAnsi="仿宋_GB2312" w:eastAsia="仿宋_GB2312" w:cs="仿宋_GB2312"/>
          <w:color w:val="auto"/>
          <w:sz w:val="32"/>
          <w:szCs w:val="32"/>
          <w:highlight w:val="none"/>
          <w:lang w:eastAsia="zh-CN"/>
        </w:rPr>
        <w:t>风险评估扣</w:t>
      </w:r>
      <w:r>
        <w:rPr>
          <w:rFonts w:hint="eastAsia" w:ascii="仿宋_GB2312" w:hAnsi="仿宋_GB2312" w:eastAsia="仿宋_GB2312" w:cs="仿宋_GB2312"/>
          <w:color w:val="auto"/>
          <w:sz w:val="32"/>
          <w:szCs w:val="32"/>
          <w:highlight w:val="none"/>
          <w:lang w:val="en-US" w:eastAsia="zh-CN"/>
        </w:rPr>
        <w:t>0.8分</w:t>
      </w:r>
      <w:r>
        <w:rPr>
          <w:rFonts w:hint="eastAsia" w:ascii="仿宋_GB2312" w:hAnsi="仿宋_GB2312" w:eastAsia="仿宋_GB2312" w:cs="仿宋_GB2312"/>
          <w:color w:val="auto"/>
          <w:sz w:val="32"/>
          <w:szCs w:val="32"/>
          <w:highlight w:val="none"/>
          <w:lang w:eastAsia="zh-CN"/>
        </w:rPr>
        <w:t>。</w:t>
      </w:r>
    </w:p>
    <w:p w14:paraId="0ACB6FB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p>
    <w:p w14:paraId="10ED5908">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1" w:name="_Toc23542"/>
      <w:bookmarkStart w:id="122" w:name="_Toc15382"/>
      <w:r>
        <w:rPr>
          <w:rFonts w:hint="eastAsia" w:ascii="仿宋_GB2312" w:hAnsi="仿宋_GB2312" w:eastAsia="仿宋_GB2312" w:cs="仿宋_GB2312"/>
          <w:b/>
          <w:bCs/>
          <w:color w:val="auto"/>
          <w:sz w:val="32"/>
          <w:szCs w:val="32"/>
          <w:highlight w:val="none"/>
          <w:lang w:val="en-US" w:eastAsia="zh-CN"/>
        </w:rPr>
        <w:t>3.绩效目标合理性</w:t>
      </w:r>
      <w:bookmarkEnd w:id="121"/>
      <w:bookmarkEnd w:id="122"/>
    </w:p>
    <w:p w14:paraId="5A4E38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2492F8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bookmarkStart w:id="123" w:name="OLE_LINK13"/>
      <w:r>
        <w:rPr>
          <w:rFonts w:hint="eastAsia" w:ascii="仿宋_GB2312" w:hAnsi="仿宋_GB2312" w:eastAsia="仿宋_GB2312" w:cs="仿宋_GB2312"/>
          <w:color w:val="auto"/>
          <w:sz w:val="32"/>
          <w:szCs w:val="32"/>
          <w:highlight w:val="none"/>
          <w:lang w:eastAsia="zh-CN"/>
        </w:rPr>
        <w:t>按每人每月0.47万元的标准，完成</w:t>
      </w:r>
      <w:r>
        <w:rPr>
          <w:rFonts w:hint="eastAsia" w:ascii="仿宋_GB2312" w:hAnsi="仿宋_GB2312" w:eastAsia="仿宋_GB2312" w:cs="仿宋_GB2312"/>
          <w:color w:val="auto"/>
          <w:sz w:val="32"/>
          <w:szCs w:val="32"/>
          <w:highlight w:val="none"/>
          <w:lang w:val="en-US" w:eastAsia="zh-CN"/>
        </w:rPr>
        <w:t>27</w:t>
      </w:r>
      <w:r>
        <w:rPr>
          <w:rFonts w:hint="eastAsia" w:ascii="仿宋_GB2312" w:hAnsi="仿宋_GB2312" w:eastAsia="仿宋_GB2312" w:cs="仿宋_GB2312"/>
          <w:color w:val="auto"/>
          <w:sz w:val="32"/>
          <w:szCs w:val="32"/>
          <w:highlight w:val="none"/>
          <w:lang w:eastAsia="zh-CN"/>
        </w:rPr>
        <w:t>名选聘教师工资发放1</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eastAsia="zh-CN"/>
        </w:rPr>
        <w:t>次</w:t>
      </w:r>
      <w:bookmarkEnd w:id="123"/>
      <w:r>
        <w:rPr>
          <w:rFonts w:hint="eastAsia" w:ascii="仿宋_GB2312" w:hAnsi="仿宋_GB2312" w:eastAsia="仿宋_GB2312" w:cs="仿宋_GB2312"/>
          <w:color w:val="auto"/>
          <w:sz w:val="32"/>
          <w:szCs w:val="32"/>
          <w:highlight w:val="none"/>
          <w:lang w:eastAsia="zh-CN"/>
        </w:rPr>
        <w:t>，共支付</w:t>
      </w:r>
      <w:r>
        <w:rPr>
          <w:rFonts w:hint="eastAsia" w:ascii="仿宋_GB2312" w:hAnsi="仿宋_GB2312" w:eastAsia="仿宋_GB2312" w:cs="仿宋_GB2312"/>
          <w:color w:val="auto"/>
          <w:sz w:val="32"/>
          <w:szCs w:val="32"/>
          <w:highlight w:val="none"/>
          <w:lang w:val="en-US" w:eastAsia="zh-CN"/>
        </w:rPr>
        <w:t>131.73</w:t>
      </w:r>
      <w:r>
        <w:rPr>
          <w:rFonts w:hint="eastAsia" w:ascii="仿宋_GB2312" w:hAnsi="仿宋_GB2312" w:eastAsia="仿宋_GB2312" w:cs="仿宋_GB2312"/>
          <w:color w:val="auto"/>
          <w:sz w:val="32"/>
          <w:szCs w:val="32"/>
          <w:highlight w:val="none"/>
          <w:lang w:eastAsia="zh-CN"/>
        </w:rPr>
        <w:t>万元。绩效目标与实际工作内容一致，两者具有相关性。</w:t>
      </w:r>
    </w:p>
    <w:p w14:paraId="71EFC8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③该项目按照绩效目标完成数量指标、质量指标、时效指标、成本指标，完成了按每人每月0.47万元的标准</w:t>
      </w:r>
      <w:r>
        <w:rPr>
          <w:rFonts w:hint="eastAsia" w:ascii="仿宋_GB2312" w:hAnsi="仿宋_GB2312" w:eastAsia="仿宋_GB2312" w:cs="仿宋_GB2312"/>
          <w:color w:val="auto"/>
          <w:sz w:val="32"/>
          <w:szCs w:val="32"/>
          <w:highlight w:val="none"/>
          <w:lang w:val="en-US" w:eastAsia="zh-CN"/>
        </w:rPr>
        <w:t>发放27</w:t>
      </w:r>
      <w:r>
        <w:rPr>
          <w:rFonts w:hint="eastAsia" w:ascii="仿宋_GB2312" w:hAnsi="仿宋_GB2312" w:eastAsia="仿宋_GB2312" w:cs="仿宋_GB2312"/>
          <w:color w:val="auto"/>
          <w:sz w:val="32"/>
          <w:szCs w:val="32"/>
          <w:highlight w:val="none"/>
          <w:lang w:eastAsia="zh-CN"/>
        </w:rPr>
        <w:t>名选聘教师工资1</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eastAsia="zh-CN"/>
        </w:rPr>
        <w:t>次，达到改善教学环境，提供良好的学生成长条件，</w:t>
      </w:r>
      <w:r>
        <w:rPr>
          <w:rFonts w:hint="eastAsia" w:ascii="仿宋_GB2312" w:hAnsi="仿宋_GB2312" w:eastAsia="仿宋_GB2312" w:cs="仿宋_GB2312"/>
          <w:color w:val="auto"/>
          <w:sz w:val="32"/>
          <w:szCs w:val="32"/>
          <w:highlight w:val="none"/>
          <w:lang w:val="en-US" w:eastAsia="zh-CN"/>
        </w:rPr>
        <w:t>保障</w:t>
      </w:r>
      <w:r>
        <w:rPr>
          <w:rFonts w:hint="eastAsia" w:ascii="仿宋_GB2312" w:hAnsi="仿宋_GB2312" w:eastAsia="仿宋_GB2312" w:cs="仿宋_GB2312"/>
          <w:color w:val="auto"/>
          <w:sz w:val="32"/>
          <w:szCs w:val="32"/>
          <w:highlight w:val="none"/>
          <w:lang w:eastAsia="zh-CN"/>
        </w:rPr>
        <w:t>幼儿园正常运转的社会效益，预期产出效益和效果是否符合正常的业绩水平。</w:t>
      </w:r>
    </w:p>
    <w:p w14:paraId="15BC1E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131.73</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61FB66F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4809DAE5">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0650"/>
      <w:bookmarkStart w:id="125" w:name="_Toc18198"/>
      <w:r>
        <w:rPr>
          <w:rFonts w:hint="eastAsia" w:ascii="仿宋_GB2312" w:hAnsi="仿宋_GB2312" w:eastAsia="仿宋_GB2312" w:cs="仿宋_GB2312"/>
          <w:b/>
          <w:bCs/>
          <w:color w:val="auto"/>
          <w:sz w:val="32"/>
          <w:szCs w:val="32"/>
          <w:highlight w:val="none"/>
          <w:lang w:val="en-US" w:eastAsia="zh-CN"/>
        </w:rPr>
        <w:t>4.绩效指标明确性</w:t>
      </w:r>
      <w:bookmarkEnd w:id="124"/>
      <w:bookmarkEnd w:id="125"/>
    </w:p>
    <w:p w14:paraId="457C4A4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其中三级指标共计7个</w:t>
      </w:r>
      <w:r>
        <w:rPr>
          <w:rFonts w:hint="eastAsia" w:ascii="仿宋_GB2312" w:hAnsi="仿宋_GB2312" w:eastAsia="仿宋_GB2312" w:cs="仿宋_GB2312"/>
          <w:color w:val="auto"/>
          <w:sz w:val="32"/>
          <w:szCs w:val="32"/>
          <w:highlight w:val="none"/>
          <w:lang w:eastAsia="zh-CN"/>
        </w:rPr>
        <w:t>；</w:t>
      </w:r>
    </w:p>
    <w:p w14:paraId="62087CF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量化率达到85.71%</w:t>
      </w:r>
      <w:r>
        <w:rPr>
          <w:rFonts w:hint="eastAsia" w:ascii="仿宋_GB2312" w:hAnsi="仿宋_GB2312" w:eastAsia="仿宋_GB2312" w:cs="仿宋_GB2312"/>
          <w:color w:val="auto"/>
          <w:sz w:val="32"/>
          <w:szCs w:val="32"/>
          <w:highlight w:val="none"/>
          <w:lang w:eastAsia="zh-CN"/>
        </w:rPr>
        <w:t>；</w:t>
      </w:r>
    </w:p>
    <w:p w14:paraId="45D3994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1765B3C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3090154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FF48A5C">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8296"/>
      <w:bookmarkStart w:id="127" w:name="_Toc19401"/>
      <w:r>
        <w:rPr>
          <w:rFonts w:hint="eastAsia" w:ascii="仿宋_GB2312" w:hAnsi="仿宋_GB2312" w:eastAsia="仿宋_GB2312" w:cs="仿宋_GB2312"/>
          <w:b/>
          <w:bCs/>
          <w:color w:val="auto"/>
          <w:sz w:val="32"/>
          <w:szCs w:val="32"/>
          <w:highlight w:val="none"/>
          <w:lang w:val="en-US" w:eastAsia="zh-CN"/>
        </w:rPr>
        <w:t>5.预算编制科学性</w:t>
      </w:r>
      <w:bookmarkEnd w:id="126"/>
      <w:bookmarkEnd w:id="127"/>
    </w:p>
    <w:p w14:paraId="230E467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2A24FCC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预算申请内容为2024年选聘教师工资补助经费，项目实际内容为2024年选聘教师工资补助经费</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，预算申请与项目内容匹配；</w:t>
      </w:r>
    </w:p>
    <w:p w14:paraId="67F8E24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131.73万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商品服务支出中列支选聘教师工资的劳务费131.73</w:t>
      </w:r>
      <w:r>
        <w:rPr>
          <w:rFonts w:hint="eastAsia" w:ascii="仿宋_GB2312" w:hAnsi="仿宋_GB2312" w:eastAsia="仿宋_GB2312" w:cs="仿宋_GB2312"/>
          <w:color w:val="auto"/>
          <w:sz w:val="32"/>
          <w:szCs w:val="32"/>
          <w:highlight w:val="none"/>
          <w:lang w:eastAsia="zh-CN"/>
        </w:rPr>
        <w:t>万元。</w:t>
      </w:r>
    </w:p>
    <w:p w14:paraId="044B4F3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36A8028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4AD7089">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697"/>
      <w:bookmarkStart w:id="129" w:name="_Toc20556"/>
      <w:r>
        <w:rPr>
          <w:rFonts w:hint="eastAsia" w:ascii="仿宋_GB2312" w:hAnsi="仿宋_GB2312" w:eastAsia="仿宋_GB2312" w:cs="仿宋_GB2312"/>
          <w:b/>
          <w:bCs/>
          <w:color w:val="auto"/>
          <w:sz w:val="32"/>
          <w:szCs w:val="32"/>
          <w:highlight w:val="none"/>
          <w:lang w:val="en-US" w:eastAsia="zh-CN"/>
        </w:rPr>
        <w:t>6.资金分配合理性</w:t>
      </w:r>
      <w:bookmarkEnd w:id="128"/>
      <w:bookmarkEnd w:id="129"/>
    </w:p>
    <w:p w14:paraId="67EC823B">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shd w:val="clear" w:color="auto" w:fill="auto"/>
          <w:lang w:val="en-US" w:eastAsia="zh-CN"/>
        </w:rPr>
        <w:t>《阜康市财政局关于2024年部门预算批复》【阜财预字（2024）7号】</w:t>
      </w:r>
      <w:r>
        <w:rPr>
          <w:rFonts w:hint="eastAsia" w:ascii="仿宋_GB2312" w:hAnsi="仿宋_GB2312" w:eastAsia="仿宋_GB2312" w:cs="仿宋_GB2312"/>
          <w:color w:val="auto"/>
          <w:sz w:val="32"/>
          <w:szCs w:val="32"/>
          <w:highlight w:val="none"/>
          <w:lang w:val="en-US" w:eastAsia="zh-CN"/>
        </w:rPr>
        <w:t>为</w:t>
      </w:r>
      <w:r>
        <w:rPr>
          <w:rFonts w:hint="eastAsia" w:ascii="仿宋_GB2312" w:hAnsi="仿宋_GB2312" w:eastAsia="仿宋_GB2312" w:cs="仿宋_GB2312"/>
          <w:color w:val="auto"/>
          <w:sz w:val="32"/>
          <w:szCs w:val="32"/>
          <w:highlight w:val="none"/>
          <w:lang w:eastAsia="zh-Hans"/>
        </w:rPr>
        <w:t>依据进行资金分配，预算资金分配依据充分</w:t>
      </w:r>
      <w:r>
        <w:rPr>
          <w:rFonts w:hint="eastAsia" w:ascii="仿宋_GB2312" w:hAnsi="仿宋_GB2312" w:eastAsia="仿宋_GB2312" w:cs="仿宋_GB2312"/>
          <w:color w:val="auto"/>
          <w:sz w:val="32"/>
          <w:szCs w:val="32"/>
          <w:highlight w:val="none"/>
          <w:lang w:eastAsia="zh-CN"/>
        </w:rPr>
        <w:t>。</w:t>
      </w:r>
    </w:p>
    <w:p w14:paraId="5ED91C9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131.73</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2090359A">
      <w:pPr>
        <w:pageBreakBefore w:val="0"/>
        <w:kinsoku/>
        <w:wordWrap/>
        <w:overflowPunct/>
        <w:topLinePunct w:val="0"/>
        <w:autoSpaceDE/>
        <w:autoSpaceDN/>
        <w:bidi w:val="0"/>
        <w:adjustRightInd/>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3E1BCBFB">
      <w:pPr>
        <w:pStyle w:val="14"/>
        <w:pageBreakBefore w:val="0"/>
        <w:widowControl/>
        <w:numPr>
          <w:ilvl w:val="0"/>
          <w:numId w:val="0"/>
        </w:numPr>
        <w:kinsoku/>
        <w:wordWrap/>
        <w:overflowPunct/>
        <w:topLinePunct w:val="0"/>
        <w:autoSpaceDE/>
        <w:autoSpaceDN/>
        <w:bidi w:val="0"/>
        <w:adjustRightInd/>
        <w:spacing w:before="0" w:beforeLines="-2147483648" w:after="0" w:afterLines="-2147483648" w:line="560" w:lineRule="exact"/>
        <w:ind w:firstLine="643" w:firstLineChars="200"/>
        <w:jc w:val="both"/>
        <w:textAlignment w:val="auto"/>
        <w:rPr>
          <w:rFonts w:hint="eastAsia" w:ascii="Times New Roman" w:hAnsi="Times New Roman" w:eastAsia="楷体" w:cs="Times New Roman"/>
          <w:color w:val="auto"/>
          <w:kern w:val="28"/>
          <w:sz w:val="32"/>
          <w:highlight w:val="none"/>
        </w:rPr>
      </w:pPr>
      <w:bookmarkStart w:id="130"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30"/>
    </w:p>
    <w:p w14:paraId="69BD233B">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0E7717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26464DD7">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3106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B28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3D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25AF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D3C9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30A3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A9A6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B3AB440">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8262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41F5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515F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5C0D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453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6719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B01D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0E8F281A">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B9F0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075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39CB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0E0D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24056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2E54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896A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3.34</w:t>
            </w:r>
          </w:p>
        </w:tc>
      </w:tr>
      <w:tr w14:paraId="57C40A0C">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1300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B0CA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C670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D5F8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7ED1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D60B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7D95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00B0A9FA">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CF26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4F74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230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9A8E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6780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379E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AC2A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70A60FB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E67B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36B3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D48C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E310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6562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2674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B05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5DD8E98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D2A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F33D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8E1E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09DD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0B6E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19.34</w:t>
            </w:r>
          </w:p>
        </w:tc>
      </w:tr>
    </w:tbl>
    <w:p w14:paraId="0A9828DC">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1" w:name="_Toc3886"/>
      <w:bookmarkStart w:id="132" w:name="_Toc20449"/>
      <w:r>
        <w:rPr>
          <w:rFonts w:hint="eastAsia" w:ascii="仿宋_GB2312" w:hAnsi="仿宋_GB2312" w:eastAsia="仿宋_GB2312" w:cs="仿宋_GB2312"/>
          <w:b/>
          <w:bCs/>
          <w:color w:val="auto"/>
          <w:sz w:val="32"/>
          <w:szCs w:val="32"/>
          <w:highlight w:val="none"/>
          <w:lang w:val="en-US" w:eastAsia="zh-CN"/>
        </w:rPr>
        <w:t>1.资金到位率</w:t>
      </w:r>
      <w:bookmarkEnd w:id="131"/>
      <w:bookmarkEnd w:id="132"/>
    </w:p>
    <w:p w14:paraId="20A1EA2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131.73</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131.73</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50D6A210">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bookmarkStart w:id="133" w:name="OLE_LINK10"/>
      <w:bookmarkStart w:id="134" w:name="OLE_LINK11"/>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131.73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131.73</w:t>
      </w:r>
      <w:r>
        <w:rPr>
          <w:rFonts w:hint="eastAsia" w:ascii="仿宋_GB2312" w:hAnsi="仿宋_GB2312" w:eastAsia="仿宋_GB2312" w:cs="仿宋_GB2312"/>
          <w:color w:val="auto"/>
          <w:sz w:val="32"/>
          <w:szCs w:val="32"/>
          <w:highlight w:val="none"/>
          <w:lang w:eastAsia="zh-CN"/>
        </w:rPr>
        <w:t>）</w:t>
      </w:r>
      <w:bookmarkEnd w:id="133"/>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lang w:eastAsia="zh-CN"/>
        </w:rPr>
        <w:t>。</w:t>
      </w:r>
    </w:p>
    <w:bookmarkEnd w:id="134"/>
    <w:p w14:paraId="03C4989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582ACFD">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5" w:name="_Toc9705"/>
      <w:bookmarkStart w:id="136" w:name="_Toc17709"/>
      <w:r>
        <w:rPr>
          <w:rFonts w:hint="eastAsia" w:ascii="仿宋_GB2312" w:hAnsi="仿宋_GB2312" w:eastAsia="仿宋_GB2312" w:cs="仿宋_GB2312"/>
          <w:b/>
          <w:bCs/>
          <w:color w:val="auto"/>
          <w:sz w:val="32"/>
          <w:szCs w:val="32"/>
          <w:highlight w:val="none"/>
          <w:lang w:val="en-US" w:eastAsia="zh-CN"/>
        </w:rPr>
        <w:t>2.预算执行率</w:t>
      </w:r>
      <w:bookmarkEnd w:id="135"/>
      <w:bookmarkEnd w:id="136"/>
    </w:p>
    <w:p w14:paraId="3277CFC1">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131.73</w:t>
      </w:r>
      <w:r>
        <w:rPr>
          <w:rFonts w:hint="eastAsia" w:ascii="仿宋_GB2312" w:hAnsi="仿宋_GB2312" w:eastAsia="仿宋_GB2312" w:cs="仿宋_GB2312"/>
          <w:color w:val="auto"/>
          <w:sz w:val="32"/>
          <w:szCs w:val="32"/>
          <w:highlight w:val="none"/>
          <w:lang w:val="en-US" w:eastAsia="zh-CN"/>
        </w:rPr>
        <w:t>万元。</w:t>
      </w:r>
    </w:p>
    <w:p w14:paraId="46416B41">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157.42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131.73</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83.70%，扣0.7分。</w:t>
      </w:r>
    </w:p>
    <w:p w14:paraId="0A77088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综上，该项指标满分4分，得分3.34分。</w:t>
      </w:r>
    </w:p>
    <w:p w14:paraId="24A1CE09">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7" w:name="_Toc28875"/>
      <w:bookmarkStart w:id="138" w:name="_Toc18691"/>
      <w:r>
        <w:rPr>
          <w:rFonts w:hint="eastAsia" w:ascii="仿宋_GB2312" w:hAnsi="仿宋_GB2312" w:eastAsia="仿宋_GB2312" w:cs="仿宋_GB2312"/>
          <w:b/>
          <w:bCs/>
          <w:color w:val="auto"/>
          <w:sz w:val="32"/>
          <w:szCs w:val="32"/>
          <w:highlight w:val="none"/>
          <w:lang w:val="en-US" w:eastAsia="zh-CN"/>
        </w:rPr>
        <w:t>3.资金使用合规性</w:t>
      </w:r>
      <w:bookmarkEnd w:id="137"/>
      <w:bookmarkEnd w:id="138"/>
    </w:p>
    <w:p w14:paraId="15115847">
      <w:pPr>
        <w:pageBreakBefore w:val="0"/>
        <w:kinsoku/>
        <w:wordWrap/>
        <w:overflowPunct/>
        <w:topLinePunct w:val="0"/>
        <w:autoSpaceDE/>
        <w:autoSpaceDN/>
        <w:bidi w:val="0"/>
        <w:adjustRightInd/>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bookmarkStart w:id="139" w:name="OLE_LINK12"/>
      <w:r>
        <w:rPr>
          <w:rFonts w:hint="eastAsia" w:ascii="仿宋_GB2312" w:hAnsi="仿宋_GB2312" w:eastAsia="仿宋_GB2312" w:cs="仿宋_GB2312"/>
          <w:color w:val="auto"/>
          <w:sz w:val="32"/>
          <w:szCs w:val="32"/>
          <w:highlight w:val="none"/>
          <w:lang w:val="en-US" w:eastAsia="zh-CN"/>
        </w:rPr>
        <w:t>阜康市水磨沟乡中心幼儿园</w:t>
      </w:r>
      <w:bookmarkEnd w:id="139"/>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阜康市水磨沟乡中心幼儿园</w:t>
      </w:r>
      <w:r>
        <w:rPr>
          <w:rFonts w:hint="eastAsia" w:ascii="仿宋_GB2312" w:hAnsi="仿宋_GB2312" w:eastAsia="仿宋_GB2312" w:cs="仿宋_GB2312"/>
          <w:color w:val="auto"/>
          <w:sz w:val="32"/>
          <w:szCs w:val="32"/>
          <w:highlight w:val="none"/>
          <w:lang w:eastAsia="zh-CN"/>
        </w:rPr>
        <w:t>专项资金管理办法》；</w:t>
      </w:r>
    </w:p>
    <w:p w14:paraId="5C9CA8AB">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0627A1C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3924CC7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3ABFBAB0">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2FCCE71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9FF9F6F">
      <w:pPr>
        <w:pageBreakBefore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37A72B3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阜康市水磨沟乡中心幼儿园</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阜康市水磨沟乡中心幼儿园</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阜康市水磨沟乡中心幼儿园</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阜康市水磨沟乡中心幼儿园</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044A3D5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7D038333">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41C3F95">
      <w:pPr>
        <w:pageBreakBefore w:val="0"/>
        <w:kinsoku/>
        <w:wordWrap/>
        <w:overflowPunct/>
        <w:topLinePunct w:val="0"/>
        <w:autoSpaceDE/>
        <w:autoSpaceDN/>
        <w:bidi w:val="0"/>
        <w:adjustRightInd/>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31684"/>
      <w:bookmarkStart w:id="141" w:name="_Toc13984"/>
      <w:r>
        <w:rPr>
          <w:rFonts w:hint="eastAsia" w:ascii="仿宋_GB2312" w:hAnsi="仿宋_GB2312" w:eastAsia="仿宋_GB2312" w:cs="仿宋_GB2312"/>
          <w:b/>
          <w:bCs/>
          <w:color w:val="auto"/>
          <w:sz w:val="32"/>
          <w:szCs w:val="32"/>
          <w:highlight w:val="none"/>
          <w:lang w:val="en-US" w:eastAsia="zh-CN"/>
        </w:rPr>
        <w:t>5.制度执行有效性</w:t>
      </w:r>
      <w:bookmarkEnd w:id="140"/>
      <w:bookmarkEnd w:id="141"/>
    </w:p>
    <w:p w14:paraId="112A47E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val="en-US" w:eastAsia="zh-CN"/>
        </w:rPr>
        <w:t>阜康市水磨沟乡中心幼儿园</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color w:val="auto"/>
          <w:sz w:val="32"/>
          <w:szCs w:val="32"/>
          <w:highlight w:val="none"/>
          <w:lang w:val="en-US" w:eastAsia="zh-CN"/>
        </w:rPr>
        <w:t>阜康市水磨沟乡中心幼儿园</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val="en-US" w:eastAsia="zh-CN"/>
        </w:rPr>
        <w:t>阜康市水磨沟乡中心幼儿园</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val="en-US" w:eastAsia="zh-CN"/>
        </w:rPr>
        <w:t>阜康市水磨沟乡中心幼儿园</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2213275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项目存在调整，调整手续齐全</w:t>
      </w:r>
      <w:r>
        <w:rPr>
          <w:rFonts w:hint="eastAsia" w:ascii="仿宋_GB2312" w:hAnsi="仿宋_GB2312" w:eastAsia="仿宋_GB2312" w:cs="仿宋_GB2312"/>
          <w:color w:val="auto"/>
          <w:sz w:val="32"/>
          <w:szCs w:val="32"/>
          <w:highlight w:val="none"/>
          <w:lang w:eastAsia="zh-CN"/>
        </w:rPr>
        <w:t>。</w:t>
      </w:r>
    </w:p>
    <w:p w14:paraId="4AF6B02A">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5B13477C">
      <w:pPr>
        <w:pageBreakBefore w:val="0"/>
        <w:widowControl w:val="0"/>
        <w:kinsoku/>
        <w:wordWrap/>
        <w:overflowPunct/>
        <w:topLinePunct w:val="0"/>
        <w:autoSpaceDE/>
        <w:autoSpaceDN/>
        <w:bidi w:val="0"/>
        <w:adjustRightInd/>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0B3ACF2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2024年选聘教师工资补助经费项目工作领导小组，由</w:t>
      </w:r>
      <w:r>
        <w:rPr>
          <w:rFonts w:hint="eastAsia" w:ascii="仿宋_GB2312" w:hAnsi="仿宋_GB2312" w:eastAsia="仿宋_GB2312" w:cs="仿宋_GB2312"/>
          <w:color w:val="auto"/>
          <w:sz w:val="32"/>
          <w:szCs w:val="32"/>
          <w:highlight w:val="none"/>
          <w:lang w:val="en-US" w:eastAsia="zh-CN"/>
        </w:rPr>
        <w:t>王荣</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马马翠</w:t>
      </w:r>
      <w:r>
        <w:rPr>
          <w:rFonts w:hint="eastAsia" w:ascii="仿宋_GB2312" w:hAnsi="仿宋_GB2312" w:eastAsia="仿宋_GB2312" w:cs="仿宋_GB2312"/>
          <w:color w:val="auto"/>
          <w:sz w:val="32"/>
          <w:szCs w:val="32"/>
          <w:highlight w:val="none"/>
          <w:lang w:eastAsia="zh-CN"/>
        </w:rPr>
        <w:t>副组长，负责项目的实施工作；组员包括：</w:t>
      </w:r>
      <w:r>
        <w:rPr>
          <w:rFonts w:hint="eastAsia" w:ascii="仿宋_GB2312" w:hAnsi="仿宋_GB2312" w:eastAsia="仿宋_GB2312" w:cs="仿宋_GB2312"/>
          <w:color w:val="auto"/>
          <w:sz w:val="32"/>
          <w:szCs w:val="32"/>
          <w:highlight w:val="none"/>
          <w:lang w:val="en-US" w:eastAsia="zh-CN"/>
        </w:rPr>
        <w:t>范文静、腊红静</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俞晴</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6E8F790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6E0D0DC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42" w:name="_Toc2441"/>
      <w:r>
        <w:rPr>
          <w:rFonts w:hint="eastAsia" w:ascii="Times New Roman" w:hAnsi="Times New Roman" w:eastAsia="楷体_GB2312" w:cs="Times New Roman"/>
          <w:color w:val="auto"/>
          <w:kern w:val="28"/>
          <w:sz w:val="32"/>
          <w:highlight w:val="none"/>
          <w:lang w:val="en-US" w:eastAsia="zh-CN"/>
        </w:rPr>
        <w:t>（三）项目产出情况</w:t>
      </w:r>
      <w:bookmarkEnd w:id="142"/>
    </w:p>
    <w:p w14:paraId="112EE3DB">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w:t>
      </w:r>
      <w:r>
        <w:rPr>
          <w:rFonts w:hint="eastAsia" w:ascii="Times New Roman" w:hAnsi="Times New Roman" w:eastAsia="仿宋_GB2312" w:cs="Times New Roman"/>
          <w:color w:val="auto"/>
          <w:sz w:val="32"/>
          <w:szCs w:val="32"/>
          <w:highlight w:val="none"/>
          <w:lang w:val="en-US" w:eastAsia="zh-CN"/>
        </w:rPr>
        <w:t>三</w:t>
      </w:r>
      <w:r>
        <w:rPr>
          <w:rFonts w:hint="default" w:ascii="Times New Roman" w:hAnsi="Times New Roman" w:eastAsia="仿宋_GB2312" w:cs="Times New Roman"/>
          <w:color w:val="auto"/>
          <w:sz w:val="32"/>
          <w:szCs w:val="32"/>
          <w:highlight w:val="none"/>
          <w:lang w:val="en-US" w:eastAsia="zh-CN"/>
        </w:rPr>
        <w:t>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31.75</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CEC52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zh-TW" w:eastAsia="zh-CN"/>
        </w:rPr>
      </w:pPr>
    </w:p>
    <w:p w14:paraId="514C35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7F20A757">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0D7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bookmarkStart w:id="143" w:name="_Toc11067"/>
            <w:bookmarkStart w:id="144" w:name="_Toc26689"/>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865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93B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0C8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963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6CC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5D2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412E9EA0">
        <w:tblPrEx>
          <w:shd w:val="clear" w:color="auto" w:fill="auto"/>
          <w:tblCellMar>
            <w:top w:w="0" w:type="dxa"/>
            <w:left w:w="0" w:type="dxa"/>
            <w:bottom w:w="0" w:type="dxa"/>
            <w:right w:w="0" w:type="dxa"/>
          </w:tblCellMar>
        </w:tblPrEx>
        <w:trPr>
          <w:trHeight w:val="390"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7E640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5" w:name="OLE_LINK34" w:colFirst="1" w:colLast="6"/>
            <w:bookmarkStart w:id="146" w:name="OLE_LINK35" w:colFirst="1" w:colLast="3"/>
            <w:bookmarkStart w:id="147" w:name="OLE_LINK36" w:colFirst="5" w:colLast="5"/>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8545F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09F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8" w:name="OLE_LINK15"/>
            <w:r>
              <w:rPr>
                <w:rFonts w:hint="eastAsia" w:ascii="宋体" w:hAnsi="宋体" w:eastAsia="宋体" w:cs="宋体"/>
                <w:i w:val="0"/>
                <w:color w:val="auto"/>
                <w:kern w:val="0"/>
                <w:sz w:val="20"/>
                <w:szCs w:val="20"/>
                <w:highlight w:val="none"/>
                <w:u w:val="none"/>
                <w:lang w:val="en-US" w:eastAsia="zh-CN" w:bidi="ar"/>
              </w:rPr>
              <w:t>选聘教师人数</w:t>
            </w:r>
            <w:bookmarkEnd w:id="148"/>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5B1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9" w:name="OLE_LINK17"/>
            <w:r>
              <w:rPr>
                <w:rFonts w:hint="eastAsia" w:ascii="宋体" w:hAnsi="宋体" w:eastAsia="宋体" w:cs="宋体"/>
                <w:i w:val="0"/>
                <w:color w:val="auto"/>
                <w:kern w:val="0"/>
                <w:sz w:val="20"/>
                <w:szCs w:val="20"/>
                <w:highlight w:val="none"/>
                <w:u w:val="none"/>
                <w:lang w:val="en-US" w:eastAsia="zh-CN" w:bidi="ar"/>
              </w:rPr>
              <w:t>≧</w:t>
            </w:r>
            <w:r>
              <w:rPr>
                <w:rFonts w:hint="eastAsia" w:cs="宋体"/>
                <w:i w:val="0"/>
                <w:color w:val="auto"/>
                <w:kern w:val="0"/>
                <w:sz w:val="20"/>
                <w:szCs w:val="20"/>
                <w:highlight w:val="none"/>
                <w:u w:val="none"/>
                <w:lang w:val="en-US" w:eastAsia="zh-CN" w:bidi="ar"/>
              </w:rPr>
              <w:t>27</w:t>
            </w:r>
            <w:r>
              <w:rPr>
                <w:rFonts w:hint="eastAsia" w:ascii="宋体" w:hAnsi="宋体" w:eastAsia="宋体" w:cs="宋体"/>
                <w:i w:val="0"/>
                <w:color w:val="auto"/>
                <w:kern w:val="0"/>
                <w:sz w:val="20"/>
                <w:szCs w:val="20"/>
                <w:highlight w:val="none"/>
                <w:u w:val="none"/>
                <w:lang w:val="en-US" w:eastAsia="zh-CN" w:bidi="ar"/>
              </w:rPr>
              <w:t>人</w:t>
            </w:r>
            <w:bookmarkEnd w:id="149"/>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640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89B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27人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A48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173438DA">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25363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C97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987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0" w:name="OLE_LINK16"/>
            <w:r>
              <w:rPr>
                <w:rFonts w:hint="eastAsia" w:ascii="宋体" w:hAnsi="宋体" w:eastAsia="宋体" w:cs="宋体"/>
                <w:i w:val="0"/>
                <w:color w:val="auto"/>
                <w:kern w:val="0"/>
                <w:sz w:val="20"/>
                <w:szCs w:val="20"/>
                <w:highlight w:val="none"/>
                <w:u w:val="none"/>
                <w:lang w:val="en-US" w:eastAsia="zh-CN" w:bidi="ar"/>
              </w:rPr>
              <w:t>工资支付次数</w:t>
            </w:r>
            <w:bookmarkEnd w:id="150"/>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577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1" w:name="OLE_LINK18"/>
            <w:r>
              <w:rPr>
                <w:rFonts w:hint="eastAsia" w:ascii="宋体" w:hAnsi="宋体" w:eastAsia="宋体" w:cs="宋体"/>
                <w:i w:val="0"/>
                <w:color w:val="auto"/>
                <w:kern w:val="0"/>
                <w:sz w:val="20"/>
                <w:szCs w:val="20"/>
                <w:highlight w:val="none"/>
                <w:u w:val="none"/>
                <w:lang w:val="en-US" w:eastAsia="zh-CN" w:bidi="ar"/>
              </w:rPr>
              <w:t>=12次</w:t>
            </w:r>
            <w:bookmarkEnd w:id="151"/>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177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F32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r>
              <w:rPr>
                <w:rFonts w:hint="eastAsia" w:ascii="宋体" w:hAnsi="宋体" w:eastAsia="宋体" w:cs="宋体"/>
                <w:color w:val="auto"/>
                <w:kern w:val="0"/>
                <w:sz w:val="20"/>
                <w:szCs w:val="20"/>
                <w:highlight w:val="none"/>
                <w:shd w:val="clear" w:color="auto" w:fill="auto"/>
                <w:lang w:val="en-US" w:eastAsia="zh-CN"/>
              </w:rPr>
              <w:t>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EAF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5.83</w:t>
            </w:r>
          </w:p>
        </w:tc>
      </w:tr>
      <w:tr w14:paraId="44F44471">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5670B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67B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71D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2" w:name="OLE_LINK19"/>
            <w:r>
              <w:rPr>
                <w:rFonts w:hint="eastAsia" w:ascii="宋体" w:hAnsi="宋体" w:eastAsia="宋体" w:cs="宋体"/>
                <w:i w:val="0"/>
                <w:color w:val="auto"/>
                <w:kern w:val="0"/>
                <w:sz w:val="20"/>
                <w:szCs w:val="20"/>
                <w:highlight w:val="none"/>
                <w:u w:val="none"/>
                <w:lang w:val="en-US" w:eastAsia="zh-CN" w:bidi="ar"/>
              </w:rPr>
              <w:t>人员经费享受比例</w:t>
            </w:r>
            <w:bookmarkEnd w:id="152"/>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ED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3" w:name="OLE_LINK20"/>
            <w:r>
              <w:rPr>
                <w:rFonts w:hint="eastAsia" w:ascii="宋体" w:hAnsi="宋体" w:eastAsia="宋体" w:cs="宋体"/>
                <w:color w:val="auto"/>
                <w:kern w:val="0"/>
                <w:sz w:val="20"/>
                <w:szCs w:val="20"/>
                <w:highlight w:val="none"/>
                <w:shd w:val="clear" w:color="auto" w:fill="auto"/>
                <w:lang w:val="en-US" w:eastAsia="zh-CN"/>
              </w:rPr>
              <w:t>=100%</w:t>
            </w:r>
            <w:bookmarkEnd w:id="153"/>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CA5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3C9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83.68</w:t>
            </w:r>
            <w:r>
              <w:rPr>
                <w:rFonts w:hint="eastAsia" w:ascii="宋体" w:hAnsi="宋体" w:eastAsia="宋体" w:cs="宋体"/>
                <w:color w:val="auto"/>
                <w:kern w:val="0"/>
                <w:sz w:val="20"/>
                <w:szCs w:val="20"/>
                <w:highlight w:val="none"/>
                <w:shd w:val="clear" w:color="auto" w:fill="auto"/>
                <w:lang w:val="en-US" w:eastAsia="zh-CN"/>
              </w:rPr>
              <w:t>%</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EB8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5.92</w:t>
            </w:r>
          </w:p>
        </w:tc>
      </w:tr>
      <w:tr w14:paraId="01EB8934">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BF02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423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012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4" w:name="OLE_LINK22"/>
            <w:r>
              <w:rPr>
                <w:rFonts w:hint="eastAsia" w:ascii="宋体" w:hAnsi="宋体" w:eastAsia="宋体" w:cs="宋体"/>
                <w:i w:val="0"/>
                <w:color w:val="auto"/>
                <w:kern w:val="0"/>
                <w:sz w:val="20"/>
                <w:szCs w:val="20"/>
                <w:highlight w:val="none"/>
                <w:u w:val="none"/>
                <w:lang w:val="en-US" w:eastAsia="zh-CN" w:bidi="ar"/>
              </w:rPr>
              <w:t>选聘教师工资发放时间</w:t>
            </w:r>
            <w:bookmarkEnd w:id="154"/>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7B6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5" w:name="OLE_LINK23"/>
            <w:r>
              <w:rPr>
                <w:rFonts w:hint="eastAsia" w:ascii="宋体" w:hAnsi="宋体" w:eastAsia="宋体" w:cs="宋体"/>
                <w:i w:val="0"/>
                <w:color w:val="auto"/>
                <w:kern w:val="0"/>
                <w:sz w:val="20"/>
                <w:szCs w:val="20"/>
                <w:highlight w:val="none"/>
                <w:u w:val="none"/>
                <w:lang w:val="en-US" w:eastAsia="zh-CN" w:bidi="ar"/>
              </w:rPr>
              <w:t>=</w:t>
            </w:r>
            <w:bookmarkStart w:id="156" w:name="OLE_LINK21"/>
            <w:r>
              <w:rPr>
                <w:rFonts w:hint="eastAsia" w:ascii="宋体" w:hAnsi="宋体" w:eastAsia="宋体" w:cs="宋体"/>
                <w:i w:val="0"/>
                <w:color w:val="auto"/>
                <w:kern w:val="0"/>
                <w:sz w:val="20"/>
                <w:szCs w:val="20"/>
                <w:highlight w:val="none"/>
                <w:u w:val="none"/>
                <w:lang w:val="en-US" w:eastAsia="zh-CN" w:bidi="ar"/>
              </w:rPr>
              <w:t>1次/月</w:t>
            </w:r>
            <w:bookmarkEnd w:id="155"/>
            <w:bookmarkEnd w:id="156"/>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CC9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6A6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1次/月</w:t>
            </w:r>
          </w:p>
          <w:p w14:paraId="373E99E0">
            <w:pPr>
              <w:keepNext w:val="0"/>
              <w:keepLines w:val="0"/>
              <w:pageBreakBefore w:val="0"/>
              <w:kinsoku/>
              <w:wordWrap/>
              <w:overflowPunct/>
              <w:topLinePunct w:val="0"/>
              <w:autoSpaceDE/>
              <w:autoSpaceDN/>
              <w:bidi w:val="0"/>
              <w:adjustRightInd/>
              <w:spacing w:line="560" w:lineRule="exact"/>
              <w:textAlignment w:val="auto"/>
              <w:rPr>
                <w:color w:val="auto"/>
                <w:highlight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25E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9131110">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572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091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D87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人员经费标准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750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w:t>
            </w:r>
            <w:bookmarkStart w:id="157" w:name="OLE_LINK26"/>
            <w:r>
              <w:rPr>
                <w:rFonts w:hint="eastAsia" w:ascii="宋体" w:hAnsi="宋体" w:eastAsia="宋体" w:cs="宋体"/>
                <w:i w:val="0"/>
                <w:color w:val="auto"/>
                <w:kern w:val="0"/>
                <w:sz w:val="20"/>
                <w:szCs w:val="20"/>
                <w:highlight w:val="none"/>
                <w:u w:val="none"/>
                <w:lang w:val="en-US" w:eastAsia="zh-CN" w:bidi="ar"/>
              </w:rPr>
              <w:t>5.62万元/人/学年</w:t>
            </w:r>
            <w:bookmarkEnd w:id="157"/>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67E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01B4F">
            <w:pPr>
              <w:keepNext w:val="0"/>
              <w:keepLines w:val="0"/>
              <w:pageBreakBefore w:val="0"/>
              <w:kinsoku/>
              <w:wordWrap/>
              <w:overflowPunct/>
              <w:topLinePunct w:val="0"/>
              <w:autoSpaceDE/>
              <w:autoSpaceDN/>
              <w:bidi w:val="0"/>
              <w:adjustRightInd/>
              <w:spacing w:line="560" w:lineRule="exact"/>
              <w:ind w:left="0" w:leftChars="0" w:firstLine="0" w:firstLineChars="0"/>
              <w:textAlignment w:val="auto"/>
              <w:rPr>
                <w:color w:val="auto"/>
                <w:highlight w:val="none"/>
              </w:rPr>
            </w:pPr>
            <w:r>
              <w:rPr>
                <w:rFonts w:hint="eastAsia" w:ascii="宋体" w:hAnsi="宋体" w:eastAsia="宋体" w:cs="宋体"/>
                <w:i w:val="0"/>
                <w:color w:val="auto"/>
                <w:kern w:val="0"/>
                <w:sz w:val="20"/>
                <w:szCs w:val="20"/>
                <w:highlight w:val="none"/>
                <w:u w:val="none"/>
                <w:lang w:val="en-US" w:eastAsia="zh-CN" w:bidi="ar"/>
              </w:rPr>
              <w:t>5.62万元/人/学年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E6A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bookmarkEnd w:id="145"/>
      <w:bookmarkEnd w:id="146"/>
      <w:bookmarkEnd w:id="147"/>
      <w:tr w14:paraId="1716AF9F">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F9E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6E5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0BD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682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31.75</w:t>
            </w:r>
          </w:p>
        </w:tc>
      </w:tr>
    </w:tbl>
    <w:p w14:paraId="5CB8E475">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p>
    <w:p w14:paraId="5F903768">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1.数量指标完成情况</w:t>
      </w:r>
      <w:bookmarkEnd w:id="143"/>
      <w:bookmarkEnd w:id="144"/>
    </w:p>
    <w:p w14:paraId="5609F61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指标，预期目标值为≧27人，实际完成为27人。实际完成率=（27人/27人）×100%=100%。</w:t>
      </w:r>
    </w:p>
    <w:p w14:paraId="2268895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工资支付次数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指标，预期目标值为=12次，实际完成为10次。实际完成率=（12次/10次）×100%=83.33%，扣分4.17分。</w:t>
      </w:r>
    </w:p>
    <w:p w14:paraId="0F87201A">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b w:val="0"/>
          <w:color w:val="auto"/>
          <w:kern w:val="2"/>
          <w:sz w:val="32"/>
          <w:szCs w:val="32"/>
          <w:highlight w:val="none"/>
          <w:lang w:val="en-US" w:eastAsia="zh-CN" w:bidi="ar-SA"/>
        </w:rPr>
        <w:t>偏差原因：因为选聘教师是次月发放工资，所以次数有未完成情况。</w:t>
      </w:r>
    </w:p>
    <w:p w14:paraId="0475AE9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b w:val="0"/>
          <w:color w:val="auto"/>
          <w:kern w:val="2"/>
          <w:sz w:val="32"/>
          <w:szCs w:val="32"/>
          <w:highlight w:val="none"/>
          <w:lang w:val="en-US" w:eastAsia="zh-CN" w:bidi="ar-SA"/>
        </w:rPr>
        <w:t>下一步改进措施：按时完成支付进度。</w:t>
      </w:r>
    </w:p>
    <w:p w14:paraId="69E8463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综上，该项指标满分40分，得分35.83分。</w:t>
      </w:r>
    </w:p>
    <w:p w14:paraId="31AD3F08">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58" w:name="_Toc31739"/>
      <w:bookmarkStart w:id="159" w:name="_Toc14255"/>
      <w:r>
        <w:rPr>
          <w:rFonts w:hint="eastAsia" w:ascii="仿宋_GB2312" w:hAnsi="仿宋_GB2312" w:eastAsia="仿宋_GB2312" w:cs="仿宋_GB2312"/>
          <w:b/>
          <w:bCs/>
          <w:color w:val="auto"/>
          <w:sz w:val="32"/>
          <w:szCs w:val="32"/>
          <w:highlight w:val="none"/>
          <w:lang w:val="en-US" w:eastAsia="zh-CN"/>
        </w:rPr>
        <w:t>2.</w:t>
      </w:r>
      <w:bookmarkEnd w:id="158"/>
      <w:r>
        <w:rPr>
          <w:rFonts w:hint="eastAsia" w:ascii="仿宋_GB2312" w:hAnsi="仿宋_GB2312" w:eastAsia="仿宋_GB2312" w:cs="仿宋_GB2312"/>
          <w:b/>
          <w:bCs/>
          <w:color w:val="auto"/>
          <w:sz w:val="32"/>
          <w:szCs w:val="32"/>
          <w:highlight w:val="none"/>
          <w:lang w:val="en-US" w:eastAsia="zh-CN"/>
        </w:rPr>
        <w:t>质量指标完成情况</w:t>
      </w:r>
      <w:bookmarkEnd w:id="159"/>
    </w:p>
    <w:p w14:paraId="5DE9EC9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人员经费享受比例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指标，预期目标值为=100%，实际完成为83.68%。实际完成率83.68%，扣4.08分。</w:t>
      </w:r>
    </w:p>
    <w:p w14:paraId="73C8BAC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偏差原因：选聘教师有辞职情况，所以未按标准完成。</w:t>
      </w:r>
    </w:p>
    <w:p w14:paraId="6BD8FAF7">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下一步改进措施：做好教师心理安抚工作，避免辞职情况。</w:t>
      </w:r>
    </w:p>
    <w:p w14:paraId="7BB172C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综上，该项指标满分10分，得分5.92分。</w:t>
      </w:r>
    </w:p>
    <w:p w14:paraId="52CE7BC6">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60" w:name="_Toc18307"/>
      <w:bookmarkStart w:id="161" w:name="_Toc28885"/>
      <w:r>
        <w:rPr>
          <w:rFonts w:hint="eastAsia" w:ascii="仿宋_GB2312" w:hAnsi="仿宋_GB2312" w:eastAsia="仿宋_GB2312" w:cs="仿宋_GB2312"/>
          <w:b/>
          <w:bCs/>
          <w:color w:val="auto"/>
          <w:sz w:val="32"/>
          <w:szCs w:val="32"/>
          <w:highlight w:val="none"/>
          <w:lang w:val="en-US" w:eastAsia="zh-CN"/>
        </w:rPr>
        <w:t>3.</w:t>
      </w:r>
      <w:bookmarkEnd w:id="160"/>
      <w:r>
        <w:rPr>
          <w:rFonts w:hint="eastAsia" w:ascii="仿宋_GB2312" w:hAnsi="仿宋_GB2312" w:eastAsia="仿宋_GB2312" w:cs="仿宋_GB2312"/>
          <w:b/>
          <w:bCs/>
          <w:color w:val="auto"/>
          <w:sz w:val="32"/>
          <w:szCs w:val="32"/>
          <w:highlight w:val="none"/>
          <w:lang w:val="en-US" w:eastAsia="zh-CN"/>
        </w:rPr>
        <w:t>时效指标完成情况</w:t>
      </w:r>
      <w:bookmarkEnd w:id="161"/>
    </w:p>
    <w:p w14:paraId="2506743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选聘教师工资发放时间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指标，预期目标值为=1次/月，实际完成为1次/月。实际完成率100%。</w:t>
      </w:r>
    </w:p>
    <w:p w14:paraId="3C17E5C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170F9DFD">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62" w:name="_Toc32765"/>
      <w:bookmarkStart w:id="163" w:name="_Toc20607"/>
      <w:r>
        <w:rPr>
          <w:rFonts w:hint="eastAsia" w:ascii="仿宋_GB2312" w:hAnsi="仿宋_GB2312" w:eastAsia="仿宋_GB2312" w:cs="仿宋_GB2312"/>
          <w:b/>
          <w:bCs/>
          <w:color w:val="auto"/>
          <w:sz w:val="32"/>
          <w:szCs w:val="32"/>
          <w:highlight w:val="none"/>
          <w:lang w:val="en-US" w:eastAsia="zh-CN"/>
        </w:rPr>
        <w:t>4.项目</w:t>
      </w:r>
      <w:bookmarkEnd w:id="162"/>
      <w:r>
        <w:rPr>
          <w:rFonts w:hint="eastAsia" w:ascii="仿宋_GB2312" w:hAnsi="仿宋_GB2312" w:eastAsia="仿宋_GB2312" w:cs="仿宋_GB2312"/>
          <w:b/>
          <w:bCs/>
          <w:color w:val="auto"/>
          <w:sz w:val="32"/>
          <w:szCs w:val="32"/>
          <w:highlight w:val="none"/>
          <w:lang w:val="en-US" w:eastAsia="zh-CN"/>
        </w:rPr>
        <w:t>成本情况</w:t>
      </w:r>
      <w:bookmarkEnd w:id="163"/>
    </w:p>
    <w:p w14:paraId="4D565A7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1642FF1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指标，预期目标值为=5.62万元/人/学年，实际完成为</w:t>
      </w:r>
      <w:bookmarkStart w:id="164" w:name="OLE_LINK24"/>
      <w:r>
        <w:rPr>
          <w:rFonts w:hint="eastAsia" w:ascii="仿宋_GB2312" w:hAnsi="仿宋_GB2312" w:eastAsia="仿宋_GB2312" w:cs="仿宋_GB2312"/>
          <w:color w:val="auto"/>
          <w:sz w:val="32"/>
          <w:szCs w:val="32"/>
          <w:highlight w:val="none"/>
          <w:lang w:val="en-US" w:eastAsia="zh-CN"/>
        </w:rPr>
        <w:t>5.62万元/人/学年</w:t>
      </w:r>
      <w:bookmarkEnd w:id="164"/>
      <w:r>
        <w:rPr>
          <w:rFonts w:hint="eastAsia" w:ascii="仿宋_GB2312" w:hAnsi="仿宋_GB2312" w:eastAsia="仿宋_GB2312" w:cs="仿宋_GB2312"/>
          <w:color w:val="auto"/>
          <w:sz w:val="32"/>
          <w:szCs w:val="32"/>
          <w:highlight w:val="none"/>
          <w:lang w:val="en-US" w:eastAsia="zh-CN"/>
        </w:rPr>
        <w:t>。实际完成率=（5.62万元/5.62万元）×100%=100%。</w:t>
      </w:r>
    </w:p>
    <w:p w14:paraId="53715CE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综上，该项指标满分20分，得分20分。</w:t>
      </w:r>
    </w:p>
    <w:p w14:paraId="20F9890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65" w:name="_Toc19424"/>
      <w:r>
        <w:rPr>
          <w:rFonts w:hint="eastAsia" w:ascii="Times New Roman" w:hAnsi="Times New Roman" w:eastAsia="楷体_GB2312" w:cs="Times New Roman"/>
          <w:color w:val="auto"/>
          <w:kern w:val="28"/>
          <w:sz w:val="32"/>
          <w:highlight w:val="none"/>
          <w:lang w:val="en-US" w:eastAsia="zh-CN"/>
        </w:rPr>
        <w:t>（四）项目效益情况</w:t>
      </w:r>
      <w:bookmarkEnd w:id="165"/>
    </w:p>
    <w:p w14:paraId="147602DD">
      <w:pPr>
        <w:pageBreakBefore w:val="0"/>
        <w:widowControl w:val="0"/>
        <w:kinsoku/>
        <w:wordWrap/>
        <w:overflowPunct/>
        <w:topLinePunct w:val="0"/>
        <w:autoSpaceDE/>
        <w:autoSpaceDN/>
        <w:bidi w:val="0"/>
        <w:adjustRightInd/>
        <w:spacing w:line="560" w:lineRule="exact"/>
        <w:ind w:firstLine="560"/>
        <w:jc w:val="left"/>
        <w:textAlignment w:val="auto"/>
        <w:rPr>
          <w:rFonts w:hint="eastAsia" w:cs="宋体"/>
          <w:b/>
          <w:bCs/>
          <w:color w:val="auto"/>
          <w:kern w:val="0"/>
          <w:sz w:val="28"/>
          <w:szCs w:val="28"/>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110746F">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530E357C">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A0FDE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bookmarkStart w:id="166" w:name="_Toc8010"/>
            <w:bookmarkStart w:id="167" w:name="_Toc5170"/>
            <w:r>
              <w:rPr>
                <w:rFonts w:hint="eastAsia" w:ascii="宋体" w:hAnsi="宋体" w:eastAsia="宋体" w:cs="宋体"/>
                <w:b/>
                <w:bCs/>
                <w:color w:val="auto"/>
                <w:kern w:val="0"/>
                <w:sz w:val="20"/>
                <w:szCs w:val="20"/>
                <w:highlight w:val="none"/>
                <w:shd w:val="clear" w:color="auto" w:fill="auto"/>
                <w:lang w:val="en-US" w:eastAsia="zh-CN"/>
              </w:rPr>
              <w:t>一级</w:t>
            </w:r>
          </w:p>
          <w:p w14:paraId="24FB39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25CD0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B31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F6B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7A5290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632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7F524B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0D3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4871AD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131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766F61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3E6F723">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A864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4645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68" w:name="OLE_LINK25"/>
            <w:r>
              <w:rPr>
                <w:rFonts w:hint="eastAsia" w:ascii="宋体" w:hAnsi="宋体" w:eastAsia="宋体" w:cs="宋体"/>
                <w:color w:val="auto"/>
                <w:kern w:val="0"/>
                <w:sz w:val="20"/>
                <w:szCs w:val="20"/>
                <w:highlight w:val="none"/>
                <w:shd w:val="clear" w:color="auto" w:fill="auto"/>
                <w:lang w:val="en-US" w:eastAsia="zh-CN"/>
              </w:rPr>
              <w:t>社会效益指标</w:t>
            </w:r>
            <w:bookmarkEnd w:id="168"/>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D4952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69" w:name="OLE_LINK29"/>
            <w:r>
              <w:rPr>
                <w:rFonts w:hint="default" w:ascii="宋体" w:hAnsi="宋体" w:eastAsia="宋体" w:cs="宋体"/>
                <w:color w:val="auto"/>
                <w:kern w:val="0"/>
                <w:sz w:val="20"/>
                <w:szCs w:val="20"/>
                <w:highlight w:val="none"/>
                <w:shd w:val="clear" w:color="auto" w:fill="auto"/>
                <w:lang w:val="en-US" w:eastAsia="zh-CN"/>
              </w:rPr>
              <w:t>学校正常运转率</w:t>
            </w:r>
            <w:bookmarkEnd w:id="169"/>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395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70" w:name="OLE_LINK30"/>
            <w:r>
              <w:rPr>
                <w:rFonts w:hint="default" w:ascii="宋体" w:hAnsi="宋体" w:eastAsia="宋体" w:cs="宋体"/>
                <w:color w:val="auto"/>
                <w:kern w:val="0"/>
                <w:sz w:val="20"/>
                <w:szCs w:val="20"/>
                <w:highlight w:val="none"/>
                <w:shd w:val="clear" w:color="auto" w:fill="auto"/>
                <w:lang w:val="en-US" w:eastAsia="zh-CN"/>
              </w:rPr>
              <w:t>=100%</w:t>
            </w:r>
            <w:bookmarkEnd w:id="170"/>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15E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44D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0EE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5FCD58D">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60A3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87CF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DA06B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1" w:name="OLE_LINK27"/>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bookmarkEnd w:id="171"/>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236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8FD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267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818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304C305">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652A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7BAF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6C68C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2" w:name="OLE_LINK32"/>
            <w:r>
              <w:rPr>
                <w:rFonts w:hint="eastAsia" w:ascii="宋体" w:hAnsi="宋体" w:eastAsia="宋体" w:cs="宋体"/>
                <w:color w:val="auto"/>
                <w:kern w:val="0"/>
                <w:sz w:val="20"/>
                <w:szCs w:val="20"/>
                <w:highlight w:val="none"/>
                <w:shd w:val="clear" w:color="auto" w:fill="auto"/>
                <w:lang w:val="en-US" w:eastAsia="zh-CN"/>
              </w:rPr>
              <w:t>师生满意度</w:t>
            </w:r>
            <w:bookmarkEnd w:id="172"/>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918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3" w:name="OLE_LINK33"/>
            <w:r>
              <w:rPr>
                <w:rFonts w:hint="eastAsia" w:ascii="宋体" w:hAnsi="宋体" w:eastAsia="宋体" w:cs="宋体"/>
                <w:color w:val="auto"/>
                <w:kern w:val="0"/>
                <w:sz w:val="20"/>
                <w:szCs w:val="20"/>
                <w:highlight w:val="none"/>
                <w:shd w:val="clear" w:color="auto" w:fill="auto"/>
                <w:lang w:val="en-US" w:eastAsia="zh-CN"/>
              </w:rPr>
              <w:t>≥90%</w:t>
            </w:r>
            <w:bookmarkEnd w:id="173"/>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A44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A65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8C2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AA19864">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DD7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19E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9D9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D5E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42976DBC">
      <w:pPr>
        <w:pageBreakBefore w:val="0"/>
        <w:kinsoku/>
        <w:wordWrap/>
        <w:overflowPunct/>
        <w:topLinePunct w:val="0"/>
        <w:autoSpaceDE/>
        <w:autoSpaceDN/>
        <w:bidi w:val="0"/>
        <w:adjustRightInd/>
        <w:spacing w:line="560" w:lineRule="exact"/>
        <w:ind w:left="0" w:leftChars="0"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w:t>
      </w:r>
      <w:bookmarkEnd w:id="166"/>
      <w:bookmarkEnd w:id="167"/>
      <w:r>
        <w:rPr>
          <w:rFonts w:hint="eastAsia" w:ascii="仿宋_GB2312" w:hAnsi="仿宋_GB2312" w:eastAsia="仿宋_GB2312" w:cs="仿宋_GB2312"/>
          <w:b/>
          <w:bCs/>
          <w:color w:val="auto"/>
          <w:sz w:val="32"/>
          <w:szCs w:val="32"/>
          <w:highlight w:val="none"/>
          <w:lang w:val="en-US" w:eastAsia="zh-CN"/>
        </w:rPr>
        <w:t>社会效益指标完成情况</w:t>
      </w:r>
    </w:p>
    <w:p w14:paraId="228A9963">
      <w:pPr>
        <w:pageBreakBefore w:val="0"/>
        <w:numPr>
          <w:ilvl w:val="0"/>
          <w:numId w:val="2"/>
        </w:numPr>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74" w:name="_Toc29606"/>
      <w:bookmarkStart w:id="175" w:name="_Toc27006"/>
      <w:r>
        <w:rPr>
          <w:rFonts w:hint="eastAsia" w:ascii="仿宋_GB2312" w:hAnsi="仿宋_GB2312" w:eastAsia="仿宋_GB2312" w:cs="仿宋_GB2312"/>
          <w:color w:val="auto"/>
          <w:sz w:val="32"/>
          <w:szCs w:val="32"/>
          <w:highlight w:val="none"/>
          <w:lang w:eastAsia="zh-CN"/>
        </w:rPr>
        <w:t>“</w:t>
      </w:r>
      <w:r>
        <w:rPr>
          <w:rFonts w:hint="default" w:ascii="仿宋_GB2312" w:hAnsi="仿宋_GB2312" w:eastAsia="仿宋_GB2312" w:cs="仿宋_GB2312"/>
          <w:color w:val="auto"/>
          <w:sz w:val="32"/>
          <w:szCs w:val="32"/>
          <w:highlight w:val="none"/>
          <w:lang w:val="en-US" w:eastAsia="zh-CN"/>
        </w:rPr>
        <w:t>学校正常运转率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w:t>
      </w:r>
      <w:bookmarkEnd w:id="174"/>
      <w:bookmarkEnd w:id="175"/>
      <w:bookmarkStart w:id="176" w:name="OLE_LINK28"/>
    </w:p>
    <w:p w14:paraId="4F98F54C">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通过项目的实施，达到了改善校园环境，提升幼儿教育教学环境的效益。</w:t>
      </w:r>
    </w:p>
    <w:p w14:paraId="2094AB42">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改善教学环境，提供良好的学生成长条件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指标，预期目标值为改善，实际完成为达到预期指标。</w:t>
      </w:r>
    </w:p>
    <w:p w14:paraId="2B65219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w:t>
      </w:r>
      <w:bookmarkEnd w:id="176"/>
      <w:r>
        <w:rPr>
          <w:rFonts w:hint="eastAsia" w:ascii="仿宋_GB2312" w:hAnsi="仿宋_GB2312" w:eastAsia="仿宋_GB2312" w:cs="仿宋_GB2312"/>
          <w:b w:val="0"/>
          <w:bCs w:val="0"/>
          <w:color w:val="auto"/>
          <w:sz w:val="32"/>
          <w:szCs w:val="32"/>
          <w:highlight w:val="none"/>
          <w:lang w:val="en-US" w:eastAsia="zh-CN"/>
        </w:rPr>
        <w:t>保障了教师的正常工资待遇，提高教师的归属感，减少教师队伍人员流失，有效改善教学环境，提供良好的幼儿成长条件。</w:t>
      </w:r>
    </w:p>
    <w:p w14:paraId="55FAF76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77" w:name="OLE_LINK31"/>
      <w:r>
        <w:rPr>
          <w:rFonts w:hint="eastAsia" w:ascii="仿宋_GB2312" w:hAnsi="仿宋_GB2312" w:eastAsia="仿宋_GB2312" w:cs="仿宋_GB2312"/>
          <w:b/>
          <w:bCs/>
          <w:color w:val="auto"/>
          <w:sz w:val="32"/>
          <w:szCs w:val="32"/>
          <w:highlight w:val="none"/>
          <w:lang w:val="en-US" w:eastAsia="zh-CN"/>
        </w:rPr>
        <w:t>综上，该项指标满分20分，得分20分。</w:t>
      </w:r>
      <w:bookmarkEnd w:id="177"/>
    </w:p>
    <w:p w14:paraId="3165E12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78"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78"/>
    </w:p>
    <w:p w14:paraId="677DCD9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师生满意度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指标，预期目标值为≥90%，实际完成为90%。</w:t>
      </w:r>
    </w:p>
    <w:p w14:paraId="1FB19C7A">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B9A1C9E">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79"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79"/>
    </w:p>
    <w:p w14:paraId="226BA4F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80" w:name="_Toc15449"/>
      <w:bookmarkStart w:id="181" w:name="_Toc1921"/>
      <w:bookmarkStart w:id="182"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80"/>
    </w:p>
    <w:p w14:paraId="5283E3A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2024年选聘教师工资补助经费</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157.42</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131.73</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83.68</w:t>
      </w:r>
      <w:r>
        <w:rPr>
          <w:rFonts w:hint="eastAsia" w:ascii="仿宋_GB2312" w:hAnsi="仿宋_GB2312" w:eastAsia="仿宋_GB2312" w:cs="仿宋_GB2312"/>
          <w:color w:val="auto"/>
          <w:sz w:val="32"/>
          <w:szCs w:val="32"/>
          <w:highlight w:val="none"/>
          <w:lang w:eastAsia="zh-CN"/>
        </w:rPr>
        <w:t>%。</w:t>
      </w:r>
    </w:p>
    <w:p w14:paraId="2AD0ED9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阜康市水磨沟乡中心幼儿园</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阜康市水磨沟乡中心幼儿园</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81"/>
    <w:bookmarkEnd w:id="182"/>
    <w:p w14:paraId="33B83A0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83"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83"/>
    </w:p>
    <w:p w14:paraId="05C858A8">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color w:val="auto"/>
          <w:sz w:val="32"/>
          <w:szCs w:val="32"/>
          <w:highlight w:val="none"/>
          <w:lang w:val="en-US" w:eastAsia="zh-CN"/>
        </w:rPr>
        <w:t>1.发放不及时：由于</w:t>
      </w:r>
      <w:r>
        <w:rPr>
          <w:rFonts w:hint="default" w:ascii="仿宋_GB2312" w:hAnsi="仿宋_GB2312" w:eastAsia="仿宋_GB2312" w:cs="仿宋_GB2312"/>
          <w:color w:val="auto"/>
          <w:sz w:val="32"/>
          <w:szCs w:val="32"/>
          <w:highlight w:val="none"/>
          <w:lang w:val="en-US" w:eastAsia="zh-CN"/>
        </w:rPr>
        <w:t>政府对学前教育的重视程度不够，</w:t>
      </w:r>
      <w:r>
        <w:rPr>
          <w:rFonts w:hint="eastAsia" w:ascii="仿宋_GB2312" w:hAnsi="仿宋_GB2312" w:eastAsia="仿宋_GB2312" w:cs="仿宋_GB2312"/>
          <w:color w:val="auto"/>
          <w:sz w:val="32"/>
          <w:szCs w:val="32"/>
          <w:highlight w:val="none"/>
          <w:lang w:val="en-US" w:eastAsia="zh-CN"/>
        </w:rPr>
        <w:t>在项目实施中</w:t>
      </w:r>
      <w:r>
        <w:rPr>
          <w:rFonts w:hint="default" w:ascii="仿宋_GB2312" w:hAnsi="仿宋_GB2312" w:eastAsia="仿宋_GB2312" w:cs="仿宋_GB2312"/>
          <w:color w:val="auto"/>
          <w:sz w:val="32"/>
          <w:szCs w:val="32"/>
          <w:highlight w:val="none"/>
          <w:lang w:val="en-US" w:eastAsia="zh-CN"/>
        </w:rPr>
        <w:t>导致用于幼儿园教师工资补助的资金不足。随着学前教育的快速发展，对教师数量和质量的要求不断提高，而财政投入未能相应增加，使得经费紧张的问题更加突出</w:t>
      </w:r>
      <w:r>
        <w:rPr>
          <w:rFonts w:hint="eastAsia" w:ascii="仿宋_GB2312" w:hAnsi="仿宋_GB2312" w:eastAsia="仿宋_GB2312" w:cs="仿宋_GB2312"/>
          <w:color w:val="auto"/>
          <w:sz w:val="32"/>
          <w:szCs w:val="32"/>
          <w:highlight w:val="none"/>
          <w:lang w:val="en-US" w:eastAsia="zh-CN"/>
        </w:rPr>
        <w:t>。在项目实施过程中，存在工资补助经费发放不及时的情况。这可能是由于资金审批流程繁琐、部门之间协调不畅等原因导致的。工资发放延迟会给教师的生活带来不便，也容易引发教师的不满情绪，对幼儿园的正常教学秩序产生负面影响。</w:t>
      </w:r>
    </w:p>
    <w:p w14:paraId="610856C2">
      <w:pPr>
        <w:pageBreakBefore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2.监管机制不完善：由于</w:t>
      </w:r>
      <w:r>
        <w:rPr>
          <w:rFonts w:hint="eastAsia" w:ascii="仿宋_GB2312" w:hAnsi="仿宋_GB2312" w:eastAsia="仿宋_GB2312" w:cs="仿宋_GB2312"/>
          <w:color w:val="auto"/>
          <w:kern w:val="2"/>
          <w:sz w:val="32"/>
          <w:szCs w:val="32"/>
          <w:highlight w:val="none"/>
          <w:lang w:val="en-US" w:eastAsia="zh-CN" w:bidi="ar-SA"/>
        </w:rPr>
        <w:t>幼儿园教师工资补助经费的管理涉及多个部门，如财政部门、教育部门等，所以在项目实施中各部门之间职责不清、协调不畅，容易出现工作推诿、效率低下的问题。</w:t>
      </w:r>
    </w:p>
    <w:p w14:paraId="0EAEEF3B">
      <w:pPr>
        <w:pageBreakBefore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对幼儿园教师工资补助经费的使用缺乏有效的监管机制，工资补助经费的预算与实际需求之间存在较大差距，难以满足幼儿园教师工资的合理增长。</w:t>
      </w:r>
      <w:bookmarkStart w:id="184" w:name="_Toc3333"/>
    </w:p>
    <w:p w14:paraId="42B6752E">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六、有关建议</w:t>
      </w:r>
      <w:bookmarkEnd w:id="184"/>
    </w:p>
    <w:p w14:paraId="7EDB6730">
      <w:pPr>
        <w:pageBreakBefore w:val="0"/>
        <w:kinsoku/>
        <w:wordWrap/>
        <w:overflowPunct/>
        <w:topLinePunct w:val="0"/>
        <w:autoSpaceDE/>
        <w:autoSpaceDN/>
        <w:bidi w:val="0"/>
        <w:adjustRightInd/>
        <w:spacing w:line="560" w:lineRule="exact"/>
        <w:textAlignment w:val="auto"/>
        <w:outlineLvl w:val="1"/>
        <w:rPr>
          <w:rFonts w:hint="eastAsia" w:ascii="仿宋_GB2312" w:hAnsi="仿宋_GB2312" w:eastAsia="仿宋_GB2312" w:cs="仿宋_GB2312"/>
          <w:color w:val="auto"/>
          <w:kern w:val="2"/>
          <w:sz w:val="32"/>
          <w:szCs w:val="32"/>
          <w:highlight w:val="none"/>
          <w:lang w:val="en-US" w:eastAsia="zh-CN" w:bidi="ar-SA"/>
        </w:rPr>
      </w:pPr>
      <w:bookmarkStart w:id="185" w:name="_Toc14256"/>
      <w:r>
        <w:rPr>
          <w:rFonts w:hint="eastAsia" w:ascii="仿宋_GB2312" w:hAnsi="仿宋_GB2312" w:eastAsia="仿宋_GB2312" w:cs="仿宋_GB2312"/>
          <w:color w:val="auto"/>
          <w:kern w:val="2"/>
          <w:sz w:val="32"/>
          <w:szCs w:val="32"/>
          <w:highlight w:val="none"/>
          <w:lang w:val="en-US" w:eastAsia="zh-CN" w:bidi="ar-SA"/>
        </w:rPr>
        <w:t>（一）建立健全监管制度：制定严格的幼儿园教师工资补助经费使用监管制度，明确资金使用范围、违规处罚措施等。规定资金只能用于教师工资发放，严禁挪作他用，对违规行为严肃查处。</w:t>
      </w:r>
    </w:p>
    <w:p w14:paraId="68B287B8">
      <w:pPr>
        <w:pageBreakBefore w:val="0"/>
        <w:kinsoku/>
        <w:wordWrap/>
        <w:overflowPunct/>
        <w:topLinePunct w:val="0"/>
        <w:autoSpaceDE/>
        <w:autoSpaceDN/>
        <w:bidi w:val="0"/>
        <w:adjustRightInd/>
        <w:spacing w:line="560" w:lineRule="exact"/>
        <w:textAlignment w:val="auto"/>
        <w:outlineLvl w:val="1"/>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（二）建立预警机制：建立资金发放预警机制，对可能出现的发放延迟等问题提前预警。定期检查资金发放进度，若发现问题及时采取措施解决，保障教师按时领取工资。</w:t>
      </w:r>
    </w:p>
    <w:p w14:paraId="4F82E3A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85"/>
    </w:p>
    <w:p w14:paraId="3D1ED7D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6A72FEC2">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5FAE89BB">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86" w:name="_Toc28971"/>
      <w:bookmarkStart w:id="187" w:name="_Toc11349"/>
      <w:r>
        <w:rPr>
          <w:rFonts w:hint="eastAsia" w:ascii="宋体" w:hAnsi="宋体" w:eastAsia="宋体" w:cs="宋体"/>
          <w:b/>
          <w:bCs/>
          <w:color w:val="auto"/>
          <w:highlight w:val="none"/>
          <w:shd w:val="clear" w:color="auto" w:fill="auto"/>
          <w:lang w:val="en-US" w:eastAsia="zh-CN"/>
        </w:rPr>
        <w:t>附件一、项目支出绩效自评表</w:t>
      </w:r>
      <w:bookmarkEnd w:id="186"/>
      <w:bookmarkEnd w:id="187"/>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0"/>
        <w:gridCol w:w="880"/>
        <w:gridCol w:w="880"/>
        <w:gridCol w:w="880"/>
        <w:gridCol w:w="1202"/>
        <w:gridCol w:w="1121"/>
        <w:gridCol w:w="1283"/>
        <w:gridCol w:w="1202"/>
        <w:gridCol w:w="1121"/>
        <w:gridCol w:w="880"/>
        <w:gridCol w:w="1041"/>
        <w:gridCol w:w="881"/>
        <w:gridCol w:w="881"/>
        <w:gridCol w:w="1042"/>
      </w:tblGrid>
      <w:tr w14:paraId="58233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0AED6699">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9A95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530896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5615E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9"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24998A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0"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0CB2A6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2024年选聘教师工资补助经费</w:t>
            </w:r>
          </w:p>
        </w:tc>
      </w:tr>
      <w:tr w14:paraId="212D7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0259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3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66C76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E896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0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2EBB5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阜康市水磨沟乡中心幼儿园</w:t>
            </w:r>
          </w:p>
        </w:tc>
      </w:tr>
      <w:tr w14:paraId="6E6BF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7703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79EBC2">
            <w:pPr>
              <w:jc w:val="cente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E00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E844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7139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81B7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9BD1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49D1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0798B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23354">
            <w:pPr>
              <w:jc w:val="center"/>
              <w:rPr>
                <w:rFonts w:hint="eastAsia" w:ascii="宋体" w:hAnsi="宋体" w:eastAsia="宋体" w:cs="宋体"/>
                <w:b/>
                <w:bCs/>
                <w:i w:val="0"/>
                <w:iCs w:val="0"/>
                <w:color w:val="000000"/>
                <w:sz w:val="18"/>
                <w:szCs w:val="18"/>
                <w:u w:val="none"/>
              </w:rPr>
            </w:pPr>
          </w:p>
        </w:tc>
        <w:tc>
          <w:tcPr>
            <w:tcW w:w="7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C1D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469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157.42</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81F7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157.42</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E40F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131.73</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63BE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67F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83.70%</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6E2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8.37</w:t>
            </w:r>
          </w:p>
        </w:tc>
      </w:tr>
      <w:tr w14:paraId="1CE30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FE076">
            <w:pPr>
              <w:jc w:val="center"/>
              <w:rPr>
                <w:rFonts w:hint="eastAsia" w:ascii="宋体" w:hAnsi="宋体" w:eastAsia="宋体" w:cs="宋体"/>
                <w:b/>
                <w:bCs/>
                <w:i w:val="0"/>
                <w:iCs w:val="0"/>
                <w:color w:val="000000"/>
                <w:sz w:val="18"/>
                <w:szCs w:val="18"/>
                <w:u w:val="none"/>
              </w:rPr>
            </w:pPr>
          </w:p>
        </w:tc>
        <w:tc>
          <w:tcPr>
            <w:tcW w:w="7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6754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7C8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157.42</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8F05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157.42</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CFCF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131.73 </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25C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090E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166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01FC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FE513">
            <w:pPr>
              <w:jc w:val="center"/>
              <w:rPr>
                <w:rFonts w:hint="eastAsia" w:ascii="宋体" w:hAnsi="宋体" w:eastAsia="宋体" w:cs="宋体"/>
                <w:b/>
                <w:bCs/>
                <w:i w:val="0"/>
                <w:iCs w:val="0"/>
                <w:color w:val="000000"/>
                <w:sz w:val="18"/>
                <w:szCs w:val="18"/>
                <w:u w:val="none"/>
              </w:rPr>
            </w:pPr>
          </w:p>
        </w:tc>
        <w:tc>
          <w:tcPr>
            <w:tcW w:w="7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1D7F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334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9C25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B4DF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DC94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BF90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77D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381C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32FC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399FC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5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1BF62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7E74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9F140">
            <w:pPr>
              <w:jc w:val="center"/>
              <w:rPr>
                <w:rFonts w:hint="eastAsia" w:ascii="宋体" w:hAnsi="宋体" w:eastAsia="宋体" w:cs="宋体"/>
                <w:b/>
                <w:bCs/>
                <w:i w:val="0"/>
                <w:iCs w:val="0"/>
                <w:color w:val="000000"/>
                <w:sz w:val="18"/>
                <w:szCs w:val="18"/>
                <w:u w:val="none"/>
              </w:rPr>
            </w:pPr>
          </w:p>
        </w:tc>
        <w:tc>
          <w:tcPr>
            <w:tcW w:w="194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5AFBC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2024年幼儿园正常运转，维持幼儿园正常教学秩序。计划全年按时支付选聘教师27人12次工资补助经费，每人每年5.62万元。通过按时发放选聘教师工资，保障教师的正常工资待遇，提高教师的归属感，减少教师队伍人员流失，有效改善教学环境，提供良好的幼儿成长条件，达到幼儿园正常运转的目的。</w:t>
            </w:r>
          </w:p>
        </w:tc>
        <w:tc>
          <w:tcPr>
            <w:tcW w:w="285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84A60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支付选聘教师27人12次的工资补助经费发放，每人每年5.622万元。通过按时发放选聘教师工资，保障教师的正常工资待遇，提高教师的归属感，减少教师队伍人员流失，有效改善教学环境，提供良好的幼儿成长条件，达到幼儿园正常运转的目的，满意度达95.92%。</w:t>
            </w:r>
          </w:p>
        </w:tc>
      </w:tr>
      <w:tr w14:paraId="02FE9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7BE1F5">
            <w:pPr>
              <w:jc w:val="center"/>
              <w:rPr>
                <w:rFonts w:hint="eastAsia" w:ascii="宋体" w:hAnsi="宋体" w:eastAsia="宋体" w:cs="宋体"/>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3C9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285C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95C01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0B7C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D6B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CE50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7B11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524E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07897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317A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EA36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1E1B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8123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CDE1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2F4BC">
            <w:pPr>
              <w:jc w:val="center"/>
              <w:rPr>
                <w:rFonts w:hint="eastAsia" w:ascii="宋体" w:hAnsi="宋体" w:eastAsia="宋体" w:cs="宋体"/>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3C144">
            <w:pPr>
              <w:jc w:val="center"/>
              <w:rPr>
                <w:rFonts w:hint="eastAsia" w:ascii="宋体" w:hAnsi="宋体" w:eastAsia="宋体" w:cs="宋体"/>
                <w:b/>
                <w:bCs/>
                <w:i w:val="0"/>
                <w:iCs w:val="0"/>
                <w:color w:val="000000"/>
                <w:sz w:val="18"/>
                <w:szCs w:val="18"/>
                <w:u w:val="none"/>
              </w:rPr>
            </w:pPr>
          </w:p>
        </w:tc>
        <w:tc>
          <w:tcPr>
            <w:tcW w:w="3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B446F">
            <w:pPr>
              <w:jc w:val="center"/>
              <w:rPr>
                <w:rFonts w:hint="eastAsia" w:ascii="宋体" w:hAnsi="宋体" w:eastAsia="宋体" w:cs="宋体"/>
                <w:b/>
                <w:bCs/>
                <w:i w:val="0"/>
                <w:iCs w:val="0"/>
                <w:color w:val="000000"/>
                <w:sz w:val="18"/>
                <w:szCs w:val="18"/>
                <w:u w:val="none"/>
              </w:rPr>
            </w:pPr>
          </w:p>
        </w:tc>
        <w:tc>
          <w:tcPr>
            <w:tcW w:w="4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4748E">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C5940">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CB4DD">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C2F43">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03784">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37AC3">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2E857">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63624">
            <w:pPr>
              <w:jc w:val="center"/>
              <w:rPr>
                <w:rFonts w:hint="eastAsia" w:ascii="宋体" w:hAnsi="宋体" w:eastAsia="宋体" w:cs="宋体"/>
                <w:b/>
                <w:bCs/>
                <w:i w:val="0"/>
                <w:iCs w:val="0"/>
                <w:color w:val="000000"/>
                <w:sz w:val="18"/>
                <w:szCs w:val="18"/>
                <w:u w:val="none"/>
              </w:rPr>
            </w:pPr>
          </w:p>
        </w:tc>
        <w:tc>
          <w:tcPr>
            <w:tcW w:w="3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0365E">
            <w:pPr>
              <w:jc w:val="center"/>
              <w:rPr>
                <w:rFonts w:hint="eastAsia" w:ascii="宋体" w:hAnsi="宋体" w:eastAsia="宋体" w:cs="宋体"/>
                <w:b/>
                <w:bCs/>
                <w:i w:val="0"/>
                <w:iCs w:val="0"/>
                <w:color w:val="000000"/>
                <w:sz w:val="18"/>
                <w:szCs w:val="18"/>
                <w:u w:val="none"/>
              </w:rPr>
            </w:pPr>
          </w:p>
        </w:tc>
        <w:tc>
          <w:tcPr>
            <w:tcW w:w="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6033D">
            <w:pPr>
              <w:jc w:val="center"/>
              <w:rPr>
                <w:rFonts w:hint="eastAsia" w:ascii="宋体" w:hAnsi="宋体" w:eastAsia="宋体" w:cs="宋体"/>
                <w:b/>
                <w:bCs/>
                <w:i w:val="0"/>
                <w:iCs w:val="0"/>
                <w:color w:val="000000"/>
                <w:sz w:val="18"/>
                <w:szCs w:val="18"/>
                <w:u w:val="none"/>
              </w:rPr>
            </w:pP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4383A">
            <w:pPr>
              <w:jc w:val="center"/>
              <w:rPr>
                <w:rFonts w:hint="eastAsia" w:ascii="宋体" w:hAnsi="宋体" w:eastAsia="宋体" w:cs="宋体"/>
                <w:b/>
                <w:bCs/>
                <w:i w:val="0"/>
                <w:iCs w:val="0"/>
                <w:color w:val="000000"/>
                <w:sz w:val="18"/>
                <w:szCs w:val="18"/>
                <w:u w:val="none"/>
              </w:rPr>
            </w:pPr>
          </w:p>
        </w:tc>
      </w:tr>
      <w:tr w14:paraId="0EA71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AF28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AB62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B8C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348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选聘教师人数</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572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57F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&gt;=27人</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3D7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=27人</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712F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2C3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212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DC1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29A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87E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E6D02">
            <w:pPr>
              <w:jc w:val="center"/>
              <w:rPr>
                <w:rFonts w:hint="eastAsia" w:ascii="宋体" w:hAnsi="宋体" w:eastAsia="宋体" w:cs="宋体"/>
                <w:i w:val="0"/>
                <w:iCs w:val="0"/>
                <w:color w:val="000000"/>
                <w:sz w:val="18"/>
                <w:szCs w:val="18"/>
                <w:u w:val="none"/>
              </w:rPr>
            </w:pPr>
          </w:p>
        </w:tc>
      </w:tr>
      <w:tr w14:paraId="18902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EE0E8">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89BAE">
            <w:pPr>
              <w:jc w:val="center"/>
              <w:rPr>
                <w:rFonts w:hint="eastAsia" w:ascii="宋体" w:hAnsi="宋体" w:eastAsia="宋体" w:cs="宋体"/>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2B5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1C3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工资支付次数</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E1F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BBC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CAB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=10次</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CEA6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83.33%</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4AE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B4D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EC7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05F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8A3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30A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1.因为选聘教师是次月发放工资，所以次数有未完成情况。 2.选聘教师有辞职情况，所以人员经费享受比例未按标准完成支付。</w:t>
            </w:r>
          </w:p>
        </w:tc>
      </w:tr>
      <w:tr w14:paraId="3D83E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38EC5">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12111">
            <w:pPr>
              <w:jc w:val="center"/>
              <w:rPr>
                <w:rFonts w:hint="eastAsia" w:ascii="宋体" w:hAnsi="宋体" w:eastAsia="宋体" w:cs="宋体"/>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9E6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1A7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人员经费享受比例</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AF3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95C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109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=83.68%</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8ED0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83.68%</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7D0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5.92</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D8E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75E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756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40C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F25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1.因为选聘教师是次月发放工资，所以次数有未完成情况。 2.选聘教师有辞职情况，所以人员经费享受比例未按标准完成支付。</w:t>
            </w:r>
          </w:p>
        </w:tc>
      </w:tr>
      <w:tr w14:paraId="4FF64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4FF48">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0A77A">
            <w:pPr>
              <w:jc w:val="center"/>
              <w:rPr>
                <w:rFonts w:hint="eastAsia" w:ascii="宋体" w:hAnsi="宋体" w:eastAsia="宋体" w:cs="宋体"/>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013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509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选聘教师工资发放时间</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BDE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584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21F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7E35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14D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A4E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26467">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B11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00E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E4410">
            <w:pPr>
              <w:jc w:val="center"/>
              <w:rPr>
                <w:rFonts w:hint="eastAsia" w:ascii="宋体" w:hAnsi="宋体" w:eastAsia="宋体" w:cs="宋体"/>
                <w:i w:val="0"/>
                <w:iCs w:val="0"/>
                <w:color w:val="000000"/>
                <w:sz w:val="18"/>
                <w:szCs w:val="18"/>
                <w:u w:val="none"/>
              </w:rPr>
            </w:pPr>
          </w:p>
        </w:tc>
      </w:tr>
      <w:tr w14:paraId="06A6D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208AA">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7101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4BC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BAC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761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0C2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131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74AA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A1A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0F7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019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5.48万元</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58D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F18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BB4A6">
            <w:pPr>
              <w:jc w:val="center"/>
              <w:rPr>
                <w:rFonts w:hint="eastAsia" w:ascii="宋体" w:hAnsi="宋体" w:eastAsia="宋体" w:cs="宋体"/>
                <w:i w:val="0"/>
                <w:iCs w:val="0"/>
                <w:color w:val="000000"/>
                <w:sz w:val="18"/>
                <w:szCs w:val="18"/>
                <w:u w:val="none"/>
              </w:rPr>
            </w:pPr>
          </w:p>
        </w:tc>
      </w:tr>
      <w:tr w14:paraId="09644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4D542">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6531B">
            <w:pPr>
              <w:jc w:val="center"/>
              <w:rPr>
                <w:rFonts w:hint="eastAsia" w:ascii="宋体" w:hAnsi="宋体" w:eastAsia="宋体" w:cs="宋体"/>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014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DB94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564C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0691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BB82F">
            <w:pPr>
              <w:jc w:val="center"/>
              <w:rPr>
                <w:rFonts w:hint="eastAsia" w:ascii="宋体" w:hAnsi="宋体" w:eastAsia="宋体" w:cs="宋体"/>
                <w:i w:val="0"/>
                <w:iCs w:val="0"/>
                <w:color w:val="000000"/>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835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42B6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6B8E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0AB10">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FA256">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C02DC">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AEB26">
            <w:pPr>
              <w:jc w:val="center"/>
              <w:rPr>
                <w:rFonts w:hint="eastAsia" w:ascii="宋体" w:hAnsi="宋体" w:eastAsia="宋体" w:cs="宋体"/>
                <w:i w:val="0"/>
                <w:iCs w:val="0"/>
                <w:color w:val="000000"/>
                <w:sz w:val="18"/>
                <w:szCs w:val="18"/>
                <w:u w:val="none"/>
              </w:rPr>
            </w:pPr>
          </w:p>
        </w:tc>
      </w:tr>
      <w:tr w14:paraId="4EC14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01E35">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121E0">
            <w:pPr>
              <w:jc w:val="center"/>
              <w:rPr>
                <w:rFonts w:hint="eastAsia" w:ascii="宋体" w:hAnsi="宋体" w:eastAsia="宋体" w:cs="宋体"/>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B3C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2873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2F6C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DF7F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654B7">
            <w:pPr>
              <w:jc w:val="center"/>
              <w:rPr>
                <w:rFonts w:hint="eastAsia" w:ascii="宋体" w:hAnsi="宋体" w:eastAsia="宋体" w:cs="宋体"/>
                <w:i w:val="0"/>
                <w:iCs w:val="0"/>
                <w:color w:val="000000"/>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666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0558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E91E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0DCFF">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4DADC">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4AD1C">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9145A">
            <w:pPr>
              <w:jc w:val="center"/>
              <w:rPr>
                <w:rFonts w:hint="eastAsia" w:ascii="宋体" w:hAnsi="宋体" w:eastAsia="宋体" w:cs="宋体"/>
                <w:i w:val="0"/>
                <w:iCs w:val="0"/>
                <w:color w:val="000000"/>
                <w:sz w:val="18"/>
                <w:szCs w:val="18"/>
                <w:u w:val="none"/>
              </w:rPr>
            </w:pPr>
          </w:p>
        </w:tc>
      </w:tr>
      <w:tr w14:paraId="02A1C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F8094">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CA90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A4B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EBF3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4586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AAE3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6A22D">
            <w:pPr>
              <w:jc w:val="center"/>
              <w:rPr>
                <w:rFonts w:hint="eastAsia" w:ascii="宋体" w:hAnsi="宋体" w:eastAsia="宋体" w:cs="宋体"/>
                <w:i w:val="0"/>
                <w:iCs w:val="0"/>
                <w:color w:val="000000"/>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A194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78CC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871C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CDCB8">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F5882">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FD57B">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E3602">
            <w:pPr>
              <w:jc w:val="center"/>
              <w:rPr>
                <w:rFonts w:hint="eastAsia" w:ascii="宋体" w:hAnsi="宋体" w:eastAsia="宋体" w:cs="宋体"/>
                <w:i w:val="0"/>
                <w:iCs w:val="0"/>
                <w:color w:val="000000"/>
                <w:sz w:val="18"/>
                <w:szCs w:val="18"/>
                <w:u w:val="none"/>
              </w:rPr>
            </w:pPr>
          </w:p>
        </w:tc>
      </w:tr>
      <w:tr w14:paraId="65E9E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26B12">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D3600">
            <w:pPr>
              <w:jc w:val="center"/>
              <w:rPr>
                <w:rFonts w:hint="eastAsia" w:ascii="宋体" w:hAnsi="宋体" w:eastAsia="宋体" w:cs="宋体"/>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7DF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44F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A75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43A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1F2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6441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599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7EF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76E60">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52B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A03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FFDCB">
            <w:pPr>
              <w:jc w:val="center"/>
              <w:rPr>
                <w:rFonts w:hint="eastAsia" w:ascii="宋体" w:hAnsi="宋体" w:eastAsia="宋体" w:cs="宋体"/>
                <w:i w:val="0"/>
                <w:iCs w:val="0"/>
                <w:color w:val="000000"/>
                <w:sz w:val="18"/>
                <w:szCs w:val="18"/>
                <w:u w:val="none"/>
              </w:rPr>
            </w:pPr>
          </w:p>
        </w:tc>
      </w:tr>
      <w:tr w14:paraId="40DDF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E9248">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39B2A">
            <w:pPr>
              <w:jc w:val="center"/>
              <w:rPr>
                <w:rFonts w:hint="eastAsia" w:ascii="宋体" w:hAnsi="宋体" w:eastAsia="宋体" w:cs="宋体"/>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E6B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717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FAB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476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DAD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EDB0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40D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9A5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041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58E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962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2E5E1">
            <w:pPr>
              <w:jc w:val="center"/>
              <w:rPr>
                <w:rFonts w:hint="eastAsia" w:ascii="宋体" w:hAnsi="宋体" w:eastAsia="宋体" w:cs="宋体"/>
                <w:i w:val="0"/>
                <w:iCs w:val="0"/>
                <w:color w:val="000000"/>
                <w:sz w:val="18"/>
                <w:szCs w:val="18"/>
                <w:u w:val="none"/>
              </w:rPr>
            </w:pPr>
          </w:p>
        </w:tc>
      </w:tr>
      <w:tr w14:paraId="0D51B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32FD7">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88E4E">
            <w:pPr>
              <w:jc w:val="center"/>
              <w:rPr>
                <w:rFonts w:hint="eastAsia" w:ascii="宋体" w:hAnsi="宋体" w:eastAsia="宋体" w:cs="宋体"/>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3CB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6B37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D4CD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3E1E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98650">
            <w:pPr>
              <w:jc w:val="center"/>
              <w:rPr>
                <w:rFonts w:hint="eastAsia" w:ascii="宋体" w:hAnsi="宋体" w:eastAsia="宋体" w:cs="宋体"/>
                <w:i w:val="0"/>
                <w:iCs w:val="0"/>
                <w:color w:val="000000"/>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4721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2B1F4">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666B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A0E7F">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26DD4">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ABBB6">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6C16E">
            <w:pPr>
              <w:jc w:val="center"/>
              <w:rPr>
                <w:rFonts w:hint="eastAsia" w:ascii="宋体" w:hAnsi="宋体" w:eastAsia="宋体" w:cs="宋体"/>
                <w:i w:val="0"/>
                <w:iCs w:val="0"/>
                <w:color w:val="000000"/>
                <w:sz w:val="18"/>
                <w:szCs w:val="18"/>
                <w:u w:val="none"/>
              </w:rPr>
            </w:pPr>
          </w:p>
        </w:tc>
      </w:tr>
      <w:tr w14:paraId="0EF31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B6158">
            <w:pPr>
              <w:jc w:val="center"/>
              <w:rPr>
                <w:rFonts w:hint="eastAsia" w:ascii="宋体" w:hAnsi="宋体" w:eastAsia="宋体" w:cs="宋体"/>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BD7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C68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DBEE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8CCD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F0AA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322B1">
            <w:pPr>
              <w:jc w:val="center"/>
              <w:rPr>
                <w:rFonts w:hint="eastAsia" w:ascii="宋体" w:hAnsi="宋体" w:eastAsia="宋体" w:cs="宋体"/>
                <w:i w:val="0"/>
                <w:iCs w:val="0"/>
                <w:color w:val="000000"/>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C8F1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0D078">
            <w:pPr>
              <w:jc w:val="center"/>
              <w:rPr>
                <w:rFonts w:hint="eastAsia" w:ascii="宋体" w:hAnsi="宋体" w:eastAsia="宋体" w:cs="宋体"/>
                <w:i w:val="0"/>
                <w:iCs w:val="0"/>
                <w:color w:val="000000"/>
                <w:sz w:val="18"/>
                <w:szCs w:val="18"/>
                <w:u w:val="none"/>
              </w:rPr>
            </w:pPr>
            <w:bookmarkStart w:id="190" w:name="_GoBack"/>
            <w:bookmarkEnd w:id="190"/>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B8D4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6E4DB">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F625A">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4CE8E">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10033">
            <w:pPr>
              <w:jc w:val="center"/>
              <w:rPr>
                <w:rFonts w:hint="eastAsia" w:ascii="宋体" w:hAnsi="宋体" w:eastAsia="宋体" w:cs="宋体"/>
                <w:i w:val="0"/>
                <w:iCs w:val="0"/>
                <w:color w:val="000000"/>
                <w:sz w:val="18"/>
                <w:szCs w:val="18"/>
                <w:u w:val="none"/>
              </w:rPr>
            </w:pPr>
          </w:p>
        </w:tc>
      </w:tr>
      <w:tr w14:paraId="01E3D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81FCC">
            <w:pPr>
              <w:jc w:val="center"/>
              <w:rPr>
                <w:rFonts w:hint="eastAsia" w:ascii="宋体" w:hAnsi="宋体" w:eastAsia="宋体" w:cs="宋体"/>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54434">
            <w:pPr>
              <w:jc w:val="center"/>
              <w:rPr>
                <w:rFonts w:hint="eastAsia" w:ascii="宋体" w:hAnsi="宋体" w:eastAsia="宋体" w:cs="宋体"/>
                <w:i w:val="0"/>
                <w:iCs w:val="0"/>
                <w:color w:val="000000"/>
                <w:sz w:val="18"/>
                <w:szCs w:val="18"/>
                <w:u w:val="none"/>
              </w:rPr>
            </w:pPr>
          </w:p>
        </w:tc>
        <w:tc>
          <w:tcPr>
            <w:tcW w:w="3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290C0">
            <w:pPr>
              <w:jc w:val="center"/>
              <w:rPr>
                <w:rFonts w:hint="eastAsia" w:ascii="宋体" w:hAnsi="宋体" w:eastAsia="宋体" w:cs="宋体"/>
                <w:i w:val="0"/>
                <w:iCs w:val="0"/>
                <w:color w:val="000000"/>
                <w:sz w:val="18"/>
                <w:szCs w:val="18"/>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55A0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655A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FC5B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E95C8">
            <w:pPr>
              <w:jc w:val="center"/>
              <w:rPr>
                <w:rFonts w:hint="eastAsia" w:ascii="宋体" w:hAnsi="宋体" w:eastAsia="宋体" w:cs="宋体"/>
                <w:i w:val="0"/>
                <w:iCs w:val="0"/>
                <w:color w:val="000000"/>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E78F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2AB6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E92A9">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EAC65">
            <w:pPr>
              <w:jc w:val="cente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5F996">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AE7C2">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4FE99">
            <w:pPr>
              <w:jc w:val="center"/>
              <w:rPr>
                <w:rFonts w:hint="eastAsia" w:ascii="宋体" w:hAnsi="宋体" w:eastAsia="宋体" w:cs="宋体"/>
                <w:i w:val="0"/>
                <w:iCs w:val="0"/>
                <w:color w:val="000000"/>
                <w:sz w:val="18"/>
                <w:szCs w:val="18"/>
                <w:u w:val="none"/>
              </w:rPr>
            </w:pPr>
          </w:p>
        </w:tc>
      </w:tr>
      <w:tr w14:paraId="5DC16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68" w:type="pct"/>
            <w:gridSpan w:val="4"/>
            <w:tcBorders>
              <w:top w:val="single" w:color="000000" w:sz="4" w:space="0"/>
              <w:left w:val="single" w:color="000000" w:sz="4" w:space="0"/>
              <w:bottom w:val="single" w:color="000000" w:sz="4" w:space="0"/>
              <w:right w:val="nil"/>
            </w:tcBorders>
            <w:shd w:val="clear" w:color="auto" w:fill="auto"/>
            <w:vAlign w:val="center"/>
          </w:tcPr>
          <w:p w14:paraId="60F8EA5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5F7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nil"/>
              <w:bottom w:val="single" w:color="000000" w:sz="4" w:space="0"/>
              <w:right w:val="single" w:color="000000" w:sz="4" w:space="0"/>
            </w:tcBorders>
            <w:shd w:val="clear" w:color="auto" w:fill="auto"/>
            <w:vAlign w:val="center"/>
          </w:tcPr>
          <w:p w14:paraId="64863992">
            <w:pP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2126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0658C">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C13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88.04分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84443">
            <w:pP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6A5C2">
            <w:pPr>
              <w:rPr>
                <w:rFonts w:hint="eastAsia" w:ascii="宋体" w:hAnsi="宋体" w:eastAsia="宋体" w:cs="宋体"/>
                <w:i w:val="0"/>
                <w:iCs w:val="0"/>
                <w:color w:val="000000"/>
                <w:sz w:val="18"/>
                <w:szCs w:val="18"/>
                <w:u w:val="none"/>
              </w:rPr>
            </w:pP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19BA9">
            <w:pP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A8BF7">
            <w:pP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EF60A">
            <w:pPr>
              <w:rPr>
                <w:rFonts w:hint="eastAsia" w:ascii="宋体" w:hAnsi="宋体" w:eastAsia="宋体" w:cs="宋体"/>
                <w:i w:val="0"/>
                <w:iCs w:val="0"/>
                <w:color w:val="000000"/>
                <w:sz w:val="18"/>
                <w:szCs w:val="18"/>
                <w:u w:val="none"/>
              </w:rPr>
            </w:pPr>
          </w:p>
        </w:tc>
      </w:tr>
    </w:tbl>
    <w:p w14:paraId="2C426FD6">
      <w:pPr>
        <w:ind w:left="0" w:leftChars="0" w:firstLine="0" w:firstLineChars="0"/>
        <w:rPr>
          <w:color w:val="auto"/>
          <w:highlight w:val="none"/>
        </w:rPr>
      </w:pPr>
      <w:r>
        <w:rPr>
          <w:color w:val="auto"/>
          <w:highlight w:val="none"/>
        </w:rPr>
        <w:br w:type="page"/>
      </w:r>
    </w:p>
    <w:p w14:paraId="5241FBE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88" w:name="_Toc15067"/>
      <w:bookmarkStart w:id="189" w:name="_Toc11223"/>
      <w:r>
        <w:rPr>
          <w:rFonts w:hint="eastAsia" w:ascii="宋体" w:hAnsi="宋体" w:eastAsia="宋体" w:cs="宋体"/>
          <w:b/>
          <w:bCs/>
          <w:color w:val="auto"/>
          <w:highlight w:val="none"/>
          <w:shd w:val="clear" w:color="auto" w:fill="auto"/>
          <w:lang w:val="en-US" w:eastAsia="zh-CN"/>
        </w:rPr>
        <w:t>附件二、项目支出绩效评价指标体系打分表</w:t>
      </w:r>
      <w:bookmarkEnd w:id="188"/>
      <w:bookmarkEnd w:id="189"/>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75A46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FDCF8A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3AF1C04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2B9E8A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3D43CF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6277441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7125916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2DAE7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78856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1CD3BB1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1F66923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25648FB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221332A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33DD963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7F48AC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19FD9B4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19D14DE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136F27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6EE9B26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7F7A43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302B327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5955C07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087C091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49A4357">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2</w:t>
            </w:r>
          </w:p>
        </w:tc>
      </w:tr>
      <w:tr w14:paraId="3622FE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6CD9438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2CF3CF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95B4A8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72EDCD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7E08756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5EFCC34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DFE7B1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558FC74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4962AF78">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5AD739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AEE1F58">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2.2</w:t>
            </w:r>
          </w:p>
        </w:tc>
      </w:tr>
      <w:tr w14:paraId="2884AF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595020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E324B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231B06B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49B0810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12A638C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4FAB5C0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C1A136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6C91EDB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1F5348F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700E336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7960481B">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40E56E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24E79E31">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5</w:t>
            </w:r>
          </w:p>
        </w:tc>
      </w:tr>
      <w:tr w14:paraId="17DC8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3F23610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1405A14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72C0D46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138C4D4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0DDE55D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6E8748F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C387B8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6D73BB2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489230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3AEBC3A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77182A2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35081B99">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5</w:t>
            </w:r>
          </w:p>
        </w:tc>
      </w:tr>
      <w:tr w14:paraId="447CE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386BC19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2EC6C13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6661FC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1C041D9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7CEAB7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46B6E13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5AE1D19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7CB63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12D9CD2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20D30D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419AA44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372AE5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41DD45D4">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2</w:t>
            </w:r>
          </w:p>
        </w:tc>
      </w:tr>
      <w:tr w14:paraId="357E64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62C1186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384655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0A6AEF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22BFAF1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197573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1C1DEC9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78CA6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7439228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3C5F85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2BA885F1">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3</w:t>
            </w:r>
          </w:p>
        </w:tc>
      </w:tr>
      <w:tr w14:paraId="32A68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17D991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1D00DEC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63264B9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5D7908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30C45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35E5128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18ADBE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6DE180C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24F09D7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477A08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6801F1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18125F2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025C45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6B4266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5DD3602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5FAA855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35351E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13EA01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CEA71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6651BD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05F5EB2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A18A1C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24BD5C9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30A48CE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3712B4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6FB5D94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378FD74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F84E84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53B556A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03E50B4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5CCB55D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303F80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3273DA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37D1F3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5AF4D9A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8B37D1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28ED3F2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302109F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6B161B4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35DCB14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609A57E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7C81F7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338CFDA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396CCB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EAF7B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49BA9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669E155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1D652A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64F107B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79529E7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0E7B44B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2328972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4EAE1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016BDC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18D062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2EBE96E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6894729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4FF58C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329A74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6F190FE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5960B5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0BCF2A3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选聘教师人数</w:t>
            </w:r>
          </w:p>
        </w:tc>
        <w:tc>
          <w:tcPr>
            <w:tcW w:w="2141" w:type="dxa"/>
            <w:shd w:val="clear" w:color="auto" w:fill="auto"/>
            <w:noWrap w:val="0"/>
            <w:vAlign w:val="center"/>
          </w:tcPr>
          <w:p w14:paraId="2167D9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E66885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6A1230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1A0AF1A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4443A7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w:t>
            </w:r>
          </w:p>
        </w:tc>
        <w:tc>
          <w:tcPr>
            <w:tcW w:w="769" w:type="dxa"/>
            <w:shd w:val="clear" w:color="auto" w:fill="auto"/>
            <w:noWrap w:val="0"/>
            <w:vAlign w:val="center"/>
          </w:tcPr>
          <w:p w14:paraId="1BA99A8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w:t>
            </w:r>
          </w:p>
        </w:tc>
      </w:tr>
      <w:tr w14:paraId="15D9BF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1D1712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58A58F9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9DE2A6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工资支付次数</w:t>
            </w:r>
          </w:p>
        </w:tc>
        <w:tc>
          <w:tcPr>
            <w:tcW w:w="2141" w:type="dxa"/>
            <w:shd w:val="clear" w:color="auto" w:fill="auto"/>
            <w:noWrap w:val="0"/>
            <w:vAlign w:val="center"/>
          </w:tcPr>
          <w:p w14:paraId="2340592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184C5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0A262C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69F47F4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0DDC9E8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20</w:t>
            </w:r>
          </w:p>
        </w:tc>
        <w:tc>
          <w:tcPr>
            <w:tcW w:w="769" w:type="dxa"/>
            <w:shd w:val="clear" w:color="auto" w:fill="auto"/>
            <w:noWrap w:val="0"/>
            <w:vAlign w:val="center"/>
          </w:tcPr>
          <w:p w14:paraId="619AF86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15.83</w:t>
            </w:r>
          </w:p>
        </w:tc>
      </w:tr>
      <w:tr w14:paraId="0C4076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23AE76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2616E1F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77EEFF2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人员经费享受比例</w:t>
            </w:r>
          </w:p>
        </w:tc>
        <w:tc>
          <w:tcPr>
            <w:tcW w:w="2141" w:type="dxa"/>
            <w:shd w:val="clear" w:color="auto" w:fill="auto"/>
            <w:noWrap w:val="0"/>
            <w:vAlign w:val="center"/>
          </w:tcPr>
          <w:p w14:paraId="134DB78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2F8E065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3D817B3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1C9837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0F6652C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253CB3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4041F80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648BE6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2086D9D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选聘教师工资发放时间</w:t>
            </w:r>
          </w:p>
        </w:tc>
        <w:tc>
          <w:tcPr>
            <w:tcW w:w="2141" w:type="dxa"/>
            <w:shd w:val="clear" w:color="auto" w:fill="auto"/>
            <w:noWrap w:val="0"/>
            <w:vAlign w:val="center"/>
          </w:tcPr>
          <w:p w14:paraId="12E22CC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5093291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028F6C6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AFE80C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88F44D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F538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26F21B3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98A642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5D47686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人员经费标准</w:t>
            </w:r>
          </w:p>
        </w:tc>
        <w:tc>
          <w:tcPr>
            <w:tcW w:w="2141" w:type="dxa"/>
            <w:shd w:val="clear" w:color="auto" w:fill="auto"/>
            <w:noWrap w:val="0"/>
            <w:vAlign w:val="center"/>
          </w:tcPr>
          <w:p w14:paraId="4F6D01B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5BB54DD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6513813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7749FFF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427BD9E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398516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958877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09F29C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0D9724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7AC6FA5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413FAD9A">
            <w:pPr>
              <w:keepNext w:val="0"/>
              <w:keepLines w:val="0"/>
              <w:widowControl/>
              <w:suppressLineNumbers w:val="0"/>
              <w:ind w:left="0" w:leftChars="0" w:firstLine="0" w:firstLineChars="0"/>
              <w:jc w:val="left"/>
              <w:textAlignment w:val="center"/>
              <w:rPr>
                <w:rFonts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学校正常运转率</w:t>
            </w:r>
          </w:p>
        </w:tc>
        <w:tc>
          <w:tcPr>
            <w:tcW w:w="2141" w:type="dxa"/>
            <w:shd w:val="clear" w:color="auto" w:fill="auto"/>
            <w:noWrap w:val="0"/>
            <w:vAlign w:val="center"/>
          </w:tcPr>
          <w:p w14:paraId="70C5B7C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3A9F8A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24F63BC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52D0123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4B51F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28DC04D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172CBB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6297B59D">
            <w:pPr>
              <w:keepNext w:val="0"/>
              <w:keepLines w:val="0"/>
              <w:widowControl/>
              <w:suppressLineNumbers w:val="0"/>
              <w:ind w:left="0" w:leftChars="0" w:firstLine="0" w:firstLineChars="0"/>
              <w:jc w:val="left"/>
              <w:textAlignment w:val="center"/>
              <w:rPr>
                <w:rFonts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改善教学环境，提供良好的学生成长条件</w:t>
            </w:r>
          </w:p>
        </w:tc>
        <w:tc>
          <w:tcPr>
            <w:tcW w:w="2141" w:type="dxa"/>
            <w:shd w:val="clear" w:color="auto" w:fill="auto"/>
            <w:noWrap w:val="0"/>
            <w:vAlign w:val="center"/>
          </w:tcPr>
          <w:p w14:paraId="52C9071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12DED92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7112CE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DA7645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292672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4CB3C7D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73D85B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719EC9D1">
            <w:pPr>
              <w:keepNext w:val="0"/>
              <w:keepLines w:val="0"/>
              <w:widowControl/>
              <w:suppressLineNumbers w:val="0"/>
              <w:ind w:left="0" w:leftChars="0" w:firstLine="0" w:firstLineChars="0"/>
              <w:jc w:val="left"/>
              <w:textAlignment w:val="center"/>
              <w:rPr>
                <w:rFonts w:hint="default" w:ascii="宋体" w:hAnsi="宋体" w:eastAsia="宋体" w:cs="宋体"/>
                <w:color w:val="auto"/>
                <w:kern w:val="0"/>
                <w:sz w:val="22"/>
                <w:szCs w:val="22"/>
                <w:highlight w:val="none"/>
                <w:lang w:val="en-US" w:eastAsia="zh-CN"/>
              </w:rPr>
            </w:pPr>
            <w:r>
              <w:rPr>
                <w:rFonts w:hint="eastAsia" w:ascii="宋体" w:hAnsi="宋体" w:eastAsia="宋体" w:cs="宋体"/>
                <w:i w:val="0"/>
                <w:iCs w:val="0"/>
                <w:color w:val="000000"/>
                <w:kern w:val="0"/>
                <w:sz w:val="20"/>
                <w:szCs w:val="20"/>
                <w:u w:val="none"/>
                <w:lang w:val="en-US" w:eastAsia="zh-CN" w:bidi="ar"/>
              </w:rPr>
              <w:t>师生满意度</w:t>
            </w:r>
          </w:p>
        </w:tc>
        <w:tc>
          <w:tcPr>
            <w:tcW w:w="2141" w:type="dxa"/>
            <w:shd w:val="clear" w:color="auto" w:fill="auto"/>
            <w:noWrap w:val="0"/>
            <w:vAlign w:val="center"/>
          </w:tcPr>
          <w:p w14:paraId="582AEC9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65424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64EF271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9AC74E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11F094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21C8FF2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6333C11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3BA52B67">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50BE181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90.29</w:t>
            </w:r>
          </w:p>
        </w:tc>
      </w:tr>
    </w:tbl>
    <w:p w14:paraId="6AA540BF">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color w:val="auto"/>
          <w:sz w:val="30"/>
          <w:szCs w:val="24"/>
          <w:highlight w:val="none"/>
        </w:rPr>
      </w:pPr>
    </w:p>
    <w:p w14:paraId="19ECEAB8">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E8005">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7B1E5F">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7B1E5F">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5E194"/>
    <w:multiLevelType w:val="singleLevel"/>
    <w:tmpl w:val="9F85E194"/>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D12EE4"/>
    <w:rsid w:val="04D63993"/>
    <w:rsid w:val="07890F4F"/>
    <w:rsid w:val="08892439"/>
    <w:rsid w:val="08EB30F3"/>
    <w:rsid w:val="09237408"/>
    <w:rsid w:val="09781BD6"/>
    <w:rsid w:val="097E0255"/>
    <w:rsid w:val="09F359DF"/>
    <w:rsid w:val="0A575E65"/>
    <w:rsid w:val="0ACA0AB6"/>
    <w:rsid w:val="0C032502"/>
    <w:rsid w:val="0C27698C"/>
    <w:rsid w:val="0D4452F3"/>
    <w:rsid w:val="0F5E5042"/>
    <w:rsid w:val="0FE95707"/>
    <w:rsid w:val="10510571"/>
    <w:rsid w:val="10787A20"/>
    <w:rsid w:val="108672DE"/>
    <w:rsid w:val="10EC685A"/>
    <w:rsid w:val="11FA6155"/>
    <w:rsid w:val="12CF0947"/>
    <w:rsid w:val="12F1313F"/>
    <w:rsid w:val="136C678E"/>
    <w:rsid w:val="13EB2FF5"/>
    <w:rsid w:val="14ED4CAC"/>
    <w:rsid w:val="15A46B04"/>
    <w:rsid w:val="165825BC"/>
    <w:rsid w:val="16BC5D73"/>
    <w:rsid w:val="16D15B05"/>
    <w:rsid w:val="176F36D7"/>
    <w:rsid w:val="1795226D"/>
    <w:rsid w:val="180C41F8"/>
    <w:rsid w:val="183804FF"/>
    <w:rsid w:val="18456B1E"/>
    <w:rsid w:val="19846B39"/>
    <w:rsid w:val="1C1171C5"/>
    <w:rsid w:val="1D265138"/>
    <w:rsid w:val="1D7B6BCA"/>
    <w:rsid w:val="1DA41A79"/>
    <w:rsid w:val="1DF53469"/>
    <w:rsid w:val="1E1C3FB4"/>
    <w:rsid w:val="1E2F24F2"/>
    <w:rsid w:val="1E58492F"/>
    <w:rsid w:val="1E59101F"/>
    <w:rsid w:val="1E5B6757"/>
    <w:rsid w:val="1ED10AC6"/>
    <w:rsid w:val="1F89225F"/>
    <w:rsid w:val="1F900A1F"/>
    <w:rsid w:val="1FC0575D"/>
    <w:rsid w:val="206132C7"/>
    <w:rsid w:val="21B00C1D"/>
    <w:rsid w:val="21F77FBB"/>
    <w:rsid w:val="23031BEB"/>
    <w:rsid w:val="23917691"/>
    <w:rsid w:val="24251314"/>
    <w:rsid w:val="243555FD"/>
    <w:rsid w:val="243C3013"/>
    <w:rsid w:val="244D65B8"/>
    <w:rsid w:val="245E1E24"/>
    <w:rsid w:val="24EF61D4"/>
    <w:rsid w:val="25AD5E5D"/>
    <w:rsid w:val="25B42D5C"/>
    <w:rsid w:val="25C7443C"/>
    <w:rsid w:val="2732478D"/>
    <w:rsid w:val="27661469"/>
    <w:rsid w:val="27900EAD"/>
    <w:rsid w:val="279B538A"/>
    <w:rsid w:val="286F545C"/>
    <w:rsid w:val="29314FBC"/>
    <w:rsid w:val="2AA2081A"/>
    <w:rsid w:val="2C024B86"/>
    <w:rsid w:val="2C1650DD"/>
    <w:rsid w:val="2C927671"/>
    <w:rsid w:val="2CC6306F"/>
    <w:rsid w:val="2D7C5CD6"/>
    <w:rsid w:val="2E483E7E"/>
    <w:rsid w:val="2E690493"/>
    <w:rsid w:val="2E9854BD"/>
    <w:rsid w:val="2EA17227"/>
    <w:rsid w:val="2F0D407F"/>
    <w:rsid w:val="2F454B19"/>
    <w:rsid w:val="310224D9"/>
    <w:rsid w:val="31B4621C"/>
    <w:rsid w:val="31D16A7B"/>
    <w:rsid w:val="31E3230A"/>
    <w:rsid w:val="32A203C1"/>
    <w:rsid w:val="330957E0"/>
    <w:rsid w:val="33356F64"/>
    <w:rsid w:val="33944516"/>
    <w:rsid w:val="3437173E"/>
    <w:rsid w:val="34B62907"/>
    <w:rsid w:val="36BD137C"/>
    <w:rsid w:val="38053EDF"/>
    <w:rsid w:val="380812A4"/>
    <w:rsid w:val="385D37E7"/>
    <w:rsid w:val="38782EDD"/>
    <w:rsid w:val="3B42664A"/>
    <w:rsid w:val="3CAD1E92"/>
    <w:rsid w:val="3D836A4E"/>
    <w:rsid w:val="3E1706EA"/>
    <w:rsid w:val="3EA37E97"/>
    <w:rsid w:val="3FBE0BC5"/>
    <w:rsid w:val="4048103A"/>
    <w:rsid w:val="40736643"/>
    <w:rsid w:val="40D24A7A"/>
    <w:rsid w:val="4104731D"/>
    <w:rsid w:val="42621029"/>
    <w:rsid w:val="435241E2"/>
    <w:rsid w:val="43975C51"/>
    <w:rsid w:val="439E3FA7"/>
    <w:rsid w:val="44B32266"/>
    <w:rsid w:val="44FC64F4"/>
    <w:rsid w:val="45EF0222"/>
    <w:rsid w:val="46647A66"/>
    <w:rsid w:val="467F4585"/>
    <w:rsid w:val="470628CB"/>
    <w:rsid w:val="4729480B"/>
    <w:rsid w:val="47555BD4"/>
    <w:rsid w:val="47BC2DB1"/>
    <w:rsid w:val="47E96399"/>
    <w:rsid w:val="47F76025"/>
    <w:rsid w:val="486E33F5"/>
    <w:rsid w:val="48E12B50"/>
    <w:rsid w:val="48FD7B4B"/>
    <w:rsid w:val="499441BE"/>
    <w:rsid w:val="499A6C1C"/>
    <w:rsid w:val="4A195607"/>
    <w:rsid w:val="4A2138F0"/>
    <w:rsid w:val="4A583887"/>
    <w:rsid w:val="4B9F6E02"/>
    <w:rsid w:val="4C89637B"/>
    <w:rsid w:val="4E6E48A8"/>
    <w:rsid w:val="4EEC036B"/>
    <w:rsid w:val="4F714FA1"/>
    <w:rsid w:val="501D2673"/>
    <w:rsid w:val="50C80BF1"/>
    <w:rsid w:val="51852833"/>
    <w:rsid w:val="52F11AC8"/>
    <w:rsid w:val="534F49D9"/>
    <w:rsid w:val="53555F0F"/>
    <w:rsid w:val="535D23D5"/>
    <w:rsid w:val="560D10A7"/>
    <w:rsid w:val="56F4341A"/>
    <w:rsid w:val="575A7321"/>
    <w:rsid w:val="580C3AB9"/>
    <w:rsid w:val="583C7AE0"/>
    <w:rsid w:val="586C1E9A"/>
    <w:rsid w:val="586E0800"/>
    <w:rsid w:val="587020E4"/>
    <w:rsid w:val="59216F96"/>
    <w:rsid w:val="598C4145"/>
    <w:rsid w:val="59957D1B"/>
    <w:rsid w:val="59D4294E"/>
    <w:rsid w:val="5B634312"/>
    <w:rsid w:val="5B9D2CCD"/>
    <w:rsid w:val="5B9E71EA"/>
    <w:rsid w:val="5C14497E"/>
    <w:rsid w:val="5E226FBC"/>
    <w:rsid w:val="5FE72BD2"/>
    <w:rsid w:val="60120613"/>
    <w:rsid w:val="618D5292"/>
    <w:rsid w:val="61B50D1E"/>
    <w:rsid w:val="622E78FA"/>
    <w:rsid w:val="63343F70"/>
    <w:rsid w:val="64296E1C"/>
    <w:rsid w:val="64386FCC"/>
    <w:rsid w:val="6496074B"/>
    <w:rsid w:val="649E64A2"/>
    <w:rsid w:val="65D807DF"/>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CBE744A"/>
    <w:rsid w:val="6D1F1741"/>
    <w:rsid w:val="6E10212C"/>
    <w:rsid w:val="6E43561A"/>
    <w:rsid w:val="6E557973"/>
    <w:rsid w:val="6E9568DB"/>
    <w:rsid w:val="6F0D6C22"/>
    <w:rsid w:val="6F47657F"/>
    <w:rsid w:val="6FAF23D9"/>
    <w:rsid w:val="70635CF6"/>
    <w:rsid w:val="70670707"/>
    <w:rsid w:val="720E3691"/>
    <w:rsid w:val="7249173A"/>
    <w:rsid w:val="724E244C"/>
    <w:rsid w:val="72DA6946"/>
    <w:rsid w:val="732764B3"/>
    <w:rsid w:val="74026044"/>
    <w:rsid w:val="74325A77"/>
    <w:rsid w:val="74746410"/>
    <w:rsid w:val="751B3307"/>
    <w:rsid w:val="75640E3A"/>
    <w:rsid w:val="75C8506C"/>
    <w:rsid w:val="75E5007C"/>
    <w:rsid w:val="77636B63"/>
    <w:rsid w:val="77813724"/>
    <w:rsid w:val="77861774"/>
    <w:rsid w:val="78F31435"/>
    <w:rsid w:val="79300B45"/>
    <w:rsid w:val="794D3E18"/>
    <w:rsid w:val="79F3729A"/>
    <w:rsid w:val="7A880722"/>
    <w:rsid w:val="7ABE6120"/>
    <w:rsid w:val="7ACB0498"/>
    <w:rsid w:val="7AED0B4D"/>
    <w:rsid w:val="7C1E4487"/>
    <w:rsid w:val="7C215E02"/>
    <w:rsid w:val="7CD542CC"/>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10575</Words>
  <Characters>11231</Characters>
  <Lines>0</Lines>
  <Paragraphs>0</Paragraphs>
  <TotalTime>4</TotalTime>
  <ScaleCrop>false</ScaleCrop>
  <LinksUpToDate>false</LinksUpToDate>
  <CharactersWithSpaces>11303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2025-10-23T10:23:00Z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698971F1983047EFACA20FB0C935BA0F_13</vt:lpwstr>
  </property>
  <property fmtid="{D5CDD505-2E9C-101B-9397-08002B2CF9AE}" pid="4" name="KSOTemplateDocerSaveRecord">
    <vt:lpwstr>eyJoZGlkIjoiNTY3MmI4ODZmMjljZWZhNGFkN2U2N2Y4ODgwYjM5ZGIiLCJ1c2VySWQiOiIzNjI1MzY3NzcifQ==</vt:lpwstr>
  </property>
</Properties>
</file>