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1142" w:firstLineChars="316"/>
        <w:jc w:val="center"/>
        <w:rPr>
          <w:rFonts w:hint="eastAsia"/>
          <w:b/>
          <w:bCs/>
          <w:color w:val="000000" w:themeColor="text1"/>
          <w:sz w:val="36"/>
          <w:szCs w:val="36"/>
          <w14:textFill>
            <w14:solidFill>
              <w14:schemeClr w14:val="tx1"/>
            </w14:solidFill>
          </w14:textFill>
        </w:rPr>
      </w:pPr>
      <w:bookmarkStart w:id="170" w:name="_GoBack"/>
      <w:bookmarkEnd w:id="170"/>
    </w:p>
    <w:p>
      <w:pPr>
        <w:spacing w:line="560" w:lineRule="exact"/>
        <w:jc w:val="center"/>
        <w:rPr>
          <w:rFonts w:hint="eastAsia"/>
          <w:b/>
          <w:bCs/>
          <w:color w:val="000000" w:themeColor="text1"/>
          <w:sz w:val="36"/>
          <w:szCs w:val="36"/>
          <w14:textFill>
            <w14:solidFill>
              <w14:schemeClr w14:val="tx1"/>
            </w14:solidFill>
          </w14:textFill>
        </w:rPr>
      </w:pPr>
    </w:p>
    <w:p>
      <w:pPr>
        <w:spacing w:line="560" w:lineRule="exact"/>
        <w:jc w:val="center"/>
        <w:rPr>
          <w:rFonts w:hint="eastAsia"/>
          <w:b/>
          <w:bCs/>
          <w:sz w:val="36"/>
          <w:szCs w:val="36"/>
        </w:rPr>
      </w:pPr>
    </w:p>
    <w:p>
      <w:pPr>
        <w:spacing w:line="560" w:lineRule="exact"/>
        <w:ind w:firstLine="803"/>
        <w:jc w:val="center"/>
        <w:outlineLvl w:val="0"/>
        <w:rPr>
          <w:rFonts w:hint="eastAsia"/>
          <w:b/>
          <w:bCs/>
          <w:sz w:val="40"/>
          <w:szCs w:val="40"/>
        </w:rPr>
      </w:pPr>
      <w:bookmarkStart w:id="0" w:name="_Toc25575"/>
      <w:bookmarkStart w:id="1" w:name="_Toc15679"/>
      <w:bookmarkStart w:id="2" w:name="_Toc29123"/>
      <w:bookmarkStart w:id="3" w:name="_Toc1949"/>
      <w:r>
        <w:rPr>
          <w:rFonts w:hint="eastAsia"/>
          <w:b/>
          <w:bCs/>
          <w:sz w:val="40"/>
          <w:szCs w:val="40"/>
          <w:lang w:eastAsia="zh-CN"/>
        </w:rPr>
        <w:t>昌州财教【2023】90号（保民生）提前下达2024年城乡义务教育补助经费（中央直达资金）家庭经济初中</w:t>
      </w:r>
      <w:r>
        <w:rPr>
          <w:rFonts w:hint="eastAsia"/>
          <w:b/>
          <w:bCs/>
          <w:sz w:val="40"/>
          <w:szCs w:val="40"/>
        </w:rPr>
        <w:t>绩效评价报告</w:t>
      </w:r>
      <w:bookmarkEnd w:id="0"/>
      <w:bookmarkEnd w:id="1"/>
      <w:bookmarkEnd w:id="2"/>
      <w:bookmarkEnd w:id="3"/>
    </w:p>
    <w:p>
      <w:pPr>
        <w:spacing w:line="560" w:lineRule="exact"/>
        <w:jc w:val="center"/>
        <w:rPr>
          <w:rFonts w:hint="eastAsia"/>
          <w:b/>
          <w:bCs/>
          <w:sz w:val="36"/>
          <w:szCs w:val="36"/>
        </w:rPr>
      </w:pPr>
    </w:p>
    <w:p>
      <w:pPr>
        <w:spacing w:line="560" w:lineRule="exact"/>
        <w:jc w:val="center"/>
        <w:rPr>
          <w:rFonts w:hint="eastAsia"/>
          <w:b/>
          <w:bCs/>
          <w:color w:val="000000" w:themeColor="text1"/>
          <w:sz w:val="36"/>
          <w:szCs w:val="36"/>
          <w14:textFill>
            <w14:solidFill>
              <w14:schemeClr w14:val="tx1"/>
            </w14:solidFill>
          </w14:textFill>
        </w:rPr>
      </w:pPr>
    </w:p>
    <w:p>
      <w:pPr>
        <w:spacing w:line="560" w:lineRule="exact"/>
        <w:jc w:val="center"/>
        <w:rPr>
          <w:rFonts w:hint="eastAsia"/>
          <w:b/>
          <w:bCs/>
          <w:color w:val="000000" w:themeColor="text1"/>
          <w:sz w:val="36"/>
          <w:szCs w:val="36"/>
          <w14:textFill>
            <w14:solidFill>
              <w14:schemeClr w14:val="tx1"/>
            </w14:solidFill>
          </w14:textFill>
        </w:rPr>
      </w:pPr>
    </w:p>
    <w:p>
      <w:pPr>
        <w:spacing w:line="560" w:lineRule="exact"/>
        <w:jc w:val="center"/>
        <w:rPr>
          <w:rFonts w:hint="eastAsia"/>
          <w:b/>
          <w:bCs/>
          <w:color w:val="000000" w:themeColor="text1"/>
          <w:sz w:val="36"/>
          <w:szCs w:val="36"/>
          <w14:textFill>
            <w14:solidFill>
              <w14:schemeClr w14:val="tx1"/>
            </w14:solidFill>
          </w14:textFill>
        </w:rPr>
      </w:pPr>
    </w:p>
    <w:p>
      <w:pPr>
        <w:spacing w:line="560" w:lineRule="exact"/>
        <w:jc w:val="center"/>
        <w:rPr>
          <w:rFonts w:hint="eastAsia"/>
          <w:b/>
          <w:bCs/>
          <w:color w:val="000000" w:themeColor="text1"/>
          <w:sz w:val="36"/>
          <w:szCs w:val="36"/>
          <w14:textFill>
            <w14:solidFill>
              <w14:schemeClr w14:val="tx1"/>
            </w14:solidFill>
          </w14:textFill>
        </w:rPr>
      </w:pPr>
    </w:p>
    <w:p>
      <w:pPr>
        <w:spacing w:line="560" w:lineRule="exact"/>
        <w:ind w:left="0" w:leftChars="0" w:firstLine="0" w:firstLineChars="0"/>
        <w:jc w:val="center"/>
        <w:rPr>
          <w:rFonts w:hint="eastAsia"/>
          <w:b/>
          <w:bCs/>
          <w:color w:val="000000" w:themeColor="text1"/>
          <w:sz w:val="36"/>
          <w:szCs w:val="36"/>
          <w14:textFill>
            <w14:solidFill>
              <w14:schemeClr w14:val="tx1"/>
            </w14:solidFill>
          </w14:textFill>
        </w:rPr>
      </w:pPr>
    </w:p>
    <w:p>
      <w:pPr>
        <w:ind w:firstLine="0" w:firstLineChars="0"/>
        <w:jc w:val="left"/>
        <w:rPr>
          <w:rFonts w:hint="eastAsia" w:ascii="黑体" w:hAnsi="Times New Roman" w:eastAsia="黑体"/>
          <w:bCs/>
          <w:color w:val="000000"/>
          <w:sz w:val="30"/>
          <w:szCs w:val="30"/>
          <w:lang w:eastAsia="zh-CN"/>
        </w:rPr>
      </w:pPr>
      <w:r>
        <w:rPr>
          <w:rFonts w:hint="eastAsia" w:ascii="黑体" w:hAnsi="Times New Roman" w:eastAsia="黑体"/>
          <w:bCs/>
          <w:color w:val="000000"/>
          <w:sz w:val="30"/>
          <w:szCs w:val="30"/>
        </w:rPr>
        <w:t>项目名称：</w:t>
      </w:r>
      <w:r>
        <w:rPr>
          <w:rFonts w:hint="eastAsia" w:ascii="黑体" w:hAnsi="Times New Roman" w:eastAsia="黑体"/>
          <w:bCs/>
          <w:color w:val="000000"/>
          <w:sz w:val="30"/>
          <w:szCs w:val="30"/>
          <w:lang w:eastAsia="zh-CN"/>
        </w:rPr>
        <w:t>昌州财教【2023】90号（保民生）提前下达2024年城乡义务教育补助经费（中央直达资金）家庭经济初中</w:t>
      </w:r>
    </w:p>
    <w:p>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实施单位：阜康市第三中学</w:t>
      </w:r>
    </w:p>
    <w:p>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主管部门：阜康市教育局</w:t>
      </w:r>
    </w:p>
    <w:p>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项目负责人：张嵬、刘超</w:t>
      </w:r>
    </w:p>
    <w:p>
      <w:pPr>
        <w:ind w:firstLine="0" w:firstLineChars="0"/>
        <w:jc w:val="left"/>
        <w:rPr>
          <w:rFonts w:hint="eastAsia"/>
          <w:bCs/>
        </w:rPr>
      </w:pPr>
      <w:r>
        <w:rPr>
          <w:rFonts w:hint="eastAsia" w:ascii="黑体" w:hAnsi="Times New Roman" w:eastAsia="黑体"/>
          <w:bCs/>
          <w:sz w:val="30"/>
          <w:szCs w:val="30"/>
        </w:rPr>
        <w:t>填报时间：2025年3月31日</w:t>
      </w:r>
    </w:p>
    <w:p>
      <w:pPr>
        <w:spacing w:line="560" w:lineRule="exact"/>
        <w:ind w:firstLine="560"/>
        <w:rPr>
          <w:rFonts w:hint="eastAsia"/>
        </w:rPr>
      </w:pPr>
      <w:r>
        <w:rPr>
          <w:rFonts w:hint="eastAsia"/>
        </w:rPr>
        <w:br w:type="page"/>
      </w:r>
    </w:p>
    <w:sdt>
      <w:sdtPr>
        <w:rPr>
          <w:b/>
          <w:bCs/>
          <w:szCs w:val="40"/>
        </w:rPr>
        <w:id w:val="147474046"/>
        <w15:color w:val="DBDBDB"/>
        <w:docPartObj>
          <w:docPartGallery w:val="Table of Contents"/>
          <w:docPartUnique/>
        </w:docPartObj>
      </w:sdtPr>
      <w:sdtEndPr>
        <w:rPr>
          <w:rFonts w:hint="eastAsia"/>
          <w:b/>
          <w:bCs/>
          <w:szCs w:val="28"/>
        </w:rPr>
      </w:sdtEndPr>
      <w:sdtContent>
        <w:p>
          <w:pPr>
            <w:spacing w:after="0" w:line="560" w:lineRule="exact"/>
            <w:ind w:firstLine="0" w:firstLineChars="0"/>
            <w:jc w:val="center"/>
            <w:rPr>
              <w:rFonts w:hint="eastAsia"/>
              <w:b/>
              <w:bCs/>
              <w:sz w:val="40"/>
              <w:szCs w:val="40"/>
            </w:rPr>
          </w:pPr>
          <w:r>
            <w:rPr>
              <w:b/>
              <w:bCs/>
              <w:sz w:val="40"/>
              <w:szCs w:val="40"/>
            </w:rPr>
            <w:t>目录</w:t>
          </w:r>
        </w:p>
        <w:p>
          <w:pPr>
            <w:pStyle w:val="10"/>
            <w:tabs>
              <w:tab w:val="right" w:leader="dot" w:pos="8844"/>
            </w:tabs>
            <w:ind w:firstLine="560"/>
            <w:rPr>
              <w:rFonts w:hint="eastAsia"/>
            </w:rPr>
          </w:pPr>
          <w:r>
            <w:rPr>
              <w:rFonts w:hint="eastAsia"/>
            </w:rPr>
            <w:fldChar w:fldCharType="begin"/>
          </w:r>
          <w:r>
            <w:rPr>
              <w:rFonts w:hint="eastAsia"/>
            </w:rPr>
            <w:instrText xml:space="preserve">TOC \o "1-3" \h \u </w:instrText>
          </w:r>
          <w:r>
            <w:rPr>
              <w:rFonts w:hint="eastAsia"/>
            </w:rPr>
            <w:fldChar w:fldCharType="separate"/>
          </w:r>
        </w:p>
        <w:p>
          <w:pPr>
            <w:pStyle w:val="10"/>
            <w:tabs>
              <w:tab w:val="right" w:leader="dot" w:pos="8844"/>
            </w:tabs>
            <w:ind w:firstLine="560"/>
            <w:rPr>
              <w:rFonts w:hint="eastAsia"/>
            </w:rPr>
          </w:pPr>
          <w:r>
            <w:fldChar w:fldCharType="begin"/>
          </w:r>
          <w:r>
            <w:instrText xml:space="preserve"> HYPERLINK \l "_Toc18485" </w:instrText>
          </w:r>
          <w:r>
            <w:fldChar w:fldCharType="separate"/>
          </w:r>
          <w:r>
            <w:rPr>
              <w:rFonts w:hint="eastAsia" w:ascii="黑体" w:hAnsi="黑体" w:eastAsia="黑体" w:cs="黑体"/>
            </w:rPr>
            <w:t>一、基本情况</w:t>
          </w:r>
          <w:r>
            <w:tab/>
          </w:r>
          <w:r>
            <w:fldChar w:fldCharType="begin"/>
          </w:r>
          <w:r>
            <w:instrText xml:space="preserve"> PAGEREF _Toc18485 \h </w:instrText>
          </w:r>
          <w:r>
            <w:fldChar w:fldCharType="separate"/>
          </w:r>
          <w:r>
            <w:t>4</w:t>
          </w:r>
          <w:r>
            <w:fldChar w:fldCharType="end"/>
          </w:r>
          <w:r>
            <w:fldChar w:fldCharType="end"/>
          </w:r>
        </w:p>
        <w:p>
          <w:pPr>
            <w:pStyle w:val="10"/>
            <w:tabs>
              <w:tab w:val="right" w:leader="dot" w:pos="8844"/>
            </w:tabs>
            <w:ind w:firstLine="560"/>
            <w:rPr>
              <w:rFonts w:hint="eastAsia"/>
            </w:rPr>
          </w:pPr>
          <w:r>
            <w:fldChar w:fldCharType="begin"/>
          </w:r>
          <w:r>
            <w:instrText xml:space="preserve"> HYPERLINK \l "_Toc23184" </w:instrText>
          </w:r>
          <w:r>
            <w:fldChar w:fldCharType="separate"/>
          </w:r>
          <w:r>
            <w:rPr>
              <w:rFonts w:hint="eastAsia" w:ascii="Times New Roman" w:hAnsi="Times New Roman" w:eastAsia="楷体_GB2312" w:cs="Times New Roman"/>
              <w:kern w:val="28"/>
            </w:rPr>
            <w:t>（一）项目概况</w:t>
          </w:r>
          <w:r>
            <w:tab/>
          </w:r>
          <w:r>
            <w:fldChar w:fldCharType="begin"/>
          </w:r>
          <w:r>
            <w:instrText xml:space="preserve"> PAGEREF _Toc23184 \h </w:instrText>
          </w:r>
          <w:r>
            <w:fldChar w:fldCharType="separate"/>
          </w:r>
          <w:r>
            <w:t>4</w:t>
          </w:r>
          <w:r>
            <w:fldChar w:fldCharType="end"/>
          </w:r>
          <w:r>
            <w:fldChar w:fldCharType="end"/>
          </w:r>
        </w:p>
        <w:p>
          <w:pPr>
            <w:pStyle w:val="10"/>
            <w:tabs>
              <w:tab w:val="right" w:leader="dot" w:pos="8844"/>
            </w:tabs>
            <w:ind w:firstLine="560"/>
            <w:rPr>
              <w:rFonts w:hint="eastAsia"/>
            </w:rPr>
          </w:pPr>
          <w:r>
            <w:fldChar w:fldCharType="begin"/>
          </w:r>
          <w:r>
            <w:instrText xml:space="preserve"> HYPERLINK \l "_Toc9109" </w:instrText>
          </w:r>
          <w:r>
            <w:fldChar w:fldCharType="separate"/>
          </w:r>
          <w:r>
            <w:rPr>
              <w:rFonts w:hint="eastAsia" w:ascii="Times New Roman" w:hAnsi="Times New Roman" w:eastAsia="楷体_GB2312" w:cs="Times New Roman"/>
              <w:kern w:val="28"/>
            </w:rPr>
            <w:t>（二）项目绩效目标</w:t>
          </w:r>
          <w:r>
            <w:tab/>
          </w:r>
          <w:r>
            <w:fldChar w:fldCharType="begin"/>
          </w:r>
          <w:r>
            <w:instrText xml:space="preserve"> PAGEREF _Toc9109 \h </w:instrText>
          </w:r>
          <w:r>
            <w:fldChar w:fldCharType="separate"/>
          </w:r>
          <w:r>
            <w:t>5</w:t>
          </w:r>
          <w:r>
            <w:fldChar w:fldCharType="end"/>
          </w:r>
          <w:r>
            <w:fldChar w:fldCharType="end"/>
          </w:r>
        </w:p>
        <w:p>
          <w:pPr>
            <w:pStyle w:val="10"/>
            <w:tabs>
              <w:tab w:val="right" w:leader="dot" w:pos="8844"/>
            </w:tabs>
            <w:ind w:firstLine="560"/>
            <w:rPr>
              <w:rFonts w:hint="eastAsia" w:ascii="黑体" w:hAnsi="黑体" w:eastAsia="黑体" w:cs="黑体"/>
            </w:rPr>
          </w:pPr>
          <w:r>
            <w:fldChar w:fldCharType="begin"/>
          </w:r>
          <w:r>
            <w:instrText xml:space="preserve"> HYPERLINK \l "_Toc26567" </w:instrText>
          </w:r>
          <w:r>
            <w:fldChar w:fldCharType="separate"/>
          </w:r>
          <w:r>
            <w:rPr>
              <w:rFonts w:hint="eastAsia" w:ascii="黑体" w:hAnsi="黑体" w:eastAsia="黑体" w:cs="黑体"/>
              <w:bCs/>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pPr>
            <w:pStyle w:val="10"/>
            <w:tabs>
              <w:tab w:val="right" w:leader="dot" w:pos="8844"/>
            </w:tabs>
            <w:ind w:firstLine="560"/>
            <w:rPr>
              <w:rFonts w:hint="eastAsia"/>
            </w:rPr>
          </w:pPr>
          <w:r>
            <w:fldChar w:fldCharType="begin"/>
          </w:r>
          <w:r>
            <w:instrText xml:space="preserve"> HYPERLINK \l "_Toc22839" </w:instrText>
          </w:r>
          <w:r>
            <w:fldChar w:fldCharType="separate"/>
          </w:r>
          <w:r>
            <w:rPr>
              <w:rFonts w:hint="eastAsia" w:ascii="Times New Roman" w:hAnsi="Times New Roman" w:eastAsia="楷体_GB2312" w:cs="Times New Roman"/>
              <w:kern w:val="28"/>
            </w:rPr>
            <w:t>（一）绩效评价的目的、对象和范围</w:t>
          </w:r>
          <w:r>
            <w:tab/>
          </w:r>
          <w:r>
            <w:fldChar w:fldCharType="begin"/>
          </w:r>
          <w:r>
            <w:instrText xml:space="preserve"> PAGEREF _Toc22839 \h </w:instrText>
          </w:r>
          <w:r>
            <w:fldChar w:fldCharType="separate"/>
          </w:r>
          <w:r>
            <w:t>7</w:t>
          </w:r>
          <w:r>
            <w:fldChar w:fldCharType="end"/>
          </w:r>
          <w:r>
            <w:fldChar w:fldCharType="end"/>
          </w:r>
        </w:p>
        <w:p>
          <w:pPr>
            <w:pStyle w:val="10"/>
            <w:tabs>
              <w:tab w:val="right" w:leader="dot" w:pos="8844"/>
            </w:tabs>
            <w:ind w:firstLine="560"/>
            <w:rPr>
              <w:rFonts w:hint="eastAsia"/>
            </w:rPr>
          </w:pPr>
          <w:r>
            <w:fldChar w:fldCharType="begin"/>
          </w:r>
          <w:r>
            <w:instrText xml:space="preserve"> HYPERLINK \l "_Toc29785" </w:instrText>
          </w:r>
          <w:r>
            <w:fldChar w:fldCharType="separate"/>
          </w:r>
          <w:r>
            <w:rPr>
              <w:rFonts w:hint="eastAsia" w:ascii="Times New Roman" w:hAnsi="Times New Roman" w:eastAsia="楷体_GB2312" w:cs="Times New Roman"/>
              <w:kern w:val="28"/>
            </w:rPr>
            <w:t>（二）绩效评价原则、评价指标体系（</w:t>
          </w:r>
          <w:r>
            <w:rPr>
              <w:rFonts w:ascii="Times New Roman" w:hAnsi="Times New Roman" w:eastAsia="楷体_GB2312" w:cs="Times New Roman"/>
              <w:kern w:val="28"/>
            </w:rPr>
            <w:t>详情见</w:t>
          </w:r>
          <w:r>
            <w:rPr>
              <w:rFonts w:hint="eastAsia" w:ascii="Times New Roman" w:hAnsi="Times New Roman" w:eastAsia="楷体_GB2312" w:cs="Times New Roman"/>
              <w:kern w:val="28"/>
            </w:rPr>
            <w:t>附件二）、评价方法、评价标准</w:t>
          </w:r>
          <w:r>
            <w:tab/>
          </w:r>
          <w:r>
            <w:fldChar w:fldCharType="begin"/>
          </w:r>
          <w:r>
            <w:instrText xml:space="preserve"> PAGEREF _Toc29785 \h </w:instrText>
          </w:r>
          <w:r>
            <w:fldChar w:fldCharType="separate"/>
          </w:r>
          <w:r>
            <w:t>11</w:t>
          </w:r>
          <w:r>
            <w:fldChar w:fldCharType="end"/>
          </w:r>
          <w:r>
            <w:fldChar w:fldCharType="end"/>
          </w:r>
        </w:p>
        <w:p>
          <w:pPr>
            <w:pStyle w:val="10"/>
            <w:tabs>
              <w:tab w:val="right" w:leader="dot" w:pos="8844"/>
            </w:tabs>
            <w:ind w:firstLine="560"/>
            <w:rPr>
              <w:rFonts w:hint="eastAsia"/>
            </w:rPr>
          </w:pPr>
          <w:r>
            <w:fldChar w:fldCharType="begin"/>
          </w:r>
          <w:r>
            <w:instrText xml:space="preserve"> HYPERLINK \l "_Toc21435" </w:instrText>
          </w:r>
          <w:r>
            <w:fldChar w:fldCharType="separate"/>
          </w:r>
          <w:r>
            <w:rPr>
              <w:rFonts w:hint="eastAsia" w:ascii="Times New Roman" w:hAnsi="Times New Roman" w:eastAsia="楷体_GB2312" w:cs="Times New Roman"/>
              <w:kern w:val="28"/>
            </w:rPr>
            <w:t>（三）绩效评价工作过程</w:t>
          </w:r>
          <w:r>
            <w:tab/>
          </w:r>
          <w:r>
            <w:fldChar w:fldCharType="begin"/>
          </w:r>
          <w:r>
            <w:instrText xml:space="preserve"> PAGEREF _Toc21435 \h </w:instrText>
          </w:r>
          <w:r>
            <w:fldChar w:fldCharType="separate"/>
          </w:r>
          <w:r>
            <w:t>14</w:t>
          </w:r>
          <w:r>
            <w:fldChar w:fldCharType="end"/>
          </w:r>
          <w:r>
            <w:fldChar w:fldCharType="end"/>
          </w:r>
        </w:p>
        <w:p>
          <w:pPr>
            <w:pStyle w:val="10"/>
            <w:tabs>
              <w:tab w:val="right" w:leader="dot" w:pos="8844"/>
            </w:tabs>
            <w:ind w:firstLine="560"/>
            <w:rPr>
              <w:rFonts w:hint="eastAsia"/>
            </w:rPr>
          </w:pPr>
          <w:r>
            <w:fldChar w:fldCharType="begin"/>
          </w:r>
          <w:r>
            <w:instrText xml:space="preserve"> HYPERLINK \l "_Toc19261" </w:instrText>
          </w:r>
          <w:r>
            <w:fldChar w:fldCharType="separate"/>
          </w:r>
          <w:r>
            <w:rPr>
              <w:rFonts w:hint="eastAsia" w:ascii="黑体" w:hAnsi="黑体" w:eastAsia="黑体" w:cs="黑体"/>
            </w:rPr>
            <w:t>三、综合评价情况及评价结论</w:t>
          </w:r>
          <w:r>
            <w:tab/>
          </w:r>
          <w:r>
            <w:fldChar w:fldCharType="begin"/>
          </w:r>
          <w:r>
            <w:instrText xml:space="preserve"> PAGEREF _Toc19261 \h </w:instrText>
          </w:r>
          <w:r>
            <w:fldChar w:fldCharType="separate"/>
          </w:r>
          <w:r>
            <w:t>16</w:t>
          </w:r>
          <w:r>
            <w:fldChar w:fldCharType="end"/>
          </w:r>
          <w:r>
            <w:fldChar w:fldCharType="end"/>
          </w:r>
        </w:p>
        <w:p>
          <w:pPr>
            <w:pStyle w:val="10"/>
            <w:tabs>
              <w:tab w:val="right" w:leader="dot" w:pos="8844"/>
            </w:tabs>
            <w:ind w:firstLine="560"/>
            <w:rPr>
              <w:rFonts w:hint="eastAsia"/>
            </w:rPr>
          </w:pPr>
          <w:r>
            <w:fldChar w:fldCharType="begin"/>
          </w:r>
          <w:r>
            <w:instrText xml:space="preserve"> HYPERLINK \l "_Toc23319" </w:instrText>
          </w:r>
          <w:r>
            <w:fldChar w:fldCharType="separate"/>
          </w:r>
          <w:r>
            <w:rPr>
              <w:rFonts w:hint="eastAsia" w:ascii="Times New Roman" w:hAnsi="Times New Roman" w:eastAsia="楷体_GB2312" w:cs="Times New Roman"/>
              <w:kern w:val="28"/>
            </w:rPr>
            <w:t>（一）综合评价情况及评价结论</w:t>
          </w:r>
          <w:r>
            <w:tab/>
          </w:r>
          <w:r>
            <w:fldChar w:fldCharType="begin"/>
          </w:r>
          <w:r>
            <w:instrText xml:space="preserve"> PAGEREF _Toc23319 \h </w:instrText>
          </w:r>
          <w:r>
            <w:fldChar w:fldCharType="separate"/>
          </w:r>
          <w:r>
            <w:t>16</w:t>
          </w:r>
          <w:r>
            <w:fldChar w:fldCharType="end"/>
          </w:r>
          <w:r>
            <w:fldChar w:fldCharType="end"/>
          </w:r>
        </w:p>
        <w:p>
          <w:pPr>
            <w:pStyle w:val="10"/>
            <w:tabs>
              <w:tab w:val="right" w:leader="dot" w:pos="8844"/>
            </w:tabs>
            <w:ind w:firstLine="560"/>
            <w:rPr>
              <w:rFonts w:hint="eastAsia"/>
            </w:rPr>
          </w:pPr>
          <w:r>
            <w:fldChar w:fldCharType="begin"/>
          </w:r>
          <w:r>
            <w:instrText xml:space="preserve"> HYPERLINK \l "_Toc11863" </w:instrText>
          </w:r>
          <w:r>
            <w:fldChar w:fldCharType="separate"/>
          </w:r>
          <w:r>
            <w:rPr>
              <w:rFonts w:hint="eastAsia" w:ascii="Times New Roman" w:hAnsi="Times New Roman" w:eastAsia="楷体_GB2312" w:cs="Times New Roman"/>
              <w:kern w:val="28"/>
            </w:rPr>
            <w:t>（二）相关评分表</w:t>
          </w:r>
          <w:r>
            <w:tab/>
          </w:r>
          <w:r>
            <w:fldChar w:fldCharType="begin"/>
          </w:r>
          <w:r>
            <w:instrText xml:space="preserve"> PAGEREF _Toc11863 \h </w:instrText>
          </w:r>
          <w:r>
            <w:fldChar w:fldCharType="separate"/>
          </w:r>
          <w:r>
            <w:t>17</w:t>
          </w:r>
          <w:r>
            <w:fldChar w:fldCharType="end"/>
          </w:r>
          <w:r>
            <w:fldChar w:fldCharType="end"/>
          </w:r>
        </w:p>
        <w:p>
          <w:pPr>
            <w:pStyle w:val="10"/>
            <w:tabs>
              <w:tab w:val="right" w:leader="dot" w:pos="8844"/>
            </w:tabs>
            <w:ind w:firstLine="560"/>
            <w:rPr>
              <w:rFonts w:hint="eastAsia"/>
            </w:rPr>
          </w:pPr>
          <w:r>
            <w:fldChar w:fldCharType="begin"/>
          </w:r>
          <w:r>
            <w:instrText xml:space="preserve"> HYPERLINK \l "_Toc14941" </w:instrText>
          </w:r>
          <w:r>
            <w:fldChar w:fldCharType="separate"/>
          </w:r>
          <w:r>
            <w:rPr>
              <w:rFonts w:hint="eastAsia" w:ascii="黑体" w:hAnsi="黑体" w:eastAsia="黑体" w:cs="黑体"/>
            </w:rPr>
            <w:t>四、绩效评价指标分析</w:t>
          </w:r>
          <w:r>
            <w:tab/>
          </w:r>
          <w:r>
            <w:fldChar w:fldCharType="begin"/>
          </w:r>
          <w:r>
            <w:instrText xml:space="preserve"> PAGEREF _Toc14941 \h </w:instrText>
          </w:r>
          <w:r>
            <w:fldChar w:fldCharType="separate"/>
          </w:r>
          <w:r>
            <w:t>18</w:t>
          </w:r>
          <w:r>
            <w:fldChar w:fldCharType="end"/>
          </w:r>
          <w:r>
            <w:fldChar w:fldCharType="end"/>
          </w:r>
        </w:p>
        <w:p>
          <w:pPr>
            <w:pStyle w:val="10"/>
            <w:tabs>
              <w:tab w:val="right" w:leader="dot" w:pos="8844"/>
            </w:tabs>
            <w:ind w:firstLine="560"/>
            <w:rPr>
              <w:rFonts w:hint="eastAsia"/>
            </w:rPr>
          </w:pPr>
          <w:r>
            <w:fldChar w:fldCharType="begin"/>
          </w:r>
          <w:r>
            <w:instrText xml:space="preserve"> HYPERLINK \l "_Toc6759" </w:instrText>
          </w:r>
          <w: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18</w:t>
          </w:r>
          <w:r>
            <w:fldChar w:fldCharType="end"/>
          </w:r>
          <w:r>
            <w:fldChar w:fldCharType="end"/>
          </w:r>
        </w:p>
        <w:p>
          <w:pPr>
            <w:pStyle w:val="10"/>
            <w:tabs>
              <w:tab w:val="right" w:leader="dot" w:pos="8844"/>
            </w:tabs>
            <w:ind w:firstLine="560"/>
            <w:rPr>
              <w:rFonts w:hint="eastAsia"/>
            </w:rPr>
          </w:pPr>
          <w:r>
            <w:fldChar w:fldCharType="begin"/>
          </w:r>
          <w:r>
            <w:instrText xml:space="preserve"> HYPERLINK \l "_Toc10564" </w:instrText>
          </w:r>
          <w:r>
            <w:fldChar w:fldCharType="separate"/>
          </w:r>
          <w:r>
            <w:rPr>
              <w:rFonts w:hint="eastAsia" w:ascii="Times New Roman" w:hAnsi="Times New Roman" w:eastAsia="楷体" w:cs="Times New Roman"/>
              <w:kern w:val="28"/>
            </w:rPr>
            <w:t>（二）项目过程情况</w:t>
          </w:r>
          <w:r>
            <w:tab/>
          </w:r>
          <w:r>
            <w:fldChar w:fldCharType="begin"/>
          </w:r>
          <w:r>
            <w:instrText xml:space="preserve"> PAGEREF _Toc10564 \h </w:instrText>
          </w:r>
          <w:r>
            <w:fldChar w:fldCharType="separate"/>
          </w:r>
          <w:r>
            <w:t>21</w:t>
          </w:r>
          <w:r>
            <w:fldChar w:fldCharType="end"/>
          </w:r>
          <w:r>
            <w:fldChar w:fldCharType="end"/>
          </w:r>
        </w:p>
        <w:p>
          <w:pPr>
            <w:pStyle w:val="10"/>
            <w:tabs>
              <w:tab w:val="right" w:leader="dot" w:pos="8844"/>
            </w:tabs>
            <w:ind w:firstLine="560"/>
            <w:rPr>
              <w:rFonts w:hint="eastAsia"/>
            </w:rPr>
          </w:pPr>
          <w:r>
            <w:fldChar w:fldCharType="begin"/>
          </w:r>
          <w:r>
            <w:instrText xml:space="preserve"> HYPERLINK \l "_Toc2441" </w:instrText>
          </w:r>
          <w:r>
            <w:fldChar w:fldCharType="separate"/>
          </w:r>
          <w:r>
            <w:rPr>
              <w:rFonts w:hint="eastAsia" w:ascii="Times New Roman" w:hAnsi="Times New Roman" w:eastAsia="楷体_GB2312" w:cs="Times New Roman"/>
              <w:kern w:val="28"/>
            </w:rPr>
            <w:t>（三）项目产出情况</w:t>
          </w:r>
          <w:r>
            <w:tab/>
          </w:r>
          <w:r>
            <w:fldChar w:fldCharType="begin"/>
          </w:r>
          <w:r>
            <w:instrText xml:space="preserve"> PAGEREF _Toc2441 \h </w:instrText>
          </w:r>
          <w:r>
            <w:fldChar w:fldCharType="separate"/>
          </w:r>
          <w:r>
            <w:t>24</w:t>
          </w:r>
          <w:r>
            <w:fldChar w:fldCharType="end"/>
          </w:r>
          <w:r>
            <w:fldChar w:fldCharType="end"/>
          </w:r>
        </w:p>
        <w:p>
          <w:pPr>
            <w:pStyle w:val="10"/>
            <w:tabs>
              <w:tab w:val="right" w:leader="dot" w:pos="8844"/>
            </w:tabs>
            <w:ind w:firstLine="560"/>
            <w:rPr>
              <w:rFonts w:hint="eastAsia"/>
            </w:rPr>
          </w:pPr>
          <w:r>
            <w:fldChar w:fldCharType="begin"/>
          </w:r>
          <w:r>
            <w:instrText xml:space="preserve"> HYPERLINK \l "_Toc19424" </w:instrText>
          </w:r>
          <w:r>
            <w:fldChar w:fldCharType="separate"/>
          </w:r>
          <w:r>
            <w:rPr>
              <w:rFonts w:hint="eastAsia" w:ascii="Times New Roman" w:hAnsi="Times New Roman" w:eastAsia="楷体_GB2312" w:cs="Times New Roman"/>
              <w:kern w:val="28"/>
            </w:rPr>
            <w:t>（四）项目效益情况</w:t>
          </w:r>
          <w:r>
            <w:tab/>
          </w:r>
          <w:r>
            <w:fldChar w:fldCharType="begin"/>
          </w:r>
          <w:r>
            <w:instrText xml:space="preserve"> PAGEREF _Toc19424 \h </w:instrText>
          </w:r>
          <w:r>
            <w:fldChar w:fldCharType="separate"/>
          </w:r>
          <w:r>
            <w:t>26</w:t>
          </w:r>
          <w:r>
            <w:fldChar w:fldCharType="end"/>
          </w:r>
          <w:r>
            <w:fldChar w:fldCharType="end"/>
          </w:r>
        </w:p>
        <w:p>
          <w:pPr>
            <w:pStyle w:val="10"/>
            <w:tabs>
              <w:tab w:val="right" w:leader="dot" w:pos="8844"/>
            </w:tabs>
            <w:ind w:firstLine="560"/>
            <w:rPr>
              <w:rFonts w:hint="eastAsia"/>
            </w:rPr>
          </w:pPr>
          <w:r>
            <w:fldChar w:fldCharType="begin"/>
          </w:r>
          <w:r>
            <w:instrText xml:space="preserve"> HYPERLINK \l "_Toc23313" </w:instrText>
          </w:r>
          <w:r>
            <w:fldChar w:fldCharType="separate"/>
          </w:r>
          <w:r>
            <w:rPr>
              <w:rFonts w:hint="eastAsia" w:ascii="Times New Roman" w:hAnsi="Times New Roman" w:eastAsia="楷体_GB2312" w:cs="Times New Roman"/>
              <w:bCs/>
              <w:kern w:val="28"/>
            </w:rPr>
            <w:t>（五）满意度指标完成情况分析</w:t>
          </w:r>
          <w:r>
            <w:tab/>
          </w:r>
          <w:r>
            <w:fldChar w:fldCharType="begin"/>
          </w:r>
          <w:r>
            <w:instrText xml:space="preserve"> PAGEREF _Toc23313 \h </w:instrText>
          </w:r>
          <w:r>
            <w:fldChar w:fldCharType="separate"/>
          </w:r>
          <w:r>
            <w:t>27</w:t>
          </w:r>
          <w:r>
            <w:fldChar w:fldCharType="end"/>
          </w:r>
          <w:r>
            <w:fldChar w:fldCharType="end"/>
          </w:r>
        </w:p>
        <w:p>
          <w:pPr>
            <w:pStyle w:val="10"/>
            <w:tabs>
              <w:tab w:val="right" w:leader="dot" w:pos="8844"/>
            </w:tabs>
            <w:ind w:firstLine="560"/>
            <w:rPr>
              <w:rFonts w:hint="eastAsia" w:ascii="黑体" w:hAnsi="黑体" w:eastAsia="黑体" w:cs="黑体"/>
            </w:rPr>
          </w:pPr>
          <w:r>
            <w:fldChar w:fldCharType="begin"/>
          </w:r>
          <w:r>
            <w:instrText xml:space="preserve"> HYPERLINK \l "_Toc6622" </w:instrText>
          </w:r>
          <w:r>
            <w:fldChar w:fldCharType="separate"/>
          </w:r>
          <w:r>
            <w:rPr>
              <w:rFonts w:hint="eastAsia" w:ascii="黑体" w:hAnsi="黑体" w:eastAsia="黑体" w:cs="黑体"/>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rPr>
            <w:fldChar w:fldCharType="end"/>
          </w:r>
        </w:p>
        <w:p>
          <w:pPr>
            <w:pStyle w:val="10"/>
            <w:tabs>
              <w:tab w:val="right" w:leader="dot" w:pos="8844"/>
            </w:tabs>
            <w:ind w:firstLine="560"/>
            <w:rPr>
              <w:rFonts w:hint="eastAsia"/>
            </w:rPr>
          </w:pPr>
          <w:r>
            <w:fldChar w:fldCharType="begin"/>
          </w:r>
          <w:r>
            <w:instrText xml:space="preserve"> HYPERLINK \l "_Toc15449" </w:instrText>
          </w:r>
          <w:r>
            <w:fldChar w:fldCharType="separate"/>
          </w:r>
          <w:r>
            <w:rPr>
              <w:rFonts w:hint="eastAsia" w:ascii="Times New Roman" w:hAnsi="Times New Roman" w:eastAsia="楷体_GB2312" w:cs="Times New Roman"/>
              <w:bCs/>
              <w:kern w:val="28"/>
            </w:rPr>
            <w:t>（一）主要经验及做法</w:t>
          </w:r>
          <w:r>
            <w:tab/>
          </w:r>
          <w:r>
            <w:fldChar w:fldCharType="begin"/>
          </w:r>
          <w:r>
            <w:instrText xml:space="preserve"> PAGEREF _Toc15449 \h </w:instrText>
          </w:r>
          <w:r>
            <w:fldChar w:fldCharType="separate"/>
          </w:r>
          <w:r>
            <w:t>27</w:t>
          </w:r>
          <w:r>
            <w:fldChar w:fldCharType="end"/>
          </w:r>
          <w:r>
            <w:fldChar w:fldCharType="end"/>
          </w:r>
        </w:p>
        <w:p>
          <w:pPr>
            <w:pStyle w:val="10"/>
            <w:tabs>
              <w:tab w:val="right" w:leader="dot" w:pos="8844"/>
            </w:tabs>
            <w:ind w:firstLine="560"/>
            <w:rPr>
              <w:rFonts w:hint="eastAsia"/>
            </w:rPr>
          </w:pPr>
          <w:r>
            <w:fldChar w:fldCharType="begin"/>
          </w:r>
          <w:r>
            <w:instrText xml:space="preserve"> HYPERLINK \l "_Toc29168" </w:instrText>
          </w:r>
          <w:r>
            <w:fldChar w:fldCharType="separate"/>
          </w:r>
          <w:r>
            <w:rPr>
              <w:rFonts w:hint="eastAsia" w:ascii="Times New Roman" w:hAnsi="Times New Roman" w:eastAsia="楷体_GB2312" w:cs="Times New Roman"/>
              <w:bCs/>
              <w:kern w:val="28"/>
            </w:rPr>
            <w:t>（二）存在的问题及原因分析</w:t>
          </w:r>
          <w:r>
            <w:tab/>
          </w:r>
          <w:r>
            <w:fldChar w:fldCharType="begin"/>
          </w:r>
          <w:r>
            <w:instrText xml:space="preserve"> PAGEREF _Toc29168 \h </w:instrText>
          </w:r>
          <w:r>
            <w:fldChar w:fldCharType="separate"/>
          </w:r>
          <w:r>
            <w:t>28</w:t>
          </w:r>
          <w:r>
            <w:fldChar w:fldCharType="end"/>
          </w:r>
          <w:r>
            <w:fldChar w:fldCharType="end"/>
          </w:r>
        </w:p>
        <w:p>
          <w:pPr>
            <w:pStyle w:val="10"/>
            <w:tabs>
              <w:tab w:val="right" w:leader="dot" w:pos="8844"/>
            </w:tabs>
            <w:ind w:firstLine="560"/>
            <w:rPr>
              <w:rFonts w:hint="eastAsia" w:ascii="黑体" w:hAnsi="黑体" w:eastAsia="黑体" w:cs="黑体"/>
            </w:rPr>
          </w:pPr>
          <w:r>
            <w:fldChar w:fldCharType="begin"/>
          </w:r>
          <w:r>
            <w:instrText xml:space="preserve"> HYPERLINK \l "_Toc3333" </w:instrText>
          </w:r>
          <w:r>
            <w:fldChar w:fldCharType="separate"/>
          </w:r>
          <w:r>
            <w:rPr>
              <w:rFonts w:hint="eastAsia" w:ascii="黑体" w:hAnsi="黑体" w:eastAsia="黑体" w:cs="黑体"/>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rPr>
            <w:fldChar w:fldCharType="end"/>
          </w:r>
        </w:p>
        <w:p>
          <w:pPr>
            <w:pStyle w:val="10"/>
            <w:tabs>
              <w:tab w:val="right" w:leader="dot" w:pos="8844"/>
            </w:tabs>
            <w:ind w:firstLine="560"/>
            <w:rPr>
              <w:rFonts w:hint="eastAsia" w:ascii="黑体" w:hAnsi="黑体" w:eastAsia="黑体" w:cs="黑体"/>
            </w:rPr>
          </w:pPr>
          <w:r>
            <w:fldChar w:fldCharType="begin"/>
          </w:r>
          <w:r>
            <w:instrText xml:space="preserve"> HYPERLINK \l "_Toc14256" </w:instrText>
          </w:r>
          <w:r>
            <w:fldChar w:fldCharType="separate"/>
          </w:r>
          <w:r>
            <w:rPr>
              <w:rFonts w:hint="eastAsia" w:ascii="黑体" w:hAnsi="黑体" w:eastAsia="黑体" w:cs="黑体"/>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rPr>
            <w:fldChar w:fldCharType="end"/>
          </w:r>
        </w:p>
        <w:p>
          <w:pPr>
            <w:pStyle w:val="10"/>
            <w:tabs>
              <w:tab w:val="right" w:leader="dot" w:pos="8844"/>
            </w:tabs>
            <w:ind w:firstLine="560"/>
            <w:rPr>
              <w:rFonts w:hint="eastAsia" w:ascii="黑体" w:hAnsi="黑体" w:eastAsia="黑体" w:cs="黑体"/>
            </w:rPr>
          </w:pPr>
          <w:r>
            <w:fldChar w:fldCharType="begin"/>
          </w:r>
          <w:r>
            <w:instrText xml:space="preserve"> HYPERLINK \l "_Toc28971" </w:instrText>
          </w:r>
          <w:r>
            <w:fldChar w:fldCharType="separate"/>
          </w:r>
          <w:r>
            <w:rPr>
              <w:rFonts w:hint="eastAsia" w:ascii="黑体" w:hAnsi="黑体" w:eastAsia="黑体" w:cs="黑体"/>
              <w:bCs/>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rPr>
            <w:fldChar w:fldCharType="end"/>
          </w:r>
        </w:p>
        <w:p>
          <w:pPr>
            <w:pStyle w:val="10"/>
            <w:tabs>
              <w:tab w:val="right" w:leader="dot" w:pos="8844"/>
            </w:tabs>
            <w:ind w:firstLine="560"/>
            <w:rPr>
              <w:rFonts w:hint="eastAsia" w:ascii="黑体" w:hAnsi="黑体" w:eastAsia="黑体" w:cs="黑体"/>
            </w:rPr>
          </w:pPr>
          <w:r>
            <w:fldChar w:fldCharType="begin"/>
          </w:r>
          <w:r>
            <w:instrText xml:space="preserve"> HYPERLINK \l "_Toc11223" </w:instrText>
          </w:r>
          <w:r>
            <w:fldChar w:fldCharType="separate"/>
          </w:r>
          <w:r>
            <w:rPr>
              <w:rFonts w:hint="eastAsia" w:ascii="黑体" w:hAnsi="黑体" w:eastAsia="黑体" w:cs="黑体"/>
              <w:bCs/>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rPr>
            <w:fldChar w:fldCharType="end"/>
          </w:r>
        </w:p>
        <w:p>
          <w:pPr>
            <w:spacing w:line="560" w:lineRule="exact"/>
            <w:ind w:firstLine="560"/>
            <w:rPr>
              <w:rFonts w:hint="eastAsia"/>
            </w:rPr>
            <w:sectPr>
              <w:pgSz w:w="11906" w:h="16838"/>
              <w:pgMar w:top="1928" w:right="1531" w:bottom="1701" w:left="1531" w:header="737" w:footer="851" w:gutter="0"/>
              <w:cols w:space="720" w:num="1"/>
              <w:docGrid w:type="lines" w:linePitch="408" w:charSpace="0"/>
            </w:sectPr>
          </w:pPr>
          <w:r>
            <w:rPr>
              <w:rFonts w:hint="eastAsia"/>
            </w:rPr>
            <w:fldChar w:fldCharType="end"/>
          </w:r>
        </w:p>
      </w:sdtContent>
    </w:sdt>
    <w:p>
      <w:pPr>
        <w:spacing w:line="560" w:lineRule="exact"/>
        <w:jc w:val="center"/>
        <w:outlineLvl w:val="0"/>
        <w:rPr>
          <w:rFonts w:hint="eastAsia"/>
          <w:b/>
          <w:bCs/>
        </w:rPr>
      </w:pPr>
      <w:bookmarkStart w:id="4" w:name="_Toc22946"/>
      <w:bookmarkStart w:id="5" w:name="_Toc3663"/>
      <w:bookmarkStart w:id="6" w:name="_Toc20432"/>
      <w:bookmarkStart w:id="7" w:name="_Toc1194"/>
      <w:r>
        <w:rPr>
          <w:rFonts w:hint="eastAsia"/>
          <w:b/>
          <w:bCs/>
          <w:sz w:val="36"/>
          <w:szCs w:val="36"/>
          <w:lang w:eastAsia="zh-CN"/>
        </w:rPr>
        <w:t>昌州财教【2023】90号（保民生）提前下达2024年城乡义务教育补助经费（中央直达资金）家庭经济初中</w:t>
      </w:r>
      <w:r>
        <w:rPr>
          <w:rFonts w:hint="eastAsia"/>
          <w:b/>
          <w:bCs/>
          <w:sz w:val="36"/>
          <w:szCs w:val="36"/>
        </w:rPr>
        <w:t>支出绩效评价报告</w:t>
      </w:r>
      <w:bookmarkEnd w:id="4"/>
      <w:bookmarkEnd w:id="5"/>
      <w:bookmarkEnd w:id="6"/>
      <w:bookmarkEnd w:id="7"/>
    </w:p>
    <w:p>
      <w:pPr>
        <w:pStyle w:val="2"/>
        <w:ind w:firstLine="640"/>
        <w:rPr>
          <w:rFonts w:hint="eastAsia" w:ascii="黑体" w:hAnsi="黑体" w:cs="黑体"/>
        </w:rPr>
      </w:pPr>
      <w:bookmarkStart w:id="8" w:name="_Toc18485"/>
      <w:r>
        <w:rPr>
          <w:rFonts w:hint="eastAsia" w:ascii="黑体" w:hAnsi="黑体" w:cs="黑体"/>
        </w:rPr>
        <w:t>一、基本情况</w:t>
      </w:r>
      <w:bookmarkEnd w:id="8"/>
    </w:p>
    <w:p>
      <w:pPr>
        <w:pStyle w:val="14"/>
        <w:pageBreakBefore w:val="0"/>
        <w:widowControl/>
        <w:kinsoku/>
        <w:wordWrap/>
        <w:overflowPunct/>
        <w:topLinePunct w:val="0"/>
        <w:autoSpaceDE/>
        <w:autoSpaceDN/>
        <w:bidi w:val="0"/>
        <w:adjustRightInd/>
        <w:snapToGrid/>
        <w:spacing w:before="0" w:beforeAutospacing="0" w:after="0" w:afterAutospacing="0" w:line="560" w:lineRule="exact"/>
        <w:ind w:firstLine="643"/>
        <w:jc w:val="both"/>
        <w:textAlignment w:val="auto"/>
        <w:rPr>
          <w:rFonts w:ascii="Times New Roman" w:hAnsi="Times New Roman" w:eastAsia="楷体_GB2312" w:cs="Times New Roman"/>
          <w:kern w:val="28"/>
          <w:sz w:val="32"/>
        </w:rPr>
      </w:pPr>
      <w:bookmarkStart w:id="9" w:name="_Toc23184"/>
      <w:r>
        <w:rPr>
          <w:rFonts w:hint="eastAsia" w:ascii="Times New Roman" w:hAnsi="Times New Roman" w:eastAsia="楷体_GB2312" w:cs="Times New Roman"/>
          <w:kern w:val="28"/>
          <w:sz w:val="32"/>
        </w:rPr>
        <w:t>（一）项目概况</w:t>
      </w:r>
      <w:bookmarkEnd w:id="9"/>
    </w:p>
    <w:p>
      <w:pPr>
        <w:pStyle w:val="4"/>
        <w:pageBreakBefore w:val="0"/>
        <w:kinsoku/>
        <w:wordWrap/>
        <w:overflowPunct/>
        <w:topLinePunct w:val="0"/>
        <w:autoSpaceDE/>
        <w:autoSpaceDN/>
        <w:bidi w:val="0"/>
        <w:adjustRightInd/>
        <w:snapToGrid/>
        <w:spacing w:beforeAutospacing="0" w:afterAutospacing="0" w:line="560" w:lineRule="exact"/>
        <w:ind w:firstLine="643"/>
        <w:textAlignment w:val="auto"/>
        <w:rPr>
          <w:rFonts w:hint="eastAsia" w:cs="仿宋_GB2312"/>
          <w:sz w:val="32"/>
        </w:rPr>
      </w:pPr>
      <w:bookmarkStart w:id="10" w:name="_Toc29812"/>
      <w:bookmarkStart w:id="11" w:name="_Toc5043"/>
      <w:bookmarkStart w:id="12" w:name="_Toc22346"/>
      <w:bookmarkStart w:id="13" w:name="_Toc10645"/>
      <w:r>
        <w:rPr>
          <w:rFonts w:hint="eastAsia" w:cs="仿宋_GB2312"/>
          <w:sz w:val="32"/>
        </w:rPr>
        <w:t>1.项目背景</w:t>
      </w:r>
      <w:bookmarkEnd w:id="10"/>
      <w:bookmarkEnd w:id="11"/>
      <w:bookmarkEnd w:id="12"/>
      <w:bookmarkEnd w:id="13"/>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cs="仿宋_GB2312"/>
          <w:b w:val="0"/>
          <w:bCs w:val="0"/>
          <w:kern w:val="2"/>
          <w:sz w:val="32"/>
          <w:szCs w:val="32"/>
          <w:lang w:val="en-US" w:eastAsia="zh-CN" w:bidi="ar-SA"/>
        </w:rPr>
      </w:pPr>
      <w:bookmarkStart w:id="14" w:name="_Toc10730"/>
      <w:bookmarkStart w:id="15" w:name="_Toc1630"/>
      <w:bookmarkStart w:id="16" w:name="_Toc17880"/>
      <w:bookmarkStart w:id="17" w:name="_Toc27343"/>
      <w:r>
        <w:rPr>
          <w:rFonts w:hint="eastAsia" w:ascii="仿宋_GB2312" w:hAnsi="仿宋_GB2312" w:eastAsia="仿宋_GB2312" w:cs="仿宋_GB2312"/>
          <w:b w:val="0"/>
          <w:bCs w:val="0"/>
          <w:kern w:val="2"/>
          <w:sz w:val="32"/>
          <w:szCs w:val="32"/>
          <w:lang w:val="en-US" w:eastAsia="zh-CN" w:bidi="ar-SA"/>
        </w:rPr>
        <w:t>为贯彻落实《中共中央国务院关于实现巩固拓展脱贫攻坚成果同乡村振兴有效衔接的意见》及《教育部等六部门关于做好家庭经济困难学生资助工作的指导意见》等文件精神，进一步健全学生资助政策体系，保障家庭经济困难学生受教育权利，2024年继续实施家庭经济困难学生生活补助项目。该项目的设立旨在解决低收入家庭、脱贫不稳定户、边缘易致贫户、突发严重困难户等特殊群体子女就学负担，防止因学返贫，促进教育公平和社会稳定。</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pPr>
      <w:r>
        <w:rPr>
          <w:rFonts w:hint="eastAsia" w:ascii="仿宋_GB2312" w:hAnsi="仿宋_GB2312" w:eastAsia="仿宋_GB2312" w:cs="仿宋_GB2312"/>
          <w:b w:val="0"/>
          <w:bCs w:val="0"/>
          <w:kern w:val="2"/>
          <w:sz w:val="32"/>
          <w:szCs w:val="32"/>
          <w:lang w:val="en-US" w:eastAsia="zh-CN" w:bidi="ar-SA"/>
        </w:rPr>
        <w:t>部分地区仍存在资助资金发放不及时、覆盖范围需进一步精准等问题。确保符合条件的学生“应助尽助”，切实减轻困难家庭经济负担，巩固教育扶贫成果。</w:t>
      </w:r>
      <w:r>
        <w:t xml:space="preserve"> </w:t>
      </w:r>
    </w:p>
    <w:p>
      <w:pPr>
        <w:pStyle w:val="4"/>
        <w:pageBreakBefore w:val="0"/>
        <w:kinsoku/>
        <w:wordWrap/>
        <w:overflowPunct/>
        <w:topLinePunct w:val="0"/>
        <w:autoSpaceDE/>
        <w:autoSpaceDN/>
        <w:bidi w:val="0"/>
        <w:adjustRightInd/>
        <w:snapToGrid/>
        <w:spacing w:beforeAutospacing="0" w:afterAutospacing="0" w:line="560" w:lineRule="exact"/>
        <w:ind w:firstLine="643"/>
        <w:textAlignment w:val="auto"/>
        <w:rPr>
          <w:rFonts w:hint="eastAsia" w:cs="仿宋_GB2312"/>
          <w:color w:val="000000" w:themeColor="text1"/>
          <w:sz w:val="32"/>
          <w14:textFill>
            <w14:solidFill>
              <w14:schemeClr w14:val="tx1"/>
            </w14:solidFill>
          </w14:textFill>
        </w:rPr>
      </w:pPr>
      <w:r>
        <w:rPr>
          <w:rFonts w:hint="eastAsia" w:cs="仿宋_GB2312"/>
          <w:color w:val="000000" w:themeColor="text1"/>
          <w:sz w:val="32"/>
          <w14:textFill>
            <w14:solidFill>
              <w14:schemeClr w14:val="tx1"/>
            </w14:solidFill>
          </w14:textFill>
        </w:rPr>
        <w:t>2.主要内容及实施情况</w:t>
      </w:r>
      <w:bookmarkEnd w:id="14"/>
      <w:bookmarkEnd w:id="15"/>
      <w:bookmarkEnd w:id="16"/>
      <w:bookmarkEnd w:id="17"/>
    </w:p>
    <w:p>
      <w:pPr>
        <w:pStyle w:val="4"/>
        <w:ind w:firstLine="643"/>
        <w:rPr>
          <w:rFonts w:hint="eastAsia" w:cs="仿宋_GB2312"/>
          <w:b w:val="0"/>
          <w:bCs w:val="0"/>
          <w:kern w:val="2"/>
          <w:sz w:val="32"/>
        </w:rPr>
      </w:pPr>
      <w:bookmarkStart w:id="18" w:name="_Toc27409"/>
      <w:bookmarkStart w:id="19" w:name="_Toc27245"/>
      <w:bookmarkStart w:id="20" w:name="_Toc16592"/>
      <w:bookmarkStart w:id="21" w:name="_Toc21898"/>
      <w:r>
        <w:rPr>
          <w:rFonts w:hint="eastAsia" w:cs="仿宋_GB2312"/>
          <w:sz w:val="32"/>
        </w:rPr>
        <w:t>项目主要内容：</w:t>
      </w:r>
      <w:bookmarkEnd w:id="18"/>
      <w:bookmarkEnd w:id="19"/>
      <w:bookmarkEnd w:id="20"/>
      <w:bookmarkEnd w:id="21"/>
      <w:r>
        <w:rPr>
          <w:rFonts w:hint="eastAsia" w:cs="仿宋_GB2312"/>
          <w:b w:val="0"/>
          <w:bCs w:val="0"/>
          <w:kern w:val="2"/>
          <w:sz w:val="32"/>
        </w:rPr>
        <w:t>依据学校在校人数及住校人数，按一定标准核算并下发家庭经济经困难学生补助经费。经费主要用于寄宿生和非寄宿生的困难生活补助。</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项目实施情况：</w:t>
      </w:r>
      <w:r>
        <w:rPr>
          <w:rFonts w:hint="eastAsia" w:ascii="仿宋_GB2312" w:hAnsi="仿宋_GB2312" w:eastAsia="仿宋_GB2312" w:cs="仿宋_GB2312"/>
          <w:sz w:val="32"/>
          <w:szCs w:val="32"/>
        </w:rPr>
        <w:t>本项目自2024年1月1日经昌州财教[2023]90号文件批复，经阜康市第三中学会议，确定了项目领导小组，明确了责任分工：组长为丁军，副组长为张鸿翔，项目负责人为张嵬,组员为刘超、杨丽娟、李文欣、马尔加尼，其中：张嵬负责监管工作，</w:t>
      </w:r>
      <w:bookmarkStart w:id="22" w:name="OLE_LINK1"/>
      <w:r>
        <w:rPr>
          <w:rFonts w:hint="eastAsia" w:ascii="仿宋_GB2312" w:hAnsi="仿宋_GB2312" w:eastAsia="仿宋_GB2312" w:cs="仿宋_GB2312"/>
          <w:sz w:val="32"/>
          <w:szCs w:val="32"/>
        </w:rPr>
        <w:t>杨丽娟负责学生的统计工作、李文欣</w:t>
      </w:r>
      <w:bookmarkEnd w:id="22"/>
      <w:r>
        <w:rPr>
          <w:rFonts w:hint="eastAsia" w:ascii="仿宋_GB2312" w:hAnsi="仿宋_GB2312" w:eastAsia="仿宋_GB2312" w:cs="仿宋_GB2312"/>
          <w:sz w:val="32"/>
          <w:szCs w:val="32"/>
        </w:rPr>
        <w:t>负责项目档案资料，马尔加尼负责资金拨付工作。</w:t>
      </w:r>
    </w:p>
    <w:p>
      <w:pPr>
        <w:pStyle w:val="5"/>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截至2024年12月31日，本项目涉及学生人数339人，补助享受比例达到100%，资金支付率达到100%，家庭经济困难补助标准以</w:t>
      </w:r>
      <w:bookmarkStart w:id="23" w:name="OLE_LINK6"/>
      <w:r>
        <w:rPr>
          <w:rFonts w:hint="eastAsia" w:ascii="仿宋_GB2312" w:hAnsi="仿宋_GB2312" w:eastAsia="仿宋_GB2312" w:cs="仿宋_GB2312"/>
          <w:sz w:val="32"/>
          <w:szCs w:val="32"/>
        </w:rPr>
        <w:t>寄宿生750元/人/学期</w:t>
      </w:r>
      <w:bookmarkEnd w:id="23"/>
      <w:r>
        <w:rPr>
          <w:rFonts w:hint="eastAsia" w:ascii="仿宋_GB2312" w:hAnsi="仿宋_GB2312" w:eastAsia="仿宋_GB2312" w:cs="仿宋_GB2312"/>
          <w:sz w:val="32"/>
          <w:szCs w:val="32"/>
        </w:rPr>
        <w:t>、非寄宿生375元/人/学期完成，达到改善贫困生生活质量，有效缓解家庭经济困难家庭的教育生活支出，提供良好的学生成长条件，保障学校正常运转,学生满意度达到95%。</w:t>
      </w:r>
    </w:p>
    <w:p>
      <w:pPr>
        <w:pStyle w:val="4"/>
        <w:ind w:firstLine="643"/>
        <w:rPr>
          <w:rFonts w:hint="eastAsia" w:cs="仿宋_GB2312"/>
          <w:color w:val="000000" w:themeColor="text1"/>
          <w:sz w:val="32"/>
          <w14:textFill>
            <w14:solidFill>
              <w14:schemeClr w14:val="tx1"/>
            </w14:solidFill>
          </w14:textFill>
        </w:rPr>
      </w:pPr>
      <w:bookmarkStart w:id="24" w:name="_Toc10240"/>
      <w:bookmarkStart w:id="25" w:name="_Toc12348"/>
      <w:bookmarkStart w:id="26" w:name="_Toc1858"/>
      <w:bookmarkStart w:id="27" w:name="_Toc569"/>
      <w:r>
        <w:rPr>
          <w:rFonts w:hint="eastAsia" w:cs="仿宋_GB2312"/>
          <w:color w:val="000000" w:themeColor="text1"/>
          <w:sz w:val="32"/>
          <w14:textFill>
            <w14:solidFill>
              <w14:schemeClr w14:val="tx1"/>
            </w14:solidFill>
          </w14:textFill>
        </w:rPr>
        <w:t>3.资金投入和使用情况</w:t>
      </w:r>
      <w:bookmarkEnd w:id="24"/>
      <w:bookmarkEnd w:id="25"/>
      <w:bookmarkEnd w:id="26"/>
      <w:bookmarkEnd w:id="27"/>
    </w:p>
    <w:p>
      <w:pPr>
        <w:spacing w:line="560" w:lineRule="exact"/>
        <w:ind w:firstLine="640"/>
        <w:outlineLvl w:val="0"/>
        <w:rPr>
          <w:rFonts w:hint="eastAsia" w:ascii="仿宋_GB2312" w:hAnsi="仿宋_GB2312" w:eastAsia="仿宋_GB2312" w:cs="仿宋_GB2312"/>
          <w:sz w:val="32"/>
          <w:szCs w:val="32"/>
        </w:rPr>
      </w:pPr>
      <w:bookmarkStart w:id="28" w:name="_Toc694"/>
      <w:bookmarkStart w:id="29" w:name="_Toc23509"/>
      <w:bookmarkStart w:id="30" w:name="_Toc26369"/>
      <w:r>
        <w:rPr>
          <w:rFonts w:hint="eastAsia" w:ascii="仿宋_GB2312" w:hAnsi="仿宋_GB2312" w:eastAsia="仿宋_GB2312" w:cs="仿宋_GB2312"/>
          <w:sz w:val="32"/>
          <w:szCs w:val="32"/>
        </w:rPr>
        <w:t>（1）资金投入情况</w:t>
      </w:r>
      <w:bookmarkEnd w:id="28"/>
      <w:bookmarkEnd w:id="29"/>
      <w:bookmarkEnd w:id="30"/>
    </w:p>
    <w:p>
      <w:pPr>
        <w:spacing w:line="560" w:lineRule="exact"/>
        <w:ind w:firstLine="640"/>
        <w:outlineLvl w:val="0"/>
        <w:rPr>
          <w:rFonts w:hint="eastAsia" w:ascii="仿宋_GB2312" w:hAnsi="仿宋_GB2312" w:eastAsia="仿宋_GB2312" w:cs="仿宋_GB2312"/>
          <w:sz w:val="32"/>
          <w:szCs w:val="32"/>
        </w:rPr>
      </w:pPr>
      <w:bookmarkStart w:id="31" w:name="_Toc29190"/>
      <w:bookmarkStart w:id="32" w:name="_Toc5573"/>
      <w:bookmarkStart w:id="33" w:name="_Toc9464"/>
      <w:r>
        <w:rPr>
          <w:rFonts w:hint="eastAsia" w:ascii="仿宋_GB2312" w:hAnsi="仿宋_GB2312" w:eastAsia="仿宋_GB2312" w:cs="仿宋_GB2312"/>
          <w:sz w:val="32"/>
          <w:szCs w:val="32"/>
        </w:rPr>
        <w:t>该项目年初预算数</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万元，全年预算数</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万元，该项目资金已全部落实到位，资金来源为财政拨款。</w:t>
      </w:r>
      <w:bookmarkEnd w:id="31"/>
      <w:bookmarkEnd w:id="32"/>
      <w:bookmarkEnd w:id="33"/>
      <w:bookmarkStart w:id="34" w:name="_Toc3409"/>
      <w:bookmarkStart w:id="35" w:name="_Toc1166"/>
      <w:bookmarkStart w:id="36" w:name="_Toc28187"/>
    </w:p>
    <w:p>
      <w:pPr>
        <w:spacing w:line="560" w:lineRule="exact"/>
        <w:ind w:firstLine="64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bookmarkEnd w:id="34"/>
      <w:bookmarkEnd w:id="35"/>
      <w:bookmarkEnd w:id="36"/>
    </w:p>
    <w:p>
      <w:pPr>
        <w:spacing w:line="560" w:lineRule="exact"/>
        <w:ind w:firstLine="640"/>
        <w:outlineLvl w:val="0"/>
        <w:rPr>
          <w:rFonts w:hint="eastAsia" w:ascii="仿宋_GB2312" w:hAnsi="仿宋_GB2312" w:eastAsia="仿宋_GB2312" w:cs="仿宋_GB2312"/>
          <w:sz w:val="32"/>
          <w:szCs w:val="32"/>
        </w:rPr>
      </w:pPr>
      <w:bookmarkStart w:id="37" w:name="_Toc1430"/>
      <w:bookmarkStart w:id="38" w:name="_Toc29121"/>
      <w:bookmarkStart w:id="39" w:name="_Toc11647"/>
      <w:r>
        <w:rPr>
          <w:rFonts w:hint="eastAsia" w:ascii="仿宋_GB2312" w:hAnsi="仿宋_GB2312" w:eastAsia="仿宋_GB2312" w:cs="仿宋_GB2312"/>
          <w:sz w:val="32"/>
          <w:szCs w:val="32"/>
        </w:rPr>
        <w:t>该项目年初预算数</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万元，全年预算数</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万元，截至2024年12月31日，全年执行数</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万元，预算执行率为100%，主要用于贫困学生的生活补助。</w:t>
      </w:r>
      <w:bookmarkEnd w:id="37"/>
      <w:bookmarkEnd w:id="38"/>
      <w:bookmarkEnd w:id="39"/>
    </w:p>
    <w:p>
      <w:pPr>
        <w:pStyle w:val="14"/>
        <w:widowControl/>
        <w:spacing w:before="0" w:after="0" w:line="560" w:lineRule="exact"/>
        <w:ind w:firstLine="643"/>
        <w:jc w:val="both"/>
        <w:rPr>
          <w:rFonts w:ascii="Times New Roman" w:hAnsi="Times New Roman" w:eastAsia="楷体_GB2312" w:cs="Times New Roman"/>
          <w:kern w:val="28"/>
          <w:sz w:val="32"/>
        </w:rPr>
      </w:pPr>
      <w:bookmarkStart w:id="40" w:name="_Toc9109"/>
      <w:r>
        <w:rPr>
          <w:rFonts w:hint="eastAsia" w:ascii="Times New Roman" w:hAnsi="Times New Roman" w:eastAsia="楷体_GB2312" w:cs="Times New Roman"/>
          <w:kern w:val="28"/>
          <w:sz w:val="32"/>
        </w:rPr>
        <w:t>（二）项目绩效目标</w:t>
      </w:r>
      <w:bookmarkEnd w:id="40"/>
    </w:p>
    <w:p>
      <w:pPr>
        <w:pStyle w:val="4"/>
        <w:ind w:firstLine="643"/>
        <w:rPr>
          <w:rFonts w:hint="eastAsia" w:cs="仿宋_GB2312"/>
          <w:color w:val="000000" w:themeColor="text1"/>
          <w:sz w:val="32"/>
          <w14:textFill>
            <w14:solidFill>
              <w14:schemeClr w14:val="tx1"/>
            </w14:solidFill>
          </w14:textFill>
        </w:rPr>
      </w:pPr>
      <w:bookmarkStart w:id="41" w:name="_Toc10047"/>
      <w:bookmarkStart w:id="42" w:name="_Toc2547"/>
      <w:bookmarkStart w:id="43" w:name="_Toc14758"/>
      <w:bookmarkStart w:id="44" w:name="_Toc8528"/>
      <w:r>
        <w:rPr>
          <w:rFonts w:hint="eastAsia" w:cs="仿宋_GB2312"/>
          <w:color w:val="000000" w:themeColor="text1"/>
          <w:sz w:val="32"/>
          <w14:textFill>
            <w14:solidFill>
              <w14:schemeClr w14:val="tx1"/>
            </w14:solidFill>
          </w14:textFill>
        </w:rPr>
        <w:t>1.总体目标</w:t>
      </w:r>
      <w:bookmarkEnd w:id="41"/>
      <w:bookmarkEnd w:id="42"/>
      <w:bookmarkEnd w:id="43"/>
      <w:bookmarkEnd w:id="44"/>
    </w:p>
    <w:p>
      <w:pPr>
        <w:spacing w:line="560" w:lineRule="exact"/>
        <w:ind w:firstLine="64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 xml:space="preserve">  实施初中义务教育，促进基础教育发展和初中学历教育，为学生提供教育服务，阜康市第三中学2024年计划完成每学年给至少118名家庭经济困难学生发放以</w:t>
      </w:r>
      <w:bookmarkStart w:id="45" w:name="OLE_LINK3"/>
      <w:r>
        <w:rPr>
          <w:rFonts w:hint="eastAsia" w:ascii="仿宋_GB2312" w:hAnsi="仿宋_GB2312" w:eastAsia="仿宋_GB2312" w:cs="仿宋_GB2312"/>
          <w:sz w:val="32"/>
          <w:szCs w:val="32"/>
        </w:rPr>
        <w:t>寄宿生750元/生/学年、221名非寄宿生375元/生/学年的标准发放困难学生补助</w:t>
      </w:r>
      <w:bookmarkEnd w:id="45"/>
      <w:r>
        <w:rPr>
          <w:rFonts w:hint="eastAsia" w:ascii="仿宋_GB2312" w:hAnsi="仿宋_GB2312" w:eastAsia="仿宋_GB2312" w:cs="仿宋_GB2312"/>
          <w:sz w:val="32"/>
          <w:szCs w:val="32"/>
        </w:rPr>
        <w:t>。补助覆盖率100%。发放时间2024年1-12月，解决了众多家庭经济困难学生的生活费，缓解了困难家庭经济压力，保证了家庭经济困难学生公平接受义务教育的权利。</w:t>
      </w:r>
    </w:p>
    <w:p>
      <w:pPr>
        <w:pStyle w:val="4"/>
        <w:ind w:firstLine="643"/>
        <w:rPr>
          <w:rFonts w:hint="eastAsia" w:cs="仿宋_GB2312"/>
          <w:color w:val="000000" w:themeColor="text1"/>
          <w:sz w:val="32"/>
          <w14:textFill>
            <w14:solidFill>
              <w14:schemeClr w14:val="tx1"/>
            </w14:solidFill>
          </w14:textFill>
        </w:rPr>
      </w:pPr>
      <w:bookmarkStart w:id="46" w:name="_Toc3255"/>
      <w:bookmarkStart w:id="47" w:name="_Toc8990"/>
      <w:bookmarkStart w:id="48" w:name="_Toc4007"/>
      <w:bookmarkStart w:id="49" w:name="_Toc4487"/>
      <w:r>
        <w:rPr>
          <w:rFonts w:hint="eastAsia" w:cs="仿宋_GB2312"/>
          <w:color w:val="000000" w:themeColor="text1"/>
          <w:sz w:val="32"/>
          <w14:textFill>
            <w14:solidFill>
              <w14:schemeClr w14:val="tx1"/>
            </w14:solidFill>
          </w14:textFill>
        </w:rPr>
        <w:t>2.阶段性目标</w:t>
      </w:r>
      <w:bookmarkEnd w:id="46"/>
      <w:bookmarkEnd w:id="47"/>
      <w:bookmarkEnd w:id="48"/>
      <w:bookmarkEnd w:id="49"/>
    </w:p>
    <w:p>
      <w:pPr>
        <w:spacing w:line="560" w:lineRule="exact"/>
        <w:ind w:firstLine="64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根据《预算法》《财政支出绩效评价管理暂行办法》（财预〔2020〕10号）</w:t>
      </w:r>
      <w:r>
        <w:rPr>
          <w:rFonts w:hint="eastAsia" w:ascii="仿宋_GB2312" w:hAnsi="仿宋_GB2312" w:eastAsia="仿宋_GB2312" w:cs="仿宋_GB2312"/>
          <w:color w:val="000000" w:themeColor="text1"/>
          <w:sz w:val="32"/>
          <w:szCs w:val="32"/>
          <w14:textFill>
            <w14:solidFill>
              <w14:schemeClr w14:val="tx1"/>
            </w14:solidFill>
          </w14:textFill>
        </w:rPr>
        <w:t>等文件</w:t>
      </w:r>
      <w:r>
        <w:rPr>
          <w:rFonts w:hint="eastAsia" w:ascii="仿宋_GB2312" w:hAnsi="仿宋_GB2312" w:eastAsia="仿宋_GB2312" w:cs="仿宋_GB2312"/>
          <w:bCs/>
          <w:color w:val="000000" w:themeColor="text1"/>
          <w:sz w:val="32"/>
          <w:szCs w:val="32"/>
          <w14:textFill>
            <w14:solidFill>
              <w14:schemeClr w14:val="tx1"/>
            </w14:solidFill>
          </w14:textFill>
        </w:rPr>
        <w:t>的规定，结合项目实施单位的规章制度以及财务相关资料，评价小组对项目绩效目标进行了进一步的完善，完善后绩效目标如下：</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（1）项目产出目标</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①数量指标</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“寄宿生家庭经济困难学生人数”指标，预期目标值为</w:t>
      </w:r>
      <w:r>
        <w:rPr>
          <w:rFonts w:hint="eastAsia" w:ascii="仿宋" w:hAnsi="仿宋" w:eastAsia="仿宋" w:cs="仿宋"/>
          <w:color w:val="000000" w:themeColor="text1"/>
          <w:sz w:val="32"/>
          <w:szCs w:val="32"/>
          <w14:textFill>
            <w14:solidFill>
              <w14:schemeClr w14:val="tx1"/>
            </w14:solidFill>
          </w14:textFill>
        </w:rPr>
        <w:t>≥118人</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“非寄宿生家庭经济困难学生人数”指标，预期目标值为</w:t>
      </w:r>
      <w:r>
        <w:rPr>
          <w:rFonts w:hint="eastAsia" w:ascii="仿宋" w:hAnsi="仿宋" w:eastAsia="仿宋" w:cs="仿宋"/>
          <w:color w:val="000000" w:themeColor="text1"/>
          <w:sz w:val="32"/>
          <w:szCs w:val="32"/>
          <w14:textFill>
            <w14:solidFill>
              <w14:schemeClr w14:val="tx1"/>
            </w14:solidFill>
          </w14:textFill>
        </w:rPr>
        <w:t>≥221人</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②质量指标</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“家庭经济困难学生享受生活补助政策比例”指标，预期目标值为=100%；</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③时效指标</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“完成全年发放家庭经济困难学生补助时间”指标，预期目标值为</w:t>
      </w:r>
      <w:r>
        <w:rPr>
          <w:rFonts w:hint="eastAsia"/>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2024年12月；</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“资金发放及时率”指标，预期目标值为</w:t>
      </w:r>
      <w:r>
        <w:rPr>
          <w:rFonts w:hint="eastAsia"/>
          <w:color w:val="000000" w:themeColor="text1"/>
          <w:sz w:val="32"/>
          <w:szCs w:val="32"/>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（2）成本指标</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bookmarkStart w:id="50" w:name="OLE_LINK2"/>
      <w:r>
        <w:rPr>
          <w:rFonts w:hint="eastAsia" w:ascii="仿宋_GB2312" w:hAnsi="仿宋_GB2312" w:eastAsia="仿宋_GB2312" w:cs="仿宋_GB2312"/>
          <w:color w:val="000000" w:themeColor="text1"/>
          <w:sz w:val="32"/>
          <w:szCs w:val="32"/>
          <w14:textFill>
            <w14:solidFill>
              <w14:schemeClr w14:val="tx1"/>
            </w14:solidFill>
          </w14:textFill>
        </w:rPr>
        <w:t>“寄宿生补助标准”指标，预期目标值为=750元/生/学期；</w:t>
      </w:r>
    </w:p>
    <w:bookmarkEnd w:id="50"/>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“非寄宿生补助标准”指标，预期目标值为=375元/生/学期；</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（3）项目效益指标</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①社会效益指标</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“改善贫困生生活质量”指标，预期目标值为保障；</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“有效缓解家庭经济困难家庭和教育生活支出”指标，预期目标值为缓解；</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rPr>
        <w:t>满意度指标</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学生</w:t>
      </w:r>
      <w:r>
        <w:rPr>
          <w:rFonts w:hint="eastAsia" w:ascii="仿宋_GB2312" w:hAnsi="仿宋_GB2312" w:eastAsia="仿宋_GB2312" w:cs="仿宋_GB2312"/>
          <w:sz w:val="32"/>
          <w:szCs w:val="32"/>
        </w:rPr>
        <w:t>满意度”指标，预期目标值为≥95%。</w:t>
      </w:r>
    </w:p>
    <w:p>
      <w:pPr>
        <w:pStyle w:val="2"/>
        <w:ind w:firstLine="643"/>
        <w:rPr>
          <w:rFonts w:hint="eastAsia" w:ascii="宋体" w:hAnsi="宋体" w:eastAsia="宋体"/>
          <w:b/>
          <w:bCs/>
          <w:color w:val="000000" w:themeColor="text1"/>
          <w14:textFill>
            <w14:solidFill>
              <w14:schemeClr w14:val="tx1"/>
            </w14:solidFill>
          </w14:textFill>
        </w:rPr>
      </w:pPr>
      <w:bookmarkStart w:id="51" w:name="_Toc26567"/>
      <w:r>
        <w:rPr>
          <w:rFonts w:hint="eastAsia" w:ascii="宋体" w:hAnsi="宋体" w:eastAsia="宋体"/>
          <w:b/>
          <w:bCs/>
          <w:color w:val="000000" w:themeColor="text1"/>
          <w14:textFill>
            <w14:solidFill>
              <w14:schemeClr w14:val="tx1"/>
            </w14:solidFill>
          </w14:textFill>
        </w:rPr>
        <w:t>二、绩效评价工作开展情况</w:t>
      </w:r>
      <w:bookmarkEnd w:id="51"/>
    </w:p>
    <w:p>
      <w:pPr>
        <w:pStyle w:val="14"/>
        <w:widowControl/>
        <w:spacing w:before="0" w:after="0" w:line="560" w:lineRule="exact"/>
        <w:ind w:firstLine="643"/>
        <w:jc w:val="both"/>
        <w:rPr>
          <w:rFonts w:ascii="Times New Roman" w:hAnsi="Times New Roman" w:eastAsia="楷体_GB2312" w:cs="Times New Roman"/>
          <w:kern w:val="28"/>
          <w:sz w:val="32"/>
        </w:rPr>
      </w:pPr>
      <w:bookmarkStart w:id="52" w:name="_Toc22922"/>
      <w:bookmarkStart w:id="53" w:name="_Toc12868"/>
      <w:bookmarkStart w:id="54" w:name="_Toc5258"/>
      <w:bookmarkStart w:id="55" w:name="_Toc5462343"/>
      <w:bookmarkStart w:id="56" w:name="_Toc22169_WPSOffice_Level2"/>
      <w:bookmarkStart w:id="57" w:name="_Toc480473081"/>
      <w:bookmarkStart w:id="58" w:name="_Toc21664"/>
      <w:bookmarkStart w:id="59" w:name="_Toc26632"/>
      <w:bookmarkStart w:id="60" w:name="_Toc22839"/>
      <w:r>
        <w:rPr>
          <w:rFonts w:hint="eastAsia" w:ascii="Times New Roman" w:hAnsi="Times New Roman" w:eastAsia="楷体_GB2312" w:cs="Times New Roman"/>
          <w:kern w:val="28"/>
          <w:sz w:val="32"/>
        </w:rPr>
        <w:t>（一）绩效评价的目的</w:t>
      </w:r>
      <w:bookmarkEnd w:id="52"/>
      <w:bookmarkEnd w:id="53"/>
      <w:bookmarkEnd w:id="54"/>
      <w:bookmarkEnd w:id="55"/>
      <w:bookmarkEnd w:id="56"/>
      <w:bookmarkEnd w:id="57"/>
      <w:bookmarkEnd w:id="58"/>
      <w:bookmarkEnd w:id="59"/>
      <w:r>
        <w:rPr>
          <w:rFonts w:hint="eastAsia" w:ascii="Times New Roman" w:hAnsi="Times New Roman" w:eastAsia="楷体_GB2312" w:cs="Times New Roman"/>
          <w:kern w:val="28"/>
          <w:sz w:val="32"/>
        </w:rPr>
        <w:t>、对象和范围</w:t>
      </w:r>
      <w:bookmarkEnd w:id="60"/>
    </w:p>
    <w:p>
      <w:pPr>
        <w:pStyle w:val="14"/>
        <w:spacing w:before="0" w:after="0" w:line="560" w:lineRule="exact"/>
        <w:ind w:firstLine="643"/>
        <w:jc w:val="both"/>
        <w:outlineLvl w:val="9"/>
        <w:rPr>
          <w:rFonts w:ascii="Times New Roman" w:hAnsi="Times New Roman" w:eastAsia="仿宋_GB2312" w:cs="Times New Roman"/>
          <w:sz w:val="32"/>
        </w:rPr>
      </w:pPr>
      <w:bookmarkStart w:id="61" w:name="_Toc15732"/>
      <w:r>
        <w:rPr>
          <w:rFonts w:ascii="Times New Roman" w:hAnsi="Times New Roman" w:eastAsia="仿宋_GB2312" w:cs="Times New Roman"/>
          <w:sz w:val="32"/>
        </w:rPr>
        <w:t>1.绩效评价完整性</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Style w:val="4"/>
        <w:ind w:firstLine="643"/>
        <w:rPr>
          <w:rFonts w:hint="eastAsia" w:cs="仿宋_GB2312"/>
          <w:color w:val="000000" w:themeColor="text1"/>
          <w:sz w:val="32"/>
          <w14:textFill>
            <w14:solidFill>
              <w14:schemeClr w14:val="tx1"/>
            </w14:solidFill>
          </w14:textFill>
        </w:rPr>
      </w:pPr>
      <w:bookmarkStart w:id="62" w:name="_Toc417"/>
      <w:bookmarkStart w:id="63" w:name="_Toc21770"/>
      <w:r>
        <w:rPr>
          <w:rFonts w:hint="eastAsia" w:cs="仿宋_GB2312"/>
          <w:color w:val="000000" w:themeColor="text1"/>
          <w:sz w:val="32"/>
          <w14:textFill>
            <w14:solidFill>
              <w14:schemeClr w14:val="tx1"/>
            </w14:solidFill>
          </w14:textFill>
        </w:rPr>
        <w:t>2.绩效评价的目的</w:t>
      </w:r>
      <w:bookmarkEnd w:id="61"/>
      <w:bookmarkEnd w:id="62"/>
      <w:bookmarkEnd w:id="63"/>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pPr>
        <w:spacing w:line="560" w:lineRule="exact"/>
        <w:ind w:firstLine="640"/>
        <w:rPr>
          <w:rFonts w:ascii="Times New Roman" w:hAnsi="Times New Roman" w:eastAsia="仿宋_GB2312" w:cs="Times New Roman"/>
          <w:sz w:val="32"/>
          <w:szCs w:val="32"/>
        </w:rPr>
      </w:pPr>
      <w:bookmarkStart w:id="64" w:name="_Toc30609"/>
      <w:r>
        <w:rPr>
          <w:rFonts w:ascii="Times New Roman" w:hAnsi="Times New Roman" w:eastAsia="仿宋_GB2312" w:cs="Times New Roman"/>
          <w:sz w:val="32"/>
          <w:szCs w:val="32"/>
        </w:rPr>
        <w:t>（1）评估项目实施效果</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通过对项目预算执行情况及各项绩效目标达成程度的系统性分析，全面、客观地评估项目在预定周期内的实施效果，包括社会效益维度指标，为项目后续的改进与优化提供科学依据。</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（2）提升资源利用效率</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（3）强化项目管理责任</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（4）为决策提供支持</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（5）促进项目持续改进</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rPr>
          <w:rFonts w:ascii="Times New Roman" w:hAnsi="Times New Roman" w:eastAsia="方正仿宋_GBK" w:cs="Times New Roman"/>
          <w:sz w:val="32"/>
          <w:szCs w:val="32"/>
        </w:rPr>
      </w:pPr>
      <w:r>
        <w:rPr>
          <w:rFonts w:ascii="Times New Roman" w:hAnsi="Times New Roman" w:eastAsia="仿宋_GB2312" w:cs="Times New Roman"/>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4"/>
        <w:ind w:firstLine="643"/>
        <w:rPr>
          <w:rFonts w:hint="eastAsia" w:cs="仿宋_GB2312"/>
          <w:color w:val="000000" w:themeColor="text1"/>
          <w:sz w:val="32"/>
          <w14:textFill>
            <w14:solidFill>
              <w14:schemeClr w14:val="tx1"/>
            </w14:solidFill>
          </w14:textFill>
        </w:rPr>
      </w:pPr>
      <w:bookmarkStart w:id="65" w:name="_Toc31970"/>
      <w:bookmarkStart w:id="66" w:name="_Toc16346"/>
      <w:r>
        <w:rPr>
          <w:rFonts w:hint="eastAsia" w:cs="仿宋_GB2312"/>
          <w:color w:val="000000" w:themeColor="text1"/>
          <w:sz w:val="32"/>
          <w14:textFill>
            <w14:solidFill>
              <w14:schemeClr w14:val="tx1"/>
            </w14:solidFill>
          </w14:textFill>
        </w:rPr>
        <w:t>3.绩效评价的对象</w:t>
      </w:r>
      <w:bookmarkEnd w:id="64"/>
      <w:bookmarkEnd w:id="65"/>
      <w:bookmarkEnd w:id="66"/>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此次我单位根据《财政支出绩效评价管理暂行办法》（财预〔2020〕10号）文件要求对2024年度</w:t>
      </w:r>
      <w:r>
        <w:rPr>
          <w:rFonts w:hint="eastAsia" w:ascii="仿宋_GB2312" w:hAnsi="仿宋_GB2312" w:eastAsia="仿宋_GB2312" w:cs="仿宋_GB2312"/>
          <w:sz w:val="32"/>
          <w:szCs w:val="32"/>
        </w:rPr>
        <w:t>我单位实施的</w:t>
      </w:r>
      <w:r>
        <w:rPr>
          <w:rFonts w:hint="eastAsia" w:ascii="仿宋_GB2312" w:hAnsi="仿宋_GB2312" w:eastAsia="仿宋_GB2312" w:cs="仿宋_GB2312"/>
          <w:sz w:val="32"/>
          <w:szCs w:val="32"/>
          <w:lang w:eastAsia="zh-CN"/>
        </w:rPr>
        <w:t>昌州财教【2023】90号（保民生）提前下达2024年城乡义务教育补助经费（中央直达资金）家庭经济初中</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及其预算执行情况</w:t>
      </w:r>
      <w:r>
        <w:rPr>
          <w:rFonts w:hint="eastAsia" w:ascii="仿宋_GB2312" w:hAnsi="仿宋_GB2312" w:eastAsia="仿宋_GB2312" w:cs="仿宋_GB2312"/>
          <w:sz w:val="32"/>
          <w:szCs w:val="32"/>
        </w:rPr>
        <w:t>开展部门绩效评价。</w:t>
      </w:r>
    </w:p>
    <w:p>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ascii="仿宋_GB2312" w:hAnsi="仿宋_GB2312" w:eastAsia="仿宋_GB2312" w:cs="仿宋_GB2312"/>
          <w:sz w:val="32"/>
          <w:szCs w:val="32"/>
        </w:rPr>
        <w:t>该项目由</w:t>
      </w:r>
      <w:r>
        <w:rPr>
          <w:rFonts w:hint="eastAsia" w:ascii="仿宋_GB2312" w:hAnsi="仿宋_GB2312" w:eastAsia="仿宋_GB2312" w:cs="仿宋_GB2312"/>
          <w:sz w:val="32"/>
          <w:szCs w:val="32"/>
        </w:rPr>
        <w:t>阜康市第三中学</w:t>
      </w:r>
      <w:r>
        <w:rPr>
          <w:rFonts w:ascii="仿宋_GB2312" w:hAnsi="仿宋_GB2312" w:eastAsia="仿宋_GB2312" w:cs="仿宋_GB2312"/>
          <w:sz w:val="32"/>
          <w:szCs w:val="32"/>
        </w:rPr>
        <w:t>负责实</w:t>
      </w:r>
      <w:r>
        <w:rPr>
          <w:rFonts w:ascii="仿宋_GB2312" w:hAnsi="仿宋_GB2312" w:eastAsia="仿宋_GB2312" w:cs="仿宋_GB2312"/>
          <w:sz w:val="32"/>
          <w:szCs w:val="32"/>
          <w:highlight w:val="none"/>
        </w:rPr>
        <w:t>施，旨在</w:t>
      </w:r>
      <w:r>
        <w:rPr>
          <w:rFonts w:hint="eastAsia" w:ascii="仿宋_GB2312" w:hAnsi="仿宋_GB2312" w:eastAsia="仿宋_GB2312" w:cs="仿宋_GB2312"/>
          <w:sz w:val="32"/>
          <w:szCs w:val="32"/>
          <w:highlight w:val="none"/>
        </w:rPr>
        <w:t>改善贫困生生活质量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有效缓解家庭经济困难家庭的教育生活支出</w:t>
      </w:r>
      <w:r>
        <w:rPr>
          <w:rFonts w:ascii="仿宋_GB2312" w:hAnsi="仿宋_GB2312" w:eastAsia="仿宋_GB2312" w:cs="仿宋_GB2312"/>
          <w:sz w:val="32"/>
          <w:szCs w:val="32"/>
          <w:highlight w:val="none"/>
        </w:rPr>
        <w:t>。项目预算涵盖从</w:t>
      </w:r>
      <w:r>
        <w:rPr>
          <w:rFonts w:hint="eastAsia" w:ascii="仿宋_GB2312" w:hAnsi="仿宋_GB2312" w:eastAsia="仿宋_GB2312" w:cs="仿宋_GB2312"/>
          <w:sz w:val="32"/>
          <w:szCs w:val="32"/>
          <w:highlight w:val="none"/>
        </w:rPr>
        <w:t>2024年1月1日</w:t>
      </w:r>
      <w:r>
        <w:rPr>
          <w:rFonts w:ascii="仿宋_GB2312" w:hAnsi="仿宋_GB2312" w:eastAsia="仿宋_GB2312" w:cs="仿宋_GB2312"/>
          <w:sz w:val="32"/>
          <w:szCs w:val="32"/>
          <w:highlight w:val="none"/>
        </w:rPr>
        <w:t>至</w:t>
      </w:r>
      <w:r>
        <w:rPr>
          <w:rFonts w:hint="eastAsia" w:ascii="仿宋_GB2312" w:hAnsi="仿宋_GB2312" w:eastAsia="仿宋_GB2312" w:cs="仿宋_GB2312"/>
          <w:sz w:val="32"/>
          <w:szCs w:val="32"/>
          <w:highlight w:val="none"/>
        </w:rPr>
        <w:t>2024年12月31日</w:t>
      </w:r>
      <w:r>
        <w:rPr>
          <w:rFonts w:ascii="仿宋_GB2312" w:hAnsi="仿宋_GB2312" w:eastAsia="仿宋_GB2312" w:cs="仿宋_GB2312"/>
          <w:sz w:val="32"/>
          <w:szCs w:val="32"/>
          <w:highlight w:val="none"/>
        </w:rPr>
        <w:t>的</w:t>
      </w:r>
      <w:r>
        <w:rPr>
          <w:rFonts w:ascii="仿宋_GB2312" w:hAnsi="仿宋_GB2312" w:eastAsia="仿宋_GB2312" w:cs="仿宋_GB2312"/>
          <w:sz w:val="32"/>
          <w:szCs w:val="32"/>
        </w:rPr>
        <w:t>全部资金投入与支出，涉及资金总额为</w:t>
      </w:r>
      <w:r>
        <w:rPr>
          <w:rFonts w:hint="eastAsia" w:ascii="仿宋_GB2312" w:hAnsi="仿宋_GB2312" w:eastAsia="仿宋_GB2312" w:cs="仿宋_GB2312"/>
          <w:color w:val="000000" w:themeColor="text1"/>
          <w:sz w:val="32"/>
          <w:szCs w:val="32"/>
          <w:lang w:eastAsia="zh-CN"/>
          <w14:textFill>
            <w14:solidFill>
              <w14:schemeClr w14:val="tx1"/>
            </w14:solidFill>
          </w14:textFill>
        </w:rPr>
        <w:t>42.15</w:t>
      </w:r>
      <w:r>
        <w:rPr>
          <w:rFonts w:ascii="仿宋_GB2312" w:hAnsi="仿宋_GB2312" w:eastAsia="仿宋_GB2312" w:cs="仿宋_GB2312"/>
          <w:color w:val="000000" w:themeColor="text1"/>
          <w:sz w:val="32"/>
          <w:szCs w:val="32"/>
          <w14:textFill>
            <w14:solidFill>
              <w14:schemeClr w14:val="tx1"/>
            </w14:solidFill>
          </w14:textFill>
        </w:rPr>
        <w:t>万元。</w:t>
      </w:r>
    </w:p>
    <w:p>
      <w:pPr>
        <w:pStyle w:val="4"/>
        <w:ind w:firstLine="643"/>
        <w:rPr>
          <w:rFonts w:hint="eastAsia" w:cs="仿宋_GB2312"/>
          <w:color w:val="000000" w:themeColor="text1"/>
          <w:sz w:val="32"/>
          <w14:textFill>
            <w14:solidFill>
              <w14:schemeClr w14:val="tx1"/>
            </w14:solidFill>
          </w14:textFill>
        </w:rPr>
      </w:pPr>
      <w:bookmarkStart w:id="67" w:name="_Toc11666"/>
      <w:bookmarkStart w:id="68" w:name="_Toc21311"/>
      <w:r>
        <w:rPr>
          <w:rFonts w:cs="仿宋_GB2312"/>
          <w:color w:val="000000" w:themeColor="text1"/>
          <w:sz w:val="32"/>
          <w14:textFill>
            <w14:solidFill>
              <w14:schemeClr w14:val="tx1"/>
            </w14:solidFill>
          </w14:textFill>
        </w:rPr>
        <w:t>4.绩效评价的范围</w:t>
      </w:r>
      <w:bookmarkEnd w:id="67"/>
      <w:bookmarkEnd w:id="68"/>
    </w:p>
    <w:p>
      <w:pPr>
        <w:pStyle w:val="14"/>
        <w:spacing w:before="0" w:after="0" w:line="560" w:lineRule="exact"/>
        <w:ind w:firstLine="640"/>
        <w:jc w:val="both"/>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本项目预算绩效评价报告的评价范围广泛而全面，涵盖了从项目立项至评价时点期间的所有关键预算活动和财务流程。具体而言，评价范围包括但不限于以下几个方面：</w:t>
      </w:r>
    </w:p>
    <w:p>
      <w:pPr>
        <w:pStyle w:val="14"/>
        <w:numPr>
          <w:ilvl w:val="0"/>
          <w:numId w:val="1"/>
        </w:numPr>
        <w:spacing w:before="0" w:after="0" w:line="560" w:lineRule="exact"/>
        <w:ind w:firstLine="640"/>
        <w:jc w:val="both"/>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项目预算编制与执行：全面审视项目预算的编制依据、合理性、科学性以及实际执行情况，包括预算调整的原因和效果。</w:t>
      </w:r>
    </w:p>
    <w:p>
      <w:pPr>
        <w:pStyle w:val="14"/>
        <w:numPr>
          <w:ilvl w:val="0"/>
          <w:numId w:val="1"/>
        </w:numPr>
        <w:spacing w:before="0" w:after="0" w:line="560" w:lineRule="exact"/>
        <w:ind w:firstLine="640"/>
        <w:jc w:val="both"/>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资金管理：深入分析项目资金的分配、使用和监管情况，确保资金使用的合规性、高效性和透明度。</w:t>
      </w:r>
    </w:p>
    <w:p>
      <w:pPr>
        <w:pStyle w:val="14"/>
        <w:numPr>
          <w:ilvl w:val="0"/>
          <w:numId w:val="1"/>
        </w:numPr>
        <w:spacing w:before="0" w:after="0" w:line="560" w:lineRule="exact"/>
        <w:ind w:firstLine="640"/>
        <w:jc w:val="both"/>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项目实施进度与产出：评估项目是否按照既定计划顺利推进，各项任务是否按时完成，以及项目产出的数量、质量和时效性是否符合预期。</w:t>
      </w:r>
    </w:p>
    <w:p>
      <w:pPr>
        <w:pStyle w:val="14"/>
        <w:spacing w:before="0" w:after="0" w:line="560" w:lineRule="exact"/>
        <w:ind w:firstLine="640"/>
        <w:jc w:val="both"/>
        <w:outlineLvl w:val="9"/>
        <w:rPr>
          <w:rFonts w:ascii="Times New Roman" w:hAnsi="Times New Roman" w:eastAsia="仿宋_GB2312" w:cs="Times New Roman"/>
          <w:b w:val="0"/>
          <w:bCs w:val="0"/>
          <w:highlight w:val="green"/>
        </w:rPr>
      </w:pPr>
      <w:r>
        <w:rPr>
          <w:rFonts w:hint="eastAsia" w:ascii="仿宋_GB2312" w:hAnsi="仿宋_GB2312" w:eastAsia="仿宋_GB2312" w:cs="仿宋_GB2312"/>
          <w:b w:val="0"/>
          <w:bCs w:val="0"/>
          <w:sz w:val="32"/>
          <w:highlight w:val="none"/>
        </w:rPr>
        <w:t>（4）</w:t>
      </w:r>
      <w:r>
        <w:rPr>
          <w:rFonts w:hint="eastAsia" w:ascii="仿宋_GB2312" w:hAnsi="仿宋_GB2312" w:eastAsia="仿宋_GB2312" w:cs="仿宋_GB2312"/>
          <w:b w:val="0"/>
          <w:bCs w:val="0"/>
          <w:color w:val="auto"/>
          <w:sz w:val="32"/>
          <w:szCs w:val="32"/>
          <w:highlight w:val="none"/>
        </w:rPr>
        <w:t>社会影响：考察项目对社会方面的综合影响。</w:t>
      </w:r>
    </w:p>
    <w:p>
      <w:pPr>
        <w:pStyle w:val="14"/>
        <w:widowControl/>
        <w:spacing w:before="0" w:after="0" w:line="560" w:lineRule="exact"/>
        <w:ind w:firstLine="643"/>
        <w:jc w:val="both"/>
        <w:rPr>
          <w:rFonts w:ascii="Times New Roman" w:hAnsi="Times New Roman" w:eastAsia="楷体_GB2312" w:cs="Times New Roman"/>
          <w:kern w:val="28"/>
          <w:sz w:val="32"/>
        </w:rPr>
      </w:pPr>
      <w:bookmarkStart w:id="69" w:name="_Toc1286"/>
      <w:bookmarkStart w:id="70" w:name="_Toc29785"/>
      <w:r>
        <w:rPr>
          <w:rFonts w:hint="eastAsia" w:ascii="Times New Roman" w:hAnsi="Times New Roman" w:eastAsia="楷体_GB2312" w:cs="Times New Roman"/>
          <w:kern w:val="28"/>
          <w:sz w:val="32"/>
        </w:rPr>
        <w:t>（二）绩效评价原则、评价指标体系（</w:t>
      </w:r>
      <w:r>
        <w:rPr>
          <w:rFonts w:ascii="Times New Roman" w:hAnsi="Times New Roman" w:eastAsia="楷体_GB2312" w:cs="Times New Roman"/>
          <w:kern w:val="28"/>
          <w:sz w:val="32"/>
        </w:rPr>
        <w:t>详情见</w:t>
      </w:r>
      <w:r>
        <w:rPr>
          <w:rFonts w:hint="eastAsia" w:ascii="Times New Roman" w:hAnsi="Times New Roman" w:eastAsia="楷体_GB2312" w:cs="Times New Roman"/>
          <w:kern w:val="28"/>
          <w:sz w:val="32"/>
        </w:rPr>
        <w:t>附件二）、评价方法、评价标准</w:t>
      </w:r>
      <w:bookmarkEnd w:id="69"/>
      <w:bookmarkEnd w:id="70"/>
    </w:p>
    <w:p>
      <w:pPr>
        <w:pStyle w:val="4"/>
        <w:ind w:firstLine="643"/>
        <w:rPr>
          <w:rFonts w:ascii="Times New Roman" w:hAnsi="Times New Roman" w:cs="Times New Roman"/>
          <w:color w:val="000000"/>
          <w:kern w:val="2"/>
          <w:sz w:val="32"/>
        </w:rPr>
      </w:pPr>
      <w:bookmarkStart w:id="71" w:name="_Toc24506"/>
      <w:bookmarkStart w:id="72" w:name="_Toc5354"/>
      <w:bookmarkStart w:id="73" w:name="_Toc13694"/>
      <w:r>
        <w:rPr>
          <w:rFonts w:hint="eastAsia" w:ascii="Times New Roman" w:hAnsi="Times New Roman" w:cs="Times New Roman"/>
          <w:color w:val="000000"/>
          <w:kern w:val="2"/>
          <w:sz w:val="32"/>
        </w:rPr>
        <w:t>1.绩效评价原则</w:t>
      </w:r>
      <w:bookmarkEnd w:id="71"/>
      <w:bookmarkEnd w:id="72"/>
      <w:bookmarkEnd w:id="73"/>
    </w:p>
    <w:p>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依据《财政支出绩效评价管理暂行办法》（财预〔2020〕10号）本次绩效评价秉承科学规范、公正公开、分级分类、绩效相关等原则</w:t>
      </w:r>
      <w:r>
        <w:rPr>
          <w:rFonts w:hint="eastAsia" w:ascii="Times New Roman" w:hAnsi="Times New Roman" w:eastAsia="仿宋_GB2312" w:cs="Times New Roman"/>
          <w:sz w:val="32"/>
          <w:szCs w:val="32"/>
        </w:rPr>
        <w:t xml:space="preserve">，按照从投入、过程到产出效果和影响的绩效逻辑路径，结合  </w:t>
      </w:r>
      <w:r>
        <w:rPr>
          <w:rFonts w:hint="eastAsia" w:ascii="Times New Roman" w:hAnsi="Times New Roman" w:eastAsia="仿宋_GB2312" w:cs="Times New Roman"/>
          <w:sz w:val="32"/>
          <w:szCs w:val="32"/>
          <w:lang w:eastAsia="zh-CN"/>
        </w:rPr>
        <w:t>昌州财教【2023】90号（保民生）提前下达2024年城乡义务教育补助经费（中央直达资金）家庭经济初中</w:t>
      </w:r>
      <w:r>
        <w:rPr>
          <w:rFonts w:hint="eastAsia" w:ascii="Times New Roman" w:hAnsi="Times New Roman" w:eastAsia="仿宋_GB2312" w:cs="Times New Roman"/>
          <w:sz w:val="32"/>
          <w:szCs w:val="32"/>
        </w:rPr>
        <w:t>实际开展情况，运用定量和定性分析相结合的方法，总结经验做法，反思项目实施和管理中的问题，</w:t>
      </w:r>
      <w:r>
        <w:rPr>
          <w:rFonts w:hint="eastAsia" w:ascii="Times New Roman" w:hAnsi="Times New Roman" w:eastAsia="仿宋_GB2312" w:cs="Times New Roman"/>
          <w:color w:val="000000"/>
          <w:sz w:val="32"/>
          <w:szCs w:val="32"/>
        </w:rPr>
        <w:t>以切实提升财政资金管理的科学化、规范化和精细化水平。</w:t>
      </w:r>
    </w:p>
    <w:p>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根据以上原则，绩效评价应遵循如下要求：</w:t>
      </w:r>
    </w:p>
    <w:p>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（1）科学公正。绩效评价应当运用科学合理的方法，按照规范的程序，对项目绩效进行客观、公正的反映。</w:t>
      </w:r>
    </w:p>
    <w:p>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（2）统筹兼顾。单位自评、部门评价和财政评价应职责明确，各有侧重，相互衔接。单位自评应由项目单位自主实施，即“谁支出、谁自评”。</w:t>
      </w:r>
    </w:p>
    <w:p>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（3）激励约束。绩效评价结果应与预算安排、政策调整、改进管理实质性挂钩，体现奖优罚劣和激励相容导向，有效要安排、低效要压减、无效要问责。</w:t>
      </w:r>
    </w:p>
    <w:p>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（4）公开透明。绩效评价结果应依法依规公开，并自觉接受社会监督。</w:t>
      </w:r>
    </w:p>
    <w:p>
      <w:pPr>
        <w:spacing w:line="560" w:lineRule="exact"/>
        <w:ind w:firstLine="643"/>
        <w:rPr>
          <w:rFonts w:hint="eastAsia" w:ascii="仿宋_GB2312" w:hAnsi="仿宋_GB2312" w:eastAsia="仿宋_GB2312" w:cs="仿宋_GB2312"/>
          <w:b/>
          <w:bCs/>
          <w:color w:val="000000"/>
          <w:sz w:val="32"/>
          <w:szCs w:val="32"/>
        </w:rPr>
      </w:pPr>
      <w:bookmarkStart w:id="74" w:name="_Toc428278230"/>
      <w:bookmarkStart w:id="75" w:name="_Toc419984722"/>
      <w:bookmarkStart w:id="76" w:name="_Toc26131"/>
      <w:bookmarkStart w:id="77" w:name="_Toc1913"/>
      <w:bookmarkStart w:id="78" w:name="_Toc24396"/>
      <w:r>
        <w:rPr>
          <w:rFonts w:hint="eastAsia" w:ascii="仿宋_GB2312" w:hAnsi="仿宋_GB2312" w:eastAsia="仿宋_GB2312" w:cs="仿宋_GB2312"/>
          <w:b/>
          <w:bCs/>
          <w:color w:val="000000"/>
          <w:sz w:val="32"/>
          <w:szCs w:val="32"/>
        </w:rPr>
        <w:t>2.绩效评价指标体系</w:t>
      </w:r>
      <w:bookmarkEnd w:id="74"/>
      <w:bookmarkEnd w:id="75"/>
      <w:bookmarkEnd w:id="76"/>
      <w:bookmarkEnd w:id="77"/>
      <w:bookmarkEnd w:id="78"/>
    </w:p>
    <w:p>
      <w:pPr>
        <w:spacing w:line="560" w:lineRule="exact"/>
        <w:ind w:firstLine="708"/>
        <w:rPr>
          <w:rFonts w:hint="eastAsia" w:ascii="仿宋_GB2312" w:hAnsi="仿宋_GB2312" w:eastAsia="仿宋_GB2312" w:cs="仿宋_GB2312"/>
          <w:color w:val="000000"/>
          <w:spacing w:val="17"/>
          <w:sz w:val="32"/>
          <w:szCs w:val="32"/>
        </w:rPr>
      </w:pPr>
      <w:bookmarkStart w:id="79"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spacing w:line="560" w:lineRule="exact"/>
        <w:ind w:firstLine="708"/>
        <w:rPr>
          <w:rFonts w:hint="eastAsia" w:ascii="仿宋_GB2312" w:hAnsi="仿宋_GB2312" w:eastAsia="仿宋_GB2312" w:cs="仿宋_GB2312"/>
          <w:color w:val="FF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pPr>
        <w:spacing w:line="560" w:lineRule="exact"/>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详见上传的附件二。</w:t>
      </w:r>
    </w:p>
    <w:p>
      <w:pPr>
        <w:pStyle w:val="4"/>
        <w:pageBreakBefore w:val="0"/>
        <w:kinsoku/>
        <w:wordWrap/>
        <w:overflowPunct/>
        <w:topLinePunct w:val="0"/>
        <w:autoSpaceDE/>
        <w:autoSpaceDN/>
        <w:bidi w:val="0"/>
        <w:adjustRightInd/>
        <w:snapToGrid/>
        <w:spacing w:line="480" w:lineRule="exact"/>
        <w:ind w:firstLine="643"/>
        <w:textAlignment w:val="auto"/>
        <w:rPr>
          <w:rFonts w:hint="eastAsia" w:cs="仿宋_GB2312"/>
          <w:color w:val="000000" w:themeColor="text1"/>
          <w:sz w:val="32"/>
          <w14:textFill>
            <w14:solidFill>
              <w14:schemeClr w14:val="tx1"/>
            </w14:solidFill>
          </w14:textFill>
        </w:rPr>
      </w:pPr>
      <w:bookmarkStart w:id="80" w:name="_Toc5690"/>
      <w:bookmarkStart w:id="81" w:name="_Toc30114"/>
      <w:r>
        <w:rPr>
          <w:rFonts w:hint="eastAsia" w:cs="仿宋_GB2312"/>
          <w:color w:val="000000" w:themeColor="text1"/>
          <w:sz w:val="32"/>
          <w14:textFill>
            <w14:solidFill>
              <w14:schemeClr w14:val="tx1"/>
            </w14:solidFill>
          </w14:textFill>
        </w:rPr>
        <w:t>3.评价方法</w:t>
      </w:r>
      <w:bookmarkEnd w:id="79"/>
      <w:bookmarkEnd w:id="80"/>
      <w:bookmarkEnd w:id="81"/>
    </w:p>
    <w:p>
      <w:pPr>
        <w:pageBreakBefore w:val="0"/>
        <w:widowControl w:val="0"/>
        <w:kinsoku/>
        <w:wordWrap/>
        <w:overflowPunct/>
        <w:topLinePunct w:val="0"/>
        <w:autoSpaceDE/>
        <w:autoSpaceDN/>
        <w:bidi w:val="0"/>
        <w:adjustRightInd/>
        <w:snapToGrid/>
        <w:spacing w:line="48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2" w:name="_Toc25391"/>
      <w:bookmarkStart w:id="83" w:name="_Toc25651"/>
      <w:bookmarkStart w:id="84" w:name="_Toc608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pPr>
        <w:pStyle w:val="5"/>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480" w:lineRule="exact"/>
        <w:ind w:firstLine="708" w:firstLineChars="200"/>
        <w:textAlignment w:val="auto"/>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原因：通过该方法能在预算管理中，可优先资助效益较高的服务项目，避免资源浪费。</w:t>
      </w:r>
    </w:p>
    <w:p>
      <w:pPr>
        <w:pageBreakBefore w:val="0"/>
        <w:kinsoku/>
        <w:wordWrap/>
        <w:overflowPunct/>
        <w:topLinePunct w:val="0"/>
        <w:autoSpaceDE/>
        <w:autoSpaceDN/>
        <w:bidi w:val="0"/>
        <w:adjustRightInd/>
        <w:snapToGrid/>
        <w:spacing w:line="480" w:lineRule="exact"/>
        <w:ind w:firstLine="708" w:firstLineChars="200"/>
        <w:textAlignment w:val="auto"/>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auto"/>
          <w:spacing w:val="17"/>
          <w:sz w:val="32"/>
          <w:szCs w:val="32"/>
          <w:highlight w:val="none"/>
          <w:lang w:val="en-US" w:eastAsia="zh-CN"/>
        </w:rPr>
        <w:t>原因：增强法制意识与社会教育意义，强化监督与透明度。</w:t>
      </w:r>
    </w:p>
    <w:p>
      <w:pPr>
        <w:pStyle w:val="4"/>
        <w:pageBreakBefore w:val="0"/>
        <w:kinsoku/>
        <w:wordWrap/>
        <w:overflowPunct/>
        <w:topLinePunct w:val="0"/>
        <w:autoSpaceDE/>
        <w:autoSpaceDN/>
        <w:bidi w:val="0"/>
        <w:adjustRightInd/>
        <w:snapToGrid/>
        <w:spacing w:line="480" w:lineRule="exact"/>
        <w:ind w:firstLine="643"/>
        <w:textAlignment w:val="auto"/>
        <w:rPr>
          <w:rFonts w:hint="eastAsia" w:cs="仿宋_GB2312"/>
          <w:color w:val="000000" w:themeColor="text1"/>
          <w:sz w:val="32"/>
          <w:highlight w:val="none"/>
          <w14:textFill>
            <w14:solidFill>
              <w14:schemeClr w14:val="tx1"/>
            </w14:solidFill>
          </w14:textFill>
        </w:rPr>
      </w:pPr>
      <w:r>
        <w:rPr>
          <w:rFonts w:hint="eastAsia" w:cs="仿宋_GB2312"/>
          <w:color w:val="000000" w:themeColor="text1"/>
          <w:sz w:val="32"/>
          <w:highlight w:val="none"/>
          <w14:textFill>
            <w14:solidFill>
              <w14:schemeClr w14:val="tx1"/>
            </w14:solidFill>
          </w14:textFill>
        </w:rPr>
        <w:t>4.评价标准</w:t>
      </w:r>
      <w:bookmarkEnd w:id="82"/>
      <w:bookmarkEnd w:id="83"/>
      <w:bookmarkEnd w:id="84"/>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rPr>
        <w:t>、</w:t>
      </w:r>
      <w:r>
        <w:rPr>
          <w:rFonts w:ascii="Times New Roman" w:hAnsi="Times New Roman" w:eastAsia="仿宋_GB2312" w:cs="Times New Roman"/>
          <w:color w:val="000000"/>
          <w:spacing w:val="17"/>
          <w:sz w:val="32"/>
          <w:szCs w:val="32"/>
        </w:rPr>
        <w:t>历史标准</w:t>
      </w:r>
      <w:r>
        <w:rPr>
          <w:rFonts w:ascii="Times New Roman" w:hAnsi="Times New Roman" w:eastAsia="仿宋_GB2312" w:cs="Times New Roman"/>
          <w:color w:val="FF0000"/>
          <w:spacing w:val="17"/>
          <w:sz w:val="32"/>
          <w:szCs w:val="32"/>
        </w:rPr>
        <w:t>。</w:t>
      </w:r>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（1）计划标准。指以预先制定的目标、计划、预算、定额等作为评价标准。</w:t>
      </w:r>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（2）</w:t>
      </w:r>
      <w:r>
        <w:rPr>
          <w:rFonts w:hint="eastAsia" w:ascii="Times New Roman" w:hAnsi="Times New Roman" w:eastAsia="仿宋_GB2312" w:cs="Times New Roman"/>
          <w:color w:val="000000"/>
          <w:spacing w:val="17"/>
          <w:sz w:val="32"/>
          <w:szCs w:val="32"/>
        </w:rPr>
        <w:t>历</w:t>
      </w:r>
      <w:r>
        <w:rPr>
          <w:rFonts w:ascii="Times New Roman" w:hAnsi="Times New Roman" w:eastAsia="仿宋_GB2312" w:cs="Times New Roman"/>
          <w:color w:val="000000"/>
          <w:spacing w:val="17"/>
          <w:sz w:val="32"/>
          <w:szCs w:val="32"/>
        </w:rPr>
        <w:t>史标准。指参照历史数据制定的评价标准，为体现绩效改进的原则，在可实现的条件下应当确定相对较高的评价标准。</w:t>
      </w:r>
    </w:p>
    <w:p>
      <w:pPr>
        <w:pStyle w:val="14"/>
        <w:pageBreakBefore w:val="0"/>
        <w:widowControl/>
        <w:kinsoku/>
        <w:wordWrap/>
        <w:overflowPunct/>
        <w:topLinePunct w:val="0"/>
        <w:autoSpaceDE/>
        <w:autoSpaceDN/>
        <w:bidi w:val="0"/>
        <w:adjustRightInd/>
        <w:snapToGrid/>
        <w:spacing w:before="0" w:after="0" w:line="480" w:lineRule="exact"/>
        <w:ind w:firstLine="643"/>
        <w:jc w:val="both"/>
        <w:textAlignment w:val="auto"/>
        <w:rPr>
          <w:rFonts w:ascii="Times New Roman" w:hAnsi="Times New Roman" w:eastAsia="楷体_GB2312" w:cs="Times New Roman"/>
          <w:kern w:val="28"/>
          <w:sz w:val="32"/>
        </w:rPr>
      </w:pPr>
      <w:bookmarkStart w:id="85" w:name="_Toc21435"/>
      <w:r>
        <w:rPr>
          <w:rFonts w:hint="eastAsia" w:ascii="Times New Roman" w:hAnsi="Times New Roman" w:eastAsia="楷体_GB2312" w:cs="Times New Roman"/>
          <w:kern w:val="28"/>
          <w:sz w:val="32"/>
        </w:rPr>
        <w:t>（三）绩效评价工作过程</w:t>
      </w:r>
      <w:bookmarkEnd w:id="85"/>
    </w:p>
    <w:p>
      <w:pPr>
        <w:pageBreakBefore w:val="0"/>
        <w:kinsoku/>
        <w:wordWrap/>
        <w:overflowPunct/>
        <w:topLinePunct w:val="0"/>
        <w:autoSpaceDE/>
        <w:autoSpaceDN/>
        <w:bidi w:val="0"/>
        <w:adjustRightInd/>
        <w:snapToGrid/>
        <w:spacing w:line="480" w:lineRule="exact"/>
        <w:ind w:firstLine="711"/>
        <w:textAlignment w:val="auto"/>
        <w:rPr>
          <w:rFonts w:ascii="Times New Roman" w:hAnsi="Times New Roman" w:eastAsia="仿宋_GB2312" w:cs="Times New Roman"/>
          <w:b/>
          <w:bCs/>
          <w:color w:val="000000"/>
          <w:spacing w:val="17"/>
          <w:sz w:val="32"/>
          <w:szCs w:val="32"/>
        </w:rPr>
      </w:pPr>
      <w:bookmarkStart w:id="86" w:name="_Toc12862"/>
      <w:r>
        <w:rPr>
          <w:rFonts w:hint="eastAsia" w:ascii="Times New Roman" w:hAnsi="Times New Roman" w:eastAsia="仿宋_GB2312" w:cs="Times New Roman"/>
          <w:b/>
          <w:bCs/>
          <w:color w:val="000000"/>
          <w:spacing w:val="17"/>
          <w:sz w:val="32"/>
          <w:szCs w:val="32"/>
        </w:rPr>
        <w:t>1.前期准备</w:t>
      </w:r>
      <w:bookmarkEnd w:id="86"/>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pacing w:val="17"/>
          <w:sz w:val="32"/>
          <w:szCs w:val="32"/>
        </w:rPr>
        <w:t>（1）成立绩效评价项目小组</w:t>
      </w:r>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pacing w:val="17"/>
          <w:sz w:val="32"/>
          <w:szCs w:val="32"/>
        </w:rPr>
        <w:t>为确保该项目绩效评价的顺利实施，评价机构组建了绩效评价项目小组。项目小组负责建立联络制度、明确评价责任人、制定评价方案、实施具体评价等工作。</w:t>
      </w:r>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87" w:name="_Toc31571"/>
      <w:r>
        <w:rPr>
          <w:rFonts w:hint="eastAsia" w:ascii="Times New Roman" w:hAnsi="Times New Roman" w:eastAsia="仿宋_GB2312" w:cs="Times New Roman"/>
          <w:color w:val="000000"/>
          <w:spacing w:val="17"/>
          <w:sz w:val="32"/>
          <w:szCs w:val="32"/>
        </w:rPr>
        <w:t>（2）开展前期调研</w:t>
      </w:r>
      <w:bookmarkEnd w:id="87"/>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88" w:name="_Toc21240"/>
      <w:r>
        <w:rPr>
          <w:rFonts w:hint="eastAsia" w:ascii="Times New Roman" w:hAnsi="Times New Roman" w:eastAsia="仿宋_GB2312" w:cs="Times New Roman"/>
          <w:color w:val="000000"/>
          <w:spacing w:val="17"/>
          <w:sz w:val="32"/>
          <w:szCs w:val="32"/>
        </w:rPr>
        <w:t>绩效评价项目小组依据此次绩效评价受委托内容，对拟评价的项</w:t>
      </w:r>
      <w:r>
        <w:rPr>
          <w:rFonts w:hint="eastAsia" w:ascii="Times New Roman" w:hAnsi="Times New Roman" w:eastAsia="仿宋_GB2312" w:cs="Times New Roman"/>
          <w:spacing w:val="17"/>
          <w:sz w:val="32"/>
          <w:szCs w:val="32"/>
        </w:rPr>
        <w:t>目实施前期调研。通过调研对</w:t>
      </w:r>
      <w:r>
        <w:rPr>
          <w:rFonts w:hint="eastAsia" w:ascii="Times New Roman" w:hAnsi="Times New Roman" w:eastAsia="仿宋_GB2312" w:cs="Times New Roman"/>
          <w:spacing w:val="17"/>
          <w:sz w:val="32"/>
          <w:szCs w:val="32"/>
          <w:lang w:eastAsia="zh-CN"/>
        </w:rPr>
        <w:t>昌州财教【2023】90号（保民生）提前下达2024年城乡义务教育补助经费（中央直达资金）家庭经济初中</w:t>
      </w:r>
      <w:r>
        <w:rPr>
          <w:rFonts w:hint="eastAsia" w:ascii="Times New Roman" w:hAnsi="Times New Roman" w:eastAsia="仿宋_GB2312" w:cs="Times New Roman"/>
          <w:spacing w:val="17"/>
          <w:sz w:val="32"/>
          <w:szCs w:val="32"/>
        </w:rPr>
        <w:t>实施内容、目标信息、预算信息以及其他的一些项目</w:t>
      </w:r>
      <w:r>
        <w:rPr>
          <w:rFonts w:hint="eastAsia" w:ascii="Times New Roman" w:hAnsi="Times New Roman" w:eastAsia="仿宋_GB2312" w:cs="Times New Roman"/>
          <w:color w:val="000000"/>
          <w:spacing w:val="17"/>
          <w:sz w:val="32"/>
          <w:szCs w:val="32"/>
        </w:rPr>
        <w:t>基本信息，有了初步了解，为制定绩效评价工作方案做好准备。</w:t>
      </w:r>
      <w:bookmarkEnd w:id="88"/>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89" w:name="_Toc27977"/>
      <w:r>
        <w:rPr>
          <w:rFonts w:hint="eastAsia" w:ascii="Times New Roman" w:hAnsi="Times New Roman" w:eastAsia="仿宋_GB2312" w:cs="Times New Roman"/>
          <w:color w:val="000000"/>
          <w:spacing w:val="17"/>
          <w:sz w:val="32"/>
          <w:szCs w:val="32"/>
        </w:rPr>
        <w:t>（3）制订绩效评价工作方案</w:t>
      </w:r>
      <w:bookmarkEnd w:id="89"/>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0" w:name="_Toc19659"/>
      <w:r>
        <w:rPr>
          <w:rFonts w:hint="eastAsia" w:ascii="Times New Roman" w:hAnsi="Times New Roman" w:eastAsia="仿宋_GB2312" w:cs="Times New Roman"/>
          <w:color w:val="000000"/>
          <w:spacing w:val="17"/>
          <w:sz w:val="32"/>
          <w:szCs w:val="32"/>
        </w:rPr>
        <w:t>绩效评价项目小组根据有关规定和评价对象的特点以及前期调研收集的一些信息，拟定详细的绩效评价工作方案。</w:t>
      </w:r>
      <w:bookmarkEnd w:id="90"/>
    </w:p>
    <w:p>
      <w:pPr>
        <w:pageBreakBefore w:val="0"/>
        <w:kinsoku/>
        <w:wordWrap/>
        <w:overflowPunct/>
        <w:topLinePunct w:val="0"/>
        <w:autoSpaceDE/>
        <w:autoSpaceDN/>
        <w:bidi w:val="0"/>
        <w:adjustRightInd/>
        <w:snapToGrid/>
        <w:spacing w:line="480" w:lineRule="exact"/>
        <w:ind w:firstLine="711"/>
        <w:textAlignment w:val="auto"/>
        <w:rPr>
          <w:rFonts w:ascii="Times New Roman" w:hAnsi="Times New Roman" w:eastAsia="仿宋_GB2312" w:cs="Times New Roman"/>
          <w:b/>
          <w:bCs/>
          <w:color w:val="000000"/>
          <w:spacing w:val="17"/>
          <w:sz w:val="32"/>
          <w:szCs w:val="32"/>
        </w:rPr>
      </w:pPr>
      <w:bookmarkStart w:id="91" w:name="_Toc11353"/>
      <w:r>
        <w:rPr>
          <w:rFonts w:hint="eastAsia" w:ascii="Times New Roman" w:hAnsi="Times New Roman" w:eastAsia="仿宋_GB2312" w:cs="Times New Roman"/>
          <w:b/>
          <w:bCs/>
          <w:color w:val="000000"/>
          <w:spacing w:val="17"/>
          <w:sz w:val="32"/>
          <w:szCs w:val="32"/>
        </w:rPr>
        <w:t>2.具体实施</w:t>
      </w:r>
      <w:bookmarkEnd w:id="91"/>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2" w:name="_Toc14111"/>
      <w:r>
        <w:rPr>
          <w:rFonts w:hint="eastAsia" w:ascii="Times New Roman" w:hAnsi="Times New Roman" w:eastAsia="仿宋_GB2312" w:cs="Times New Roman"/>
          <w:color w:val="000000"/>
          <w:spacing w:val="17"/>
          <w:sz w:val="32"/>
          <w:szCs w:val="32"/>
        </w:rPr>
        <w:t>（1）收集基础资料</w:t>
      </w:r>
      <w:bookmarkEnd w:id="92"/>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3" w:name="_Toc28524"/>
      <w:r>
        <w:rPr>
          <w:rFonts w:hint="eastAsia" w:ascii="Times New Roman" w:hAnsi="Times New Roman" w:eastAsia="仿宋_GB2312" w:cs="Times New Roman"/>
          <w:color w:val="000000"/>
          <w:spacing w:val="17"/>
          <w:sz w:val="32"/>
          <w:szCs w:val="32"/>
        </w:rPr>
        <w:t>根据评价工作的需要和要求，在前期调研的基础上，通过多种渠道全面收集项目基础信息资料，主要包括：</w:t>
      </w:r>
      <w:bookmarkEnd w:id="93"/>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4" w:name="_Toc32216"/>
      <w:r>
        <w:rPr>
          <w:rFonts w:hint="eastAsia" w:ascii="Times New Roman" w:hAnsi="Times New Roman" w:eastAsia="仿宋_GB2312" w:cs="Times New Roman"/>
          <w:color w:val="000000"/>
          <w:spacing w:val="17"/>
          <w:sz w:val="32"/>
          <w:szCs w:val="32"/>
        </w:rPr>
        <w:t>①被评价单位基本概况，如单位职能、事业发展规划、预决算情况、项目立项依据等；</w:t>
      </w:r>
      <w:bookmarkEnd w:id="94"/>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5" w:name="_Toc10505"/>
      <w:r>
        <w:rPr>
          <w:rFonts w:hint="eastAsia" w:ascii="Times New Roman" w:hAnsi="Times New Roman" w:eastAsia="仿宋_GB2312" w:cs="Times New Roman"/>
          <w:color w:val="000000"/>
          <w:spacing w:val="17"/>
          <w:sz w:val="32"/>
          <w:szCs w:val="32"/>
        </w:rPr>
        <w:t>②绩效目标及其设立依据和调整情况；</w:t>
      </w:r>
      <w:bookmarkEnd w:id="95"/>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6" w:name="_Toc28365"/>
      <w:r>
        <w:rPr>
          <w:rFonts w:hint="eastAsia" w:ascii="Times New Roman" w:hAnsi="Times New Roman" w:eastAsia="仿宋_GB2312" w:cs="Times New Roman"/>
          <w:color w:val="000000"/>
          <w:spacing w:val="17"/>
          <w:sz w:val="32"/>
          <w:szCs w:val="32"/>
        </w:rPr>
        <w:t>③管理措施及组织实施情况；</w:t>
      </w:r>
      <w:bookmarkEnd w:id="96"/>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7" w:name="_Toc10091"/>
      <w:r>
        <w:rPr>
          <w:rFonts w:hint="eastAsia" w:ascii="Times New Roman" w:hAnsi="Times New Roman" w:eastAsia="仿宋_GB2312" w:cs="Times New Roman"/>
          <w:color w:val="000000"/>
          <w:spacing w:val="17"/>
          <w:sz w:val="32"/>
          <w:szCs w:val="32"/>
        </w:rPr>
        <w:t>④被评价单位总结分析的绩效目标完成情况及绩效报告；</w:t>
      </w:r>
      <w:bookmarkEnd w:id="97"/>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8" w:name="_Toc1"/>
      <w:r>
        <w:rPr>
          <w:rFonts w:hint="eastAsia" w:ascii="Times New Roman" w:hAnsi="Times New Roman" w:eastAsia="仿宋_GB2312" w:cs="Times New Roman"/>
          <w:color w:val="000000"/>
          <w:spacing w:val="17"/>
          <w:sz w:val="32"/>
          <w:szCs w:val="32"/>
        </w:rPr>
        <w:t>⑤与绩效评价相关的计划标准、行业标准、历史标准等；</w:t>
      </w:r>
      <w:bookmarkEnd w:id="98"/>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9" w:name="_Toc20059"/>
      <w:r>
        <w:rPr>
          <w:rFonts w:hint="eastAsia" w:ascii="Times New Roman" w:hAnsi="Times New Roman" w:eastAsia="仿宋_GB2312" w:cs="Times New Roman"/>
          <w:color w:val="000000"/>
          <w:spacing w:val="17"/>
          <w:sz w:val="32"/>
          <w:szCs w:val="32"/>
        </w:rPr>
        <w:t>⑥其他必要的相关资料等。</w:t>
      </w:r>
      <w:bookmarkEnd w:id="99"/>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0" w:name="_Toc31911"/>
      <w:r>
        <w:rPr>
          <w:rFonts w:hint="eastAsia" w:ascii="Times New Roman" w:hAnsi="Times New Roman" w:eastAsia="仿宋_GB2312" w:cs="Times New Roman"/>
          <w:color w:val="000000"/>
          <w:spacing w:val="17"/>
          <w:sz w:val="32"/>
          <w:szCs w:val="32"/>
        </w:rPr>
        <w:t>（2）整理、研读基础资料</w:t>
      </w:r>
      <w:bookmarkEnd w:id="100"/>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1" w:name="_Toc167"/>
      <w:r>
        <w:rPr>
          <w:rFonts w:hint="eastAsia" w:ascii="Times New Roman" w:hAnsi="Times New Roman" w:eastAsia="仿宋_GB2312" w:cs="Times New Roman"/>
          <w:color w:val="000000"/>
          <w:spacing w:val="17"/>
          <w:sz w:val="32"/>
          <w:szCs w:val="32"/>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1"/>
    </w:p>
    <w:p>
      <w:pPr>
        <w:pageBreakBefore w:val="0"/>
        <w:kinsoku/>
        <w:wordWrap/>
        <w:overflowPunct/>
        <w:topLinePunct w:val="0"/>
        <w:autoSpaceDE/>
        <w:autoSpaceDN/>
        <w:bidi w:val="0"/>
        <w:adjustRightInd/>
        <w:snapToGrid/>
        <w:spacing w:line="480" w:lineRule="exact"/>
        <w:ind w:firstLine="711"/>
        <w:textAlignment w:val="auto"/>
        <w:rPr>
          <w:rFonts w:ascii="Times New Roman" w:hAnsi="Times New Roman" w:eastAsia="仿宋_GB2312" w:cs="Times New Roman"/>
          <w:b/>
          <w:bCs/>
          <w:color w:val="000000"/>
          <w:spacing w:val="17"/>
          <w:sz w:val="32"/>
          <w:szCs w:val="32"/>
        </w:rPr>
      </w:pPr>
      <w:bookmarkStart w:id="102" w:name="_Toc30513"/>
      <w:r>
        <w:rPr>
          <w:rFonts w:hint="eastAsia" w:ascii="Times New Roman" w:hAnsi="Times New Roman" w:eastAsia="仿宋_GB2312" w:cs="Times New Roman"/>
          <w:b/>
          <w:bCs/>
          <w:color w:val="000000"/>
          <w:spacing w:val="17"/>
          <w:sz w:val="32"/>
          <w:szCs w:val="32"/>
        </w:rPr>
        <w:t>3.分析评价和撰写报告</w:t>
      </w:r>
      <w:bookmarkEnd w:id="102"/>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3" w:name="_Toc15974"/>
      <w:r>
        <w:rPr>
          <w:rFonts w:hint="eastAsia" w:ascii="Times New Roman" w:hAnsi="Times New Roman" w:eastAsia="仿宋_GB2312" w:cs="Times New Roman"/>
          <w:color w:val="000000"/>
          <w:spacing w:val="17"/>
          <w:sz w:val="32"/>
          <w:szCs w:val="32"/>
        </w:rPr>
        <w:t>（1）综合分析评价</w:t>
      </w:r>
      <w:bookmarkEnd w:id="103"/>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4" w:name="_Toc4352"/>
      <w:r>
        <w:rPr>
          <w:rFonts w:hint="eastAsia" w:ascii="Times New Roman" w:hAnsi="Times New Roman" w:eastAsia="仿宋_GB2312" w:cs="Times New Roman"/>
          <w:color w:val="000000"/>
          <w:spacing w:val="17"/>
          <w:sz w:val="32"/>
          <w:szCs w:val="32"/>
        </w:rPr>
        <w:t>①根据所收集的基础资料，结合现场核查的有关情况，整理出绩效评价所需的项目材料和基础数据。</w:t>
      </w:r>
      <w:bookmarkEnd w:id="104"/>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5" w:name="_Toc26231"/>
      <w:r>
        <w:rPr>
          <w:rFonts w:hint="eastAsia" w:ascii="Times New Roman" w:hAnsi="Times New Roman" w:eastAsia="仿宋_GB2312" w:cs="Times New Roman"/>
          <w:color w:val="000000"/>
          <w:spacing w:val="17"/>
          <w:sz w:val="32"/>
          <w:szCs w:val="32"/>
        </w:rPr>
        <w:t>②将初步评价结论、调整事项、专家咨询意见和有关说明等提交单位内部讨论并征求意见。之后，对所征求的意见及时地进行收集和整理。</w:t>
      </w:r>
      <w:bookmarkEnd w:id="105"/>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6" w:name="_Toc27759"/>
      <w:r>
        <w:rPr>
          <w:rFonts w:hint="eastAsia" w:ascii="Times New Roman" w:hAnsi="Times New Roman" w:eastAsia="仿宋_GB2312" w:cs="Times New Roman"/>
          <w:color w:val="000000"/>
          <w:spacing w:val="17"/>
          <w:sz w:val="32"/>
          <w:szCs w:val="32"/>
        </w:rPr>
        <w:t>（2）撰写报告</w:t>
      </w:r>
      <w:bookmarkEnd w:id="106"/>
    </w:p>
    <w:p>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7" w:name="_Toc15579"/>
      <w:r>
        <w:rPr>
          <w:rFonts w:hint="eastAsia" w:ascii="Times New Roman" w:hAnsi="Times New Roman" w:eastAsia="仿宋_GB2312" w:cs="Times New Roman"/>
          <w:color w:val="000000"/>
          <w:spacing w:val="17"/>
          <w:sz w:val="32"/>
          <w:szCs w:val="32"/>
        </w:rPr>
        <w:t>绩效评价项目小组依照整理、分析后的项目材料、数据资料，依据评价形成的初步结论，按照既定的格式和内容要求撰写绩效评价初步报告，最终形成评价结果。</w:t>
      </w:r>
      <w:bookmarkEnd w:id="107"/>
    </w:p>
    <w:p>
      <w:pPr>
        <w:pStyle w:val="2"/>
        <w:ind w:firstLine="640"/>
        <w:rPr>
          <w:rFonts w:hint="eastAsia" w:ascii="黑体" w:hAnsi="黑体" w:cs="黑体"/>
          <w:color w:val="000000" w:themeColor="text1"/>
          <w14:textFill>
            <w14:solidFill>
              <w14:schemeClr w14:val="tx1"/>
            </w14:solidFill>
          </w14:textFill>
        </w:rPr>
      </w:pPr>
      <w:bookmarkStart w:id="108" w:name="_Toc19261"/>
      <w:r>
        <w:rPr>
          <w:rFonts w:hint="eastAsia" w:ascii="黑体" w:hAnsi="黑体" w:cs="黑体"/>
          <w:color w:val="000000" w:themeColor="text1"/>
          <w14:textFill>
            <w14:solidFill>
              <w14:schemeClr w14:val="tx1"/>
            </w14:solidFill>
          </w14:textFill>
        </w:rPr>
        <w:t>三、综合评价情况及评价结论</w:t>
      </w:r>
      <w:bookmarkEnd w:id="108"/>
    </w:p>
    <w:p>
      <w:pPr>
        <w:pStyle w:val="14"/>
        <w:widowControl/>
        <w:spacing w:before="0" w:after="0" w:line="560" w:lineRule="exact"/>
        <w:ind w:firstLine="643"/>
        <w:jc w:val="both"/>
        <w:rPr>
          <w:rFonts w:ascii="Times New Roman" w:hAnsi="Times New Roman" w:eastAsia="楷体_GB2312" w:cs="Times New Roman"/>
          <w:kern w:val="28"/>
          <w:sz w:val="32"/>
        </w:rPr>
      </w:pPr>
      <w:bookmarkStart w:id="109" w:name="_Toc23319"/>
      <w:r>
        <w:rPr>
          <w:rFonts w:hint="eastAsia" w:ascii="Times New Roman" w:hAnsi="Times New Roman" w:eastAsia="楷体_GB2312" w:cs="Times New Roman"/>
          <w:kern w:val="28"/>
          <w:sz w:val="32"/>
        </w:rPr>
        <w:t>（一）综合评价情况及评价结论</w:t>
      </w:r>
      <w:bookmarkEnd w:id="109"/>
    </w:p>
    <w:p>
      <w:pPr>
        <w:pStyle w:val="13"/>
        <w:widowControl/>
        <w:spacing w:beforeAutospacing="0" w:afterAutospacing="0" w:line="560" w:lineRule="exact"/>
        <w:ind w:firstLine="640"/>
        <w:rPr>
          <w:rFonts w:ascii="Times New Roman" w:hAnsi="Times New Roman" w:eastAsia="仿宋_GB2312"/>
          <w:sz w:val="32"/>
          <w:szCs w:val="32"/>
          <w:highlight w:val="green"/>
        </w:rPr>
      </w:pPr>
      <w:r>
        <w:rPr>
          <w:rFonts w:ascii="Times New Roman" w:hAnsi="Times New Roman" w:eastAsia="仿宋_GB2312"/>
          <w:sz w:val="32"/>
          <w:szCs w:val="32"/>
        </w:rPr>
        <w:t>本项目的综合评价基于对项目各方面绩效的深入分析与评估。从项目目标的达成情况来看，</w:t>
      </w:r>
      <w:r>
        <w:rPr>
          <w:rFonts w:hint="eastAsia" w:ascii="Times New Roman" w:hAnsi="Times New Roman" w:eastAsia="仿宋_GB2312"/>
          <w:sz w:val="32"/>
          <w:szCs w:val="32"/>
          <w:lang w:eastAsia="zh-CN"/>
        </w:rPr>
        <w:t>昌州财教【2023】90号（保民生）提前下达2024年城乡义务教育补助经费（中央直达资金）家庭经济初中</w:t>
      </w:r>
      <w:r>
        <w:rPr>
          <w:rFonts w:ascii="Times New Roman" w:hAnsi="Times New Roman" w:eastAsia="仿宋_GB2312"/>
          <w:sz w:val="32"/>
          <w:szCs w:val="32"/>
        </w:rPr>
        <w:t>在</w:t>
      </w:r>
      <w:r>
        <w:rPr>
          <w:rFonts w:hint="eastAsia" w:ascii="Times New Roman" w:hAnsi="Times New Roman" w:eastAsia="仿宋_GB2312"/>
          <w:sz w:val="32"/>
          <w:szCs w:val="32"/>
        </w:rPr>
        <w:t>项目产出方面完成较好</w:t>
      </w:r>
      <w:r>
        <w:rPr>
          <w:rFonts w:ascii="Times New Roman" w:hAnsi="Times New Roman" w:eastAsia="仿宋_GB2312"/>
          <w:sz w:val="32"/>
          <w:szCs w:val="32"/>
        </w:rPr>
        <w:t>，达到了预期的标准与要求。</w:t>
      </w:r>
    </w:p>
    <w:p>
      <w:pPr>
        <w:pStyle w:val="13"/>
        <w:widowControl/>
        <w:spacing w:beforeAutospacing="0" w:afterAutospacing="0" w:line="560" w:lineRule="exact"/>
        <w:ind w:firstLine="640"/>
        <w:rPr>
          <w:rFonts w:ascii="Times New Roman" w:hAnsi="Times New Roman" w:eastAsia="仿宋_GB2312"/>
          <w:sz w:val="32"/>
          <w:szCs w:val="32"/>
        </w:rPr>
      </w:pPr>
      <w:r>
        <w:rPr>
          <w:rFonts w:ascii="Times New Roman" w:hAnsi="Times New Roman" w:eastAsia="仿宋_GB2312"/>
          <w:sz w:val="32"/>
          <w:szCs w:val="32"/>
        </w:rPr>
        <w:t>在项目管理方面，</w:t>
      </w:r>
      <w:r>
        <w:rPr>
          <w:rFonts w:hint="eastAsia" w:ascii="Times New Roman" w:hAnsi="Times New Roman" w:eastAsia="仿宋_GB2312"/>
          <w:sz w:val="32"/>
          <w:szCs w:val="32"/>
        </w:rPr>
        <w:t>阜康市第三中学</w:t>
      </w:r>
      <w:r>
        <w:rPr>
          <w:rFonts w:ascii="Times New Roman" w:hAnsi="Times New Roman" w:eastAsia="仿宋_GB2312"/>
          <w:sz w:val="32"/>
          <w:szCs w:val="32"/>
        </w:rPr>
        <w:t>通过有效的规划、组织与协调，项目得以顺利实施，并在预算与时间上保持了良好的控制。</w:t>
      </w:r>
    </w:p>
    <w:p>
      <w:pPr>
        <w:pStyle w:val="13"/>
        <w:widowControl/>
        <w:spacing w:beforeAutospacing="0" w:afterAutospacing="0" w:line="560" w:lineRule="exact"/>
        <w:ind w:firstLine="640"/>
        <w:rPr>
          <w:rFonts w:ascii="Times New Roman" w:hAnsi="Times New Roman" w:eastAsia="仿宋_GB2312"/>
          <w:sz w:val="32"/>
          <w:szCs w:val="32"/>
        </w:rPr>
      </w:pPr>
      <w:r>
        <w:rPr>
          <w:rFonts w:ascii="Times New Roman" w:hAnsi="Times New Roman" w:eastAsia="仿宋_GB2312"/>
          <w:sz w:val="32"/>
          <w:szCs w:val="32"/>
        </w:rPr>
        <w:t>从项目效益的角度来看，本项目不仅实现了预期的社会效益等方面产生了积极的影响。具体而言改善教学环境，提供良好的学生成长条件等方面的提升，为项目的利益相关者带来了实实在在的利益。</w:t>
      </w:r>
    </w:p>
    <w:p>
      <w:pPr>
        <w:pStyle w:val="13"/>
        <w:widowControl/>
        <w:spacing w:beforeAutospacing="0" w:afterAutospacing="0" w:line="560" w:lineRule="exact"/>
        <w:ind w:firstLine="640"/>
        <w:rPr>
          <w:rFonts w:ascii="Times New Roman" w:hAnsi="Times New Roman"/>
        </w:rPr>
      </w:pPr>
      <w:r>
        <w:rPr>
          <w:rFonts w:ascii="Times New Roman" w:hAnsi="Times New Roman" w:eastAsia="仿宋_GB2312"/>
          <w:sz w:val="32"/>
          <w:szCs w:val="32"/>
        </w:rPr>
        <w:t>综上所述，</w:t>
      </w:r>
      <w:r>
        <w:rPr>
          <w:rFonts w:hint="eastAsia" w:ascii="Times New Roman" w:hAnsi="Times New Roman" w:eastAsia="仿宋_GB2312"/>
          <w:sz w:val="32"/>
          <w:szCs w:val="32"/>
          <w:lang w:eastAsia="zh-CN"/>
        </w:rPr>
        <w:t>昌州财教【2023】90号（保民生）提前下达2024年城乡义务教育补助经费（中央直达资金）家庭经济初中</w:t>
      </w:r>
      <w:r>
        <w:rPr>
          <w:rFonts w:ascii="Times New Roman" w:hAnsi="Times New Roman" w:eastAsia="仿宋_GB2312"/>
          <w:sz w:val="32"/>
          <w:szCs w:val="32"/>
        </w:rPr>
        <w:t>在绩效评价中表现出色，达到了项目的预期目标，并在多个方面取得了显著的成效</w:t>
      </w:r>
      <w:r>
        <w:rPr>
          <w:rFonts w:hint="eastAsia" w:ascii="Times New Roman" w:hAnsi="Times New Roman" w:eastAsia="仿宋_GB2312"/>
          <w:sz w:val="32"/>
          <w:szCs w:val="32"/>
        </w:rPr>
        <w:t>，评价等级为优秀</w:t>
      </w:r>
      <w:r>
        <w:rPr>
          <w:rFonts w:ascii="Times New Roman" w:hAnsi="Times New Roman" w:eastAsia="仿宋_GB2312"/>
          <w:sz w:val="32"/>
          <w:szCs w:val="32"/>
        </w:rPr>
        <w:t>。</w:t>
      </w:r>
    </w:p>
    <w:p>
      <w:pPr>
        <w:pStyle w:val="14"/>
        <w:widowControl/>
        <w:spacing w:before="0" w:after="0" w:line="560" w:lineRule="exact"/>
        <w:ind w:firstLine="643"/>
        <w:jc w:val="both"/>
        <w:rPr>
          <w:rFonts w:ascii="Times New Roman" w:hAnsi="Times New Roman" w:eastAsia="楷体_GB2312" w:cs="Times New Roman"/>
          <w:kern w:val="28"/>
          <w:sz w:val="32"/>
        </w:rPr>
      </w:pPr>
      <w:bookmarkStart w:id="110" w:name="_Toc11863"/>
      <w:r>
        <w:rPr>
          <w:rFonts w:hint="eastAsia" w:ascii="Times New Roman" w:hAnsi="Times New Roman" w:eastAsia="楷体_GB2312" w:cs="Times New Roman"/>
          <w:kern w:val="28"/>
          <w:sz w:val="32"/>
        </w:rPr>
        <w:t>（二）相关评分表</w:t>
      </w:r>
      <w:bookmarkEnd w:id="110"/>
    </w:p>
    <w:p>
      <w:pPr>
        <w:spacing w:line="560" w:lineRule="exact"/>
        <w:ind w:firstLine="708"/>
        <w:rPr>
          <w:rFonts w:ascii="Times New Roman" w:hAnsi="Times New Roman" w:eastAsia="仿宋_GB2312" w:cs="Times New Roman"/>
          <w:color w:val="000000"/>
          <w:spacing w:val="17"/>
          <w:sz w:val="32"/>
          <w:szCs w:val="32"/>
          <w:lang w:val="zh-TW" w:eastAsia="zh-TW"/>
        </w:rPr>
      </w:pPr>
      <w:r>
        <w:rPr>
          <w:rFonts w:hint="eastAsia" w:ascii="Times New Roman" w:hAnsi="Times New Roman" w:eastAsia="仿宋_GB2312" w:cs="Times New Roman"/>
          <w:spacing w:val="17"/>
          <w:sz w:val="32"/>
          <w:szCs w:val="32"/>
        </w:rPr>
        <w:t>此次绩效评价</w:t>
      </w:r>
      <w:r>
        <w:rPr>
          <w:rFonts w:hint="eastAsia" w:ascii="Times New Roman" w:hAnsi="Times New Roman" w:eastAsia="仿宋_GB2312" w:cs="Times New Roman"/>
          <w:spacing w:val="17"/>
          <w:sz w:val="32"/>
          <w:szCs w:val="32"/>
          <w:lang w:val="zh-TW" w:eastAsia="zh-TW"/>
        </w:rPr>
        <w:t>通过组论证的评价指标体系及评分标准，</w:t>
      </w:r>
      <w:r>
        <w:rPr>
          <w:rFonts w:hint="eastAsia" w:ascii="Times New Roman" w:hAnsi="Times New Roman" w:eastAsia="仿宋_GB2312" w:cs="Times New Roman"/>
          <w:spacing w:val="17"/>
          <w:sz w:val="32"/>
          <w:szCs w:val="32"/>
        </w:rPr>
        <w:t>采用的方法</w:t>
      </w:r>
      <w:r>
        <w:rPr>
          <w:rFonts w:hint="eastAsia" w:ascii="Times New Roman" w:hAnsi="Times New Roman" w:eastAsia="仿宋_GB2312" w:cs="Times New Roman"/>
          <w:spacing w:val="17"/>
          <w:sz w:val="32"/>
          <w:szCs w:val="32"/>
          <w:lang w:eastAsia="zh-CN"/>
        </w:rPr>
        <w:t>成本效益法、</w:t>
      </w:r>
      <w:r>
        <w:rPr>
          <w:rFonts w:hint="eastAsia" w:ascii="Times New Roman" w:hAnsi="Times New Roman" w:eastAsia="仿宋_GB2312" w:cs="Times New Roman"/>
          <w:spacing w:val="17"/>
          <w:sz w:val="32"/>
          <w:szCs w:val="32"/>
        </w:rPr>
        <w:t>公众评判法，</w:t>
      </w:r>
      <w:r>
        <w:rPr>
          <w:rFonts w:hint="eastAsia" w:ascii="Times New Roman" w:hAnsi="Times New Roman" w:eastAsia="仿宋_GB2312" w:cs="Times New Roman"/>
          <w:spacing w:val="17"/>
          <w:sz w:val="32"/>
          <w:szCs w:val="32"/>
          <w:lang w:val="zh-TW" w:eastAsia="zh-TW"/>
        </w:rPr>
        <w:t>对</w:t>
      </w:r>
      <w:r>
        <w:rPr>
          <w:rFonts w:hint="eastAsia" w:ascii="Times New Roman" w:hAnsi="Times New Roman" w:eastAsia="仿宋_GB2312" w:cs="Times New Roman"/>
          <w:sz w:val="32"/>
          <w:szCs w:val="32"/>
          <w:lang w:eastAsia="zh-CN"/>
        </w:rPr>
        <w:t>昌州财教【2023】90号（保民生）提前下达2024年城乡义务教育补助经费（中央直达资金）家庭经济初中</w:t>
      </w:r>
      <w:r>
        <w:rPr>
          <w:rFonts w:hint="eastAsia" w:ascii="Times New Roman" w:hAnsi="Times New Roman" w:eastAsia="仿宋_GB2312" w:cs="Times New Roman"/>
          <w:spacing w:val="17"/>
          <w:sz w:val="32"/>
          <w:szCs w:val="32"/>
          <w:lang w:val="zh-TW" w:eastAsia="zh-TW"/>
        </w:rPr>
        <w:t>绩效进行客观</w:t>
      </w:r>
      <w:r>
        <w:rPr>
          <w:rFonts w:hint="eastAsia" w:ascii="Times New Roman" w:hAnsi="Times New Roman" w:eastAsia="仿宋_GB2312" w:cs="Times New Roman"/>
          <w:color w:val="000000"/>
          <w:spacing w:val="17"/>
          <w:sz w:val="32"/>
          <w:szCs w:val="32"/>
          <w:lang w:val="zh-TW" w:eastAsia="zh-TW"/>
        </w:rPr>
        <w:t>评价，最终评分结果：</w:t>
      </w:r>
      <w:r>
        <w:rPr>
          <w:rFonts w:ascii="Times New Roman" w:hAnsi="Times New Roman" w:eastAsia="仿宋_GB2312" w:cs="Times New Roman"/>
          <w:color w:val="000000"/>
          <w:spacing w:val="17"/>
          <w:sz w:val="32"/>
          <w:szCs w:val="32"/>
        </w:rPr>
        <w:t>总</w:t>
      </w:r>
      <w:r>
        <w:rPr>
          <w:rFonts w:ascii="Times New Roman" w:hAnsi="Times New Roman" w:eastAsia="仿宋_GB2312" w:cs="Times New Roman"/>
          <w:spacing w:val="17"/>
          <w:sz w:val="32"/>
          <w:szCs w:val="32"/>
        </w:rPr>
        <w:t>得</w:t>
      </w:r>
      <w:r>
        <w:rPr>
          <w:rFonts w:ascii="Times New Roman" w:hAnsi="Times New Roman" w:eastAsia="仿宋_GB2312" w:cs="Times New Roman"/>
          <w:spacing w:val="17"/>
          <w:sz w:val="32"/>
          <w:szCs w:val="32"/>
          <w:highlight w:val="none"/>
        </w:rPr>
        <w:t>分为</w:t>
      </w:r>
      <w:r>
        <w:rPr>
          <w:rFonts w:hint="eastAsia" w:ascii="Times New Roman" w:hAnsi="Times New Roman" w:eastAsia="仿宋_GB2312" w:cs="Times New Roman"/>
          <w:spacing w:val="17"/>
          <w:sz w:val="32"/>
          <w:szCs w:val="32"/>
          <w:highlight w:val="none"/>
          <w:lang w:val="en-US" w:eastAsia="zh-CN"/>
        </w:rPr>
        <w:t>95.05</w:t>
      </w:r>
      <w:r>
        <w:rPr>
          <w:rFonts w:ascii="Times New Roman" w:hAnsi="Times New Roman" w:eastAsia="仿宋_GB2312" w:cs="Times New Roman"/>
          <w:spacing w:val="17"/>
          <w:sz w:val="32"/>
          <w:szCs w:val="32"/>
          <w:highlight w:val="none"/>
        </w:rPr>
        <w:t>分，属于“优”。其中，项目决策类指标权重为20分，得分为</w:t>
      </w:r>
      <w:r>
        <w:rPr>
          <w:rFonts w:hint="eastAsia" w:ascii="Times New Roman" w:hAnsi="Times New Roman" w:eastAsia="仿宋_GB2312" w:cs="Times New Roman"/>
          <w:spacing w:val="17"/>
          <w:sz w:val="32"/>
          <w:szCs w:val="32"/>
          <w:highlight w:val="none"/>
        </w:rPr>
        <w:t>19</w:t>
      </w:r>
      <w:r>
        <w:rPr>
          <w:rFonts w:hint="eastAsia" w:ascii="Times New Roman" w:hAnsi="Times New Roman" w:eastAsia="仿宋_GB2312" w:cs="Times New Roman"/>
          <w:spacing w:val="17"/>
          <w:sz w:val="32"/>
          <w:szCs w:val="32"/>
          <w:highlight w:val="none"/>
          <w:lang w:val="en-US" w:eastAsia="zh-CN"/>
        </w:rPr>
        <w:t>.2</w:t>
      </w:r>
      <w:r>
        <w:rPr>
          <w:rFonts w:ascii="Times New Roman" w:hAnsi="Times New Roman" w:eastAsia="仿宋_GB2312" w:cs="Times New Roman"/>
          <w:spacing w:val="17"/>
          <w:sz w:val="32"/>
          <w:szCs w:val="32"/>
          <w:highlight w:val="none"/>
        </w:rPr>
        <w:t>分，得分率为</w:t>
      </w:r>
      <w:r>
        <w:rPr>
          <w:rFonts w:hint="eastAsia" w:ascii="Times New Roman" w:hAnsi="Times New Roman" w:eastAsia="仿宋_GB2312" w:cs="Times New Roman"/>
          <w:spacing w:val="17"/>
          <w:sz w:val="32"/>
          <w:szCs w:val="32"/>
          <w:highlight w:val="none"/>
        </w:rPr>
        <w:t>9</w:t>
      </w:r>
      <w:r>
        <w:rPr>
          <w:rFonts w:hint="eastAsia" w:ascii="Times New Roman" w:hAnsi="Times New Roman" w:eastAsia="仿宋_GB2312" w:cs="Times New Roman"/>
          <w:spacing w:val="17"/>
          <w:sz w:val="32"/>
          <w:szCs w:val="32"/>
          <w:highlight w:val="none"/>
          <w:lang w:val="en-US" w:eastAsia="zh-CN"/>
        </w:rPr>
        <w:t>6</w:t>
      </w:r>
      <w:r>
        <w:rPr>
          <w:rFonts w:ascii="Times New Roman" w:hAnsi="Times New Roman" w:eastAsia="仿宋_GB2312" w:cs="Times New Roman"/>
          <w:spacing w:val="17"/>
          <w:sz w:val="32"/>
          <w:szCs w:val="32"/>
          <w:highlight w:val="none"/>
        </w:rPr>
        <w:t>%。项目过程类指标权重为20分，得分为</w:t>
      </w:r>
      <w:r>
        <w:rPr>
          <w:rFonts w:hint="eastAsia" w:ascii="Times New Roman" w:hAnsi="Times New Roman" w:eastAsia="仿宋_GB2312" w:cs="Times New Roman"/>
          <w:spacing w:val="17"/>
          <w:sz w:val="32"/>
          <w:szCs w:val="32"/>
          <w:highlight w:val="none"/>
        </w:rPr>
        <w:t>20</w:t>
      </w:r>
      <w:r>
        <w:rPr>
          <w:rFonts w:ascii="Times New Roman" w:hAnsi="Times New Roman" w:eastAsia="仿宋_GB2312" w:cs="Times New Roman"/>
          <w:spacing w:val="17"/>
          <w:sz w:val="32"/>
          <w:szCs w:val="32"/>
          <w:highlight w:val="none"/>
        </w:rPr>
        <w:t>分，得分率为</w:t>
      </w:r>
      <w:r>
        <w:rPr>
          <w:rFonts w:hint="eastAsia" w:ascii="Times New Roman" w:hAnsi="Times New Roman" w:eastAsia="仿宋_GB2312" w:cs="Times New Roman"/>
          <w:spacing w:val="17"/>
          <w:sz w:val="32"/>
          <w:szCs w:val="32"/>
          <w:highlight w:val="none"/>
        </w:rPr>
        <w:t>100</w:t>
      </w:r>
      <w:r>
        <w:rPr>
          <w:rFonts w:ascii="Times New Roman" w:hAnsi="Times New Roman" w:eastAsia="仿宋_GB2312" w:cs="Times New Roman"/>
          <w:spacing w:val="17"/>
          <w:sz w:val="32"/>
          <w:szCs w:val="32"/>
          <w:highlight w:val="none"/>
        </w:rPr>
        <w:t>%。项目产出类指标权重为40分，得分为</w:t>
      </w:r>
      <w:r>
        <w:rPr>
          <w:rFonts w:hint="eastAsia" w:ascii="Times New Roman" w:hAnsi="Times New Roman" w:eastAsia="仿宋_GB2312" w:cs="Times New Roman"/>
          <w:spacing w:val="17"/>
          <w:sz w:val="32"/>
          <w:szCs w:val="32"/>
          <w:highlight w:val="none"/>
          <w:lang w:val="en-US" w:eastAsia="zh-CN"/>
        </w:rPr>
        <w:t>36.53</w:t>
      </w:r>
      <w:r>
        <w:rPr>
          <w:rFonts w:ascii="Times New Roman" w:hAnsi="Times New Roman" w:eastAsia="仿宋_GB2312" w:cs="Times New Roman"/>
          <w:spacing w:val="17"/>
          <w:sz w:val="32"/>
          <w:szCs w:val="32"/>
          <w:highlight w:val="none"/>
        </w:rPr>
        <w:t>分，得分率为</w:t>
      </w:r>
      <w:r>
        <w:rPr>
          <w:rFonts w:hint="eastAsia" w:ascii="Times New Roman" w:hAnsi="Times New Roman" w:eastAsia="仿宋_GB2312" w:cs="Times New Roman"/>
          <w:spacing w:val="17"/>
          <w:sz w:val="32"/>
          <w:szCs w:val="32"/>
          <w:highlight w:val="none"/>
          <w:lang w:val="en-US" w:eastAsia="zh-CN"/>
        </w:rPr>
        <w:t>91.33</w:t>
      </w:r>
      <w:r>
        <w:rPr>
          <w:rFonts w:ascii="Times New Roman" w:hAnsi="Times New Roman" w:eastAsia="仿宋_GB2312" w:cs="Times New Roman"/>
          <w:spacing w:val="17"/>
          <w:sz w:val="32"/>
          <w:szCs w:val="32"/>
          <w:highlight w:val="none"/>
        </w:rPr>
        <w:t>%。项目效益类指标权重为20分，得分为</w:t>
      </w:r>
      <w:r>
        <w:rPr>
          <w:rFonts w:hint="eastAsia" w:ascii="Times New Roman" w:hAnsi="Times New Roman" w:eastAsia="仿宋_GB2312" w:cs="Times New Roman"/>
          <w:spacing w:val="17"/>
          <w:sz w:val="32"/>
          <w:szCs w:val="32"/>
          <w:highlight w:val="none"/>
        </w:rPr>
        <w:t>20</w:t>
      </w:r>
      <w:r>
        <w:rPr>
          <w:rFonts w:ascii="Times New Roman" w:hAnsi="Times New Roman" w:eastAsia="仿宋_GB2312" w:cs="Times New Roman"/>
          <w:spacing w:val="17"/>
          <w:sz w:val="32"/>
          <w:szCs w:val="32"/>
          <w:highlight w:val="none"/>
        </w:rPr>
        <w:t>分，得分率为</w:t>
      </w:r>
      <w:r>
        <w:rPr>
          <w:rFonts w:hint="eastAsia" w:ascii="Times New Roman" w:hAnsi="Times New Roman" w:eastAsia="仿宋_GB2312" w:cs="Times New Roman"/>
          <w:spacing w:val="17"/>
          <w:sz w:val="32"/>
          <w:szCs w:val="32"/>
          <w:highlight w:val="none"/>
        </w:rPr>
        <w:t>100</w:t>
      </w:r>
      <w:r>
        <w:rPr>
          <w:rFonts w:ascii="Times New Roman" w:hAnsi="Times New Roman" w:eastAsia="仿宋_GB2312" w:cs="Times New Roman"/>
          <w:spacing w:val="17"/>
          <w:sz w:val="32"/>
          <w:szCs w:val="32"/>
          <w:highlight w:val="none"/>
        </w:rPr>
        <w:t>%。</w:t>
      </w:r>
      <w:r>
        <w:rPr>
          <w:rFonts w:hint="eastAsia" w:ascii="Times New Roman" w:hAnsi="Times New Roman" w:eastAsia="仿宋_GB2312" w:cs="Times New Roman"/>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rPr>
        <w:t>汇总</w:t>
      </w:r>
      <w:r>
        <w:rPr>
          <w:rFonts w:hint="eastAsia" w:ascii="Times New Roman" w:hAnsi="Times New Roman" w:eastAsia="仿宋_GB2312" w:cs="Times New Roman"/>
          <w:color w:val="000000"/>
          <w:spacing w:val="17"/>
          <w:sz w:val="32"/>
          <w:szCs w:val="32"/>
          <w:lang w:val="zh-TW" w:eastAsia="zh-TW"/>
        </w:rPr>
        <w:t>分值如下表</w:t>
      </w:r>
      <w:r>
        <w:rPr>
          <w:rFonts w:hint="eastAsia" w:ascii="Times New Roman" w:hAnsi="Times New Roman" w:eastAsia="仿宋_GB2312" w:cs="Times New Roman"/>
          <w:color w:val="000000"/>
          <w:spacing w:val="17"/>
          <w:sz w:val="32"/>
          <w:szCs w:val="32"/>
        </w:rPr>
        <w:t>3-1</w:t>
      </w:r>
      <w:r>
        <w:rPr>
          <w:rFonts w:hint="eastAsia" w:ascii="Times New Roman" w:hAnsi="Times New Roman" w:eastAsia="仿宋_GB2312" w:cs="Times New Roman"/>
          <w:color w:val="000000"/>
          <w:spacing w:val="17"/>
          <w:sz w:val="32"/>
          <w:szCs w:val="32"/>
          <w:lang w:val="zh-TW" w:eastAsia="zh-TW"/>
        </w:rPr>
        <w:t>所示</w:t>
      </w:r>
      <w:r>
        <w:rPr>
          <w:rFonts w:hint="eastAsia" w:ascii="Times New Roman" w:hAnsi="Times New Roman" w:eastAsia="仿宋_GB2312" w:cs="Times New Roman"/>
          <w:color w:val="000000"/>
          <w:spacing w:val="17"/>
          <w:sz w:val="32"/>
          <w:szCs w:val="32"/>
          <w:lang w:val="zh-TW"/>
        </w:rPr>
        <w:t>（</w:t>
      </w:r>
      <w:r>
        <w:rPr>
          <w:rFonts w:hint="eastAsia" w:ascii="Times New Roman" w:hAnsi="Times New Roman" w:eastAsia="仿宋_GB2312" w:cs="Times New Roman"/>
          <w:color w:val="000000"/>
          <w:spacing w:val="17"/>
          <w:sz w:val="32"/>
          <w:szCs w:val="32"/>
        </w:rPr>
        <w:t>详见上传的附件</w:t>
      </w:r>
      <w:r>
        <w:rPr>
          <w:rFonts w:hint="eastAsia" w:ascii="Times New Roman" w:hAnsi="Times New Roman" w:eastAsia="仿宋_GB2312" w:cs="Times New Roman"/>
          <w:color w:val="000000"/>
          <w:spacing w:val="17"/>
          <w:sz w:val="32"/>
          <w:szCs w:val="32"/>
          <w:lang w:val="zh-TW"/>
        </w:rPr>
        <w:t>）</w:t>
      </w:r>
      <w:r>
        <w:rPr>
          <w:rFonts w:hint="eastAsia" w:ascii="Times New Roman" w:hAnsi="Times New Roman" w:eastAsia="仿宋_GB2312" w:cs="Times New Roman"/>
          <w:color w:val="000000"/>
          <w:spacing w:val="17"/>
          <w:sz w:val="32"/>
          <w:szCs w:val="32"/>
          <w:lang w:val="zh-TW" w:eastAsia="zh-TW"/>
        </w:rPr>
        <w:t>：</w:t>
      </w:r>
    </w:p>
    <w:tbl>
      <w:tblPr>
        <w:tblStyle w:val="16"/>
        <w:tblW w:w="8289" w:type="dxa"/>
        <w:jc w:val="center"/>
        <w:tblInd w:w="0" w:type="dxa"/>
        <w:tblLayout w:type="fixed"/>
        <w:tblCellMar>
          <w:top w:w="0" w:type="dxa"/>
          <w:left w:w="0" w:type="dxa"/>
          <w:bottom w:w="0" w:type="dxa"/>
          <w:right w:w="0" w:type="dxa"/>
        </w:tblCellMar>
      </w:tblPr>
      <w:tblGrid>
        <w:gridCol w:w="1094"/>
        <w:gridCol w:w="1361"/>
        <w:gridCol w:w="1361"/>
        <w:gridCol w:w="1361"/>
        <w:gridCol w:w="1623"/>
        <w:gridCol w:w="1489"/>
      </w:tblGrid>
      <w:tr>
        <w:tblPrEx>
          <w:tblLayout w:type="fixed"/>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4"/>
                <w:szCs w:val="24"/>
              </w:rPr>
            </w:pPr>
            <w:r>
              <w:rPr>
                <w:rFonts w:hint="eastAsia"/>
                <w:b/>
                <w:bCs/>
                <w:kern w:val="0"/>
              </w:rPr>
              <w:t>表3-1：</w:t>
            </w:r>
            <w:r>
              <w:rPr>
                <w:rFonts w:hint="eastAsia" w:ascii="Times New Roman" w:hAnsi="Times New Roman" w:eastAsia="仿宋_GB2312" w:cs="Times New Roman"/>
                <w:sz w:val="32"/>
                <w:szCs w:val="32"/>
                <w:lang w:eastAsia="zh-CN"/>
              </w:rPr>
              <w:t>昌州财教【2023】90号（保民生）提前下达2024年城乡义务教育补助经费（中央直达资金）家庭经济初中</w:t>
            </w:r>
            <w:r>
              <w:rPr>
                <w:rFonts w:hint="eastAsia"/>
                <w:b/>
                <w:bCs/>
                <w:kern w:val="0"/>
              </w:rPr>
              <w:t>得分表</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合计</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100</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default" w:eastAsia="宋体"/>
                <w:kern w:val="0"/>
                <w:sz w:val="21"/>
                <w:szCs w:val="21"/>
                <w:lang w:val="en-US" w:eastAsia="zh-CN"/>
              </w:rPr>
            </w:pPr>
            <w:r>
              <w:rPr>
                <w:rFonts w:hint="eastAsia"/>
                <w:kern w:val="0"/>
                <w:sz w:val="21"/>
                <w:szCs w:val="21"/>
              </w:rPr>
              <w:t>19</w:t>
            </w:r>
            <w:r>
              <w:rPr>
                <w:rFonts w:hint="eastAsia"/>
                <w:kern w:val="0"/>
                <w:sz w:val="21"/>
                <w:szCs w:val="21"/>
                <w:lang w:val="en-US" w:eastAsia="zh-CN"/>
              </w:rPr>
              <w:t>.2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default" w:eastAsia="宋体"/>
                <w:kern w:val="0"/>
                <w:sz w:val="21"/>
                <w:szCs w:val="21"/>
                <w:highlight w:val="none"/>
                <w:lang w:val="en-US" w:eastAsia="zh-CN"/>
              </w:rPr>
            </w:pPr>
            <w:r>
              <w:rPr>
                <w:rFonts w:hint="eastAsia"/>
                <w:kern w:val="0"/>
                <w:sz w:val="21"/>
                <w:szCs w:val="21"/>
                <w:highlight w:val="none"/>
                <w:lang w:val="en-US" w:eastAsia="zh-CN"/>
              </w:rPr>
              <w:t>36.53</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default" w:eastAsia="宋体"/>
                <w:kern w:val="0"/>
                <w:sz w:val="21"/>
                <w:szCs w:val="21"/>
                <w:highlight w:val="none"/>
                <w:lang w:val="en-US" w:eastAsia="zh-CN"/>
              </w:rPr>
            </w:pPr>
            <w:r>
              <w:rPr>
                <w:rFonts w:hint="eastAsia"/>
                <w:kern w:val="0"/>
                <w:sz w:val="21"/>
                <w:szCs w:val="21"/>
                <w:highlight w:val="none"/>
                <w:lang w:val="en-US" w:eastAsia="zh-CN"/>
              </w:rPr>
              <w:t>95.73</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9</w:t>
            </w:r>
            <w:r>
              <w:rPr>
                <w:rFonts w:hint="eastAsia"/>
                <w:kern w:val="0"/>
                <w:sz w:val="21"/>
                <w:szCs w:val="21"/>
                <w:lang w:val="en-US" w:eastAsia="zh-CN"/>
              </w:rPr>
              <w:t>6</w:t>
            </w:r>
            <w:r>
              <w:rPr>
                <w:rFonts w:hint="eastAsia"/>
                <w:kern w:val="0"/>
                <w:sz w:val="21"/>
                <w:szCs w:val="21"/>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rPr>
            </w:pPr>
            <w:r>
              <w:rPr>
                <w:rFonts w:hint="eastAsia"/>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lang w:val="en-US" w:eastAsia="zh-CN"/>
              </w:rPr>
              <w:t>91.33</w:t>
            </w:r>
            <w:r>
              <w:rPr>
                <w:rFonts w:hint="eastAsia"/>
                <w:kern w:val="0"/>
                <w:sz w:val="21"/>
                <w:szCs w:val="21"/>
                <w:highlight w:val="none"/>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lang w:val="en-US" w:eastAsia="zh-CN"/>
              </w:rPr>
              <w:t>95.73</w:t>
            </w:r>
            <w:r>
              <w:rPr>
                <w:rFonts w:hint="eastAsia"/>
                <w:kern w:val="0"/>
                <w:sz w:val="21"/>
                <w:szCs w:val="21"/>
                <w:highlight w:val="none"/>
              </w:rPr>
              <w:t>%</w:t>
            </w:r>
          </w:p>
        </w:tc>
      </w:tr>
    </w:tbl>
    <w:p>
      <w:pPr>
        <w:pStyle w:val="2"/>
        <w:ind w:firstLine="640"/>
        <w:rPr>
          <w:rFonts w:hint="eastAsia" w:ascii="黑体" w:hAnsi="黑体" w:cs="黑体"/>
          <w:color w:val="000000" w:themeColor="text1"/>
          <w14:textFill>
            <w14:solidFill>
              <w14:schemeClr w14:val="tx1"/>
            </w14:solidFill>
          </w14:textFill>
        </w:rPr>
      </w:pPr>
      <w:bookmarkStart w:id="111" w:name="_Toc14941"/>
      <w:r>
        <w:rPr>
          <w:rFonts w:hint="eastAsia" w:ascii="黑体" w:hAnsi="黑体" w:cs="黑体"/>
          <w:color w:val="000000" w:themeColor="text1"/>
          <w14:textFill>
            <w14:solidFill>
              <w14:schemeClr w14:val="tx1"/>
            </w14:solidFill>
          </w14:textFill>
        </w:rPr>
        <w:t>四、绩效评价指标分析</w:t>
      </w:r>
      <w:bookmarkEnd w:id="111"/>
    </w:p>
    <w:p>
      <w:pPr>
        <w:pStyle w:val="14"/>
        <w:widowControl/>
        <w:spacing w:before="0" w:after="0" w:line="560" w:lineRule="exact"/>
        <w:ind w:firstLine="643"/>
        <w:jc w:val="both"/>
        <w:rPr>
          <w:rFonts w:ascii="Times New Roman" w:hAnsi="Times New Roman" w:eastAsia="楷体_GB2312" w:cs="Times New Roman"/>
          <w:kern w:val="28"/>
          <w:sz w:val="32"/>
        </w:rPr>
      </w:pPr>
      <w:bookmarkStart w:id="112" w:name="_Toc6759"/>
      <w:r>
        <w:rPr>
          <w:rFonts w:hint="eastAsia" w:ascii="Times New Roman" w:hAnsi="Times New Roman" w:eastAsia="楷体_GB2312" w:cs="Times New Roman"/>
          <w:kern w:val="28"/>
          <w:sz w:val="32"/>
        </w:rPr>
        <w:t>（一）项目决策情况</w:t>
      </w:r>
      <w:bookmarkEnd w:id="112"/>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项目决策由3个二级指标和6个三级指标构成，权重分20分，实际得分19</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b/>
          <w:bCs/>
          <w:sz w:val="32"/>
          <w:szCs w:val="32"/>
          <w:u w:color="000000"/>
        </w:rPr>
        <w:t>4-1</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lang w:val="zh-TW"/>
        </w:rPr>
        <w:t>（</w:t>
      </w:r>
      <w:r>
        <w:rPr>
          <w:rFonts w:hint="eastAsia" w:ascii="仿宋_GB2312" w:hAnsi="仿宋_GB2312" w:eastAsia="仿宋_GB2312" w:cs="仿宋_GB2312"/>
          <w:b/>
          <w:bCs/>
          <w:sz w:val="32"/>
          <w:szCs w:val="32"/>
        </w:rPr>
        <w:t>详见上传的附件二</w:t>
      </w:r>
      <w:r>
        <w:rPr>
          <w:rFonts w:hint="eastAsia" w:ascii="仿宋_GB2312" w:hAnsi="仿宋_GB2312" w:eastAsia="仿宋_GB2312" w:cs="仿宋_GB2312"/>
          <w:b/>
          <w:bCs/>
          <w:sz w:val="32"/>
          <w:szCs w:val="32"/>
          <w:lang w:val="zh-TW"/>
        </w:rPr>
        <w:t>）</w:t>
      </w:r>
      <w:r>
        <w:rPr>
          <w:rFonts w:hint="eastAsia" w:ascii="仿宋_GB2312" w:hAnsi="仿宋_GB2312" w:eastAsia="仿宋_GB2312" w:cs="仿宋_GB2312"/>
          <w:sz w:val="32"/>
          <w:szCs w:val="32"/>
        </w:rPr>
        <w:t>：</w:t>
      </w:r>
    </w:p>
    <w:p>
      <w:pPr>
        <w:widowControl/>
        <w:snapToGrid w:val="0"/>
        <w:spacing w:line="560" w:lineRule="exact"/>
        <w:ind w:firstLine="0" w:firstLineChars="0"/>
        <w:jc w:val="center"/>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14:textFill>
            <w14:solidFill>
              <w14:schemeClr w14:val="tx1"/>
            </w14:solidFill>
          </w14:textFill>
        </w:rPr>
        <w:t>4-1</w:t>
      </w:r>
      <w:r>
        <w:rPr>
          <w:rFonts w:hint="eastAsia" w:ascii="仿宋_GB2312" w:hAnsi="仿宋_GB2312" w:eastAsia="仿宋_GB2312" w:cs="仿宋_GB2312"/>
          <w:b/>
          <w:bCs/>
          <w:color w:val="000000" w:themeColor="text1"/>
          <w:kern w:val="0"/>
          <w:sz w:val="32"/>
          <w:szCs w:val="32"/>
          <w:lang w:val="zh-TW" w:eastAsia="zh-TW"/>
          <w14:textFill>
            <w14:solidFill>
              <w14:schemeClr w14:val="tx1"/>
            </w14:solidFill>
          </w14:textFill>
        </w:rPr>
        <w:t>项目决策指标及分值</w:t>
      </w:r>
    </w:p>
    <w:tbl>
      <w:tblPr>
        <w:tblStyle w:val="16"/>
        <w:tblW w:w="8447" w:type="dxa"/>
        <w:jc w:val="center"/>
        <w:tblInd w:w="0" w:type="dxa"/>
        <w:tblLayout w:type="fixed"/>
        <w:tblCellMar>
          <w:top w:w="0" w:type="dxa"/>
          <w:left w:w="0" w:type="dxa"/>
          <w:bottom w:w="0" w:type="dxa"/>
          <w:right w:w="0" w:type="dxa"/>
        </w:tblCellMar>
      </w:tblPr>
      <w:tblGrid>
        <w:gridCol w:w="1077"/>
        <w:gridCol w:w="960"/>
        <w:gridCol w:w="1248"/>
        <w:gridCol w:w="797"/>
        <w:gridCol w:w="1871"/>
        <w:gridCol w:w="1417"/>
        <w:gridCol w:w="1077"/>
      </w:tblGrid>
      <w:tr>
        <w:tblPrEx>
          <w:tblLayout w:type="fixed"/>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shd w:val="clear"/>
                <w14:textFill>
                  <w14:solidFill>
                    <w14:schemeClr w14:val="tx1"/>
                  </w14:solidFill>
                </w14:textFill>
              </w:rPr>
              <w:t>得分</w:t>
            </w:r>
          </w:p>
        </w:tc>
      </w:tr>
      <w:tr>
        <w:tblPrEx>
          <w:tblLayout w:type="fixed"/>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项目立项</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r>
      <w:tr>
        <w:tblPrEx>
          <w:tblLayout w:type="fixed"/>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default" w:eastAsia="宋体"/>
                <w:kern w:val="0"/>
                <w:sz w:val="20"/>
                <w:szCs w:val="20"/>
                <w:lang w:val="en-US" w:eastAsia="zh-CN"/>
              </w:rPr>
            </w:pPr>
            <w:r>
              <w:rPr>
                <w:rFonts w:hint="eastAsia"/>
                <w:kern w:val="0"/>
                <w:sz w:val="20"/>
                <w:szCs w:val="20"/>
              </w:rPr>
              <w:t>2</w:t>
            </w:r>
            <w:r>
              <w:rPr>
                <w:rFonts w:hint="eastAsia"/>
                <w:kern w:val="0"/>
                <w:sz w:val="20"/>
                <w:szCs w:val="20"/>
                <w:lang w:val="en-US" w:eastAsia="zh-CN"/>
              </w:rPr>
              <w:t>.2</w:t>
            </w:r>
          </w:p>
        </w:tc>
      </w:tr>
      <w:tr>
        <w:tblPrEx>
          <w:tblLayout w:type="fixed"/>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r>
      <w:tr>
        <w:tblPrEx>
          <w:tblLayout w:type="fixed"/>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r>
      <w:tr>
        <w:tblPrEx>
          <w:tblLayout w:type="fixed"/>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资金投入</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r>
      <w:tr>
        <w:tblPrEx>
          <w:tblLayout w:type="fixed"/>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r>
      <w:tr>
        <w:tblPrEx>
          <w:tblLayout w:type="fixed"/>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default" w:eastAsia="宋体"/>
                <w:kern w:val="0"/>
                <w:sz w:val="20"/>
                <w:szCs w:val="20"/>
                <w:lang w:val="en-US" w:eastAsia="zh-CN"/>
              </w:rPr>
            </w:pPr>
            <w:r>
              <w:rPr>
                <w:rFonts w:hint="eastAsia"/>
                <w:kern w:val="0"/>
                <w:sz w:val="20"/>
                <w:szCs w:val="20"/>
              </w:rPr>
              <w:t>19</w:t>
            </w:r>
            <w:r>
              <w:rPr>
                <w:rFonts w:hint="eastAsia"/>
                <w:kern w:val="0"/>
                <w:sz w:val="20"/>
                <w:szCs w:val="20"/>
                <w:lang w:val="en-US" w:eastAsia="zh-CN"/>
              </w:rPr>
              <w:t>.2</w:t>
            </w:r>
          </w:p>
        </w:tc>
      </w:tr>
    </w:tbl>
    <w:p>
      <w:pPr>
        <w:spacing w:line="560" w:lineRule="exact"/>
        <w:ind w:firstLine="643"/>
        <w:outlineLvl w:val="2"/>
        <w:rPr>
          <w:rFonts w:hint="eastAsia" w:ascii="仿宋_GB2312" w:hAnsi="仿宋_GB2312" w:eastAsia="仿宋_GB2312" w:cs="仿宋_GB2312"/>
          <w:b/>
          <w:bCs/>
          <w:sz w:val="32"/>
          <w:szCs w:val="32"/>
        </w:rPr>
      </w:pPr>
      <w:bookmarkStart w:id="113" w:name="_Toc13522"/>
      <w:bookmarkStart w:id="114" w:name="_Toc28069"/>
      <w:r>
        <w:rPr>
          <w:rFonts w:hint="eastAsia" w:ascii="仿宋_GB2312" w:hAnsi="仿宋_GB2312" w:eastAsia="仿宋_GB2312" w:cs="仿宋_GB2312"/>
          <w:b/>
          <w:bCs/>
          <w:sz w:val="32"/>
          <w:szCs w:val="32"/>
        </w:rPr>
        <w:t>1.立项依据充分性</w:t>
      </w:r>
      <w:bookmarkEnd w:id="113"/>
      <w:bookmarkEnd w:id="114"/>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①项目立项符合财教【2023】64号关于下达家庭经济困难补助经费预算的通知；</w:t>
      </w:r>
    </w:p>
    <w:p>
      <w:pPr>
        <w:spacing w:line="560" w:lineRule="exact"/>
        <w:ind w:firstLine="640"/>
        <w:rPr>
          <w:rFonts w:hint="eastAsia"/>
        </w:rPr>
      </w:pPr>
      <w:r>
        <w:rPr>
          <w:rFonts w:hint="eastAsia" w:ascii="仿宋_GB2312" w:hAnsi="仿宋_GB2312" w:eastAsia="仿宋_GB2312" w:cs="仿宋_GB2312"/>
          <w:sz w:val="32"/>
          <w:szCs w:val="32"/>
        </w:rPr>
        <w:t>②项目立项符合项目立项符合《阜康市教育扶贫惠民政策宣传手册》相关政策要求；</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③项目立项与宣传贯彻党和国家的教育方针、教育政策、教育法律法规、贯彻执行上级教育行政部门的各项规章制度的部门职责范围相符，属于部门履职所需；</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④项目属于公共财政支持范围，符合中央、地方事权支出责任划分原则；</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⑤项目与相关部门同类项目、部门内部相关项目不重复。</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综上，该项指标满分2分，得分2分。</w:t>
      </w:r>
    </w:p>
    <w:p>
      <w:pPr>
        <w:spacing w:line="560" w:lineRule="exact"/>
        <w:ind w:firstLine="643"/>
        <w:outlineLvl w:val="2"/>
        <w:rPr>
          <w:rFonts w:hint="eastAsia" w:ascii="仿宋_GB2312" w:hAnsi="仿宋_GB2312" w:eastAsia="仿宋_GB2312" w:cs="仿宋_GB2312"/>
          <w:b/>
          <w:bCs/>
          <w:sz w:val="32"/>
          <w:szCs w:val="32"/>
        </w:rPr>
      </w:pPr>
      <w:bookmarkStart w:id="115" w:name="_Toc21976"/>
      <w:bookmarkStart w:id="116" w:name="_Toc23240"/>
      <w:r>
        <w:rPr>
          <w:rFonts w:hint="eastAsia" w:ascii="仿宋_GB2312" w:hAnsi="仿宋_GB2312" w:eastAsia="仿宋_GB2312" w:cs="仿宋_GB2312"/>
          <w:b/>
          <w:bCs/>
          <w:sz w:val="32"/>
          <w:szCs w:val="32"/>
        </w:rPr>
        <w:t>2.立项程序规范性</w:t>
      </w:r>
      <w:bookmarkEnd w:id="115"/>
      <w:bookmarkEnd w:id="116"/>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①项目按照规定的程序申请设立；</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②审批文件、材料符合相关要求；</w:t>
      </w:r>
    </w:p>
    <w:p>
      <w:pPr>
        <w:spacing w:line="560" w:lineRule="exact"/>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③事前经过必要的集体决策。未经过可行性研究、专家论证、风险评估、绩效评估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扣0.8分。</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综上，该项指标满分3分，得分2</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分。</w:t>
      </w:r>
    </w:p>
    <w:p>
      <w:pPr>
        <w:spacing w:line="560" w:lineRule="exact"/>
        <w:ind w:firstLine="643"/>
        <w:outlineLvl w:val="2"/>
        <w:rPr>
          <w:rFonts w:hint="eastAsia" w:ascii="仿宋_GB2312" w:hAnsi="仿宋_GB2312" w:eastAsia="仿宋_GB2312" w:cs="仿宋_GB2312"/>
          <w:b/>
          <w:bCs/>
          <w:sz w:val="32"/>
          <w:szCs w:val="32"/>
        </w:rPr>
      </w:pPr>
      <w:bookmarkStart w:id="117" w:name="_Toc23542"/>
      <w:bookmarkStart w:id="118" w:name="_Toc15382"/>
      <w:r>
        <w:rPr>
          <w:rFonts w:hint="eastAsia" w:ascii="仿宋_GB2312" w:hAnsi="仿宋_GB2312" w:eastAsia="仿宋_GB2312" w:cs="仿宋_GB2312"/>
          <w:b/>
          <w:bCs/>
          <w:sz w:val="32"/>
          <w:szCs w:val="32"/>
        </w:rPr>
        <w:t>3.绩效目标合理性</w:t>
      </w:r>
      <w:bookmarkEnd w:id="117"/>
      <w:bookmarkEnd w:id="118"/>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①该项目已设置年度绩效目标。</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该项目实际工作内容为：保障学校正常运转，完成教学活动及其他日常业务的正常运转。2024年学校在校学生人数890人，计划完成118人寄宿生750元/生/学年、221名非寄宿生375元/生/学年的标准发放困难学生补助，学生满意度达到95%。通过项目实施，将有效改善教学环境，提供良好的学生成长条件，保障学校正常运转。绩效目标与实际工作内容一致，两者具有相关性。</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③该项目按照绩效目标完成数量指标、质量指标、时效指标、成本指标，项目的完成达到改善教学环境，提供良好的学生成长条件的效益，预期产出效益和效果是否符合正常的业绩水平。</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④《项目支出绩效目标表》中预算金额为</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万元，预算确定的项目资金与预算确定的项目投资额相匹配。</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综上，该项指标满分5分，得分5分。</w:t>
      </w:r>
    </w:p>
    <w:p>
      <w:pPr>
        <w:spacing w:line="560" w:lineRule="exact"/>
        <w:ind w:firstLine="643"/>
        <w:outlineLvl w:val="2"/>
        <w:rPr>
          <w:rFonts w:hint="eastAsia" w:ascii="仿宋_GB2312" w:hAnsi="仿宋_GB2312" w:eastAsia="仿宋_GB2312" w:cs="仿宋_GB2312"/>
          <w:b/>
          <w:bCs/>
          <w:sz w:val="32"/>
          <w:szCs w:val="32"/>
        </w:rPr>
      </w:pPr>
      <w:bookmarkStart w:id="119" w:name="_Toc18198"/>
      <w:bookmarkStart w:id="120" w:name="_Toc10650"/>
      <w:r>
        <w:rPr>
          <w:rFonts w:hint="eastAsia" w:ascii="仿宋_GB2312" w:hAnsi="仿宋_GB2312" w:eastAsia="仿宋_GB2312" w:cs="仿宋_GB2312"/>
          <w:b/>
          <w:bCs/>
          <w:sz w:val="32"/>
          <w:szCs w:val="32"/>
        </w:rPr>
        <w:t>4.绩效指标明确性</w:t>
      </w:r>
      <w:bookmarkEnd w:id="119"/>
      <w:bookmarkEnd w:id="120"/>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①将项目绩效目标细化分解为具体的绩效指标，其中三级指标共计</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个；</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②通过清晰、可衡量的指标值予以体现，量化率达到</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③《项目绩效目标申报表》中，三级指标的年度指标值与年度绩效目标中任务数一致。</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已设置的绩效目标具备明确性、可衡量性、可实现性、相关性、时限性。</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综上，该项指标满分5分，得分5分。</w:t>
      </w:r>
    </w:p>
    <w:p>
      <w:pPr>
        <w:spacing w:line="560" w:lineRule="exact"/>
        <w:ind w:firstLine="643"/>
        <w:outlineLvl w:val="2"/>
        <w:rPr>
          <w:rFonts w:hint="eastAsia" w:ascii="仿宋_GB2312" w:hAnsi="仿宋_GB2312" w:eastAsia="仿宋_GB2312" w:cs="仿宋_GB2312"/>
          <w:b/>
          <w:bCs/>
          <w:sz w:val="32"/>
          <w:szCs w:val="32"/>
        </w:rPr>
      </w:pPr>
      <w:bookmarkStart w:id="121" w:name="_Toc19401"/>
      <w:bookmarkStart w:id="122" w:name="_Toc8296"/>
      <w:r>
        <w:rPr>
          <w:rFonts w:hint="eastAsia" w:ascii="仿宋_GB2312" w:hAnsi="仿宋_GB2312" w:eastAsia="仿宋_GB2312" w:cs="仿宋_GB2312"/>
          <w:b/>
          <w:bCs/>
          <w:sz w:val="32"/>
          <w:szCs w:val="32"/>
        </w:rPr>
        <w:t>5.预算编制科学性</w:t>
      </w:r>
      <w:bookmarkEnd w:id="121"/>
      <w:bookmarkEnd w:id="122"/>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①根据项目预算批复，项目的预算编制经过科学论证；</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②预算申请内容为有效改善教学环境，提供良好的学生成长条件，保障学校正常运转,项目实际内容为有有效改善教学环境，提供良好的学生成长条件，保障学校正常运转,预算申请与项目内容匹配；</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③项目预算申请资金</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万元，我单位在预算申请中严格按照项目实施内容及测算标准进行核算，其中春季发放金额17.14万元，秋季发放25.01万元。</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④预算确定资金量与实际工作任务相匹配。项目预算额度测算依据充分，严格按照标准编制，项目资金量与项目实施内容相匹配。</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综上，该项指标满分2分，得分2分。</w:t>
      </w:r>
    </w:p>
    <w:p>
      <w:pPr>
        <w:spacing w:line="560" w:lineRule="exact"/>
        <w:ind w:firstLine="643"/>
        <w:outlineLvl w:val="2"/>
        <w:rPr>
          <w:rFonts w:hint="eastAsia" w:ascii="仿宋_GB2312" w:hAnsi="仿宋_GB2312" w:eastAsia="仿宋_GB2312" w:cs="仿宋_GB2312"/>
          <w:b/>
          <w:bCs/>
          <w:sz w:val="32"/>
          <w:szCs w:val="32"/>
        </w:rPr>
      </w:pPr>
      <w:bookmarkStart w:id="123" w:name="_Toc20556"/>
      <w:bookmarkStart w:id="124" w:name="_Toc697"/>
      <w:r>
        <w:rPr>
          <w:rFonts w:hint="eastAsia" w:ascii="仿宋_GB2312" w:hAnsi="仿宋_GB2312" w:eastAsia="仿宋_GB2312" w:cs="仿宋_GB2312"/>
          <w:b/>
          <w:bCs/>
          <w:sz w:val="32"/>
          <w:szCs w:val="32"/>
        </w:rPr>
        <w:t>6.资金分配合理性</w:t>
      </w:r>
      <w:bookmarkEnd w:id="123"/>
      <w:bookmarkEnd w:id="124"/>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①项目实际分配资金以《财政支出预算管理办法》</w:t>
      </w:r>
      <w:r>
        <w:rPr>
          <w:rFonts w:hint="eastAsia" w:ascii="仿宋_GB2312" w:hAnsi="仿宋_GB2312" w:eastAsia="仿宋_GB2312" w:cs="仿宋_GB2312"/>
          <w:sz w:val="32"/>
          <w:szCs w:val="32"/>
          <w:lang w:eastAsia="zh-Hans"/>
        </w:rPr>
        <w:t>《202</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Hans"/>
        </w:rPr>
        <w:t>年公用经费收支预算表》为依据进行资金分配，预算资金分配依据充分</w:t>
      </w:r>
      <w:r>
        <w:rPr>
          <w:rFonts w:hint="eastAsia" w:ascii="仿宋_GB2312" w:hAnsi="仿宋_GB2312" w:eastAsia="仿宋_GB2312" w:cs="仿宋_GB2312"/>
          <w:sz w:val="32"/>
          <w:szCs w:val="32"/>
        </w:rPr>
        <w:t>。</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②项目实际到位资金</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万元，资金分配额度合理，与项目单位及项目实际实施情况相适应。</w:t>
      </w:r>
    </w:p>
    <w:p>
      <w:pPr>
        <w:spacing w:line="560" w:lineRule="exact"/>
        <w:ind w:firstLine="643"/>
        <w:rPr>
          <w:rFonts w:hint="eastAsia"/>
        </w:rPr>
      </w:pPr>
      <w:r>
        <w:rPr>
          <w:rFonts w:hint="eastAsia" w:ascii="仿宋_GB2312" w:hAnsi="仿宋_GB2312" w:eastAsia="仿宋_GB2312" w:cs="仿宋_GB2312"/>
          <w:b/>
          <w:bCs/>
          <w:sz w:val="32"/>
          <w:szCs w:val="32"/>
        </w:rPr>
        <w:t>综上，该项指标满分3分，得分3分。</w:t>
      </w:r>
    </w:p>
    <w:p>
      <w:pPr>
        <w:pStyle w:val="14"/>
        <w:widowControl/>
        <w:spacing w:before="0" w:after="0" w:line="560" w:lineRule="exact"/>
        <w:ind w:firstLine="643"/>
        <w:jc w:val="both"/>
        <w:rPr>
          <w:rFonts w:ascii="Times New Roman" w:hAnsi="Times New Roman" w:eastAsia="楷体" w:cs="Times New Roman"/>
          <w:kern w:val="28"/>
          <w:sz w:val="32"/>
        </w:rPr>
      </w:pPr>
      <w:bookmarkStart w:id="125" w:name="_Toc10564"/>
      <w:r>
        <w:rPr>
          <w:rFonts w:hint="eastAsia" w:ascii="Times New Roman" w:hAnsi="Times New Roman" w:eastAsia="楷体" w:cs="Times New Roman"/>
          <w:kern w:val="28"/>
          <w:sz w:val="32"/>
        </w:rPr>
        <w:t>（二）项目过程情况</w:t>
      </w:r>
      <w:bookmarkEnd w:id="125"/>
    </w:p>
    <w:p>
      <w:pPr>
        <w:spacing w:line="560" w:lineRule="exact"/>
        <w:ind w:firstLine="640"/>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过程</w:t>
      </w:r>
      <w:r>
        <w:rPr>
          <w:rFonts w:hint="eastAsia" w:ascii="仿宋_GB2312" w:hAnsi="仿宋_GB2312" w:eastAsia="仿宋_GB2312" w:cs="仿宋_GB2312"/>
          <w:sz w:val="32"/>
          <w:szCs w:val="32"/>
          <w:u w:color="000000"/>
        </w:rPr>
        <w:t>管理</w:t>
      </w:r>
      <w:r>
        <w:rPr>
          <w:rFonts w:hint="eastAsia" w:ascii="仿宋_GB2312" w:hAnsi="仿宋_GB2312" w:eastAsia="仿宋_GB2312" w:cs="仿宋_GB2312"/>
          <w:sz w:val="32"/>
          <w:szCs w:val="32"/>
          <w:u w:color="000000"/>
          <w:lang w:val="zh-TW" w:eastAsia="zh-TW"/>
        </w:rPr>
        <w:t>类指标由</w:t>
      </w:r>
      <w:r>
        <w:rPr>
          <w:rFonts w:hint="eastAsia" w:ascii="仿宋_GB2312" w:hAnsi="仿宋_GB2312" w:eastAsia="仿宋_GB2312" w:cs="仿宋_GB2312"/>
          <w:sz w:val="32"/>
          <w:szCs w:val="32"/>
          <w:u w:color="000000"/>
        </w:rPr>
        <w:t>2</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rPr>
        <w:t>5</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分，实际得分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4-2</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详见上传的附件二</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pPr>
        <w:widowControl/>
        <w:snapToGrid w:val="0"/>
        <w:spacing w:line="560" w:lineRule="exact"/>
        <w:ind w:firstLine="0" w:firstLineChars="0"/>
        <w:jc w:val="center"/>
        <w:rPr>
          <w:rFonts w:hint="eastAsia"/>
          <w:b/>
          <w:bCs/>
          <w:kern w:val="0"/>
        </w:rPr>
      </w:pPr>
      <w:r>
        <w:rPr>
          <w:rFonts w:hint="eastAsia"/>
          <w:b/>
          <w:bCs/>
          <w:kern w:val="0"/>
          <w:lang w:val="zh-TW" w:eastAsia="zh-TW"/>
        </w:rPr>
        <w:t>表</w:t>
      </w:r>
      <w:r>
        <w:rPr>
          <w:rFonts w:hint="eastAsia"/>
          <w:b/>
          <w:bCs/>
          <w:kern w:val="0"/>
        </w:rPr>
        <w:t>4-2</w:t>
      </w:r>
      <w:r>
        <w:rPr>
          <w:rFonts w:hint="eastAsia"/>
          <w:b/>
          <w:bCs/>
          <w:kern w:val="0"/>
          <w:lang w:val="zh-TW" w:eastAsia="zh-TW"/>
        </w:rPr>
        <w:t>项目</w:t>
      </w:r>
      <w:r>
        <w:rPr>
          <w:rFonts w:hint="eastAsia"/>
          <w:b/>
          <w:bCs/>
          <w:kern w:val="0"/>
        </w:rPr>
        <w:t>过程</w:t>
      </w:r>
      <w:r>
        <w:rPr>
          <w:rFonts w:hint="eastAsia"/>
          <w:b/>
          <w:bCs/>
          <w:kern w:val="0"/>
          <w:lang w:val="zh-TW" w:eastAsia="zh-TW"/>
        </w:rPr>
        <w:t>指标及分值</w:t>
      </w:r>
      <w:r>
        <w:rPr>
          <w:rFonts w:hint="eastAsia"/>
          <w:b/>
          <w:bCs/>
          <w:kern w:val="0"/>
        </w:rPr>
        <w:t>情况</w:t>
      </w:r>
    </w:p>
    <w:tbl>
      <w:tblPr>
        <w:tblStyle w:val="16"/>
        <w:tblW w:w="8317" w:type="dxa"/>
        <w:jc w:val="center"/>
        <w:tblInd w:w="0" w:type="dxa"/>
        <w:tblLayout w:type="fixed"/>
        <w:tblCellMar>
          <w:top w:w="0" w:type="dxa"/>
          <w:left w:w="0" w:type="dxa"/>
          <w:bottom w:w="0" w:type="dxa"/>
          <w:right w:w="0" w:type="dxa"/>
        </w:tblCellMar>
      </w:tblPr>
      <w:tblGrid>
        <w:gridCol w:w="1182"/>
        <w:gridCol w:w="738"/>
        <w:gridCol w:w="1248"/>
        <w:gridCol w:w="1176"/>
        <w:gridCol w:w="1833"/>
        <w:gridCol w:w="987"/>
        <w:gridCol w:w="1153"/>
      </w:tblGrid>
      <w:tr>
        <w:tblPrEx>
          <w:tblLayout w:type="fixed"/>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tblPrEx>
          <w:tblLayout w:type="fixed"/>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tblPrEx>
          <w:tblLayout w:type="fixed"/>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r>
    </w:tbl>
    <w:p>
      <w:pPr>
        <w:spacing w:line="560" w:lineRule="exact"/>
        <w:ind w:firstLine="643"/>
        <w:outlineLvl w:val="2"/>
        <w:rPr>
          <w:rFonts w:hint="eastAsia" w:ascii="仿宋_GB2312" w:hAnsi="仿宋_GB2312" w:eastAsia="仿宋_GB2312" w:cs="仿宋_GB2312"/>
          <w:b/>
          <w:bCs/>
          <w:color w:val="FF0000"/>
          <w:sz w:val="32"/>
          <w:szCs w:val="32"/>
        </w:rPr>
      </w:pPr>
      <w:bookmarkStart w:id="126" w:name="_Toc3886"/>
      <w:bookmarkStart w:id="127" w:name="_Toc20449"/>
      <w:r>
        <w:rPr>
          <w:rFonts w:hint="eastAsia" w:ascii="仿宋_GB2312" w:hAnsi="仿宋_GB2312" w:eastAsia="仿宋_GB2312" w:cs="仿宋_GB2312"/>
          <w:b/>
          <w:bCs/>
          <w:sz w:val="32"/>
          <w:szCs w:val="32"/>
        </w:rPr>
        <w:t>1.资金到位率</w:t>
      </w:r>
      <w:bookmarkEnd w:id="126"/>
      <w:bookmarkEnd w:id="127"/>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项目预算资金为</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万元，其中：财政安排资金</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万元，其他资金0万元。</w:t>
      </w:r>
    </w:p>
    <w:p>
      <w:pPr>
        <w:spacing w:line="560" w:lineRule="exact"/>
        <w:ind w:firstLine="64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资金到位率=（</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万元）×100%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100%</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pPr>
        <w:spacing w:line="560" w:lineRule="exact"/>
        <w:ind w:firstLine="643"/>
        <w:outlineLvl w:val="2"/>
        <w:rPr>
          <w:rFonts w:hint="eastAsia" w:ascii="仿宋_GB2312" w:hAnsi="仿宋_GB2312" w:eastAsia="仿宋_GB2312" w:cs="仿宋_GB2312"/>
          <w:b/>
          <w:bCs/>
          <w:sz w:val="32"/>
          <w:szCs w:val="32"/>
        </w:rPr>
      </w:pPr>
      <w:bookmarkStart w:id="128" w:name="_Toc17709"/>
      <w:bookmarkStart w:id="129" w:name="_Toc9705"/>
      <w:r>
        <w:rPr>
          <w:rFonts w:hint="eastAsia" w:ascii="仿宋_GB2312" w:hAnsi="仿宋_GB2312" w:eastAsia="仿宋_GB2312" w:cs="仿宋_GB2312"/>
          <w:b/>
          <w:bCs/>
          <w:sz w:val="32"/>
          <w:szCs w:val="32"/>
        </w:rPr>
        <w:t>2.预算执行率</w:t>
      </w:r>
      <w:bookmarkEnd w:id="128"/>
      <w:bookmarkEnd w:id="129"/>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截至2024年12月31日，项目实际支出</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预算执行率=（</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万元）×100%。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100%</w:t>
      </w:r>
      <w:r>
        <w:rPr>
          <w:rFonts w:hint="eastAsia" w:ascii="仿宋_GB2312" w:hAnsi="仿宋_GB2312" w:eastAsia="仿宋_GB2312" w:cs="仿宋_GB2312"/>
          <w:b/>
          <w:bCs/>
          <w:sz w:val="32"/>
          <w:szCs w:val="32"/>
        </w:rPr>
        <w:t>综上，该项指标满分4分，得分4分。</w:t>
      </w:r>
    </w:p>
    <w:p>
      <w:pPr>
        <w:spacing w:line="560" w:lineRule="exact"/>
        <w:ind w:firstLine="643"/>
        <w:outlineLvl w:val="2"/>
        <w:rPr>
          <w:rFonts w:hint="eastAsia" w:ascii="仿宋_GB2312" w:hAnsi="仿宋_GB2312" w:eastAsia="仿宋_GB2312" w:cs="仿宋_GB2312"/>
          <w:b/>
          <w:bCs/>
          <w:sz w:val="32"/>
          <w:szCs w:val="32"/>
        </w:rPr>
      </w:pPr>
      <w:bookmarkStart w:id="130" w:name="_Toc28875"/>
      <w:bookmarkStart w:id="131" w:name="_Toc18691"/>
      <w:r>
        <w:rPr>
          <w:rFonts w:hint="eastAsia" w:ascii="仿宋_GB2312" w:hAnsi="仿宋_GB2312" w:eastAsia="仿宋_GB2312" w:cs="仿宋_GB2312"/>
          <w:b/>
          <w:bCs/>
          <w:sz w:val="32"/>
          <w:szCs w:val="32"/>
        </w:rPr>
        <w:t>3.资金使用合规性</w:t>
      </w:r>
      <w:bookmarkEnd w:id="130"/>
      <w:bookmarkEnd w:id="131"/>
    </w:p>
    <w:p>
      <w:pPr>
        <w:spacing w:line="560" w:lineRule="exact"/>
        <w:ind w:firstLine="640"/>
        <w:rPr>
          <w:rFonts w:hint="eastAsia" w:ascii="方正仿宋_GBK" w:hAnsi="方正仿宋_GBK" w:eastAsia="方正仿宋_GBK" w:cs="方正仿宋_GBK"/>
          <w:sz w:val="32"/>
          <w:szCs w:val="32"/>
        </w:rPr>
      </w:pPr>
      <w:r>
        <w:rPr>
          <w:rFonts w:hint="eastAsia" w:ascii="仿宋_GB2312" w:hAnsi="仿宋_GB2312" w:eastAsia="仿宋_GB2312" w:cs="仿宋_GB2312"/>
          <w:sz w:val="32"/>
          <w:szCs w:val="32"/>
        </w:rPr>
        <w:t>①本项目资金支出符合国家财经法规、《政府会计制度》《阜康市第三中学单位资金管理办法》《阜康市第三中学专项资金管理办法》；</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②资金的拨付有完整的审批程序和手续；</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③符合项目预算批复或合同规定的用途；</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④不存在截留、挤占、挪用、虚列支出等情况。</w:t>
      </w:r>
    </w:p>
    <w:p>
      <w:pPr>
        <w:spacing w:line="560" w:lineRule="exact"/>
        <w:ind w:firstLine="640"/>
        <w:rPr>
          <w:rFonts w:hint="eastAsia" w:ascii="仿宋_GB2312" w:hAnsi="仿宋_GB2312" w:eastAsia="仿宋_GB2312" w:cs="仿宋_GB2312"/>
          <w:b/>
          <w:bCs/>
          <w:sz w:val="32"/>
          <w:szCs w:val="32"/>
        </w:rPr>
      </w:pPr>
      <w:r>
        <w:rPr>
          <w:rFonts w:ascii="Times New Roman" w:hAnsi="Times New Roman" w:eastAsia="仿宋_GB2312" w:cs="Times New Roman"/>
          <w:sz w:val="32"/>
          <w:szCs w:val="32"/>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rPr>
        <w:t xml:space="preserve"> </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pPr>
        <w:spacing w:line="560" w:lineRule="exact"/>
        <w:ind w:firstLine="643"/>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4.管理制度健全性</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我单位已制定《阜康市第三中学资金管理办法》《阜康市第三中学收支业务管理制度》《阜康市第三中学政府采购业务管理制度》《阜康市第三中学合同管理制度》，相关制度均符合行政事业单位内控管理要求；</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②已制定的财务和业务管理制度合法、合规、完整，本项目执行符合上述制度规定。</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pPr>
        <w:spacing w:line="560" w:lineRule="exact"/>
        <w:ind w:left="1524" w:leftChars="200" w:hanging="964" w:hangingChars="300"/>
        <w:outlineLvl w:val="2"/>
        <w:rPr>
          <w:rFonts w:hint="eastAsia" w:ascii="仿宋_GB2312" w:hAnsi="仿宋_GB2312" w:eastAsia="仿宋_GB2312" w:cs="仿宋_GB2312"/>
          <w:b/>
          <w:bCs/>
          <w:sz w:val="32"/>
          <w:szCs w:val="32"/>
        </w:rPr>
      </w:pPr>
      <w:bookmarkStart w:id="132" w:name="_Toc31684"/>
      <w:bookmarkStart w:id="133" w:name="_Toc13984"/>
      <w:r>
        <w:rPr>
          <w:rFonts w:hint="eastAsia" w:ascii="仿宋_GB2312" w:hAnsi="仿宋_GB2312" w:eastAsia="仿宋_GB2312" w:cs="仿宋_GB2312"/>
          <w:b/>
          <w:bCs/>
          <w:sz w:val="32"/>
          <w:szCs w:val="32"/>
        </w:rPr>
        <w:t>5.制度执行有效性</w:t>
      </w:r>
      <w:bookmarkEnd w:id="132"/>
      <w:bookmarkEnd w:id="133"/>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①项目的实施遵守相关法律法规及相关管理规定，符合《阜康市第三中学办法》《阜康市第三中学管理制度》《阜康市第三中学采购业务管理制度》《阜康市第三中学合同管理制度》等管理规定；</w:t>
      </w:r>
    </w:p>
    <w:p>
      <w:pPr>
        <w:spacing w:line="560" w:lineRule="exact"/>
        <w:ind w:firstLine="64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color w:val="auto"/>
          <w:sz w:val="32"/>
          <w:szCs w:val="32"/>
          <w:highlight w:val="none"/>
        </w:rPr>
        <w:t>该项目实施过程中</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rPr>
        <w:t>存在调整事项</w:t>
      </w:r>
      <w:r>
        <w:rPr>
          <w:rFonts w:hint="eastAsia" w:ascii="仿宋_GB2312" w:hAnsi="仿宋_GB2312" w:eastAsia="仿宋_GB2312" w:cs="仿宋_GB2312"/>
          <w:color w:val="auto"/>
          <w:sz w:val="32"/>
          <w:szCs w:val="32"/>
          <w:highlight w:val="none"/>
          <w:lang w:eastAsia="zh-CN"/>
        </w:rPr>
        <w:t>。</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③项目合同书、验收评审表、财务支付凭证等资料齐全并及时归档。</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sz w:val="32"/>
          <w:szCs w:val="32"/>
          <w:lang w:eastAsia="zh-CN"/>
        </w:rPr>
        <w:t>昌州财教【2023】90号（保民生）提前下达2024年城乡义务教育补助经费（中央直达资金）家庭经济初中</w:t>
      </w:r>
      <w:r>
        <w:rPr>
          <w:rFonts w:hint="eastAsia" w:ascii="仿宋_GB2312" w:hAnsi="仿宋_GB2312" w:eastAsia="仿宋_GB2312" w:cs="仿宋_GB2312"/>
          <w:sz w:val="32"/>
          <w:szCs w:val="32"/>
        </w:rPr>
        <w:t>项目工作领导小组，由丁军任组长，负责项目的组织工作；张嵬任副组长，刘超负责项目的实施工作；组员包括：杨丽娟、李文欣，主要负责项目监督管理、验收以及资金核拨等工作。</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pPr>
        <w:pStyle w:val="14"/>
        <w:widowControl/>
        <w:spacing w:before="0" w:after="0" w:line="560" w:lineRule="exact"/>
        <w:ind w:firstLine="643"/>
        <w:jc w:val="both"/>
        <w:rPr>
          <w:rFonts w:ascii="Times New Roman" w:hAnsi="Times New Roman" w:eastAsia="楷体_GB2312" w:cs="Times New Roman"/>
          <w:kern w:val="28"/>
          <w:sz w:val="32"/>
        </w:rPr>
      </w:pPr>
      <w:bookmarkStart w:id="134" w:name="_Toc2441"/>
      <w:r>
        <w:rPr>
          <w:rFonts w:hint="eastAsia" w:ascii="Times New Roman" w:hAnsi="Times New Roman" w:eastAsia="楷体_GB2312" w:cs="Times New Roman"/>
          <w:kern w:val="28"/>
          <w:sz w:val="32"/>
        </w:rPr>
        <w:t>（三）项目产出情况</w:t>
      </w:r>
      <w:bookmarkEnd w:id="134"/>
    </w:p>
    <w:p>
      <w:pPr>
        <w:spacing w:line="560" w:lineRule="exact"/>
        <w:ind w:firstLine="640"/>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产出</w:t>
      </w:r>
      <w:r>
        <w:rPr>
          <w:rFonts w:hint="eastAsia" w:ascii="仿宋_GB2312" w:hAnsi="仿宋_GB2312" w:eastAsia="仿宋_GB2312" w:cs="仿宋_GB2312"/>
          <w:sz w:val="32"/>
          <w:szCs w:val="32"/>
          <w:u w:color="000000"/>
          <w:lang w:val="zh-TW" w:eastAsia="zh-TW"/>
        </w:rPr>
        <w:t>类指标</w:t>
      </w:r>
      <w:r>
        <w:rPr>
          <w:rFonts w:ascii="Times New Roman" w:hAnsi="Times New Roman" w:eastAsia="仿宋_GB2312" w:cs="Times New Roman"/>
          <w:sz w:val="32"/>
          <w:szCs w:val="32"/>
        </w:rPr>
        <w:t>包括产出数量、产出质量、产出时效、产出成本四方面的内容，</w:t>
      </w:r>
      <w:r>
        <w:rPr>
          <w:rFonts w:hint="eastAsia" w:ascii="Times New Roman" w:hAnsi="Times New Roman" w:eastAsia="仿宋_GB2312" w:cs="Times New Roman"/>
          <w:sz w:val="32"/>
          <w:szCs w:val="32"/>
        </w:rPr>
        <w:t>共</w:t>
      </w:r>
      <w:r>
        <w:rPr>
          <w:rFonts w:hint="eastAsia" w:ascii="仿宋_GB2312" w:hAnsi="仿宋_GB2312" w:eastAsia="仿宋_GB2312" w:cs="仿宋_GB2312"/>
          <w:sz w:val="32"/>
          <w:szCs w:val="32"/>
          <w:u w:color="000000"/>
        </w:rPr>
        <w:t>4</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lang w:val="en-US" w:eastAsia="zh-CN"/>
        </w:rPr>
        <w:t>7</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40</w:t>
      </w:r>
      <w:r>
        <w:rPr>
          <w:rFonts w:hint="eastAsia" w:ascii="仿宋_GB2312" w:hAnsi="仿宋_GB2312" w:eastAsia="仿宋_GB2312" w:cs="仿宋_GB2312"/>
          <w:sz w:val="32"/>
          <w:szCs w:val="32"/>
          <w:u w:color="000000"/>
          <w:lang w:val="zh-TW" w:eastAsia="zh-TW"/>
        </w:rPr>
        <w:t>分，实际得</w:t>
      </w:r>
      <w:r>
        <w:rPr>
          <w:rFonts w:hint="eastAsia" w:ascii="仿宋_GB2312" w:hAnsi="仿宋_GB2312" w:eastAsia="仿宋_GB2312" w:cs="仿宋_GB2312"/>
          <w:sz w:val="32"/>
          <w:szCs w:val="32"/>
          <w:highlight w:val="none"/>
          <w:u w:color="000000"/>
          <w:lang w:val="zh-TW" w:eastAsia="zh-TW"/>
        </w:rPr>
        <w:t>分</w:t>
      </w:r>
      <w:r>
        <w:rPr>
          <w:rFonts w:hint="eastAsia" w:ascii="仿宋_GB2312" w:hAnsi="仿宋_GB2312" w:eastAsia="仿宋_GB2312" w:cs="仿宋_GB2312"/>
          <w:sz w:val="32"/>
          <w:szCs w:val="32"/>
          <w:highlight w:val="none"/>
          <w:u w:color="000000"/>
          <w:lang w:val="en-US" w:eastAsia="zh-CN"/>
        </w:rPr>
        <w:t>36.53</w:t>
      </w:r>
      <w:r>
        <w:rPr>
          <w:rFonts w:hint="eastAsia" w:ascii="仿宋_GB2312" w:hAnsi="仿宋_GB2312" w:eastAsia="仿宋_GB2312" w:cs="仿宋_GB2312"/>
          <w:sz w:val="32"/>
          <w:szCs w:val="32"/>
          <w:highlight w:val="none"/>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4-3</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pPr>
        <w:widowControl/>
        <w:snapToGrid w:val="0"/>
        <w:spacing w:line="560" w:lineRule="exact"/>
        <w:ind w:firstLine="0" w:firstLineChars="0"/>
        <w:jc w:val="center"/>
        <w:rPr>
          <w:rFonts w:hint="eastAsia"/>
          <w:b/>
          <w:bCs/>
          <w:kern w:val="0"/>
        </w:rPr>
      </w:pPr>
      <w:r>
        <w:rPr>
          <w:rFonts w:hint="eastAsia"/>
          <w:b/>
          <w:bCs/>
          <w:kern w:val="0"/>
          <w:lang w:val="zh-TW" w:eastAsia="zh-TW"/>
        </w:rPr>
        <w:t>表</w:t>
      </w:r>
      <w:r>
        <w:rPr>
          <w:rFonts w:hint="eastAsia"/>
          <w:b/>
          <w:bCs/>
          <w:kern w:val="0"/>
        </w:rPr>
        <w:t>4-3项目产出</w:t>
      </w:r>
      <w:r>
        <w:rPr>
          <w:rFonts w:hint="eastAsia"/>
          <w:b/>
          <w:bCs/>
          <w:kern w:val="0"/>
          <w:lang w:val="zh-TW" w:eastAsia="zh-TW"/>
        </w:rPr>
        <w:t>指标及分值</w:t>
      </w:r>
      <w:r>
        <w:rPr>
          <w:rFonts w:hint="eastAsia"/>
          <w:b/>
          <w:bCs/>
          <w:kern w:val="0"/>
        </w:rPr>
        <w:t>情况</w:t>
      </w:r>
    </w:p>
    <w:tbl>
      <w:tblPr>
        <w:tblStyle w:val="16"/>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tblPrEx>
          <w:tblLayout w:type="fixed"/>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指标得分</w:t>
            </w:r>
          </w:p>
        </w:tc>
      </w:tr>
      <w:tr>
        <w:tblPrEx>
          <w:tblLayout w:type="fixed"/>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寄宿生家庭经济困难学生人数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w:t>
            </w:r>
            <w:bookmarkStart w:id="135" w:name="OLE_LINK8"/>
            <w:r>
              <w:rPr>
                <w:rFonts w:hint="eastAsia"/>
                <w:kern w:val="0"/>
                <w:sz w:val="20"/>
                <w:szCs w:val="20"/>
              </w:rPr>
              <w:t>118人</w:t>
            </w:r>
            <w:bookmarkEnd w:id="135"/>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color w:val="auto"/>
                <w:kern w:val="0"/>
                <w:sz w:val="20"/>
                <w:szCs w:val="20"/>
                <w:highlight w:val="none"/>
              </w:rPr>
            </w:pPr>
            <w:r>
              <w:rPr>
                <w:rFonts w:hint="eastAsia"/>
                <w:color w:val="auto"/>
                <w:kern w:val="0"/>
                <w:sz w:val="20"/>
                <w:szCs w:val="20"/>
                <w:highlight w:val="none"/>
                <w:lang w:val="en-US" w:eastAsia="zh-CN"/>
              </w:rPr>
              <w:t>191</w:t>
            </w:r>
            <w:r>
              <w:rPr>
                <w:rFonts w:hint="eastAsia"/>
                <w:color w:val="auto"/>
                <w:kern w:val="0"/>
                <w:sz w:val="20"/>
                <w:szCs w:val="20"/>
                <w:highlight w:val="none"/>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default" w:eastAsia="宋体"/>
                <w:color w:val="auto"/>
                <w:kern w:val="0"/>
                <w:sz w:val="20"/>
                <w:szCs w:val="20"/>
                <w:highlight w:val="none"/>
                <w:lang w:val="en-US" w:eastAsia="zh-CN"/>
              </w:rPr>
            </w:pPr>
            <w:r>
              <w:rPr>
                <w:rFonts w:hint="eastAsia"/>
                <w:color w:val="auto"/>
                <w:kern w:val="0"/>
                <w:sz w:val="20"/>
                <w:szCs w:val="20"/>
                <w:highlight w:val="none"/>
                <w:lang w:val="en-US" w:eastAsia="zh-CN"/>
              </w:rPr>
              <w:t>1.91</w:t>
            </w:r>
          </w:p>
        </w:tc>
      </w:tr>
      <w:tr>
        <w:tblPrEx>
          <w:tblLayout w:type="fixed"/>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p>
        </w:tc>
        <w:tc>
          <w:tcPr>
            <w:tcW w:w="928"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非寄宿生家庭经济困难学生人数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w:t>
            </w:r>
            <w:bookmarkStart w:id="136" w:name="OLE_LINK9"/>
            <w:r>
              <w:rPr>
                <w:rFonts w:hint="eastAsia"/>
                <w:kern w:val="0"/>
                <w:sz w:val="20"/>
                <w:szCs w:val="20"/>
              </w:rPr>
              <w:t>221人</w:t>
            </w:r>
            <w:bookmarkEnd w:id="136"/>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color w:val="auto"/>
                <w:kern w:val="0"/>
                <w:sz w:val="20"/>
                <w:szCs w:val="20"/>
                <w:highlight w:val="none"/>
              </w:rPr>
            </w:pPr>
            <w:r>
              <w:rPr>
                <w:rFonts w:hint="eastAsia"/>
                <w:color w:val="auto"/>
                <w:kern w:val="0"/>
                <w:sz w:val="20"/>
                <w:szCs w:val="20"/>
                <w:highlight w:val="none"/>
                <w:lang w:val="en-US" w:eastAsia="zh-CN"/>
              </w:rPr>
              <w:t>238</w:t>
            </w:r>
            <w:r>
              <w:rPr>
                <w:rFonts w:hint="eastAsia"/>
                <w:color w:val="auto"/>
                <w:kern w:val="0"/>
                <w:sz w:val="20"/>
                <w:szCs w:val="20"/>
                <w:highlight w:val="none"/>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default" w:eastAsia="宋体"/>
                <w:color w:val="auto"/>
                <w:kern w:val="0"/>
                <w:sz w:val="20"/>
                <w:szCs w:val="20"/>
                <w:highlight w:val="none"/>
                <w:lang w:val="en-US" w:eastAsia="zh-CN"/>
              </w:rPr>
            </w:pPr>
            <w:r>
              <w:rPr>
                <w:rFonts w:hint="eastAsia"/>
                <w:color w:val="auto"/>
                <w:kern w:val="0"/>
                <w:sz w:val="20"/>
                <w:szCs w:val="20"/>
                <w:highlight w:val="none"/>
                <w:lang w:val="en-US" w:eastAsia="zh-CN"/>
              </w:rPr>
              <w:t>4.62</w:t>
            </w:r>
          </w:p>
        </w:tc>
      </w:tr>
      <w:tr>
        <w:tblPrEx>
          <w:tblLayout w:type="fixed"/>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质量指标</w:t>
            </w: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eastAsia="宋体"/>
                <w:kern w:val="0"/>
                <w:sz w:val="20"/>
                <w:szCs w:val="20"/>
                <w:lang w:eastAsia="zh-CN"/>
              </w:rPr>
            </w:pPr>
            <w:r>
              <w:rPr>
                <w:rFonts w:hint="eastAsia"/>
                <w:kern w:val="0"/>
                <w:sz w:val="20"/>
                <w:szCs w:val="20"/>
              </w:rPr>
              <w:t>家庭经济困难学生享受生活补助政策</w:t>
            </w:r>
            <w:r>
              <w:rPr>
                <w:rFonts w:hint="eastAsia"/>
                <w:kern w:val="0"/>
                <w:sz w:val="20"/>
                <w:szCs w:val="20"/>
                <w:lang w:eastAsia="zh-CN"/>
              </w:rPr>
              <w:t>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r>
      <w:tr>
        <w:tblPrEx>
          <w:tblLayout w:type="fixed"/>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p>
        </w:tc>
        <w:tc>
          <w:tcPr>
            <w:tcW w:w="92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时效指标</w:t>
            </w: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完成全年发放家庭经济困难学生补助时间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bookmarkStart w:id="137" w:name="_Hlk197611888"/>
            <w:r>
              <w:rPr>
                <w:rFonts w:hint="eastAsia"/>
                <w:kern w:val="0"/>
                <w:sz w:val="20"/>
                <w:szCs w:val="20"/>
              </w:rPr>
              <w:t>≤2024年12月</w:t>
            </w:r>
            <w:bookmarkEnd w:id="137"/>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tblPrEx>
          <w:tblLayout w:type="fixed"/>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p>
        </w:tc>
        <w:tc>
          <w:tcPr>
            <w:tcW w:w="928"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资金发放及时率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bookmarkStart w:id="138" w:name="OLE_LINK4"/>
            <w:r>
              <w:rPr>
                <w:rFonts w:hint="eastAsia"/>
                <w:kern w:val="0"/>
                <w:sz w:val="20"/>
                <w:szCs w:val="20"/>
              </w:rPr>
              <w:t>100%</w:t>
            </w:r>
            <w:bookmarkEnd w:id="138"/>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tblPrEx>
          <w:tblLayout w:type="fixed"/>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寄宿生补助标准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'=750元/生/学期</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rPr>
            </w:pPr>
            <w:r>
              <w:rPr>
                <w:rFonts w:hint="eastAsia"/>
                <w:kern w:val="0"/>
                <w:sz w:val="20"/>
                <w:szCs w:val="20"/>
              </w:rPr>
              <w:t>=750元/生/学期</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tblPrEx>
          <w:tblLayout w:type="fixed"/>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非寄宿生补助标准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'=375元/生/学期</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=375元/生/学期</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tblPrEx>
          <w:tblLayout w:type="fixed"/>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rPr>
            </w:pPr>
            <w:r>
              <w:rPr>
                <w:rFonts w:hint="eastAsia"/>
                <w:kern w:val="0"/>
                <w:sz w:val="20"/>
                <w:szCs w:val="20"/>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eastAsia"/>
                <w:kern w:val="0"/>
                <w:sz w:val="20"/>
                <w:szCs w:val="20"/>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300" w:lineRule="exact"/>
              <w:ind w:firstLine="0" w:firstLineChars="0"/>
              <w:jc w:val="center"/>
              <w:rPr>
                <w:rFonts w:hint="default" w:eastAsia="宋体"/>
                <w:kern w:val="0"/>
                <w:sz w:val="20"/>
                <w:szCs w:val="20"/>
                <w:highlight w:val="none"/>
                <w:lang w:val="en-US" w:eastAsia="zh-CN"/>
              </w:rPr>
            </w:pPr>
            <w:r>
              <w:rPr>
                <w:rFonts w:hint="eastAsia"/>
                <w:color w:val="auto"/>
                <w:kern w:val="0"/>
                <w:sz w:val="20"/>
                <w:szCs w:val="20"/>
                <w:highlight w:val="none"/>
                <w:lang w:val="en-US" w:eastAsia="zh-CN"/>
              </w:rPr>
              <w:t>36.53</w:t>
            </w:r>
          </w:p>
        </w:tc>
      </w:tr>
    </w:tbl>
    <w:p>
      <w:pPr>
        <w:spacing w:line="560" w:lineRule="exact"/>
        <w:ind w:firstLine="643"/>
        <w:rPr>
          <w:rFonts w:hint="eastAsia" w:ascii="仿宋_GB2312" w:hAnsi="仿宋_GB2312" w:eastAsia="仿宋_GB2312" w:cs="仿宋_GB2312"/>
          <w:b/>
          <w:bCs/>
          <w:color w:val="FF0000"/>
          <w:sz w:val="32"/>
          <w:szCs w:val="32"/>
        </w:rPr>
      </w:pPr>
      <w:bookmarkStart w:id="139" w:name="_Toc11067"/>
      <w:bookmarkStart w:id="140" w:name="_Toc26689"/>
      <w:r>
        <w:rPr>
          <w:rFonts w:hint="eastAsia" w:ascii="仿宋_GB2312" w:hAnsi="仿宋_GB2312" w:eastAsia="仿宋_GB2312" w:cs="仿宋_GB2312"/>
          <w:b/>
          <w:bCs/>
          <w:sz w:val="32"/>
          <w:szCs w:val="32"/>
        </w:rPr>
        <w:t>1.数量指标完成情况</w:t>
      </w:r>
      <w:bookmarkEnd w:id="139"/>
      <w:bookmarkEnd w:id="140"/>
    </w:p>
    <w:p>
      <w:pPr>
        <w:spacing w:line="500" w:lineRule="exact"/>
        <w:ind w:firstLine="64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highlight w:val="none"/>
        </w:rPr>
        <w:t>“寄宿生家庭经济困难学生人数”指标，预期目标值为≧118人，实际完成为</w:t>
      </w:r>
      <w:r>
        <w:rPr>
          <w:rFonts w:hint="eastAsia" w:ascii="仿宋_GB2312" w:hAnsi="仿宋_GB2312" w:eastAsia="仿宋_GB2312" w:cs="仿宋_GB2312"/>
          <w:sz w:val="32"/>
          <w:szCs w:val="32"/>
          <w:highlight w:val="none"/>
          <w:lang w:val="en-US" w:eastAsia="zh-CN"/>
        </w:rPr>
        <w:t>191</w:t>
      </w:r>
      <w:r>
        <w:rPr>
          <w:rFonts w:hint="eastAsia" w:ascii="仿宋_GB2312" w:hAnsi="仿宋_GB2312" w:eastAsia="仿宋_GB2312" w:cs="仿宋_GB2312"/>
          <w:sz w:val="32"/>
          <w:szCs w:val="32"/>
          <w:highlight w:val="none"/>
        </w:rPr>
        <w:t>人。实际完成率=（1</w:t>
      </w:r>
      <w:r>
        <w:rPr>
          <w:rFonts w:hint="eastAsia" w:ascii="仿宋_GB2312" w:hAnsi="仿宋_GB2312" w:eastAsia="仿宋_GB2312" w:cs="仿宋_GB2312"/>
          <w:sz w:val="32"/>
          <w:szCs w:val="32"/>
          <w:highlight w:val="none"/>
          <w:lang w:val="en-US" w:eastAsia="zh-CN"/>
        </w:rPr>
        <w:t>91</w:t>
      </w:r>
      <w:r>
        <w:rPr>
          <w:rFonts w:hint="eastAsia" w:ascii="仿宋_GB2312" w:hAnsi="仿宋_GB2312" w:eastAsia="仿宋_GB2312" w:cs="仿宋_GB2312"/>
          <w:sz w:val="32"/>
          <w:szCs w:val="32"/>
          <w:highlight w:val="none"/>
        </w:rPr>
        <w:t>/118）×100%=1</w:t>
      </w:r>
      <w:r>
        <w:rPr>
          <w:rFonts w:hint="eastAsia" w:ascii="仿宋_GB2312" w:hAnsi="仿宋_GB2312" w:eastAsia="仿宋_GB2312" w:cs="仿宋_GB2312"/>
          <w:sz w:val="32"/>
          <w:szCs w:val="32"/>
          <w:highlight w:val="none"/>
          <w:lang w:val="en-US" w:eastAsia="zh-CN"/>
        </w:rPr>
        <w:t>61.86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偏差原因：2024年9月滋中撤并到阜康市第三中学，三中享受补助人数增加。</w:t>
      </w:r>
    </w:p>
    <w:p>
      <w:pPr>
        <w:spacing w:line="500" w:lineRule="exact"/>
        <w:ind w:firstLine="64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sz w:val="32"/>
          <w:szCs w:val="32"/>
          <w:highlight w:val="none"/>
        </w:rPr>
        <w:t>“非寄宿生家庭经济困难学生人数”指标，预期目标值为≧221人，实际完成为2</w:t>
      </w:r>
      <w:r>
        <w:rPr>
          <w:rFonts w:hint="eastAsia" w:ascii="仿宋_GB2312" w:hAnsi="仿宋_GB2312" w:eastAsia="仿宋_GB2312" w:cs="仿宋_GB2312"/>
          <w:b w:val="0"/>
          <w:sz w:val="32"/>
          <w:szCs w:val="32"/>
          <w:highlight w:val="none"/>
          <w:lang w:val="en-US" w:eastAsia="zh-CN"/>
        </w:rPr>
        <w:t>38</w:t>
      </w:r>
      <w:r>
        <w:rPr>
          <w:rFonts w:hint="eastAsia" w:ascii="仿宋_GB2312" w:hAnsi="仿宋_GB2312" w:eastAsia="仿宋_GB2312" w:cs="仿宋_GB2312"/>
          <w:b w:val="0"/>
          <w:sz w:val="32"/>
          <w:szCs w:val="32"/>
          <w:highlight w:val="none"/>
        </w:rPr>
        <w:t>人。实际完成率=（2</w:t>
      </w:r>
      <w:r>
        <w:rPr>
          <w:rFonts w:hint="eastAsia" w:ascii="仿宋_GB2312" w:hAnsi="仿宋_GB2312" w:eastAsia="仿宋_GB2312" w:cs="仿宋_GB2312"/>
          <w:b w:val="0"/>
          <w:sz w:val="32"/>
          <w:szCs w:val="32"/>
          <w:highlight w:val="none"/>
          <w:lang w:val="en-US" w:eastAsia="zh-CN"/>
        </w:rPr>
        <w:t>38</w:t>
      </w:r>
      <w:r>
        <w:rPr>
          <w:rFonts w:hint="eastAsia" w:ascii="仿宋_GB2312" w:hAnsi="仿宋_GB2312" w:eastAsia="仿宋_GB2312" w:cs="仿宋_GB2312"/>
          <w:b w:val="0"/>
          <w:sz w:val="32"/>
          <w:szCs w:val="32"/>
          <w:highlight w:val="none"/>
        </w:rPr>
        <w:t>/221）×100%=</w:t>
      </w:r>
      <w:r>
        <w:rPr>
          <w:rFonts w:hint="eastAsia" w:ascii="仿宋_GB2312" w:hAnsi="仿宋_GB2312" w:eastAsia="仿宋_GB2312" w:cs="仿宋_GB2312"/>
          <w:b w:val="0"/>
          <w:sz w:val="32"/>
          <w:szCs w:val="32"/>
          <w:highlight w:val="none"/>
          <w:lang w:val="en-US" w:eastAsia="zh-CN"/>
        </w:rPr>
        <w:t>107.69</w:t>
      </w:r>
      <w:r>
        <w:rPr>
          <w:rFonts w:hint="eastAsia" w:ascii="仿宋_GB2312" w:hAnsi="仿宋_GB2312" w:eastAsia="仿宋_GB2312" w:cs="仿宋_GB2312"/>
          <w:b w:val="0"/>
          <w:sz w:val="32"/>
          <w:szCs w:val="32"/>
          <w:highlight w:val="none"/>
        </w:rPr>
        <w:t>%，</w:t>
      </w:r>
      <w:r>
        <w:rPr>
          <w:rFonts w:hint="eastAsia" w:ascii="仿宋_GB2312" w:hAnsi="仿宋_GB2312" w:eastAsia="仿宋_GB2312" w:cs="仿宋_GB2312"/>
          <w:sz w:val="32"/>
          <w:szCs w:val="32"/>
          <w:highlight w:val="none"/>
          <w:lang w:val="en-US" w:eastAsia="zh-CN"/>
        </w:rPr>
        <w:t>偏差原因:2024年9月滋中撤并到阜康市第三中学，三中享受补助人数增加。</w:t>
      </w:r>
    </w:p>
    <w:p>
      <w:pPr>
        <w:spacing w:line="560" w:lineRule="exact"/>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综上，该项指标满分10分，得分</w:t>
      </w:r>
      <w:r>
        <w:rPr>
          <w:rFonts w:hint="eastAsia" w:ascii="仿宋_GB2312" w:hAnsi="仿宋_GB2312" w:eastAsia="仿宋_GB2312" w:cs="仿宋_GB2312"/>
          <w:b/>
          <w:bCs/>
          <w:sz w:val="32"/>
          <w:szCs w:val="32"/>
          <w:highlight w:val="none"/>
          <w:lang w:val="en-US" w:eastAsia="zh-CN"/>
        </w:rPr>
        <w:t>6.53</w:t>
      </w:r>
      <w:r>
        <w:rPr>
          <w:rFonts w:hint="eastAsia" w:ascii="仿宋_GB2312" w:hAnsi="仿宋_GB2312" w:eastAsia="仿宋_GB2312" w:cs="仿宋_GB2312"/>
          <w:b/>
          <w:bCs/>
          <w:sz w:val="32"/>
          <w:szCs w:val="32"/>
          <w:highlight w:val="none"/>
        </w:rPr>
        <w:t>分。</w:t>
      </w:r>
    </w:p>
    <w:p>
      <w:pPr>
        <w:spacing w:line="560" w:lineRule="exact"/>
        <w:ind w:firstLine="643"/>
        <w:outlineLvl w:val="2"/>
        <w:rPr>
          <w:rFonts w:hint="eastAsia" w:ascii="仿宋_GB2312" w:hAnsi="仿宋_GB2312" w:eastAsia="仿宋_GB2312" w:cs="仿宋_GB2312"/>
          <w:b/>
          <w:bCs/>
          <w:sz w:val="32"/>
          <w:szCs w:val="32"/>
        </w:rPr>
      </w:pPr>
      <w:bookmarkStart w:id="141" w:name="_Toc31739"/>
      <w:bookmarkStart w:id="142" w:name="_Toc14255"/>
      <w:r>
        <w:rPr>
          <w:rFonts w:hint="eastAsia" w:ascii="仿宋_GB2312" w:hAnsi="仿宋_GB2312" w:eastAsia="仿宋_GB2312" w:cs="仿宋_GB2312"/>
          <w:b/>
          <w:bCs/>
          <w:sz w:val="32"/>
          <w:szCs w:val="32"/>
        </w:rPr>
        <w:t>2.</w:t>
      </w:r>
      <w:bookmarkEnd w:id="141"/>
      <w:r>
        <w:rPr>
          <w:rFonts w:hint="eastAsia" w:ascii="仿宋_GB2312" w:hAnsi="仿宋_GB2312" w:eastAsia="仿宋_GB2312" w:cs="仿宋_GB2312"/>
          <w:b/>
          <w:bCs/>
          <w:sz w:val="32"/>
          <w:szCs w:val="32"/>
        </w:rPr>
        <w:t>质量指标完成情况</w:t>
      </w:r>
      <w:bookmarkEnd w:id="142"/>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（1）“家庭经济困难学生享受生活补助政策比例”指标，预期目标值为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100%，实际完成为100%。实际完成率100%。</w:t>
      </w:r>
    </w:p>
    <w:p>
      <w:pPr>
        <w:spacing w:line="560" w:lineRule="exact"/>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综上，该项指标满分10分，得分10分。</w:t>
      </w:r>
    </w:p>
    <w:p>
      <w:pPr>
        <w:spacing w:line="560" w:lineRule="exact"/>
        <w:ind w:firstLine="643"/>
        <w:outlineLvl w:val="2"/>
        <w:rPr>
          <w:rFonts w:hint="eastAsia" w:ascii="仿宋_GB2312" w:hAnsi="仿宋_GB2312" w:eastAsia="仿宋_GB2312" w:cs="仿宋_GB2312"/>
          <w:b/>
          <w:bCs/>
          <w:sz w:val="32"/>
          <w:szCs w:val="32"/>
        </w:rPr>
      </w:pPr>
      <w:bookmarkStart w:id="143" w:name="_Toc18307"/>
      <w:bookmarkStart w:id="144" w:name="_Toc28885"/>
      <w:r>
        <w:rPr>
          <w:rFonts w:hint="eastAsia" w:ascii="仿宋_GB2312" w:hAnsi="仿宋_GB2312" w:eastAsia="仿宋_GB2312" w:cs="仿宋_GB2312"/>
          <w:b/>
          <w:bCs/>
          <w:sz w:val="32"/>
          <w:szCs w:val="32"/>
        </w:rPr>
        <w:t>3.</w:t>
      </w:r>
      <w:bookmarkEnd w:id="143"/>
      <w:r>
        <w:rPr>
          <w:rFonts w:hint="eastAsia" w:ascii="仿宋_GB2312" w:hAnsi="仿宋_GB2312" w:eastAsia="仿宋_GB2312" w:cs="仿宋_GB2312"/>
          <w:b/>
          <w:bCs/>
          <w:sz w:val="32"/>
          <w:szCs w:val="32"/>
        </w:rPr>
        <w:t>时效指标完成情况</w:t>
      </w:r>
      <w:bookmarkEnd w:id="144"/>
    </w:p>
    <w:p>
      <w:pPr>
        <w:widowControl/>
        <w:snapToGrid w:val="0"/>
        <w:spacing w:line="5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“完成全年发放家庭经济困难学生补助时间”指标，预期目标值为≤</w:t>
      </w:r>
      <w:bookmarkStart w:id="145" w:name="_Hlk197611954"/>
      <w:r>
        <w:rPr>
          <w:rFonts w:hint="eastAsia" w:ascii="仿宋_GB2312" w:hAnsi="仿宋_GB2312" w:eastAsia="仿宋_GB2312" w:cs="仿宋_GB2312"/>
          <w:sz w:val="32"/>
          <w:szCs w:val="32"/>
        </w:rPr>
        <w:t>2024年12月</w:t>
      </w:r>
      <w:bookmarkEnd w:id="145"/>
      <w:r>
        <w:rPr>
          <w:rFonts w:hint="eastAsia" w:ascii="仿宋_GB2312" w:hAnsi="仿宋_GB2312" w:eastAsia="仿宋_GB2312" w:cs="仿宋_GB2312"/>
          <w:sz w:val="32"/>
          <w:szCs w:val="32"/>
        </w:rPr>
        <w:t>，实际完成为2024年12月。实际完成率100%。</w:t>
      </w:r>
    </w:p>
    <w:p>
      <w:pPr>
        <w:widowControl/>
        <w:snapToGrid w:val="0"/>
        <w:spacing w:line="5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“资金发放及时率”指标，预期目标值为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100%，实际完成为100%。实际完成率100%。</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综上，该项指标满分10分，得分10分。</w:t>
      </w:r>
    </w:p>
    <w:p>
      <w:pPr>
        <w:spacing w:line="560" w:lineRule="exact"/>
        <w:ind w:firstLine="643"/>
        <w:outlineLvl w:val="2"/>
        <w:rPr>
          <w:rFonts w:hint="eastAsia" w:ascii="仿宋_GB2312" w:hAnsi="仿宋_GB2312" w:eastAsia="仿宋_GB2312" w:cs="仿宋_GB2312"/>
          <w:b/>
          <w:bCs/>
          <w:sz w:val="32"/>
          <w:szCs w:val="32"/>
        </w:rPr>
      </w:pPr>
      <w:bookmarkStart w:id="146" w:name="_Toc32765"/>
      <w:bookmarkStart w:id="147" w:name="_Toc20607"/>
      <w:r>
        <w:rPr>
          <w:rFonts w:hint="eastAsia" w:ascii="仿宋_GB2312" w:hAnsi="仿宋_GB2312" w:eastAsia="仿宋_GB2312" w:cs="仿宋_GB2312"/>
          <w:b/>
          <w:bCs/>
          <w:sz w:val="32"/>
          <w:szCs w:val="32"/>
        </w:rPr>
        <w:t>4.项目</w:t>
      </w:r>
      <w:bookmarkEnd w:id="146"/>
      <w:r>
        <w:rPr>
          <w:rFonts w:hint="eastAsia" w:ascii="仿宋_GB2312" w:hAnsi="仿宋_GB2312" w:eastAsia="仿宋_GB2312" w:cs="仿宋_GB2312"/>
          <w:b/>
          <w:bCs/>
          <w:sz w:val="32"/>
          <w:szCs w:val="32"/>
        </w:rPr>
        <w:t>成本情况</w:t>
      </w:r>
      <w:bookmarkEnd w:id="147"/>
    </w:p>
    <w:p>
      <w:pPr>
        <w:spacing w:line="560" w:lineRule="exact"/>
        <w:ind w:firstLine="643"/>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经济成本指标完成情况</w:t>
      </w:r>
    </w:p>
    <w:p>
      <w:pPr>
        <w:spacing w:line="560" w:lineRule="exact"/>
        <w:ind w:firstLine="640"/>
        <w:rPr>
          <w:rFonts w:hint="eastAsia" w:ascii="仿宋_GB2312" w:hAnsi="仿宋_GB2312" w:eastAsia="仿宋_GB2312" w:cs="仿宋_GB2312"/>
          <w:sz w:val="32"/>
          <w:szCs w:val="32"/>
        </w:rPr>
      </w:pPr>
      <w:bookmarkStart w:id="148" w:name="OLE_LINK5"/>
      <w:r>
        <w:rPr>
          <w:rFonts w:hint="eastAsia" w:ascii="仿宋_GB2312" w:hAnsi="仿宋_GB2312" w:eastAsia="仿宋_GB2312" w:cs="仿宋_GB2312"/>
          <w:sz w:val="32"/>
          <w:szCs w:val="32"/>
        </w:rPr>
        <w:t>“寄宿生补助标准”指标，预期目标值为=750元/生/学期，实际完成=750元/生/学期。实际完成率100%。</w:t>
      </w:r>
    </w:p>
    <w:bookmarkEnd w:id="148"/>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“非寄宿生补助标准”指标，预期目标值为=375元/生/学期，实际完成=375元/生/学期。实际完成率100%。</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综上，该项指标满分10分，得分10分。</w:t>
      </w:r>
    </w:p>
    <w:p>
      <w:pPr>
        <w:pStyle w:val="14"/>
        <w:widowControl/>
        <w:spacing w:before="0" w:after="0" w:line="560" w:lineRule="exact"/>
        <w:ind w:firstLine="643"/>
        <w:jc w:val="both"/>
        <w:rPr>
          <w:rFonts w:ascii="Times New Roman" w:hAnsi="Times New Roman" w:eastAsia="楷体_GB2312" w:cs="Times New Roman"/>
          <w:kern w:val="28"/>
          <w:sz w:val="32"/>
        </w:rPr>
      </w:pPr>
      <w:bookmarkStart w:id="149" w:name="_Toc19424"/>
      <w:r>
        <w:rPr>
          <w:rFonts w:hint="eastAsia" w:ascii="Times New Roman" w:hAnsi="Times New Roman" w:eastAsia="楷体_GB2312" w:cs="Times New Roman"/>
          <w:kern w:val="28"/>
          <w:sz w:val="32"/>
        </w:rPr>
        <w:t>（四）项目效益情况</w:t>
      </w:r>
      <w:bookmarkEnd w:id="149"/>
    </w:p>
    <w:p>
      <w:pPr>
        <w:spacing w:line="560" w:lineRule="exact"/>
        <w:ind w:firstLine="640"/>
        <w:jc w:val="left"/>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效益</w:t>
      </w:r>
      <w:r>
        <w:rPr>
          <w:rFonts w:hint="eastAsia" w:ascii="仿宋_GB2312" w:hAnsi="仿宋_GB2312" w:eastAsia="仿宋_GB2312" w:cs="仿宋_GB2312"/>
          <w:sz w:val="32"/>
          <w:szCs w:val="32"/>
          <w:u w:color="000000"/>
          <w:lang w:val="zh-TW" w:eastAsia="zh-TW"/>
        </w:rPr>
        <w:t>类指标</w:t>
      </w:r>
      <w:r>
        <w:rPr>
          <w:rFonts w:ascii="Times New Roman" w:hAnsi="Times New Roman" w:eastAsia="仿宋_GB2312" w:cs="Times New Roman"/>
          <w:sz w:val="32"/>
          <w:szCs w:val="32"/>
        </w:rPr>
        <w:t>包括项目实施效益和满意度两方面的内容，</w:t>
      </w:r>
      <w:r>
        <w:rPr>
          <w:rFonts w:hint="eastAsia" w:ascii="仿宋_GB2312" w:hAnsi="仿宋_GB2312" w:eastAsia="仿宋_GB2312" w:cs="仿宋_GB2312"/>
          <w:sz w:val="32"/>
          <w:szCs w:val="32"/>
          <w:u w:color="000000"/>
          <w:lang w:val="zh-TW" w:eastAsia="zh-TW"/>
        </w:rPr>
        <w:t>由</w:t>
      </w:r>
      <w:r>
        <w:rPr>
          <w:rFonts w:hint="eastAsia" w:ascii="仿宋_GB2312" w:hAnsi="仿宋_GB2312" w:eastAsia="仿宋_GB2312" w:cs="仿宋_GB2312"/>
          <w:sz w:val="32"/>
          <w:szCs w:val="32"/>
          <w:u w:color="000000"/>
        </w:rPr>
        <w:t>2</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rPr>
        <w:t>3</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分，实际得分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4-4</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pPr>
        <w:spacing w:line="560" w:lineRule="exact"/>
        <w:ind w:firstLine="562"/>
        <w:jc w:val="center"/>
        <w:rPr>
          <w:rFonts w:hint="eastAsia"/>
          <w:b/>
          <w:bCs/>
          <w:color w:val="000000" w:themeColor="text1"/>
          <w:kern w:val="0"/>
          <w14:textFill>
            <w14:solidFill>
              <w14:schemeClr w14:val="tx1"/>
            </w14:solidFill>
          </w14:textFill>
        </w:rPr>
      </w:pPr>
      <w:r>
        <w:rPr>
          <w:rFonts w:hint="eastAsia"/>
          <w:b/>
          <w:bCs/>
          <w:color w:val="000000" w:themeColor="text1"/>
          <w:kern w:val="0"/>
          <w:lang w:val="zh-TW" w:eastAsia="zh-TW"/>
          <w14:textFill>
            <w14:solidFill>
              <w14:schemeClr w14:val="tx1"/>
            </w14:solidFill>
          </w14:textFill>
        </w:rPr>
        <w:t>表</w:t>
      </w:r>
      <w:r>
        <w:rPr>
          <w:rFonts w:hint="eastAsia"/>
          <w:b/>
          <w:bCs/>
          <w:color w:val="000000" w:themeColor="text1"/>
          <w:kern w:val="0"/>
          <w14:textFill>
            <w14:solidFill>
              <w14:schemeClr w14:val="tx1"/>
            </w14:solidFill>
          </w14:textFill>
        </w:rPr>
        <w:t>4-4项目效益</w:t>
      </w:r>
      <w:r>
        <w:rPr>
          <w:rFonts w:hint="eastAsia"/>
          <w:b/>
          <w:bCs/>
          <w:color w:val="000000" w:themeColor="text1"/>
          <w:kern w:val="0"/>
          <w:lang w:val="zh-TW" w:eastAsia="zh-TW"/>
          <w14:textFill>
            <w14:solidFill>
              <w14:schemeClr w14:val="tx1"/>
            </w14:solidFill>
          </w14:textFill>
        </w:rPr>
        <w:t>指标及分值</w:t>
      </w:r>
      <w:r>
        <w:rPr>
          <w:rFonts w:hint="eastAsia"/>
          <w:b/>
          <w:bCs/>
          <w:color w:val="000000" w:themeColor="text1"/>
          <w:kern w:val="0"/>
          <w14:textFill>
            <w14:solidFill>
              <w14:schemeClr w14:val="tx1"/>
            </w14:solidFill>
          </w14:textFill>
        </w:rPr>
        <w:t>情况</w:t>
      </w:r>
    </w:p>
    <w:tbl>
      <w:tblPr>
        <w:tblStyle w:val="16"/>
        <w:tblW w:w="8372" w:type="dxa"/>
        <w:jc w:val="center"/>
        <w:tblInd w:w="0" w:type="dxa"/>
        <w:tblLayout w:type="fixed"/>
        <w:tblCellMar>
          <w:top w:w="0" w:type="dxa"/>
          <w:left w:w="0" w:type="dxa"/>
          <w:bottom w:w="0" w:type="dxa"/>
          <w:right w:w="0" w:type="dxa"/>
        </w:tblCellMar>
      </w:tblPr>
      <w:tblGrid>
        <w:gridCol w:w="685"/>
        <w:gridCol w:w="1725"/>
        <w:gridCol w:w="2744"/>
        <w:gridCol w:w="870"/>
        <w:gridCol w:w="645"/>
        <w:gridCol w:w="1050"/>
        <w:gridCol w:w="653"/>
      </w:tblGrid>
      <w:tr>
        <w:tblPrEx>
          <w:tblLayout w:type="fixed"/>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w:t>
            </w:r>
          </w:p>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27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年度指</w:t>
            </w:r>
          </w:p>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标杆</w:t>
            </w:r>
          </w:p>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全年实</w:t>
            </w:r>
          </w:p>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w:t>
            </w:r>
          </w:p>
          <w:p>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tblPrEx>
          <w:tblLayout w:type="fixed"/>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效益</w:t>
            </w:r>
          </w:p>
        </w:tc>
        <w:tc>
          <w:tcPr>
            <w:tcW w:w="172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社会效益指标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bookmarkStart w:id="150" w:name="OLE_LINK10"/>
            <w:r>
              <w:rPr>
                <w:rFonts w:hint="eastAsia"/>
                <w:kern w:val="0"/>
                <w:sz w:val="20"/>
                <w:szCs w:val="20"/>
              </w:rPr>
              <w:t>改善贫困生生活质量</w:t>
            </w:r>
            <w:bookmarkEnd w:id="150"/>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r>
      <w:tr>
        <w:tblPrEx>
          <w:tblLayout w:type="fixed"/>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1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有效缓解家庭经济困难家庭的教育生活支出</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缓解</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bookmarkStart w:id="151" w:name="OLE_LINK11"/>
            <w:r>
              <w:rPr>
                <w:rFonts w:hint="eastAsia"/>
                <w:kern w:val="0"/>
                <w:sz w:val="20"/>
                <w:szCs w:val="20"/>
              </w:rPr>
              <w:t>达到预期目标</w:t>
            </w:r>
            <w:bookmarkEnd w:id="151"/>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7</w:t>
            </w:r>
          </w:p>
        </w:tc>
      </w:tr>
      <w:tr>
        <w:tblPrEx>
          <w:tblLayout w:type="fixed"/>
          <w:tblCellMar>
            <w:top w:w="0" w:type="dxa"/>
            <w:left w:w="0" w:type="dxa"/>
            <w:bottom w:w="0" w:type="dxa"/>
            <w:right w:w="0" w:type="dxa"/>
          </w:tblCellMar>
        </w:tblPrEx>
        <w:trPr>
          <w:trHeight w:val="436" w:hRule="atLeast"/>
          <w:jc w:val="center"/>
        </w:trPr>
        <w:tc>
          <w:tcPr>
            <w:tcW w:w="685"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1725"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满意度指标</w:t>
            </w:r>
          </w:p>
        </w:tc>
        <w:tc>
          <w:tcPr>
            <w:tcW w:w="2744"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学生满意度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8</w:t>
            </w:r>
          </w:p>
        </w:tc>
      </w:tr>
      <w:tr>
        <w:tblPrEx>
          <w:tblLayout w:type="fixed"/>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20</w:t>
            </w:r>
          </w:p>
        </w:tc>
      </w:tr>
    </w:tbl>
    <w:p>
      <w:pPr>
        <w:spacing w:line="560" w:lineRule="exact"/>
        <w:ind w:firstLine="643"/>
        <w:outlineLvl w:val="2"/>
        <w:rPr>
          <w:rFonts w:hint="eastAsia" w:ascii="仿宋_GB2312" w:hAnsi="仿宋_GB2312" w:eastAsia="仿宋_GB2312" w:cs="仿宋_GB2312"/>
          <w:b/>
          <w:bCs/>
          <w:sz w:val="32"/>
          <w:szCs w:val="32"/>
        </w:rPr>
      </w:pPr>
      <w:bookmarkStart w:id="152" w:name="_Toc8010"/>
      <w:bookmarkStart w:id="153" w:name="_Toc5170"/>
      <w:r>
        <w:rPr>
          <w:rFonts w:hint="eastAsia" w:ascii="仿宋_GB2312" w:hAnsi="仿宋_GB2312" w:eastAsia="仿宋_GB2312" w:cs="仿宋_GB2312"/>
          <w:b/>
          <w:bCs/>
          <w:sz w:val="32"/>
          <w:szCs w:val="32"/>
        </w:rPr>
        <w:t>1.</w:t>
      </w:r>
      <w:bookmarkEnd w:id="152"/>
      <w:bookmarkEnd w:id="153"/>
      <w:bookmarkStart w:id="154" w:name="_Toc27006"/>
      <w:bookmarkStart w:id="155" w:name="_Toc29606"/>
      <w:r>
        <w:rPr>
          <w:rFonts w:hint="eastAsia" w:ascii="仿宋_GB2312" w:hAnsi="仿宋_GB2312" w:eastAsia="仿宋_GB2312" w:cs="仿宋_GB2312"/>
          <w:b/>
          <w:bCs/>
          <w:sz w:val="32"/>
          <w:szCs w:val="32"/>
        </w:rPr>
        <w:t>社会效益指标</w:t>
      </w:r>
      <w:bookmarkEnd w:id="154"/>
      <w:r>
        <w:rPr>
          <w:rFonts w:hint="eastAsia" w:ascii="仿宋_GB2312" w:hAnsi="仿宋_GB2312" w:eastAsia="仿宋_GB2312" w:cs="仿宋_GB2312"/>
          <w:b/>
          <w:bCs/>
          <w:sz w:val="32"/>
          <w:szCs w:val="32"/>
        </w:rPr>
        <w:t>完成情况</w:t>
      </w:r>
      <w:bookmarkEnd w:id="155"/>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（1）“改善贫困生生活质量”指标，预期目标值为保障，实际完成为达到预期指标。</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通过项目的实施，改善了贫困生生活质量。</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（2）“改善教学环境，提供良好的学生成长条件”指标，预期目标值为缓解，实际完成为达到预期目标。</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通过项目的实施，改善了教学环境，提供良好的学生成长条件。</w:t>
      </w:r>
    </w:p>
    <w:p>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综上，该项指标满分12分，得分12分。</w:t>
      </w:r>
    </w:p>
    <w:p>
      <w:pPr>
        <w:pStyle w:val="14"/>
        <w:widowControl/>
        <w:spacing w:before="0" w:after="0" w:line="560" w:lineRule="exact"/>
        <w:ind w:firstLine="643"/>
        <w:jc w:val="both"/>
        <w:rPr>
          <w:rFonts w:ascii="Times New Roman" w:hAnsi="Times New Roman" w:eastAsia="楷体_GB2312" w:cs="Times New Roman"/>
          <w:kern w:val="28"/>
          <w:sz w:val="32"/>
        </w:rPr>
      </w:pPr>
      <w:bookmarkStart w:id="156" w:name="_Toc23313"/>
      <w:r>
        <w:rPr>
          <w:rFonts w:hint="eastAsia" w:ascii="Times New Roman" w:hAnsi="Times New Roman" w:eastAsia="楷体_GB2312" w:cs="Times New Roman"/>
          <w:kern w:val="28"/>
          <w:sz w:val="32"/>
        </w:rPr>
        <w:t>（五）满意度指标完成情况分析</w:t>
      </w:r>
      <w:bookmarkEnd w:id="156"/>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“学生满意度”指标，预期目标值为≥95%，实际完成为95%。</w:t>
      </w:r>
    </w:p>
    <w:p>
      <w:pPr>
        <w:spacing w:line="560" w:lineRule="exact"/>
        <w:ind w:firstLine="643"/>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综上，该项指标满分8分，得分8分。</w:t>
      </w:r>
    </w:p>
    <w:p>
      <w:pPr>
        <w:pStyle w:val="2"/>
        <w:ind w:firstLine="640"/>
        <w:rPr>
          <w:rFonts w:hint="eastAsia" w:ascii="黑体" w:hAnsi="黑体" w:cs="黑体"/>
          <w:color w:val="000000" w:themeColor="text1"/>
          <w14:textFill>
            <w14:solidFill>
              <w14:schemeClr w14:val="tx1"/>
            </w14:solidFill>
          </w14:textFill>
        </w:rPr>
      </w:pPr>
      <w:bookmarkStart w:id="157" w:name="_Toc6622"/>
      <w:r>
        <w:rPr>
          <w:rFonts w:hint="eastAsia" w:ascii="黑体" w:hAnsi="黑体" w:cs="黑体"/>
          <w:color w:val="000000" w:themeColor="text1"/>
          <w14:textFill>
            <w14:solidFill>
              <w14:schemeClr w14:val="tx1"/>
            </w14:solidFill>
          </w14:textFill>
        </w:rPr>
        <w:t>五、主要经验及做法、存在的问题及原因分析</w:t>
      </w:r>
      <w:bookmarkEnd w:id="157"/>
    </w:p>
    <w:p>
      <w:pPr>
        <w:pStyle w:val="14"/>
        <w:widowControl/>
        <w:spacing w:before="0" w:after="0" w:line="560" w:lineRule="exact"/>
        <w:ind w:firstLine="643"/>
        <w:jc w:val="both"/>
        <w:rPr>
          <w:rFonts w:ascii="Times New Roman" w:hAnsi="Times New Roman" w:eastAsia="楷体_GB2312" w:cs="Times New Roman"/>
          <w:kern w:val="28"/>
          <w:sz w:val="32"/>
        </w:rPr>
      </w:pPr>
      <w:bookmarkStart w:id="158" w:name="_Toc15449"/>
      <w:bookmarkStart w:id="159" w:name="_Toc28290"/>
      <w:bookmarkStart w:id="160" w:name="_Toc1921"/>
      <w:r>
        <w:rPr>
          <w:rFonts w:hint="eastAsia" w:ascii="Times New Roman" w:hAnsi="Times New Roman" w:eastAsia="楷体_GB2312" w:cs="Times New Roman"/>
          <w:kern w:val="28"/>
          <w:sz w:val="32"/>
        </w:rPr>
        <w:t>（一）主要经验及做法</w:t>
      </w:r>
      <w:bookmarkEnd w:id="158"/>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昌州财教【2023】90号（保民生）提前下达2024年城乡义务教育补助经费（中央直达资金）家庭经济初中</w:t>
      </w:r>
      <w:r>
        <w:rPr>
          <w:rFonts w:hint="eastAsia" w:ascii="仿宋_GB2312" w:hAnsi="仿宋_GB2312" w:eastAsia="仿宋_GB2312" w:cs="仿宋_GB2312"/>
          <w:sz w:val="32"/>
          <w:szCs w:val="32"/>
        </w:rPr>
        <w:t>2024年预算数为</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万元，截至2024年12月31日共支出</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万元，预算执行率为100%。</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阜康市第三中学建立健全了预算管理规章制度，各部门严格按照预算编制的原则和要求做好当年预算编制工作，在预算绩效管理工作中，做到合理安排各项资金，重点保障基本支出，按轻重缓急顺序原则，优先安排了阜康市第三中学事业发展中关系民生与稳定的项目，切实优化资源配置，提高了资金使用的效率和效果。</w:t>
      </w:r>
    </w:p>
    <w:bookmarkEnd w:id="159"/>
    <w:bookmarkEnd w:id="160"/>
    <w:p>
      <w:pPr>
        <w:pStyle w:val="14"/>
        <w:widowControl/>
        <w:spacing w:before="0" w:after="0" w:line="560" w:lineRule="exact"/>
        <w:ind w:firstLine="643"/>
        <w:jc w:val="both"/>
        <w:rPr>
          <w:rFonts w:ascii="Times New Roman" w:hAnsi="Times New Roman" w:eastAsia="楷体_GB2312" w:cs="Times New Roman"/>
          <w:kern w:val="28"/>
          <w:sz w:val="32"/>
        </w:rPr>
      </w:pPr>
      <w:bookmarkStart w:id="161" w:name="_Toc29168"/>
      <w:r>
        <w:rPr>
          <w:rFonts w:hint="eastAsia" w:ascii="Times New Roman" w:hAnsi="Times New Roman" w:eastAsia="楷体_GB2312" w:cs="Times New Roman"/>
          <w:kern w:val="28"/>
          <w:sz w:val="32"/>
        </w:rPr>
        <w:t>（二）存在的问题及原因分析</w:t>
      </w:r>
      <w:bookmarkEnd w:id="161"/>
    </w:p>
    <w:p>
      <w:pPr>
        <w:spacing w:line="560" w:lineRule="exact"/>
        <w:ind w:firstLine="640"/>
        <w:rPr>
          <w:rFonts w:hint="eastAsia" w:ascii="仿宋_GB2312" w:hAnsi="仿宋_GB2312" w:eastAsia="仿宋_GB2312" w:cs="仿宋_GB2312"/>
          <w:sz w:val="32"/>
          <w:szCs w:val="32"/>
        </w:rPr>
      </w:pPr>
      <w:bookmarkStart w:id="162" w:name="_Toc3333"/>
      <w:r>
        <w:rPr>
          <w:rFonts w:hint="eastAsia" w:ascii="仿宋_GB2312" w:hAnsi="仿宋_GB2312" w:eastAsia="仿宋_GB2312" w:cs="仿宋_GB2312"/>
          <w:sz w:val="32"/>
          <w:szCs w:val="32"/>
        </w:rPr>
        <w:t>1.在项目实施期间部分业务人员未能全面深入认识理解项目管理工作的意义。项目管理经验不足，项目管理工作有待进一步落实。</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2.因年初预算数据不够清晰明确到明细科目，使得整个年度财务核算及审核流程不准确清晰。</w:t>
      </w:r>
    </w:p>
    <w:p>
      <w:pPr>
        <w:pStyle w:val="2"/>
        <w:ind w:firstLine="640"/>
        <w:rPr>
          <w:rFonts w:hint="eastAsia" w:ascii="黑体" w:hAnsi="黑体" w:cs="黑体"/>
          <w:color w:val="000000" w:themeColor="text1"/>
          <w14:textFill>
            <w14:solidFill>
              <w14:schemeClr w14:val="tx1"/>
            </w14:solidFill>
          </w14:textFill>
        </w:rPr>
      </w:pPr>
      <w:r>
        <w:rPr>
          <w:rFonts w:hint="eastAsia" w:ascii="黑体" w:hAnsi="黑体" w:cs="黑体"/>
          <w:color w:val="000000" w:themeColor="text1"/>
          <w14:textFill>
            <w14:solidFill>
              <w14:schemeClr w14:val="tx1"/>
            </w14:solidFill>
          </w14:textFill>
        </w:rPr>
        <w:t>六、有关建议</w:t>
      </w:r>
      <w:bookmarkEnd w:id="162"/>
    </w:p>
    <w:p>
      <w:pPr>
        <w:spacing w:line="560" w:lineRule="exact"/>
        <w:ind w:firstLine="640"/>
        <w:rPr>
          <w:rFonts w:hint="eastAsia" w:ascii="仿宋_GB2312" w:hAnsi="仿宋_GB2312" w:eastAsia="仿宋_GB2312" w:cs="仿宋_GB2312"/>
          <w:sz w:val="32"/>
          <w:szCs w:val="32"/>
        </w:rPr>
      </w:pPr>
      <w:bookmarkStart w:id="163" w:name="_Toc3948"/>
      <w:bookmarkStart w:id="164" w:name="_Toc20454"/>
      <w:bookmarkStart w:id="165" w:name="_Toc14256"/>
      <w:r>
        <w:rPr>
          <w:rFonts w:hint="eastAsia" w:ascii="仿宋_GB2312" w:hAnsi="仿宋_GB2312" w:eastAsia="仿宋_GB2312" w:cs="仿宋_GB2312"/>
          <w:sz w:val="32"/>
          <w:szCs w:val="32"/>
        </w:rPr>
        <w:t>（一）加强项目管理，健全单位项目管理制度体系。 加大项目管理人员的业务培训，确保项目能够顺利实施。</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（二）加强财务人员业务培训，在年初预算时及时与各科室联系，将年初预算数据填写清晰，确保财务支付审核程序顺利进行。</w:t>
      </w:r>
    </w:p>
    <w:bookmarkEnd w:id="163"/>
    <w:bookmarkEnd w:id="164"/>
    <w:p>
      <w:pPr>
        <w:pStyle w:val="2"/>
        <w:ind w:firstLine="640"/>
        <w:rPr>
          <w:rFonts w:hint="eastAsia" w:ascii="黑体" w:hAnsi="黑体" w:cs="黑体"/>
          <w:color w:val="000000" w:themeColor="text1"/>
          <w14:textFill>
            <w14:solidFill>
              <w14:schemeClr w14:val="tx1"/>
            </w14:solidFill>
          </w14:textFill>
        </w:rPr>
      </w:pPr>
      <w:r>
        <w:rPr>
          <w:rFonts w:hint="eastAsia" w:ascii="黑体" w:hAnsi="黑体" w:cs="黑体"/>
          <w:color w:val="000000" w:themeColor="text1"/>
          <w14:textFill>
            <w14:solidFill>
              <w14:schemeClr w14:val="tx1"/>
            </w14:solidFill>
          </w14:textFill>
        </w:rPr>
        <w:t>七、其他需要说明的问题</w:t>
      </w:r>
      <w:bookmarkEnd w:id="165"/>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无其他需要说明的问题。</w:t>
      </w:r>
    </w:p>
    <w:p>
      <w:pPr>
        <w:spacing w:line="560" w:lineRule="exact"/>
        <w:ind w:firstLine="560"/>
        <w:rPr>
          <w:rFonts w:hint="eastAsia"/>
          <w:color w:val="000000" w:themeColor="text1"/>
          <w14:textFill>
            <w14:solidFill>
              <w14:schemeClr w14:val="tx1"/>
            </w14:solidFill>
          </w14:textFill>
        </w:rPr>
        <w:sectPr>
          <w:footerReference r:id="rId3" w:type="default"/>
          <w:pgSz w:w="11906" w:h="16838"/>
          <w:pgMar w:top="1440" w:right="1800" w:bottom="1440" w:left="1800" w:header="737" w:footer="851" w:gutter="0"/>
          <w:cols w:space="720" w:num="1"/>
          <w:docGrid w:type="lines" w:linePitch="408" w:charSpace="0"/>
        </w:sectPr>
      </w:pPr>
    </w:p>
    <w:p>
      <w:pPr>
        <w:pStyle w:val="2"/>
        <w:ind w:firstLine="640"/>
        <w:rPr>
          <w:rFonts w:hint="eastAsia" w:ascii="黑体" w:hAnsi="黑体" w:cs="黑体"/>
          <w:color w:val="000000" w:themeColor="text1"/>
          <w14:textFill>
            <w14:solidFill>
              <w14:schemeClr w14:val="tx1"/>
            </w14:solidFill>
          </w14:textFill>
        </w:rPr>
      </w:pPr>
      <w:bookmarkStart w:id="166" w:name="_Toc28971"/>
      <w:bookmarkStart w:id="167" w:name="_Toc11349"/>
      <w:r>
        <w:rPr>
          <w:rFonts w:hint="eastAsia" w:ascii="黑体" w:hAnsi="黑体" w:cs="黑体"/>
          <w:color w:val="000000" w:themeColor="text1"/>
          <w14:textFill>
            <w14:solidFill>
              <w14:schemeClr w14:val="tx1"/>
            </w14:solidFill>
          </w14:textFill>
        </w:rPr>
        <w:t>附件一、项目支出绩效自评表</w:t>
      </w:r>
      <w:bookmarkEnd w:id="166"/>
      <w:bookmarkEnd w:id="167"/>
      <w:bookmarkStart w:id="168" w:name="_Toc15067"/>
      <w:bookmarkStart w:id="169" w:name="_Toc11223"/>
    </w:p>
    <w:tbl>
      <w:tblPr>
        <w:tblStyle w:val="16"/>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4"/>
        <w:gridCol w:w="894"/>
        <w:gridCol w:w="895"/>
        <w:gridCol w:w="895"/>
        <w:gridCol w:w="1142"/>
        <w:gridCol w:w="1142"/>
        <w:gridCol w:w="1142"/>
        <w:gridCol w:w="1306"/>
        <w:gridCol w:w="1142"/>
        <w:gridCol w:w="895"/>
        <w:gridCol w:w="895"/>
        <w:gridCol w:w="895"/>
        <w:gridCol w:w="895"/>
        <w:gridCol w:w="11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7" w:hRule="atLeast"/>
        </w:trPr>
        <w:tc>
          <w:tcPr>
            <w:tcW w:w="14174"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14174" w:type="dxa"/>
            <w:gridSpan w:val="14"/>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1788"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386" w:type="dxa"/>
            <w:gridSpan w:val="1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昌州财教【2023】90号（保民生）提前下达2024年城乡义务教育补助经费（中央直达资金）家庭经济初中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5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24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47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17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2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24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17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2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24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17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2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24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17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6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71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初中义务教育，促进基础教育发展和初中学历教育，为学生提供教育服务，阜康市第三中学2024年计划完成每学年给至少118名家庭经济困难学生发放以寄宿生750元/生/学年、221名非寄宿生375元/生/学年的标准发放困难学生补助。补助覆盖率100%。发放时间2024年1-12月，解决了众多家庭经济困难学生的生活费，缓解了困难家庭经济压力，保证了家庭经济困难学生公平接受义务教育的权利。</w:t>
            </w:r>
          </w:p>
        </w:tc>
        <w:tc>
          <w:tcPr>
            <w:tcW w:w="71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全年191人次家庭经济困难学生发放以寄宿生750元/生/学年、238名非寄宿生375元/生/学年的标准发放困难学生补助。补助覆盖率100%,通过项目的实施，能够改善贫困生生活质量，缓解了困难家庭经济压力，保证了家庭经济困难学生公平接受义务教育的权利效益，学生满意度达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寄宿生家庭经济困难学生人数</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&gt;=118人</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=191人</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161.86%</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2.67</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非寄宿生家庭经济困难学生人数</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&gt;=221人</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=238人</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107.69%</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7.38</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家庭经济困难学生享受生活补助政策</w:t>
            </w:r>
            <w:r>
              <w:rPr>
                <w:rFonts w:hint="eastAsia" w:cs="宋体"/>
                <w:i w:val="0"/>
                <w:iCs w:val="0"/>
                <w:color w:val="000000"/>
                <w:kern w:val="0"/>
                <w:sz w:val="18"/>
                <w:szCs w:val="18"/>
                <w:u w:val="none"/>
                <w:lang w:val="en-US" w:eastAsia="zh-CN" w:bidi="ar"/>
              </w:rPr>
              <w:t>比例</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完成全年发放家庭经济困难学生补助时间</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资金发放及时率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寄宿生补助标准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=750元/生/学期</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=750元/生/学期</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非寄宿生补助标准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=375元/生/学期</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=375元/生/学期</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改善贫困生生活质量</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有效缓解家庭经济困难家庭的教育生活支出</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缓解</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学生满意度</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3578"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95.05分</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6"/>
        <w:ind w:firstLine="883"/>
        <w:rPr>
          <w:rFonts w:hint="eastAsia"/>
        </w:rPr>
      </w:pPr>
    </w:p>
    <w:p>
      <w:pPr>
        <w:pStyle w:val="6"/>
        <w:ind w:firstLine="883"/>
        <w:rPr>
          <w:rFonts w:hint="eastAsia"/>
        </w:rPr>
        <w:sectPr>
          <w:pgSz w:w="16838" w:h="11906" w:orient="landscape"/>
          <w:pgMar w:top="1800" w:right="1440" w:bottom="1800" w:left="1440" w:header="737" w:footer="851" w:gutter="0"/>
          <w:cols w:space="720" w:num="1"/>
          <w:docGrid w:type="lines" w:linePitch="408" w:charSpace="0"/>
        </w:sectPr>
      </w:pPr>
    </w:p>
    <w:p>
      <w:pPr>
        <w:pStyle w:val="2"/>
        <w:ind w:firstLine="0" w:firstLineChars="0"/>
        <w:rPr>
          <w:rFonts w:hint="eastAsia"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附件二、项目支出绩效评价指标体系打分表</w:t>
      </w:r>
      <w:bookmarkEnd w:id="168"/>
      <w:bookmarkEnd w:id="169"/>
    </w:p>
    <w:tbl>
      <w:tblPr>
        <w:tblStyle w:val="16"/>
        <w:tblW w:w="1392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692" w:hRule="atLeast"/>
          <w:tblHeader/>
          <w:jc w:val="center"/>
        </w:trPr>
        <w:tc>
          <w:tcPr>
            <w:tcW w:w="861" w:type="dxa"/>
            <w:shd w:val="clear" w:color="auto" w:fill="auto"/>
            <w:vAlign w:val="center"/>
          </w:tcPr>
          <w:p>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一级指标</w:t>
            </w:r>
          </w:p>
        </w:tc>
        <w:tc>
          <w:tcPr>
            <w:tcW w:w="727" w:type="dxa"/>
            <w:shd w:val="clear" w:color="auto" w:fill="auto"/>
            <w:vAlign w:val="center"/>
          </w:tcPr>
          <w:p>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二级指标</w:t>
            </w:r>
          </w:p>
        </w:tc>
        <w:tc>
          <w:tcPr>
            <w:tcW w:w="820" w:type="dxa"/>
            <w:shd w:val="clear" w:color="auto" w:fill="auto"/>
            <w:vAlign w:val="center"/>
          </w:tcPr>
          <w:p>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三级指标</w:t>
            </w:r>
          </w:p>
        </w:tc>
        <w:tc>
          <w:tcPr>
            <w:tcW w:w="2141" w:type="dxa"/>
            <w:shd w:val="clear" w:color="auto" w:fill="auto"/>
            <w:vAlign w:val="center"/>
          </w:tcPr>
          <w:p>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指标解释</w:t>
            </w:r>
          </w:p>
        </w:tc>
        <w:tc>
          <w:tcPr>
            <w:tcW w:w="7821" w:type="dxa"/>
            <w:shd w:val="clear" w:color="auto" w:fill="auto"/>
            <w:vAlign w:val="center"/>
          </w:tcPr>
          <w:p>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指标说明</w:t>
            </w:r>
          </w:p>
        </w:tc>
        <w:tc>
          <w:tcPr>
            <w:tcW w:w="785" w:type="dxa"/>
            <w:shd w:val="clear" w:color="auto" w:fill="auto"/>
            <w:vAlign w:val="center"/>
          </w:tcPr>
          <w:p>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分值</w:t>
            </w:r>
          </w:p>
        </w:tc>
        <w:tc>
          <w:tcPr>
            <w:tcW w:w="769" w:type="dxa"/>
            <w:shd w:val="clear" w:color="auto" w:fill="auto"/>
            <w:vAlign w:val="center"/>
          </w:tcPr>
          <w:p>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61" w:type="dxa"/>
            <w:vMerge w:val="restart"/>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决策　</w:t>
            </w:r>
          </w:p>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　</w:t>
            </w:r>
          </w:p>
          <w:p>
            <w:pPr>
              <w:spacing w:line="240" w:lineRule="auto"/>
              <w:ind w:firstLine="0" w:firstLineChars="0"/>
              <w:jc w:val="center"/>
              <w:rPr>
                <w:rFonts w:hint="eastAsia"/>
                <w:color w:val="000000"/>
                <w:kern w:val="0"/>
                <w:sz w:val="22"/>
                <w:szCs w:val="22"/>
              </w:rPr>
            </w:pPr>
            <w:r>
              <w:rPr>
                <w:rFonts w:hint="eastAsia"/>
                <w:color w:val="000000"/>
                <w:kern w:val="0"/>
                <w:sz w:val="22"/>
                <w:szCs w:val="22"/>
              </w:rPr>
              <w:t>　</w:t>
            </w:r>
          </w:p>
        </w:tc>
        <w:tc>
          <w:tcPr>
            <w:tcW w:w="727" w:type="dxa"/>
            <w:vMerge w:val="restart"/>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项目立项　</w:t>
            </w: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立项依据</w:t>
            </w:r>
          </w:p>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充分性</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7821" w:type="dxa"/>
            <w:shd w:val="clear" w:color="auto" w:fill="auto"/>
            <w:vAlign w:val="center"/>
          </w:tcPr>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评价要点：</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①项目立项是否符合国家法律法规、国民经济发展规划和相关政策；</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②项目立项是否符合行业发展规划和政策要求；</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③项目立项是否与部门职责范围相符，属于部门履职所需；</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④项目是否属于公共财政支持范围，是否符合中央、地方事权支出责任划分原则；</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⑤项目是否与相关部门同类项目或部门内部相关项目重复。</w:t>
            </w: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2</w:t>
            </w:r>
          </w:p>
        </w:tc>
        <w:tc>
          <w:tcPr>
            <w:tcW w:w="769" w:type="dxa"/>
            <w:shd w:val="clear" w:color="auto" w:fill="auto"/>
            <w:vAlign w:val="center"/>
          </w:tcPr>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61" w:type="dxa"/>
            <w:vMerge w:val="continue"/>
            <w:shd w:val="clear" w:color="auto" w:fill="auto"/>
            <w:vAlign w:val="center"/>
          </w:tcPr>
          <w:p>
            <w:pPr>
              <w:spacing w:line="240" w:lineRule="auto"/>
              <w:ind w:firstLine="0" w:firstLineChars="0"/>
              <w:jc w:val="center"/>
              <w:rPr>
                <w:rFonts w:hint="eastAsia"/>
                <w:color w:val="000000"/>
                <w:kern w:val="0"/>
                <w:sz w:val="22"/>
                <w:szCs w:val="22"/>
              </w:rPr>
            </w:pPr>
          </w:p>
        </w:tc>
        <w:tc>
          <w:tcPr>
            <w:tcW w:w="727" w:type="dxa"/>
            <w:vMerge w:val="continue"/>
            <w:shd w:val="clear" w:color="auto" w:fill="auto"/>
            <w:vAlign w:val="center"/>
          </w:tcPr>
          <w:p>
            <w:pPr>
              <w:widowControl/>
              <w:spacing w:line="240" w:lineRule="auto"/>
              <w:ind w:firstLine="0" w:firstLineChars="0"/>
              <w:jc w:val="center"/>
              <w:rPr>
                <w:rFonts w:hint="eastAsia"/>
                <w:color w:val="000000"/>
                <w:kern w:val="0"/>
                <w:sz w:val="22"/>
                <w:szCs w:val="22"/>
              </w:rPr>
            </w:pP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立项程序</w:t>
            </w:r>
          </w:p>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规范性</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7821" w:type="dxa"/>
            <w:shd w:val="clear" w:color="auto" w:fill="auto"/>
            <w:vAlign w:val="center"/>
          </w:tcPr>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评价要点：</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①项目是否按照规定的程序申请设立；</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②审批文件、材料是否符合相关要求；</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③事前是否已经过必要的可行性研究、专家论证、风险评估、绩效评估、集体决策。</w:t>
            </w: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3</w:t>
            </w:r>
          </w:p>
        </w:tc>
        <w:tc>
          <w:tcPr>
            <w:tcW w:w="769" w:type="dxa"/>
            <w:shd w:val="clear" w:color="auto" w:fill="auto"/>
            <w:vAlign w:val="center"/>
          </w:tcPr>
          <w:p>
            <w:pPr>
              <w:widowControl/>
              <w:spacing w:line="240" w:lineRule="auto"/>
              <w:ind w:firstLine="0" w:firstLineChars="0"/>
              <w:jc w:val="left"/>
              <w:rPr>
                <w:rFonts w:hint="default" w:eastAsia="宋体"/>
                <w:color w:val="000000"/>
                <w:kern w:val="0"/>
                <w:sz w:val="22"/>
                <w:szCs w:val="22"/>
                <w:lang w:val="en-US" w:eastAsia="zh-CN"/>
              </w:rPr>
            </w:pPr>
            <w:r>
              <w:rPr>
                <w:rFonts w:hint="eastAsia"/>
                <w:color w:val="000000"/>
                <w:kern w:val="0"/>
                <w:sz w:val="22"/>
                <w:szCs w:val="22"/>
              </w:rPr>
              <w:t>2</w:t>
            </w:r>
            <w:r>
              <w:rPr>
                <w:rFonts w:hint="eastAsia"/>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5" w:hRule="atLeast"/>
          <w:jc w:val="center"/>
        </w:trPr>
        <w:tc>
          <w:tcPr>
            <w:tcW w:w="861" w:type="dxa"/>
            <w:vMerge w:val="continue"/>
            <w:shd w:val="clear" w:color="auto" w:fill="auto"/>
            <w:vAlign w:val="center"/>
          </w:tcPr>
          <w:p>
            <w:pPr>
              <w:spacing w:line="240" w:lineRule="auto"/>
              <w:ind w:firstLine="0" w:firstLineChars="0"/>
              <w:jc w:val="center"/>
              <w:rPr>
                <w:rFonts w:hint="eastAsia"/>
                <w:color w:val="000000"/>
                <w:kern w:val="0"/>
                <w:sz w:val="22"/>
                <w:szCs w:val="22"/>
              </w:rPr>
            </w:pPr>
          </w:p>
        </w:tc>
        <w:tc>
          <w:tcPr>
            <w:tcW w:w="727"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绩效目标　</w:t>
            </w: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绩效目标</w:t>
            </w:r>
          </w:p>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合理性</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vAlign w:val="center"/>
          </w:tcPr>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评价要点：</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（如未设定预算绩效目标，也可考核其他工作任务目标）</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①项目是否有绩效目标；</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②项目绩效目标与实际工作内容是否具有相关性；</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③项目预期产出效益和效果是否符合正常的业绩水平；</w:t>
            </w:r>
          </w:p>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④是否与预算确定的项目投资额或资金量相匹配。</w:t>
            </w: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c>
          <w:tcPr>
            <w:tcW w:w="769" w:type="dxa"/>
            <w:shd w:val="clear" w:color="auto" w:fill="auto"/>
            <w:vAlign w:val="center"/>
          </w:tcPr>
          <w:p>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61" w:type="dxa"/>
            <w:vMerge w:val="restart"/>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决策　</w:t>
            </w:r>
          </w:p>
        </w:tc>
        <w:tc>
          <w:tcPr>
            <w:tcW w:w="727"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绩效目标</w:t>
            </w: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绩效指标</w:t>
            </w:r>
          </w:p>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明确性</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782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①是否将项目绩效目标细化分解为具体的绩效指标；</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②是否通过清晰、可衡量的指标值予以体现；</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③是否与项目目标任务数或计划数相对应。</w:t>
            </w:r>
          </w:p>
          <w:p>
            <w:pPr>
              <w:widowControl/>
              <w:spacing w:line="240" w:lineRule="auto"/>
              <w:ind w:firstLine="0" w:firstLineChars="0"/>
              <w:rPr>
                <w:rFonts w:hint="eastAsia"/>
                <w:color w:val="000000"/>
                <w:kern w:val="0"/>
                <w:sz w:val="22"/>
                <w:szCs w:val="22"/>
              </w:rPr>
            </w:pP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c>
          <w:tcPr>
            <w:tcW w:w="769"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61" w:type="dxa"/>
            <w:vMerge w:val="continue"/>
            <w:shd w:val="clear" w:color="auto" w:fill="auto"/>
            <w:vAlign w:val="center"/>
          </w:tcPr>
          <w:p>
            <w:pPr>
              <w:spacing w:line="240" w:lineRule="auto"/>
              <w:ind w:firstLine="0" w:firstLineChars="0"/>
              <w:jc w:val="center"/>
              <w:rPr>
                <w:rFonts w:hint="eastAsia"/>
                <w:color w:val="000000"/>
                <w:kern w:val="0"/>
                <w:sz w:val="22"/>
                <w:szCs w:val="22"/>
              </w:rPr>
            </w:pPr>
          </w:p>
        </w:tc>
        <w:tc>
          <w:tcPr>
            <w:tcW w:w="727" w:type="dxa"/>
            <w:vMerge w:val="restart"/>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资金投入</w:t>
            </w:r>
          </w:p>
          <w:p>
            <w:pPr>
              <w:spacing w:line="240" w:lineRule="auto"/>
              <w:ind w:firstLine="0" w:firstLineChars="0"/>
              <w:jc w:val="center"/>
              <w:rPr>
                <w:rFonts w:hint="eastAsia"/>
                <w:color w:val="000000"/>
                <w:kern w:val="0"/>
                <w:sz w:val="22"/>
                <w:szCs w:val="22"/>
              </w:rPr>
            </w:pPr>
            <w:r>
              <w:rPr>
                <w:rFonts w:hint="eastAsia"/>
                <w:color w:val="000000"/>
                <w:kern w:val="0"/>
                <w:sz w:val="22"/>
                <w:szCs w:val="22"/>
              </w:rPr>
              <w:t>　</w:t>
            </w: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预算编制</w:t>
            </w:r>
          </w:p>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科学性</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①预算编制是否经过科学论证；</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②预算内容与项目内容是否匹配；</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③预算额度测算依据是否充分，是否按照标准编制；</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④预算确定的项目投资额或资金量是否与工作任务相匹配。</w:t>
            </w: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2</w:t>
            </w:r>
          </w:p>
        </w:tc>
        <w:tc>
          <w:tcPr>
            <w:tcW w:w="769"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569" w:hRule="atLeast"/>
          <w:jc w:val="center"/>
        </w:trPr>
        <w:tc>
          <w:tcPr>
            <w:tcW w:w="861" w:type="dxa"/>
            <w:vMerge w:val="continue"/>
            <w:shd w:val="clear" w:color="auto" w:fill="auto"/>
            <w:vAlign w:val="center"/>
          </w:tcPr>
          <w:p>
            <w:pPr>
              <w:widowControl/>
              <w:spacing w:line="240" w:lineRule="auto"/>
              <w:ind w:firstLine="0" w:firstLineChars="0"/>
              <w:jc w:val="center"/>
              <w:rPr>
                <w:rFonts w:hint="eastAsia"/>
                <w:color w:val="000000"/>
                <w:kern w:val="0"/>
                <w:sz w:val="22"/>
                <w:szCs w:val="22"/>
              </w:rPr>
            </w:pPr>
          </w:p>
        </w:tc>
        <w:tc>
          <w:tcPr>
            <w:tcW w:w="727" w:type="dxa"/>
            <w:vMerge w:val="continue"/>
            <w:shd w:val="clear" w:color="auto" w:fill="auto"/>
            <w:vAlign w:val="center"/>
          </w:tcPr>
          <w:p>
            <w:pPr>
              <w:widowControl/>
              <w:spacing w:line="240" w:lineRule="auto"/>
              <w:ind w:firstLine="0" w:firstLineChars="0"/>
              <w:jc w:val="center"/>
              <w:rPr>
                <w:rFonts w:hint="eastAsia"/>
                <w:color w:val="000000"/>
                <w:kern w:val="0"/>
                <w:sz w:val="22"/>
                <w:szCs w:val="22"/>
              </w:rPr>
            </w:pP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资金分配</w:t>
            </w:r>
          </w:p>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合理性</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①预算资金分配依据是否充分；</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②资金分配额度是否合理，与项目单位或地方实际是否相适应。</w:t>
            </w: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3</w:t>
            </w:r>
          </w:p>
        </w:tc>
        <w:tc>
          <w:tcPr>
            <w:tcW w:w="769"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513" w:hRule="atLeast"/>
          <w:jc w:val="center"/>
        </w:trPr>
        <w:tc>
          <w:tcPr>
            <w:tcW w:w="861" w:type="dxa"/>
            <w:vMerge w:val="restart"/>
            <w:shd w:val="clear" w:color="auto" w:fill="auto"/>
            <w:vAlign w:val="center"/>
          </w:tcPr>
          <w:p>
            <w:pPr>
              <w:spacing w:line="240" w:lineRule="auto"/>
              <w:ind w:firstLine="0" w:firstLineChars="0"/>
              <w:jc w:val="center"/>
              <w:rPr>
                <w:rFonts w:hint="eastAsia"/>
                <w:color w:val="000000"/>
                <w:kern w:val="0"/>
                <w:sz w:val="22"/>
                <w:szCs w:val="22"/>
              </w:rPr>
            </w:pPr>
            <w:r>
              <w:rPr>
                <w:rFonts w:hint="eastAsia"/>
                <w:color w:val="000000"/>
                <w:kern w:val="0"/>
                <w:sz w:val="22"/>
                <w:szCs w:val="22"/>
              </w:rPr>
              <w:t>过程</w:t>
            </w:r>
          </w:p>
        </w:tc>
        <w:tc>
          <w:tcPr>
            <w:tcW w:w="727" w:type="dxa"/>
            <w:vMerge w:val="restart"/>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资金管理</w:t>
            </w: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资金到位率</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782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资金到位率=（</w:t>
            </w:r>
          </w:p>
          <w:p>
            <w:pPr>
              <w:widowControl/>
              <w:spacing w:line="240" w:lineRule="auto"/>
              <w:ind w:firstLine="0" w:firstLineChars="0"/>
              <w:rPr>
                <w:rFonts w:hint="eastAsia"/>
                <w:color w:val="000000"/>
                <w:kern w:val="0"/>
                <w:sz w:val="22"/>
                <w:szCs w:val="22"/>
              </w:rPr>
            </w:pPr>
            <w:r>
              <w:rPr>
                <w:rFonts w:hint="eastAsia"/>
                <w:color w:val="000000"/>
                <w:kern w:val="0"/>
                <w:sz w:val="22"/>
                <w:szCs w:val="22"/>
              </w:rPr>
              <w:t>实际到位资金/预算资金）×100%。</w:t>
            </w:r>
          </w:p>
          <w:p>
            <w:pPr>
              <w:widowControl/>
              <w:spacing w:line="240" w:lineRule="auto"/>
              <w:ind w:firstLine="0" w:firstLineChars="0"/>
              <w:rPr>
                <w:rFonts w:hint="eastAsia"/>
                <w:color w:val="000000"/>
                <w:kern w:val="0"/>
                <w:sz w:val="22"/>
                <w:szCs w:val="22"/>
              </w:rPr>
            </w:pPr>
            <w:r>
              <w:rPr>
                <w:rFonts w:hint="eastAsia"/>
                <w:color w:val="000000"/>
                <w:kern w:val="0"/>
                <w:sz w:val="22"/>
                <w:szCs w:val="22"/>
              </w:rPr>
              <w:t>实际到位资金：一定时期（本年度或项目期）内落实到具体项目的资金。</w:t>
            </w:r>
          </w:p>
          <w:p>
            <w:pPr>
              <w:widowControl/>
              <w:spacing w:line="240" w:lineRule="auto"/>
              <w:ind w:firstLine="0" w:firstLineChars="0"/>
              <w:rPr>
                <w:rFonts w:hint="eastAsia"/>
                <w:color w:val="000000"/>
                <w:kern w:val="0"/>
                <w:sz w:val="22"/>
                <w:szCs w:val="22"/>
              </w:rPr>
            </w:pPr>
            <w:r>
              <w:rPr>
                <w:rFonts w:hint="eastAsia"/>
                <w:color w:val="000000"/>
                <w:kern w:val="0"/>
                <w:sz w:val="22"/>
                <w:szCs w:val="22"/>
              </w:rPr>
              <w:t>预算资金：一定时期（本年度或项目期）内预算安排到具体项目的资金。</w:t>
            </w: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4</w:t>
            </w:r>
          </w:p>
        </w:tc>
        <w:tc>
          <w:tcPr>
            <w:tcW w:w="769"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118" w:hRule="atLeast"/>
          <w:jc w:val="center"/>
        </w:trPr>
        <w:tc>
          <w:tcPr>
            <w:tcW w:w="861" w:type="dxa"/>
            <w:vMerge w:val="continue"/>
            <w:shd w:val="clear" w:color="auto" w:fill="auto"/>
            <w:vAlign w:val="center"/>
          </w:tcPr>
          <w:p>
            <w:pPr>
              <w:spacing w:line="240" w:lineRule="auto"/>
              <w:ind w:firstLine="0" w:firstLineChars="0"/>
              <w:jc w:val="center"/>
              <w:rPr>
                <w:rFonts w:hint="eastAsia"/>
                <w:color w:val="000000"/>
                <w:kern w:val="0"/>
                <w:sz w:val="22"/>
                <w:szCs w:val="22"/>
              </w:rPr>
            </w:pPr>
          </w:p>
        </w:tc>
        <w:tc>
          <w:tcPr>
            <w:tcW w:w="727" w:type="dxa"/>
            <w:vMerge w:val="continue"/>
            <w:shd w:val="clear" w:color="auto" w:fill="auto"/>
            <w:vAlign w:val="center"/>
          </w:tcPr>
          <w:p>
            <w:pPr>
              <w:spacing w:line="240" w:lineRule="auto"/>
              <w:ind w:firstLine="0" w:firstLineChars="0"/>
              <w:jc w:val="center"/>
              <w:rPr>
                <w:rFonts w:hint="eastAsia"/>
                <w:color w:val="000000"/>
                <w:kern w:val="0"/>
                <w:sz w:val="22"/>
                <w:szCs w:val="22"/>
              </w:rPr>
            </w:pP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预算执行率</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项目预算资金是否按照计划执行，用以反映或考核项目预算执行情况。</w:t>
            </w:r>
          </w:p>
        </w:tc>
        <w:tc>
          <w:tcPr>
            <w:tcW w:w="782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预算执行率=（实际支出资金/实际到位资金）×100%。</w:t>
            </w:r>
          </w:p>
          <w:p>
            <w:pPr>
              <w:widowControl/>
              <w:spacing w:line="240" w:lineRule="auto"/>
              <w:ind w:firstLine="0" w:firstLineChars="0"/>
              <w:rPr>
                <w:rFonts w:hint="eastAsia"/>
                <w:color w:val="000000"/>
                <w:kern w:val="0"/>
                <w:sz w:val="22"/>
                <w:szCs w:val="22"/>
              </w:rPr>
            </w:pPr>
            <w:r>
              <w:rPr>
                <w:rFonts w:hint="eastAsia"/>
                <w:color w:val="000000"/>
                <w:kern w:val="0"/>
                <w:sz w:val="22"/>
                <w:szCs w:val="22"/>
              </w:rPr>
              <w:t>实际支出资金：一定时期（本年度或项目期）内项目实际拨付的资金。</w:t>
            </w: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4</w:t>
            </w:r>
          </w:p>
        </w:tc>
        <w:tc>
          <w:tcPr>
            <w:tcW w:w="769"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670" w:hRule="atLeast"/>
          <w:jc w:val="center"/>
        </w:trPr>
        <w:tc>
          <w:tcPr>
            <w:tcW w:w="861" w:type="dxa"/>
            <w:vMerge w:val="restart"/>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　</w:t>
            </w:r>
          </w:p>
          <w:p>
            <w:pPr>
              <w:spacing w:line="240" w:lineRule="auto"/>
              <w:ind w:firstLine="0" w:firstLineChars="0"/>
              <w:jc w:val="center"/>
              <w:rPr>
                <w:rFonts w:hint="eastAsia"/>
                <w:color w:val="000000"/>
                <w:kern w:val="0"/>
                <w:sz w:val="22"/>
                <w:szCs w:val="22"/>
              </w:rPr>
            </w:pPr>
            <w:r>
              <w:rPr>
                <w:rFonts w:hint="eastAsia"/>
                <w:color w:val="000000"/>
                <w:kern w:val="0"/>
                <w:sz w:val="22"/>
                <w:szCs w:val="22"/>
              </w:rPr>
              <w:t>过程　</w:t>
            </w:r>
          </w:p>
        </w:tc>
        <w:tc>
          <w:tcPr>
            <w:tcW w:w="727"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资金管理</w:t>
            </w: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资金使用</w:t>
            </w:r>
          </w:p>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合规性</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782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①是否符合国家财经法规和财务管理制度以及有关专项资金管理办法的规定；</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②资金的拨付是否有完整的审批程序和手续；</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③是否符合项目预算批复或合同规定的用途；</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④是否存在截留、挤占、挪用、虚列支出等情况。</w:t>
            </w: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4</w:t>
            </w:r>
          </w:p>
        </w:tc>
        <w:tc>
          <w:tcPr>
            <w:tcW w:w="769"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61" w:type="dxa"/>
            <w:vMerge w:val="continue"/>
            <w:shd w:val="clear" w:color="auto" w:fill="auto"/>
            <w:vAlign w:val="center"/>
          </w:tcPr>
          <w:p>
            <w:pPr>
              <w:spacing w:line="240" w:lineRule="auto"/>
              <w:ind w:firstLine="0" w:firstLineChars="0"/>
              <w:jc w:val="center"/>
              <w:rPr>
                <w:rFonts w:hint="eastAsia"/>
                <w:color w:val="000000"/>
                <w:kern w:val="0"/>
                <w:sz w:val="22"/>
                <w:szCs w:val="22"/>
              </w:rPr>
            </w:pPr>
          </w:p>
        </w:tc>
        <w:tc>
          <w:tcPr>
            <w:tcW w:w="727" w:type="dxa"/>
            <w:vMerge w:val="restart"/>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组织实施</w:t>
            </w:r>
          </w:p>
          <w:p>
            <w:pPr>
              <w:spacing w:line="240" w:lineRule="auto"/>
              <w:ind w:firstLine="0" w:firstLineChars="0"/>
              <w:jc w:val="center"/>
              <w:rPr>
                <w:rFonts w:hint="eastAsia"/>
                <w:color w:val="000000"/>
                <w:kern w:val="0"/>
                <w:sz w:val="22"/>
                <w:szCs w:val="22"/>
              </w:rPr>
            </w:pPr>
            <w:r>
              <w:rPr>
                <w:rFonts w:hint="eastAsia"/>
                <w:color w:val="000000"/>
                <w:kern w:val="0"/>
                <w:sz w:val="22"/>
                <w:szCs w:val="22"/>
              </w:rPr>
              <w:t>　</w:t>
            </w: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管理制度</w:t>
            </w:r>
          </w:p>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健全性</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①是否已制定或具有相应的财务和业务管理制度；</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②财务和业务管理制度是否合法、合规、完整。</w:t>
            </w: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4</w:t>
            </w:r>
          </w:p>
        </w:tc>
        <w:tc>
          <w:tcPr>
            <w:tcW w:w="769"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687" w:hRule="atLeast"/>
          <w:jc w:val="center"/>
        </w:trPr>
        <w:tc>
          <w:tcPr>
            <w:tcW w:w="861" w:type="dxa"/>
            <w:vMerge w:val="continue"/>
            <w:shd w:val="clear" w:color="auto" w:fill="auto"/>
            <w:vAlign w:val="center"/>
          </w:tcPr>
          <w:p>
            <w:pPr>
              <w:widowControl/>
              <w:spacing w:line="240" w:lineRule="auto"/>
              <w:ind w:firstLine="0" w:firstLineChars="0"/>
              <w:jc w:val="center"/>
              <w:rPr>
                <w:rFonts w:hint="eastAsia"/>
                <w:color w:val="000000"/>
                <w:kern w:val="0"/>
                <w:sz w:val="22"/>
                <w:szCs w:val="22"/>
              </w:rPr>
            </w:pPr>
          </w:p>
        </w:tc>
        <w:tc>
          <w:tcPr>
            <w:tcW w:w="727" w:type="dxa"/>
            <w:vMerge w:val="continue"/>
            <w:shd w:val="clear" w:color="auto" w:fill="auto"/>
            <w:vAlign w:val="center"/>
          </w:tcPr>
          <w:p>
            <w:pPr>
              <w:widowControl/>
              <w:spacing w:line="240" w:lineRule="auto"/>
              <w:ind w:firstLine="0" w:firstLineChars="0"/>
              <w:jc w:val="center"/>
              <w:rPr>
                <w:rFonts w:hint="eastAsia"/>
                <w:color w:val="000000"/>
                <w:kern w:val="0"/>
                <w:sz w:val="22"/>
                <w:szCs w:val="22"/>
              </w:rPr>
            </w:pPr>
          </w:p>
        </w:tc>
        <w:tc>
          <w:tcPr>
            <w:tcW w:w="820" w:type="dxa"/>
            <w:shd w:val="clear" w:color="auto" w:fill="auto"/>
            <w:vAlign w:val="center"/>
          </w:tcPr>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制度执行</w:t>
            </w:r>
          </w:p>
          <w:p>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有效性</w:t>
            </w:r>
          </w:p>
        </w:tc>
        <w:tc>
          <w:tcPr>
            <w:tcW w:w="214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7821"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①是否遵守相关法律法规和相关管理规定；</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②项目调整及支出调整手续是否完备；</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③项目合同书、验收报告、技术鉴定等资料是否齐全并及时归档；</w:t>
            </w:r>
          </w:p>
          <w:p>
            <w:pPr>
              <w:widowControl/>
              <w:spacing w:line="240" w:lineRule="auto"/>
              <w:ind w:firstLine="0" w:firstLineChars="0"/>
              <w:rPr>
                <w:rFonts w:hint="eastAsia"/>
                <w:color w:val="000000"/>
                <w:kern w:val="0"/>
                <w:sz w:val="22"/>
                <w:szCs w:val="22"/>
              </w:rPr>
            </w:pPr>
            <w:r>
              <w:rPr>
                <w:rFonts w:hint="eastAsia"/>
                <w:color w:val="000000"/>
                <w:kern w:val="0"/>
                <w:sz w:val="22"/>
                <w:szCs w:val="22"/>
              </w:rPr>
              <w:t>④项目实施的人员条件、场地设备、信息支撑等是否落实到位。</w:t>
            </w:r>
          </w:p>
        </w:tc>
        <w:tc>
          <w:tcPr>
            <w:tcW w:w="785" w:type="dxa"/>
            <w:shd w:val="clear" w:color="auto" w:fill="auto"/>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4</w:t>
            </w:r>
          </w:p>
        </w:tc>
        <w:tc>
          <w:tcPr>
            <w:tcW w:w="769" w:type="dxa"/>
            <w:shd w:val="clear" w:color="auto" w:fill="auto"/>
            <w:vAlign w:val="center"/>
          </w:tcPr>
          <w:p>
            <w:pPr>
              <w:widowControl/>
              <w:spacing w:line="240" w:lineRule="auto"/>
              <w:ind w:firstLine="0" w:firstLineChars="0"/>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434" w:hRule="atLeast"/>
          <w:jc w:val="center"/>
        </w:trPr>
        <w:tc>
          <w:tcPr>
            <w:tcW w:w="861"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产出</w:t>
            </w:r>
          </w:p>
        </w:tc>
        <w:tc>
          <w:tcPr>
            <w:tcW w:w="727"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产出数量</w:t>
            </w:r>
          </w:p>
        </w:tc>
        <w:tc>
          <w:tcPr>
            <w:tcW w:w="820" w:type="dxa"/>
            <w:shd w:val="clear" w:color="auto" w:fill="auto"/>
            <w:vAlign w:val="center"/>
          </w:tcPr>
          <w:p>
            <w:pPr>
              <w:widowControl/>
              <w:spacing w:line="240" w:lineRule="auto"/>
              <w:ind w:firstLine="0" w:firstLineChars="0"/>
              <w:jc w:val="center"/>
              <w:rPr>
                <w:rFonts w:hint="eastAsia"/>
                <w:kern w:val="0"/>
                <w:sz w:val="22"/>
                <w:szCs w:val="22"/>
              </w:rPr>
            </w:pPr>
            <w:r>
              <w:rPr>
                <w:rFonts w:hint="eastAsia"/>
                <w:color w:val="000000"/>
                <w:kern w:val="0"/>
                <w:sz w:val="20"/>
                <w:szCs w:val="20"/>
              </w:rPr>
              <w:t>寄宿生家庭经济困难学生人数</w:t>
            </w:r>
          </w:p>
        </w:tc>
        <w:tc>
          <w:tcPr>
            <w:tcW w:w="214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项目实施的实际产出数与计划产出数的比率，用以反映和考核项目产出数量目标的实现程度。</w:t>
            </w:r>
          </w:p>
        </w:tc>
        <w:tc>
          <w:tcPr>
            <w:tcW w:w="782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实际完成率=（实际产出数/计划产出数）×100%。</w:t>
            </w:r>
          </w:p>
          <w:p>
            <w:pPr>
              <w:widowControl/>
              <w:spacing w:line="240" w:lineRule="auto"/>
              <w:ind w:firstLine="0" w:firstLineChars="0"/>
              <w:rPr>
                <w:rFonts w:hint="eastAsia"/>
                <w:kern w:val="0"/>
                <w:sz w:val="22"/>
                <w:szCs w:val="22"/>
              </w:rPr>
            </w:pPr>
            <w:r>
              <w:rPr>
                <w:rFonts w:hint="eastAsia"/>
                <w:kern w:val="0"/>
                <w:sz w:val="22"/>
                <w:szCs w:val="22"/>
              </w:rPr>
              <w:t>实际产出数：一定时期（本年度或项目期）内项目实际产出的产品或提供的服务数量。</w:t>
            </w:r>
          </w:p>
          <w:p>
            <w:pPr>
              <w:widowControl/>
              <w:spacing w:line="240" w:lineRule="auto"/>
              <w:ind w:firstLine="0" w:firstLineChars="0"/>
              <w:rPr>
                <w:rFonts w:hint="eastAsia"/>
                <w:kern w:val="0"/>
                <w:sz w:val="22"/>
                <w:szCs w:val="22"/>
              </w:rPr>
            </w:pPr>
            <w:r>
              <w:rPr>
                <w:rFonts w:hint="eastAsia"/>
                <w:kern w:val="0"/>
                <w:sz w:val="22"/>
                <w:szCs w:val="22"/>
              </w:rPr>
              <w:t>计划产出数：项目绩效目标确定的在一定时期（本年度或项目期）内计划产出的产品或提供的服务数量。</w:t>
            </w:r>
          </w:p>
        </w:tc>
        <w:tc>
          <w:tcPr>
            <w:tcW w:w="785" w:type="dxa"/>
            <w:shd w:val="clear" w:color="auto" w:fill="auto"/>
            <w:vAlign w:val="center"/>
          </w:tcPr>
          <w:p>
            <w:pPr>
              <w:widowControl/>
              <w:spacing w:line="240" w:lineRule="auto"/>
              <w:ind w:firstLine="0" w:firstLineChars="0"/>
              <w:rPr>
                <w:rFonts w:hint="eastAsia"/>
                <w:kern w:val="0"/>
                <w:sz w:val="22"/>
                <w:szCs w:val="22"/>
                <w:highlight w:val="none"/>
              </w:rPr>
            </w:pPr>
            <w:r>
              <w:rPr>
                <w:rFonts w:hint="eastAsia"/>
                <w:kern w:val="0"/>
                <w:sz w:val="22"/>
                <w:szCs w:val="22"/>
                <w:highlight w:val="none"/>
              </w:rPr>
              <w:t>5</w:t>
            </w:r>
          </w:p>
        </w:tc>
        <w:tc>
          <w:tcPr>
            <w:tcW w:w="769" w:type="dxa"/>
            <w:shd w:val="clear" w:color="auto" w:fill="auto"/>
            <w:vAlign w:val="center"/>
          </w:tcPr>
          <w:p>
            <w:pPr>
              <w:widowControl/>
              <w:spacing w:line="240" w:lineRule="auto"/>
              <w:ind w:firstLine="0" w:firstLineChars="0"/>
              <w:rPr>
                <w:rFonts w:hint="default" w:eastAsia="宋体"/>
                <w:kern w:val="0"/>
                <w:sz w:val="22"/>
                <w:szCs w:val="22"/>
                <w:highlight w:val="none"/>
                <w:lang w:val="en-US" w:eastAsia="zh-CN"/>
              </w:rPr>
            </w:pPr>
            <w:r>
              <w:rPr>
                <w:rFonts w:hint="eastAsia"/>
                <w:kern w:val="0"/>
                <w:sz w:val="22"/>
                <w:szCs w:val="22"/>
                <w:highlight w:val="none"/>
                <w:lang w:val="en-US" w:eastAsia="zh-CN"/>
              </w:rPr>
              <w:t>1.91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434" w:hRule="atLeast"/>
          <w:jc w:val="center"/>
        </w:trPr>
        <w:tc>
          <w:tcPr>
            <w:tcW w:w="861"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产出</w:t>
            </w:r>
          </w:p>
        </w:tc>
        <w:tc>
          <w:tcPr>
            <w:tcW w:w="727"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产出数量</w:t>
            </w:r>
          </w:p>
        </w:tc>
        <w:tc>
          <w:tcPr>
            <w:tcW w:w="820" w:type="dxa"/>
            <w:shd w:val="clear" w:color="auto" w:fill="auto"/>
            <w:vAlign w:val="center"/>
          </w:tcPr>
          <w:p>
            <w:pPr>
              <w:widowControl/>
              <w:spacing w:line="240" w:lineRule="auto"/>
              <w:ind w:firstLine="0" w:firstLineChars="0"/>
              <w:jc w:val="center"/>
              <w:rPr>
                <w:rFonts w:hint="eastAsia"/>
                <w:kern w:val="0"/>
                <w:sz w:val="22"/>
                <w:szCs w:val="22"/>
              </w:rPr>
            </w:pPr>
            <w:r>
              <w:rPr>
                <w:rFonts w:hint="eastAsia"/>
                <w:color w:val="000000"/>
                <w:kern w:val="0"/>
                <w:sz w:val="20"/>
                <w:szCs w:val="20"/>
              </w:rPr>
              <w:t>非寄宿生家庭经济困难学生人数</w:t>
            </w:r>
          </w:p>
        </w:tc>
        <w:tc>
          <w:tcPr>
            <w:tcW w:w="214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项目实施的实际产出数与计划产出数的比率，用以反映和考核项目产出数量目标的实现程度。</w:t>
            </w:r>
          </w:p>
        </w:tc>
        <w:tc>
          <w:tcPr>
            <w:tcW w:w="782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实际完成率=（实际产出数/计划产出数）×100%。</w:t>
            </w:r>
          </w:p>
          <w:p>
            <w:pPr>
              <w:widowControl/>
              <w:spacing w:line="240" w:lineRule="auto"/>
              <w:ind w:firstLine="0" w:firstLineChars="0"/>
              <w:rPr>
                <w:rFonts w:hint="eastAsia"/>
                <w:kern w:val="0"/>
                <w:sz w:val="22"/>
                <w:szCs w:val="22"/>
              </w:rPr>
            </w:pPr>
            <w:r>
              <w:rPr>
                <w:rFonts w:hint="eastAsia"/>
                <w:kern w:val="0"/>
                <w:sz w:val="22"/>
                <w:szCs w:val="22"/>
              </w:rPr>
              <w:t>实际产出数：一定时期（本年度或项目期）内项目实际产出的产品或提供的服务数量。</w:t>
            </w:r>
          </w:p>
          <w:p>
            <w:pPr>
              <w:widowControl/>
              <w:spacing w:line="240" w:lineRule="auto"/>
              <w:ind w:firstLine="0" w:firstLineChars="0"/>
              <w:rPr>
                <w:rFonts w:hint="eastAsia"/>
                <w:kern w:val="0"/>
                <w:sz w:val="22"/>
                <w:szCs w:val="22"/>
              </w:rPr>
            </w:pPr>
            <w:r>
              <w:rPr>
                <w:rFonts w:hint="eastAsia"/>
                <w:kern w:val="0"/>
                <w:sz w:val="22"/>
                <w:szCs w:val="22"/>
              </w:rPr>
              <w:t>计划产出数：项目绩效目标确定的在一定时期（本年度或项目期）内计划产出的产品或提供的服务数量。</w:t>
            </w:r>
          </w:p>
        </w:tc>
        <w:tc>
          <w:tcPr>
            <w:tcW w:w="785" w:type="dxa"/>
            <w:shd w:val="clear" w:color="auto" w:fill="auto"/>
            <w:vAlign w:val="center"/>
          </w:tcPr>
          <w:p>
            <w:pPr>
              <w:widowControl/>
              <w:spacing w:line="240" w:lineRule="auto"/>
              <w:ind w:firstLine="0" w:firstLineChars="0"/>
              <w:rPr>
                <w:rFonts w:hint="eastAsia"/>
                <w:kern w:val="0"/>
                <w:sz w:val="22"/>
                <w:szCs w:val="22"/>
                <w:highlight w:val="none"/>
              </w:rPr>
            </w:pPr>
            <w:r>
              <w:rPr>
                <w:rFonts w:hint="eastAsia"/>
                <w:kern w:val="0"/>
                <w:sz w:val="22"/>
                <w:szCs w:val="22"/>
                <w:highlight w:val="none"/>
              </w:rPr>
              <w:t>5</w:t>
            </w:r>
          </w:p>
        </w:tc>
        <w:tc>
          <w:tcPr>
            <w:tcW w:w="769" w:type="dxa"/>
            <w:shd w:val="clear" w:color="auto" w:fill="auto"/>
            <w:vAlign w:val="center"/>
          </w:tcPr>
          <w:p>
            <w:pPr>
              <w:widowControl/>
              <w:spacing w:line="240" w:lineRule="auto"/>
              <w:ind w:firstLine="0" w:firstLineChars="0"/>
              <w:rPr>
                <w:rFonts w:hint="default" w:eastAsia="宋体"/>
                <w:kern w:val="0"/>
                <w:sz w:val="22"/>
                <w:szCs w:val="22"/>
                <w:highlight w:val="none"/>
                <w:lang w:val="en-US" w:eastAsia="zh-CN"/>
              </w:rPr>
            </w:pPr>
            <w:r>
              <w:rPr>
                <w:rFonts w:hint="eastAsia"/>
                <w:kern w:val="0"/>
                <w:sz w:val="22"/>
                <w:szCs w:val="22"/>
                <w:highlight w:val="none"/>
                <w:lang w:val="en-US" w:eastAsia="zh-CN"/>
              </w:rPr>
              <w:t>4.62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3" w:hRule="atLeast"/>
          <w:jc w:val="center"/>
        </w:trPr>
        <w:tc>
          <w:tcPr>
            <w:tcW w:w="861" w:type="dxa"/>
            <w:vMerge w:val="restart"/>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产出</w:t>
            </w:r>
          </w:p>
        </w:tc>
        <w:tc>
          <w:tcPr>
            <w:tcW w:w="727"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产出质量</w:t>
            </w:r>
          </w:p>
        </w:tc>
        <w:tc>
          <w:tcPr>
            <w:tcW w:w="820" w:type="dxa"/>
            <w:shd w:val="clear" w:color="auto" w:fill="auto"/>
            <w:vAlign w:val="center"/>
          </w:tcPr>
          <w:p>
            <w:pPr>
              <w:widowControl/>
              <w:spacing w:line="240" w:lineRule="auto"/>
              <w:ind w:firstLine="0" w:firstLineChars="0"/>
              <w:jc w:val="center"/>
              <w:rPr>
                <w:rFonts w:hint="eastAsia" w:eastAsia="宋体"/>
                <w:kern w:val="0"/>
                <w:sz w:val="22"/>
                <w:szCs w:val="22"/>
                <w:lang w:eastAsia="zh-CN"/>
              </w:rPr>
            </w:pPr>
            <w:r>
              <w:rPr>
                <w:rFonts w:hint="eastAsia"/>
                <w:color w:val="000000"/>
                <w:kern w:val="0"/>
                <w:sz w:val="20"/>
                <w:szCs w:val="20"/>
              </w:rPr>
              <w:t>家庭经济困难学生享受生活补助政策</w:t>
            </w:r>
            <w:r>
              <w:rPr>
                <w:rFonts w:hint="eastAsia"/>
                <w:color w:val="000000"/>
                <w:kern w:val="0"/>
                <w:sz w:val="20"/>
                <w:szCs w:val="20"/>
                <w:lang w:eastAsia="zh-CN"/>
              </w:rPr>
              <w:t>比例</w:t>
            </w:r>
          </w:p>
        </w:tc>
        <w:tc>
          <w:tcPr>
            <w:tcW w:w="214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项目完成的质量达标产出数与实际产出数的比率，用以反映和考核项目产出质量目标的实现程度。</w:t>
            </w:r>
          </w:p>
        </w:tc>
        <w:tc>
          <w:tcPr>
            <w:tcW w:w="782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质量达标率=（质量达标产出数/实际产出数）×100%。</w:t>
            </w:r>
          </w:p>
          <w:p>
            <w:pPr>
              <w:widowControl/>
              <w:spacing w:line="240" w:lineRule="auto"/>
              <w:ind w:firstLine="0" w:firstLineChars="0"/>
              <w:rPr>
                <w:rFonts w:hint="eastAsia"/>
                <w:kern w:val="0"/>
                <w:sz w:val="22"/>
                <w:szCs w:val="22"/>
              </w:rPr>
            </w:pPr>
            <w:r>
              <w:rPr>
                <w:rFonts w:hint="eastAsia"/>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10</w:t>
            </w:r>
          </w:p>
        </w:tc>
        <w:tc>
          <w:tcPr>
            <w:tcW w:w="769"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3" w:hRule="atLeast"/>
          <w:jc w:val="center"/>
        </w:trPr>
        <w:tc>
          <w:tcPr>
            <w:tcW w:w="861" w:type="dxa"/>
            <w:vMerge w:val="continue"/>
            <w:shd w:val="clear" w:color="auto" w:fill="auto"/>
            <w:vAlign w:val="center"/>
          </w:tcPr>
          <w:p>
            <w:pPr>
              <w:widowControl/>
              <w:spacing w:line="240" w:lineRule="auto"/>
              <w:ind w:firstLine="0" w:firstLineChars="0"/>
              <w:jc w:val="center"/>
              <w:rPr>
                <w:rFonts w:hint="eastAsia"/>
                <w:kern w:val="0"/>
                <w:sz w:val="22"/>
                <w:szCs w:val="22"/>
              </w:rPr>
            </w:pPr>
          </w:p>
        </w:tc>
        <w:tc>
          <w:tcPr>
            <w:tcW w:w="727"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产出时效</w:t>
            </w:r>
          </w:p>
        </w:tc>
        <w:tc>
          <w:tcPr>
            <w:tcW w:w="820" w:type="dxa"/>
            <w:shd w:val="clear" w:color="auto" w:fill="auto"/>
            <w:vAlign w:val="center"/>
          </w:tcPr>
          <w:p>
            <w:pPr>
              <w:widowControl/>
              <w:spacing w:line="240" w:lineRule="auto"/>
              <w:ind w:firstLine="0" w:firstLineChars="0"/>
              <w:jc w:val="center"/>
              <w:rPr>
                <w:rFonts w:hint="eastAsia"/>
                <w:kern w:val="0"/>
                <w:sz w:val="22"/>
                <w:szCs w:val="22"/>
              </w:rPr>
            </w:pPr>
            <w:r>
              <w:rPr>
                <w:rFonts w:hint="eastAsia"/>
                <w:color w:val="000000"/>
                <w:kern w:val="0"/>
                <w:sz w:val="20"/>
                <w:szCs w:val="20"/>
              </w:rPr>
              <w:t>完成全年发放家庭经济困难学生补助时间</w:t>
            </w:r>
          </w:p>
        </w:tc>
        <w:tc>
          <w:tcPr>
            <w:tcW w:w="214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项目实际完成时间与计划完成时间的比较，用以反映和考核项目产出时效目标的实现程度。</w:t>
            </w:r>
          </w:p>
        </w:tc>
        <w:tc>
          <w:tcPr>
            <w:tcW w:w="782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实际完成时间：项目实施单位完成该项目实际所耗用的时间。</w:t>
            </w:r>
          </w:p>
          <w:p>
            <w:pPr>
              <w:widowControl/>
              <w:spacing w:line="240" w:lineRule="auto"/>
              <w:ind w:firstLine="0" w:firstLineChars="0"/>
              <w:rPr>
                <w:rFonts w:hint="eastAsia"/>
                <w:kern w:val="0"/>
                <w:sz w:val="22"/>
                <w:szCs w:val="22"/>
              </w:rPr>
            </w:pPr>
            <w:r>
              <w:rPr>
                <w:rFonts w:hint="eastAsia"/>
                <w:kern w:val="0"/>
                <w:sz w:val="22"/>
                <w:szCs w:val="22"/>
              </w:rPr>
              <w:t>计划完成时间：按照项目实施计划或相关规定完成该项目所需的时间。</w:t>
            </w:r>
          </w:p>
        </w:tc>
        <w:tc>
          <w:tcPr>
            <w:tcW w:w="785"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5</w:t>
            </w:r>
          </w:p>
        </w:tc>
        <w:tc>
          <w:tcPr>
            <w:tcW w:w="769"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61" w:type="dxa"/>
            <w:vMerge w:val="continue"/>
            <w:shd w:val="clear" w:color="auto" w:fill="auto"/>
            <w:vAlign w:val="center"/>
          </w:tcPr>
          <w:p>
            <w:pPr>
              <w:spacing w:line="240" w:lineRule="auto"/>
              <w:ind w:firstLine="0" w:firstLineChars="0"/>
              <w:jc w:val="center"/>
              <w:rPr>
                <w:rFonts w:hint="eastAsia"/>
                <w:kern w:val="0"/>
                <w:sz w:val="22"/>
                <w:szCs w:val="22"/>
              </w:rPr>
            </w:pPr>
          </w:p>
        </w:tc>
        <w:tc>
          <w:tcPr>
            <w:tcW w:w="727" w:type="dxa"/>
            <w:shd w:val="clear" w:color="auto" w:fill="auto"/>
            <w:vAlign w:val="center"/>
          </w:tcPr>
          <w:p>
            <w:pPr>
              <w:spacing w:line="240" w:lineRule="auto"/>
              <w:ind w:firstLine="0" w:firstLineChars="0"/>
              <w:jc w:val="center"/>
              <w:rPr>
                <w:rFonts w:hint="eastAsia"/>
                <w:kern w:val="0"/>
                <w:sz w:val="22"/>
                <w:szCs w:val="22"/>
              </w:rPr>
            </w:pPr>
            <w:r>
              <w:rPr>
                <w:rFonts w:hint="eastAsia"/>
                <w:kern w:val="0"/>
                <w:sz w:val="22"/>
                <w:szCs w:val="22"/>
              </w:rPr>
              <w:t>产出时效</w:t>
            </w:r>
          </w:p>
        </w:tc>
        <w:tc>
          <w:tcPr>
            <w:tcW w:w="820" w:type="dxa"/>
            <w:shd w:val="clear" w:color="auto" w:fill="auto"/>
            <w:vAlign w:val="center"/>
          </w:tcPr>
          <w:p>
            <w:pPr>
              <w:widowControl/>
              <w:spacing w:line="240" w:lineRule="auto"/>
              <w:ind w:firstLine="0" w:firstLineChars="0"/>
              <w:jc w:val="center"/>
              <w:rPr>
                <w:rFonts w:hint="eastAsia"/>
                <w:kern w:val="0"/>
                <w:sz w:val="22"/>
                <w:szCs w:val="22"/>
              </w:rPr>
            </w:pPr>
            <w:r>
              <w:rPr>
                <w:rFonts w:hint="eastAsia"/>
                <w:color w:val="000000"/>
                <w:kern w:val="0"/>
                <w:sz w:val="20"/>
                <w:szCs w:val="20"/>
              </w:rPr>
              <w:t>资金发放及时率</w:t>
            </w:r>
          </w:p>
        </w:tc>
        <w:tc>
          <w:tcPr>
            <w:tcW w:w="214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项目实际完成时间与计划完成时间的比较，用以反映和考核项目产出时效目标的实现程度。</w:t>
            </w:r>
          </w:p>
        </w:tc>
        <w:tc>
          <w:tcPr>
            <w:tcW w:w="782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实际完成时间：项目实施单位完成该项目实际所耗用的时间。</w:t>
            </w:r>
          </w:p>
          <w:p>
            <w:pPr>
              <w:widowControl/>
              <w:spacing w:line="240" w:lineRule="auto"/>
              <w:ind w:firstLine="0" w:firstLineChars="0"/>
              <w:rPr>
                <w:rFonts w:hint="eastAsia"/>
                <w:kern w:val="0"/>
                <w:sz w:val="22"/>
                <w:szCs w:val="22"/>
              </w:rPr>
            </w:pPr>
            <w:r>
              <w:rPr>
                <w:rFonts w:hint="eastAsia"/>
                <w:kern w:val="0"/>
                <w:sz w:val="22"/>
                <w:szCs w:val="22"/>
              </w:rPr>
              <w:t>计划完成时间：按照项目实施计划或相关规定完成该项目所需的时间。</w:t>
            </w:r>
          </w:p>
        </w:tc>
        <w:tc>
          <w:tcPr>
            <w:tcW w:w="785"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5</w:t>
            </w:r>
          </w:p>
        </w:tc>
        <w:tc>
          <w:tcPr>
            <w:tcW w:w="769"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continue"/>
            <w:shd w:val="clear" w:color="auto" w:fill="auto"/>
            <w:vAlign w:val="center"/>
          </w:tcPr>
          <w:p>
            <w:pPr>
              <w:widowControl/>
              <w:spacing w:line="240" w:lineRule="auto"/>
              <w:ind w:firstLine="0" w:firstLineChars="0"/>
              <w:jc w:val="center"/>
              <w:rPr>
                <w:rFonts w:hint="eastAsia"/>
                <w:kern w:val="0"/>
                <w:sz w:val="22"/>
                <w:szCs w:val="22"/>
              </w:rPr>
            </w:pPr>
          </w:p>
        </w:tc>
        <w:tc>
          <w:tcPr>
            <w:tcW w:w="727"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产出成本</w:t>
            </w:r>
          </w:p>
        </w:tc>
        <w:tc>
          <w:tcPr>
            <w:tcW w:w="820" w:type="dxa"/>
            <w:shd w:val="clear" w:color="auto" w:fill="auto"/>
            <w:vAlign w:val="center"/>
          </w:tcPr>
          <w:p>
            <w:pPr>
              <w:widowControl/>
              <w:spacing w:line="240" w:lineRule="auto"/>
              <w:ind w:firstLine="0" w:firstLineChars="0"/>
              <w:jc w:val="center"/>
              <w:rPr>
                <w:rFonts w:hint="eastAsia"/>
                <w:kern w:val="0"/>
                <w:sz w:val="22"/>
                <w:szCs w:val="22"/>
              </w:rPr>
            </w:pPr>
            <w:r>
              <w:rPr>
                <w:rFonts w:hint="eastAsia"/>
                <w:color w:val="000000"/>
                <w:kern w:val="0"/>
                <w:sz w:val="20"/>
                <w:szCs w:val="20"/>
              </w:rPr>
              <w:t>寄宿生补助标准</w:t>
            </w:r>
          </w:p>
        </w:tc>
        <w:tc>
          <w:tcPr>
            <w:tcW w:w="214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完成项目计划工作目标的实际节约成本与计划成本的比率，用以反映和考核项目的成本节约程度。</w:t>
            </w:r>
          </w:p>
        </w:tc>
        <w:tc>
          <w:tcPr>
            <w:tcW w:w="782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成本节约率=[（计划成本-实际成本）/计划成本]×100%。</w:t>
            </w:r>
          </w:p>
          <w:p>
            <w:pPr>
              <w:widowControl/>
              <w:spacing w:line="240" w:lineRule="auto"/>
              <w:ind w:firstLine="0" w:firstLineChars="0"/>
              <w:rPr>
                <w:rFonts w:hint="eastAsia"/>
                <w:kern w:val="0"/>
                <w:sz w:val="22"/>
                <w:szCs w:val="22"/>
              </w:rPr>
            </w:pPr>
            <w:r>
              <w:rPr>
                <w:rFonts w:hint="eastAsia"/>
                <w:kern w:val="0"/>
                <w:sz w:val="22"/>
                <w:szCs w:val="22"/>
              </w:rPr>
              <w:t>实际成本：项目实施单位如期、保质、保量完成既定工作目标实际所耗费的支出。</w:t>
            </w:r>
          </w:p>
          <w:p>
            <w:pPr>
              <w:widowControl/>
              <w:spacing w:line="240" w:lineRule="auto"/>
              <w:ind w:firstLine="0" w:firstLineChars="0"/>
              <w:rPr>
                <w:rFonts w:hint="eastAsia"/>
                <w:kern w:val="0"/>
                <w:sz w:val="22"/>
                <w:szCs w:val="22"/>
              </w:rPr>
            </w:pPr>
            <w:r>
              <w:rPr>
                <w:rFonts w:hint="eastAsia"/>
                <w:kern w:val="0"/>
                <w:sz w:val="22"/>
                <w:szCs w:val="22"/>
              </w:rPr>
              <w:t>计划成本：项目实施单位为完成工作目标计划安排的支出，一般以项目预算为参考。</w:t>
            </w:r>
          </w:p>
        </w:tc>
        <w:tc>
          <w:tcPr>
            <w:tcW w:w="785"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5</w:t>
            </w:r>
          </w:p>
        </w:tc>
        <w:tc>
          <w:tcPr>
            <w:tcW w:w="769"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continue"/>
            <w:shd w:val="clear" w:color="auto" w:fill="auto"/>
            <w:vAlign w:val="center"/>
          </w:tcPr>
          <w:p>
            <w:pPr>
              <w:widowControl/>
              <w:spacing w:line="240" w:lineRule="auto"/>
              <w:ind w:firstLine="0" w:firstLineChars="0"/>
              <w:jc w:val="center"/>
              <w:rPr>
                <w:rFonts w:hint="eastAsia"/>
                <w:kern w:val="0"/>
                <w:sz w:val="22"/>
                <w:szCs w:val="22"/>
              </w:rPr>
            </w:pPr>
          </w:p>
        </w:tc>
        <w:tc>
          <w:tcPr>
            <w:tcW w:w="727"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产出成本</w:t>
            </w:r>
          </w:p>
        </w:tc>
        <w:tc>
          <w:tcPr>
            <w:tcW w:w="820" w:type="dxa"/>
            <w:shd w:val="clear" w:color="auto" w:fill="auto"/>
            <w:vAlign w:val="center"/>
          </w:tcPr>
          <w:p>
            <w:pPr>
              <w:widowControl/>
              <w:spacing w:line="240" w:lineRule="auto"/>
              <w:ind w:firstLine="0" w:firstLineChars="0"/>
              <w:jc w:val="center"/>
              <w:rPr>
                <w:rFonts w:hint="eastAsia"/>
                <w:kern w:val="0"/>
                <w:sz w:val="22"/>
                <w:szCs w:val="22"/>
              </w:rPr>
            </w:pPr>
            <w:r>
              <w:rPr>
                <w:rFonts w:hint="eastAsia"/>
                <w:color w:val="000000"/>
                <w:kern w:val="0"/>
                <w:sz w:val="20"/>
                <w:szCs w:val="20"/>
              </w:rPr>
              <w:t>非寄宿生补助标准</w:t>
            </w:r>
          </w:p>
        </w:tc>
        <w:tc>
          <w:tcPr>
            <w:tcW w:w="214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完成项目计划工作目标的实际节约成本与计划成本的比率，用以反映和考核项目的成本节约程度。</w:t>
            </w:r>
          </w:p>
        </w:tc>
        <w:tc>
          <w:tcPr>
            <w:tcW w:w="7821" w:type="dxa"/>
            <w:shd w:val="clear" w:color="auto" w:fill="auto"/>
            <w:vAlign w:val="center"/>
          </w:tcPr>
          <w:p>
            <w:pPr>
              <w:widowControl/>
              <w:spacing w:line="240" w:lineRule="auto"/>
              <w:ind w:firstLine="0" w:firstLineChars="0"/>
              <w:rPr>
                <w:rFonts w:hint="eastAsia"/>
                <w:kern w:val="0"/>
                <w:sz w:val="22"/>
                <w:szCs w:val="22"/>
              </w:rPr>
            </w:pPr>
          </w:p>
          <w:p>
            <w:pPr>
              <w:widowControl/>
              <w:spacing w:line="240" w:lineRule="auto"/>
              <w:ind w:firstLine="0" w:firstLineChars="0"/>
              <w:rPr>
                <w:rFonts w:hint="eastAsia"/>
                <w:kern w:val="0"/>
                <w:sz w:val="22"/>
                <w:szCs w:val="22"/>
              </w:rPr>
            </w:pPr>
            <w:r>
              <w:rPr>
                <w:rFonts w:hint="eastAsia"/>
                <w:kern w:val="0"/>
                <w:sz w:val="22"/>
                <w:szCs w:val="22"/>
              </w:rPr>
              <w:t>成本节约率=[（计划成本-实际成本）/计划成本]×100%。</w:t>
            </w:r>
          </w:p>
          <w:p>
            <w:pPr>
              <w:widowControl/>
              <w:spacing w:line="240" w:lineRule="auto"/>
              <w:ind w:firstLine="0" w:firstLineChars="0"/>
              <w:rPr>
                <w:rFonts w:hint="eastAsia"/>
                <w:kern w:val="0"/>
                <w:sz w:val="22"/>
                <w:szCs w:val="22"/>
              </w:rPr>
            </w:pPr>
            <w:r>
              <w:rPr>
                <w:rFonts w:hint="eastAsia"/>
                <w:kern w:val="0"/>
                <w:sz w:val="22"/>
                <w:szCs w:val="22"/>
              </w:rPr>
              <w:t>实际成本：项目实施单位如期、保质、保量完成既定工作目标实际所耗费的支出。</w:t>
            </w:r>
          </w:p>
          <w:p>
            <w:pPr>
              <w:widowControl/>
              <w:spacing w:line="240" w:lineRule="auto"/>
              <w:ind w:firstLine="0" w:firstLineChars="0"/>
              <w:rPr>
                <w:rFonts w:hint="eastAsia"/>
                <w:kern w:val="0"/>
                <w:sz w:val="22"/>
                <w:szCs w:val="22"/>
              </w:rPr>
            </w:pPr>
            <w:r>
              <w:rPr>
                <w:rFonts w:hint="eastAsia"/>
                <w:kern w:val="0"/>
                <w:sz w:val="22"/>
                <w:szCs w:val="22"/>
              </w:rPr>
              <w:t>计划成本：项目实施单位为完成工作目标计划安排的支出，一般以项目预算为参考。</w:t>
            </w:r>
          </w:p>
        </w:tc>
        <w:tc>
          <w:tcPr>
            <w:tcW w:w="785"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5</w:t>
            </w:r>
          </w:p>
        </w:tc>
        <w:tc>
          <w:tcPr>
            <w:tcW w:w="769"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03" w:hRule="atLeast"/>
          <w:jc w:val="center"/>
        </w:trPr>
        <w:tc>
          <w:tcPr>
            <w:tcW w:w="861" w:type="dxa"/>
            <w:vMerge w:val="restart"/>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效益　</w:t>
            </w:r>
          </w:p>
        </w:tc>
        <w:tc>
          <w:tcPr>
            <w:tcW w:w="727" w:type="dxa"/>
            <w:vMerge w:val="restart"/>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项目效益　</w:t>
            </w:r>
          </w:p>
        </w:tc>
        <w:tc>
          <w:tcPr>
            <w:tcW w:w="820" w:type="dxa"/>
            <w:shd w:val="clear" w:color="auto" w:fill="auto"/>
            <w:vAlign w:val="center"/>
          </w:tcPr>
          <w:p>
            <w:pPr>
              <w:widowControl/>
              <w:spacing w:line="240" w:lineRule="auto"/>
              <w:ind w:firstLine="0" w:firstLineChars="0"/>
              <w:jc w:val="center"/>
              <w:rPr>
                <w:rFonts w:hint="eastAsia"/>
                <w:kern w:val="0"/>
                <w:sz w:val="22"/>
                <w:szCs w:val="22"/>
              </w:rPr>
            </w:pPr>
            <w:r>
              <w:rPr>
                <w:rFonts w:hint="eastAsia"/>
                <w:color w:val="000000"/>
                <w:kern w:val="0"/>
                <w:sz w:val="20"/>
                <w:szCs w:val="20"/>
              </w:rPr>
              <w:t>改善贫困生生活质量</w:t>
            </w:r>
          </w:p>
        </w:tc>
        <w:tc>
          <w:tcPr>
            <w:tcW w:w="2141" w:type="dxa"/>
            <w:shd w:val="clear" w:color="auto" w:fill="auto"/>
            <w:vAlign w:val="center"/>
          </w:tcPr>
          <w:p>
            <w:pPr>
              <w:widowControl/>
              <w:spacing w:line="240" w:lineRule="auto"/>
              <w:ind w:firstLine="0" w:firstLineChars="0"/>
              <w:jc w:val="left"/>
              <w:rPr>
                <w:rFonts w:hint="eastAsia"/>
                <w:kern w:val="0"/>
                <w:sz w:val="22"/>
                <w:szCs w:val="22"/>
              </w:rPr>
            </w:pPr>
            <w:r>
              <w:rPr>
                <w:rFonts w:hint="eastAsia"/>
                <w:kern w:val="0"/>
                <w:sz w:val="22"/>
                <w:szCs w:val="22"/>
              </w:rPr>
              <w:t>项目实施所产生的效益。</w:t>
            </w:r>
          </w:p>
        </w:tc>
        <w:tc>
          <w:tcPr>
            <w:tcW w:w="782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5</w:t>
            </w:r>
          </w:p>
        </w:tc>
        <w:tc>
          <w:tcPr>
            <w:tcW w:w="769"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pPr>
              <w:widowControl/>
              <w:spacing w:line="240" w:lineRule="auto"/>
              <w:ind w:firstLine="0" w:firstLineChars="0"/>
              <w:jc w:val="center"/>
              <w:rPr>
                <w:rFonts w:hint="eastAsia"/>
                <w:kern w:val="0"/>
                <w:sz w:val="22"/>
                <w:szCs w:val="22"/>
              </w:rPr>
            </w:pPr>
          </w:p>
        </w:tc>
        <w:tc>
          <w:tcPr>
            <w:tcW w:w="727" w:type="dxa"/>
            <w:vMerge w:val="continue"/>
            <w:shd w:val="clear" w:color="auto" w:fill="auto"/>
            <w:vAlign w:val="center"/>
          </w:tcPr>
          <w:p>
            <w:pPr>
              <w:widowControl/>
              <w:spacing w:line="240" w:lineRule="auto"/>
              <w:ind w:firstLine="0" w:firstLineChars="0"/>
              <w:jc w:val="center"/>
              <w:rPr>
                <w:rFonts w:hint="eastAsia"/>
                <w:kern w:val="0"/>
                <w:sz w:val="22"/>
                <w:szCs w:val="22"/>
              </w:rPr>
            </w:pPr>
          </w:p>
        </w:tc>
        <w:tc>
          <w:tcPr>
            <w:tcW w:w="820" w:type="dxa"/>
            <w:shd w:val="clear" w:color="auto" w:fill="auto"/>
            <w:vAlign w:val="center"/>
          </w:tcPr>
          <w:p>
            <w:pPr>
              <w:widowControl/>
              <w:spacing w:line="240" w:lineRule="auto"/>
              <w:ind w:firstLine="0" w:firstLineChars="0"/>
              <w:jc w:val="center"/>
              <w:rPr>
                <w:rFonts w:hint="eastAsia"/>
                <w:kern w:val="0"/>
                <w:sz w:val="22"/>
                <w:szCs w:val="22"/>
              </w:rPr>
            </w:pPr>
            <w:r>
              <w:rPr>
                <w:rFonts w:hint="eastAsia"/>
                <w:color w:val="000000"/>
                <w:kern w:val="0"/>
                <w:sz w:val="20"/>
                <w:szCs w:val="20"/>
              </w:rPr>
              <w:t>有效缓解家庭经济困难家庭的教育生活支出</w:t>
            </w:r>
          </w:p>
        </w:tc>
        <w:tc>
          <w:tcPr>
            <w:tcW w:w="2141" w:type="dxa"/>
            <w:shd w:val="clear" w:color="auto" w:fill="auto"/>
            <w:vAlign w:val="center"/>
          </w:tcPr>
          <w:p>
            <w:pPr>
              <w:widowControl/>
              <w:spacing w:line="240" w:lineRule="auto"/>
              <w:ind w:firstLine="0" w:firstLineChars="0"/>
              <w:jc w:val="left"/>
              <w:rPr>
                <w:rFonts w:hint="eastAsia"/>
                <w:kern w:val="0"/>
                <w:sz w:val="22"/>
                <w:szCs w:val="22"/>
              </w:rPr>
            </w:pPr>
            <w:r>
              <w:rPr>
                <w:rFonts w:hint="eastAsia"/>
                <w:kern w:val="0"/>
                <w:sz w:val="22"/>
                <w:szCs w:val="22"/>
              </w:rPr>
              <w:t>项目实施所产生的效益。</w:t>
            </w:r>
          </w:p>
        </w:tc>
        <w:tc>
          <w:tcPr>
            <w:tcW w:w="782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7</w:t>
            </w:r>
          </w:p>
        </w:tc>
        <w:tc>
          <w:tcPr>
            <w:tcW w:w="769"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pPr>
              <w:widowControl/>
              <w:spacing w:line="240" w:lineRule="auto"/>
              <w:ind w:firstLine="0" w:firstLineChars="0"/>
              <w:jc w:val="center"/>
              <w:rPr>
                <w:rFonts w:hint="eastAsia"/>
                <w:kern w:val="0"/>
                <w:sz w:val="22"/>
                <w:szCs w:val="22"/>
              </w:rPr>
            </w:pPr>
          </w:p>
        </w:tc>
        <w:tc>
          <w:tcPr>
            <w:tcW w:w="727" w:type="dxa"/>
            <w:vMerge w:val="continue"/>
            <w:shd w:val="clear" w:color="auto" w:fill="auto"/>
            <w:vAlign w:val="center"/>
          </w:tcPr>
          <w:p>
            <w:pPr>
              <w:widowControl/>
              <w:spacing w:line="240" w:lineRule="auto"/>
              <w:ind w:firstLine="0" w:firstLineChars="0"/>
              <w:jc w:val="center"/>
              <w:rPr>
                <w:rFonts w:hint="eastAsia"/>
                <w:kern w:val="0"/>
                <w:sz w:val="22"/>
                <w:szCs w:val="22"/>
              </w:rPr>
            </w:pPr>
          </w:p>
        </w:tc>
        <w:tc>
          <w:tcPr>
            <w:tcW w:w="820"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学生满意度</w:t>
            </w:r>
          </w:p>
        </w:tc>
        <w:tc>
          <w:tcPr>
            <w:tcW w:w="214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社会公众或服务对象对项目实施效果的满意程度。</w:t>
            </w:r>
          </w:p>
        </w:tc>
        <w:tc>
          <w:tcPr>
            <w:tcW w:w="7821"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社会公众或服务对象是指因该项目实施而受到影响的部门（单位）、群体或个人。一般采取社会调查的方式。</w:t>
            </w:r>
          </w:p>
        </w:tc>
        <w:tc>
          <w:tcPr>
            <w:tcW w:w="785" w:type="dxa"/>
            <w:shd w:val="clear" w:color="auto" w:fill="auto"/>
            <w:vAlign w:val="center"/>
          </w:tcPr>
          <w:p>
            <w:pPr>
              <w:widowControl/>
              <w:spacing w:line="240" w:lineRule="auto"/>
              <w:ind w:firstLine="0" w:firstLineChars="0"/>
              <w:rPr>
                <w:rFonts w:hint="eastAsia"/>
                <w:kern w:val="0"/>
                <w:sz w:val="22"/>
                <w:szCs w:val="22"/>
              </w:rPr>
            </w:pPr>
            <w:r>
              <w:rPr>
                <w:rFonts w:hint="eastAsia"/>
                <w:kern w:val="0"/>
                <w:sz w:val="22"/>
                <w:szCs w:val="22"/>
              </w:rPr>
              <w:t>8</w:t>
            </w:r>
          </w:p>
        </w:tc>
        <w:tc>
          <w:tcPr>
            <w:tcW w:w="769"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17" w:hRule="atLeast"/>
          <w:jc w:val="center"/>
        </w:trPr>
        <w:tc>
          <w:tcPr>
            <w:tcW w:w="4549" w:type="dxa"/>
            <w:gridSpan w:val="4"/>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合计</w:t>
            </w:r>
          </w:p>
        </w:tc>
        <w:tc>
          <w:tcPr>
            <w:tcW w:w="7821" w:type="dxa"/>
            <w:shd w:val="clear" w:color="auto" w:fill="auto"/>
            <w:vAlign w:val="center"/>
          </w:tcPr>
          <w:p>
            <w:pPr>
              <w:widowControl/>
              <w:spacing w:line="240" w:lineRule="auto"/>
              <w:ind w:firstLine="0" w:firstLineChars="0"/>
              <w:rPr>
                <w:rFonts w:hint="eastAsia"/>
                <w:kern w:val="0"/>
                <w:sz w:val="22"/>
                <w:szCs w:val="22"/>
              </w:rPr>
            </w:pPr>
          </w:p>
        </w:tc>
        <w:tc>
          <w:tcPr>
            <w:tcW w:w="785" w:type="dxa"/>
            <w:shd w:val="clear" w:color="auto" w:fill="auto"/>
            <w:vAlign w:val="center"/>
          </w:tcPr>
          <w:p>
            <w:pPr>
              <w:widowControl/>
              <w:spacing w:line="240" w:lineRule="auto"/>
              <w:ind w:firstLine="0" w:firstLineChars="0"/>
              <w:jc w:val="center"/>
              <w:rPr>
                <w:rFonts w:hint="eastAsia"/>
                <w:kern w:val="0"/>
                <w:sz w:val="22"/>
                <w:szCs w:val="22"/>
              </w:rPr>
            </w:pPr>
            <w:r>
              <w:rPr>
                <w:rFonts w:hint="eastAsia"/>
                <w:kern w:val="0"/>
                <w:sz w:val="22"/>
                <w:szCs w:val="22"/>
              </w:rPr>
              <w:t>100</w:t>
            </w:r>
          </w:p>
        </w:tc>
        <w:tc>
          <w:tcPr>
            <w:tcW w:w="769" w:type="dxa"/>
            <w:shd w:val="clear" w:color="auto" w:fill="auto"/>
            <w:vAlign w:val="center"/>
          </w:tcPr>
          <w:p>
            <w:pPr>
              <w:widowControl/>
              <w:spacing w:line="240" w:lineRule="auto"/>
              <w:ind w:firstLine="0" w:firstLineChars="0"/>
              <w:rPr>
                <w:rFonts w:hint="default" w:eastAsia="宋体"/>
                <w:kern w:val="0"/>
                <w:sz w:val="22"/>
                <w:szCs w:val="22"/>
                <w:highlight w:val="none"/>
                <w:lang w:val="en-US" w:eastAsia="zh-CN"/>
              </w:rPr>
            </w:pPr>
            <w:r>
              <w:rPr>
                <w:rFonts w:hint="eastAsia"/>
                <w:kern w:val="0"/>
                <w:sz w:val="22"/>
                <w:szCs w:val="22"/>
                <w:highlight w:val="none"/>
                <w:lang w:val="en-US" w:eastAsia="zh-CN"/>
              </w:rPr>
              <w:t>95.73</w:t>
            </w:r>
          </w:p>
        </w:tc>
      </w:tr>
    </w:tbl>
    <w:p>
      <w:pPr>
        <w:spacing w:line="560" w:lineRule="exact"/>
        <w:ind w:firstLine="0" w:firstLineChars="0"/>
        <w:rPr>
          <w:rFonts w:ascii="Times New Roman" w:hAnsi="Times New Roman" w:eastAsia="仿宋_GB2312" w:cs="Times New Roman"/>
          <w:sz w:val="30"/>
          <w:szCs w:val="24"/>
        </w:rPr>
      </w:pPr>
    </w:p>
    <w:p>
      <w:pPr>
        <w:spacing w:line="560" w:lineRule="exact"/>
        <w:ind w:firstLine="560"/>
        <w:rPr>
          <w:rFonts w:hint="eastAsia"/>
        </w:rPr>
      </w:pPr>
    </w:p>
    <w:sectPr>
      <w:pgSz w:w="16838" w:h="11906" w:orient="landscape"/>
      <w:pgMar w:top="1800" w:right="1440" w:bottom="1800" w:left="1440"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rPr>
                              <w:rFonts w:hint="eastAsia" w:eastAsia="仿宋_GB2312"/>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8"/>
                      <w:ind w:firstLine="360"/>
                      <w:rPr>
                        <w:rFonts w:hint="eastAsia" w:eastAsia="仿宋_GB2312"/>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1A0242"/>
    <w:rsid w:val="001A7D29"/>
    <w:rsid w:val="00301E8D"/>
    <w:rsid w:val="0042501F"/>
    <w:rsid w:val="004B7A8D"/>
    <w:rsid w:val="004F2D2F"/>
    <w:rsid w:val="007D6A04"/>
    <w:rsid w:val="007E257E"/>
    <w:rsid w:val="008A1CC1"/>
    <w:rsid w:val="00904686"/>
    <w:rsid w:val="00A024F5"/>
    <w:rsid w:val="00A20908"/>
    <w:rsid w:val="00C967EF"/>
    <w:rsid w:val="00DD02E7"/>
    <w:rsid w:val="00E16F2B"/>
    <w:rsid w:val="00E23C81"/>
    <w:rsid w:val="00E25E15"/>
    <w:rsid w:val="00E932F4"/>
    <w:rsid w:val="00EE7608"/>
    <w:rsid w:val="00F8759B"/>
    <w:rsid w:val="00F94BC8"/>
    <w:rsid w:val="00FA3199"/>
    <w:rsid w:val="01253350"/>
    <w:rsid w:val="01282B18"/>
    <w:rsid w:val="01282E62"/>
    <w:rsid w:val="014029CF"/>
    <w:rsid w:val="01470C4C"/>
    <w:rsid w:val="016F231D"/>
    <w:rsid w:val="02200440"/>
    <w:rsid w:val="02284B43"/>
    <w:rsid w:val="028C3E62"/>
    <w:rsid w:val="02B015E2"/>
    <w:rsid w:val="02DC08FA"/>
    <w:rsid w:val="03330769"/>
    <w:rsid w:val="033B569D"/>
    <w:rsid w:val="039C3BA0"/>
    <w:rsid w:val="03A845BB"/>
    <w:rsid w:val="03B45AD1"/>
    <w:rsid w:val="04D12EE4"/>
    <w:rsid w:val="04D63993"/>
    <w:rsid w:val="05957B96"/>
    <w:rsid w:val="063F6102"/>
    <w:rsid w:val="07890F4F"/>
    <w:rsid w:val="07EE6ADA"/>
    <w:rsid w:val="08892439"/>
    <w:rsid w:val="08EB30F3"/>
    <w:rsid w:val="09237408"/>
    <w:rsid w:val="09781BD6"/>
    <w:rsid w:val="09F359DF"/>
    <w:rsid w:val="0A575E65"/>
    <w:rsid w:val="0ACA0AB6"/>
    <w:rsid w:val="0AFC205C"/>
    <w:rsid w:val="0B8271BF"/>
    <w:rsid w:val="0C032502"/>
    <w:rsid w:val="0C27698C"/>
    <w:rsid w:val="0CE353ED"/>
    <w:rsid w:val="0D4452F3"/>
    <w:rsid w:val="0E292B39"/>
    <w:rsid w:val="0E5617C0"/>
    <w:rsid w:val="0F5E5042"/>
    <w:rsid w:val="0FE95707"/>
    <w:rsid w:val="10510571"/>
    <w:rsid w:val="10787A20"/>
    <w:rsid w:val="108672DE"/>
    <w:rsid w:val="10B35354"/>
    <w:rsid w:val="10CC40C1"/>
    <w:rsid w:val="10EC685A"/>
    <w:rsid w:val="10ED4569"/>
    <w:rsid w:val="11B00D0A"/>
    <w:rsid w:val="11E070F8"/>
    <w:rsid w:val="11FA6155"/>
    <w:rsid w:val="12CF0947"/>
    <w:rsid w:val="12F1313F"/>
    <w:rsid w:val="136C678E"/>
    <w:rsid w:val="13EB2FF5"/>
    <w:rsid w:val="143E781A"/>
    <w:rsid w:val="14ED4CAC"/>
    <w:rsid w:val="151F32C1"/>
    <w:rsid w:val="156E1C8F"/>
    <w:rsid w:val="15725168"/>
    <w:rsid w:val="15A46B04"/>
    <w:rsid w:val="165825BC"/>
    <w:rsid w:val="16BC5D73"/>
    <w:rsid w:val="176F36D7"/>
    <w:rsid w:val="1795226D"/>
    <w:rsid w:val="18456B1E"/>
    <w:rsid w:val="18506B2E"/>
    <w:rsid w:val="199A48E5"/>
    <w:rsid w:val="1B9545EB"/>
    <w:rsid w:val="1C1171C5"/>
    <w:rsid w:val="1D265138"/>
    <w:rsid w:val="1D7B6BCA"/>
    <w:rsid w:val="1DA41A79"/>
    <w:rsid w:val="1DF53469"/>
    <w:rsid w:val="1E2F24F2"/>
    <w:rsid w:val="1E58492F"/>
    <w:rsid w:val="1E5B6757"/>
    <w:rsid w:val="1E8373D6"/>
    <w:rsid w:val="1ED10AC6"/>
    <w:rsid w:val="1ED64D67"/>
    <w:rsid w:val="1F0F6A75"/>
    <w:rsid w:val="1F89225F"/>
    <w:rsid w:val="1F900A1F"/>
    <w:rsid w:val="1FB07E05"/>
    <w:rsid w:val="1FC0575D"/>
    <w:rsid w:val="206132C7"/>
    <w:rsid w:val="21484F20"/>
    <w:rsid w:val="21B00C1D"/>
    <w:rsid w:val="22284619"/>
    <w:rsid w:val="23031BEB"/>
    <w:rsid w:val="23917691"/>
    <w:rsid w:val="244D65B8"/>
    <w:rsid w:val="245E1E24"/>
    <w:rsid w:val="25AD5E5D"/>
    <w:rsid w:val="262477ED"/>
    <w:rsid w:val="26AA1ACC"/>
    <w:rsid w:val="2732478D"/>
    <w:rsid w:val="27661469"/>
    <w:rsid w:val="27900EAD"/>
    <w:rsid w:val="279B538A"/>
    <w:rsid w:val="286F545C"/>
    <w:rsid w:val="29314FBC"/>
    <w:rsid w:val="293E4198"/>
    <w:rsid w:val="296C6B91"/>
    <w:rsid w:val="2AA2081A"/>
    <w:rsid w:val="2C024B86"/>
    <w:rsid w:val="2C927671"/>
    <w:rsid w:val="2C9E20A7"/>
    <w:rsid w:val="2CC6306F"/>
    <w:rsid w:val="2D355E3C"/>
    <w:rsid w:val="2D7C5CD6"/>
    <w:rsid w:val="2E483E7E"/>
    <w:rsid w:val="2E690493"/>
    <w:rsid w:val="2E9854BD"/>
    <w:rsid w:val="2EAB64B1"/>
    <w:rsid w:val="2F0D407F"/>
    <w:rsid w:val="2F454B19"/>
    <w:rsid w:val="2FF16C60"/>
    <w:rsid w:val="310224D9"/>
    <w:rsid w:val="313C24EA"/>
    <w:rsid w:val="31B4621C"/>
    <w:rsid w:val="31E3230A"/>
    <w:rsid w:val="330957E0"/>
    <w:rsid w:val="33356F64"/>
    <w:rsid w:val="335F682B"/>
    <w:rsid w:val="336A2CE3"/>
    <w:rsid w:val="33944516"/>
    <w:rsid w:val="33FC7FC0"/>
    <w:rsid w:val="34B62907"/>
    <w:rsid w:val="34E51B07"/>
    <w:rsid w:val="36BD137C"/>
    <w:rsid w:val="36CE0624"/>
    <w:rsid w:val="37B4652D"/>
    <w:rsid w:val="38053EDF"/>
    <w:rsid w:val="380812A4"/>
    <w:rsid w:val="385D37E7"/>
    <w:rsid w:val="38782EDD"/>
    <w:rsid w:val="39601FFC"/>
    <w:rsid w:val="3B42664A"/>
    <w:rsid w:val="3CAD1E92"/>
    <w:rsid w:val="3D836A4E"/>
    <w:rsid w:val="3EA37E97"/>
    <w:rsid w:val="3EEB5E2F"/>
    <w:rsid w:val="3FBE0BC5"/>
    <w:rsid w:val="3FCF04CC"/>
    <w:rsid w:val="4048103A"/>
    <w:rsid w:val="40736643"/>
    <w:rsid w:val="40D24A7A"/>
    <w:rsid w:val="41811D83"/>
    <w:rsid w:val="41900B03"/>
    <w:rsid w:val="42621029"/>
    <w:rsid w:val="43424558"/>
    <w:rsid w:val="435241E2"/>
    <w:rsid w:val="436C7964"/>
    <w:rsid w:val="436F4D0F"/>
    <w:rsid w:val="43975C51"/>
    <w:rsid w:val="439E3FA7"/>
    <w:rsid w:val="44B32266"/>
    <w:rsid w:val="44FC64F4"/>
    <w:rsid w:val="467F4585"/>
    <w:rsid w:val="46E54B20"/>
    <w:rsid w:val="46FA697E"/>
    <w:rsid w:val="470628CB"/>
    <w:rsid w:val="4729480B"/>
    <w:rsid w:val="47496BD8"/>
    <w:rsid w:val="47555BD4"/>
    <w:rsid w:val="476055EE"/>
    <w:rsid w:val="477A493C"/>
    <w:rsid w:val="47BC2DB1"/>
    <w:rsid w:val="47E96399"/>
    <w:rsid w:val="47F76025"/>
    <w:rsid w:val="486E33F5"/>
    <w:rsid w:val="488109AF"/>
    <w:rsid w:val="48E12B50"/>
    <w:rsid w:val="497D63FE"/>
    <w:rsid w:val="499441BE"/>
    <w:rsid w:val="499A6C1C"/>
    <w:rsid w:val="4A195607"/>
    <w:rsid w:val="4A2138F0"/>
    <w:rsid w:val="4A583887"/>
    <w:rsid w:val="4B9F6E02"/>
    <w:rsid w:val="4C0209AC"/>
    <w:rsid w:val="4C89637B"/>
    <w:rsid w:val="4D0665C1"/>
    <w:rsid w:val="4D3C634C"/>
    <w:rsid w:val="4D7F1E58"/>
    <w:rsid w:val="4E6E48A8"/>
    <w:rsid w:val="4EEC036B"/>
    <w:rsid w:val="4F714FA1"/>
    <w:rsid w:val="4F9654F7"/>
    <w:rsid w:val="4FC77813"/>
    <w:rsid w:val="501D2673"/>
    <w:rsid w:val="50C80BF1"/>
    <w:rsid w:val="51852833"/>
    <w:rsid w:val="52F11AC8"/>
    <w:rsid w:val="534F49D9"/>
    <w:rsid w:val="53555F0F"/>
    <w:rsid w:val="535D23D5"/>
    <w:rsid w:val="536A1B87"/>
    <w:rsid w:val="5393684F"/>
    <w:rsid w:val="557244A2"/>
    <w:rsid w:val="56DA2CCE"/>
    <w:rsid w:val="56F4341A"/>
    <w:rsid w:val="575A7321"/>
    <w:rsid w:val="57A01540"/>
    <w:rsid w:val="580C3AB9"/>
    <w:rsid w:val="583C7AE0"/>
    <w:rsid w:val="586C1E9A"/>
    <w:rsid w:val="586E0800"/>
    <w:rsid w:val="59216F96"/>
    <w:rsid w:val="598C4145"/>
    <w:rsid w:val="59957D1B"/>
    <w:rsid w:val="59D4294E"/>
    <w:rsid w:val="5B634312"/>
    <w:rsid w:val="5B9D2CCD"/>
    <w:rsid w:val="5B9E71EA"/>
    <w:rsid w:val="5BEE4546"/>
    <w:rsid w:val="5DEC4074"/>
    <w:rsid w:val="5DEC5279"/>
    <w:rsid w:val="5E226FBC"/>
    <w:rsid w:val="5EF87417"/>
    <w:rsid w:val="5EFC6F9D"/>
    <w:rsid w:val="5F3140C6"/>
    <w:rsid w:val="5F92193A"/>
    <w:rsid w:val="5FE72BD2"/>
    <w:rsid w:val="60120613"/>
    <w:rsid w:val="610A0872"/>
    <w:rsid w:val="614D0248"/>
    <w:rsid w:val="618D5292"/>
    <w:rsid w:val="62143C96"/>
    <w:rsid w:val="62203BD8"/>
    <w:rsid w:val="622E78FA"/>
    <w:rsid w:val="63343F70"/>
    <w:rsid w:val="6377272F"/>
    <w:rsid w:val="63AE571B"/>
    <w:rsid w:val="63C139AA"/>
    <w:rsid w:val="64296E1C"/>
    <w:rsid w:val="64386FCC"/>
    <w:rsid w:val="645268DD"/>
    <w:rsid w:val="649E64A2"/>
    <w:rsid w:val="65E5270A"/>
    <w:rsid w:val="663D3C54"/>
    <w:rsid w:val="667A6962"/>
    <w:rsid w:val="66862C89"/>
    <w:rsid w:val="66BB486D"/>
    <w:rsid w:val="66D24457"/>
    <w:rsid w:val="67394C7D"/>
    <w:rsid w:val="68126B38"/>
    <w:rsid w:val="68291A1A"/>
    <w:rsid w:val="68352BB8"/>
    <w:rsid w:val="691327EB"/>
    <w:rsid w:val="691B1594"/>
    <w:rsid w:val="693A016B"/>
    <w:rsid w:val="69F02239"/>
    <w:rsid w:val="6A17429C"/>
    <w:rsid w:val="6A567EA3"/>
    <w:rsid w:val="6A9A6DF4"/>
    <w:rsid w:val="6B4B4368"/>
    <w:rsid w:val="6B79100E"/>
    <w:rsid w:val="6C7D3B09"/>
    <w:rsid w:val="6C844C00"/>
    <w:rsid w:val="6E0430DC"/>
    <w:rsid w:val="6E10212C"/>
    <w:rsid w:val="6E43561A"/>
    <w:rsid w:val="6E557973"/>
    <w:rsid w:val="6E9568DB"/>
    <w:rsid w:val="6F0D6C22"/>
    <w:rsid w:val="6F47657F"/>
    <w:rsid w:val="6FAF23D9"/>
    <w:rsid w:val="70635CF6"/>
    <w:rsid w:val="70670707"/>
    <w:rsid w:val="719A28E2"/>
    <w:rsid w:val="720E3691"/>
    <w:rsid w:val="7249173A"/>
    <w:rsid w:val="724E244C"/>
    <w:rsid w:val="72DA6946"/>
    <w:rsid w:val="732764B3"/>
    <w:rsid w:val="732E17C0"/>
    <w:rsid w:val="735C671B"/>
    <w:rsid w:val="73900D29"/>
    <w:rsid w:val="74026044"/>
    <w:rsid w:val="74037F3A"/>
    <w:rsid w:val="74325A77"/>
    <w:rsid w:val="74746410"/>
    <w:rsid w:val="75C8506C"/>
    <w:rsid w:val="75E5007C"/>
    <w:rsid w:val="75EF4C3D"/>
    <w:rsid w:val="764266E2"/>
    <w:rsid w:val="76CD25F5"/>
    <w:rsid w:val="77272A2C"/>
    <w:rsid w:val="77636B63"/>
    <w:rsid w:val="77813724"/>
    <w:rsid w:val="77861774"/>
    <w:rsid w:val="78820EDF"/>
    <w:rsid w:val="78F31435"/>
    <w:rsid w:val="79300B45"/>
    <w:rsid w:val="794D3E18"/>
    <w:rsid w:val="79F3729A"/>
    <w:rsid w:val="7A880722"/>
    <w:rsid w:val="7ABE6120"/>
    <w:rsid w:val="7ACB0498"/>
    <w:rsid w:val="7AD93EE7"/>
    <w:rsid w:val="7AED0B4D"/>
    <w:rsid w:val="7B653514"/>
    <w:rsid w:val="7C1E4487"/>
    <w:rsid w:val="7C215E02"/>
    <w:rsid w:val="7CF23764"/>
    <w:rsid w:val="7D851A94"/>
    <w:rsid w:val="7E014104"/>
    <w:rsid w:val="7E797F74"/>
    <w:rsid w:val="7F924011"/>
    <w:rsid w:val="7FC52DC2"/>
    <w:rsid w:val="7FF57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3">
    <w:name w:val="heading 2"/>
    <w:basedOn w:val="1"/>
    <w:next w:val="1"/>
    <w:link w:val="20"/>
    <w:unhideWhenUsed/>
    <w:qFormat/>
    <w:uiPriority w:val="0"/>
    <w:pPr>
      <w:keepNext/>
      <w:keepLines/>
      <w:spacing w:line="560" w:lineRule="exact"/>
      <w:ind w:firstLine="964"/>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cs="Times New Roman"/>
    </w:rPr>
  </w:style>
  <w:style w:type="paragraph" w:styleId="13">
    <w:name w:val="Normal (Web)"/>
    <w:basedOn w:val="1"/>
    <w:qFormat/>
    <w:uiPriority w:val="0"/>
    <w:pPr>
      <w:spacing w:beforeAutospacing="1" w:after="0" w:afterAutospacing="1"/>
      <w:jc w:val="left"/>
    </w:pPr>
    <w:rPr>
      <w:rFonts w:cs="Times New Roman"/>
      <w:kern w:val="0"/>
      <w:sz w:val="24"/>
    </w:rPr>
  </w:style>
  <w:style w:type="paragraph" w:styleId="14">
    <w:name w:val="Title"/>
    <w:basedOn w:val="1"/>
    <w:next w:val="1"/>
    <w:qFormat/>
    <w:uiPriority w:val="0"/>
    <w:pPr>
      <w:spacing w:before="240" w:after="60"/>
      <w:jc w:val="left"/>
      <w:outlineLvl w:val="0"/>
    </w:pPr>
    <w:rPr>
      <w:rFonts w:ascii="MS Sans Serif" w:hAnsi="MS Sans Serif" w:cs="MS Sans Serif"/>
      <w:b/>
      <w:bCs/>
      <w:sz w:val="24"/>
      <w:szCs w:val="32"/>
    </w:rPr>
  </w:style>
  <w:style w:type="paragraph" w:styleId="15">
    <w:name w:val="Body Text First Indent"/>
    <w:basedOn w:val="6"/>
    <w:qFormat/>
    <w:uiPriority w:val="0"/>
    <w:pPr>
      <w:spacing w:after="0"/>
      <w:ind w:firstLine="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字符"/>
    <w:link w:val="3"/>
    <w:qFormat/>
    <w:uiPriority w:val="0"/>
    <w:rPr>
      <w:rFonts w:ascii="Arial" w:hAnsi="Arial" w:eastAsia="楷体"/>
      <w:b/>
      <w:sz w:val="32"/>
    </w:rPr>
  </w:style>
  <w:style w:type="paragraph" w:customStyle="1" w:styleId="21">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2">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character" w:customStyle="1" w:styleId="24">
    <w:name w:val="font61"/>
    <w:basedOn w:val="17"/>
    <w:qFormat/>
    <w:uiPriority w:val="0"/>
    <w:rPr>
      <w:rFonts w:ascii="宋体" w:hAnsi="宋体" w:eastAsia="宋体" w:cs="宋体"/>
      <w:color w:val="000000"/>
      <w:sz w:val="20"/>
      <w:szCs w:val="20"/>
      <w:u w:val="none"/>
    </w:rPr>
  </w:style>
  <w:style w:type="character" w:customStyle="1" w:styleId="25">
    <w:name w:val="font41"/>
    <w:basedOn w:val="17"/>
    <w:qFormat/>
    <w:uiPriority w:val="0"/>
    <w:rPr>
      <w:rFonts w:hint="eastAsia" w:ascii="宋体" w:hAnsi="宋体" w:eastAsia="宋体" w:cs="宋体"/>
      <w:color w:val="000000"/>
      <w:sz w:val="20"/>
      <w:szCs w:val="20"/>
      <w:u w:val="none"/>
    </w:rPr>
  </w:style>
  <w:style w:type="character" w:customStyle="1" w:styleId="26">
    <w:name w:val="font3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10995</Words>
  <Characters>11699</Characters>
  <Lines>27</Lines>
  <Paragraphs>35</Paragraphs>
  <TotalTime>1</TotalTime>
  <ScaleCrop>false</ScaleCrop>
  <LinksUpToDate>false</LinksUpToDate>
  <CharactersWithSpaces>11775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飞一样的城</cp:lastModifiedBy>
  <dcterms:modified xsi:type="dcterms:W3CDTF">2025-12-04T11:14:56Z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