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2D17C">
      <w:pPr>
        <w:spacing w:line="560" w:lineRule="exact"/>
        <w:ind w:firstLine="1142" w:firstLineChars="316"/>
        <w:jc w:val="center"/>
        <w:rPr>
          <w:rFonts w:hint="eastAsia"/>
          <w:b/>
          <w:bCs/>
          <w:color w:val="000000" w:themeColor="text1"/>
          <w:sz w:val="36"/>
          <w:szCs w:val="36"/>
          <w14:textFill>
            <w14:solidFill>
              <w14:schemeClr w14:val="tx1"/>
            </w14:solidFill>
          </w14:textFill>
        </w:rPr>
      </w:pPr>
    </w:p>
    <w:p w14:paraId="41DB4E53">
      <w:pPr>
        <w:spacing w:line="560" w:lineRule="exact"/>
        <w:jc w:val="center"/>
        <w:rPr>
          <w:rFonts w:hint="eastAsia"/>
          <w:b/>
          <w:bCs/>
          <w:color w:val="000000" w:themeColor="text1"/>
          <w:sz w:val="36"/>
          <w:szCs w:val="36"/>
          <w14:textFill>
            <w14:solidFill>
              <w14:schemeClr w14:val="tx1"/>
            </w14:solidFill>
          </w14:textFill>
        </w:rPr>
      </w:pPr>
    </w:p>
    <w:p w14:paraId="15589C8C">
      <w:pPr>
        <w:spacing w:line="560" w:lineRule="exact"/>
        <w:jc w:val="center"/>
        <w:rPr>
          <w:rFonts w:hint="eastAsia"/>
          <w:b/>
          <w:bCs/>
          <w:sz w:val="36"/>
          <w:szCs w:val="36"/>
        </w:rPr>
      </w:pPr>
    </w:p>
    <w:p w14:paraId="037A6AE6">
      <w:pPr>
        <w:spacing w:line="560" w:lineRule="exact"/>
        <w:ind w:firstLine="803"/>
        <w:jc w:val="center"/>
        <w:outlineLvl w:val="0"/>
        <w:rPr>
          <w:rFonts w:hint="eastAsia"/>
          <w:b/>
          <w:bCs/>
          <w:sz w:val="40"/>
          <w:szCs w:val="40"/>
        </w:rPr>
      </w:pPr>
      <w:bookmarkStart w:id="0" w:name="_Toc29123"/>
      <w:bookmarkStart w:id="1" w:name="_Toc15679"/>
      <w:bookmarkStart w:id="2" w:name="_Toc25575"/>
      <w:bookmarkStart w:id="3" w:name="_Toc1949"/>
      <w:r>
        <w:rPr>
          <w:rFonts w:hint="eastAsia"/>
          <w:b/>
          <w:bCs/>
          <w:sz w:val="40"/>
          <w:szCs w:val="40"/>
          <w:lang w:eastAsia="zh-CN"/>
        </w:rPr>
        <w:t>昌州财教【2023】90号（保民生）提前下达2024年城乡义务教育补助经费（中央直达资金）公用经费</w:t>
      </w:r>
      <w:r>
        <w:rPr>
          <w:rFonts w:hint="eastAsia"/>
          <w:b/>
          <w:bCs/>
          <w:sz w:val="40"/>
          <w:szCs w:val="40"/>
        </w:rPr>
        <w:t>项目支出绩效评价报告</w:t>
      </w:r>
      <w:bookmarkEnd w:id="0"/>
      <w:bookmarkEnd w:id="1"/>
      <w:bookmarkEnd w:id="2"/>
      <w:bookmarkEnd w:id="3"/>
    </w:p>
    <w:p w14:paraId="0A63AA56">
      <w:pPr>
        <w:spacing w:line="560" w:lineRule="exact"/>
        <w:jc w:val="center"/>
        <w:rPr>
          <w:rFonts w:hint="eastAsia"/>
          <w:b/>
          <w:bCs/>
          <w:sz w:val="36"/>
          <w:szCs w:val="36"/>
        </w:rPr>
      </w:pPr>
    </w:p>
    <w:p w14:paraId="2C8A623C">
      <w:pPr>
        <w:spacing w:line="560" w:lineRule="exact"/>
        <w:jc w:val="center"/>
        <w:rPr>
          <w:rFonts w:hint="eastAsia"/>
          <w:b/>
          <w:bCs/>
          <w:color w:val="000000" w:themeColor="text1"/>
          <w:sz w:val="36"/>
          <w:szCs w:val="36"/>
          <w14:textFill>
            <w14:solidFill>
              <w14:schemeClr w14:val="tx1"/>
            </w14:solidFill>
          </w14:textFill>
        </w:rPr>
      </w:pPr>
    </w:p>
    <w:p w14:paraId="53E76C17">
      <w:pPr>
        <w:spacing w:line="560" w:lineRule="exact"/>
        <w:jc w:val="center"/>
        <w:rPr>
          <w:rFonts w:hint="eastAsia"/>
          <w:b/>
          <w:bCs/>
          <w:color w:val="000000" w:themeColor="text1"/>
          <w:sz w:val="36"/>
          <w:szCs w:val="36"/>
          <w14:textFill>
            <w14:solidFill>
              <w14:schemeClr w14:val="tx1"/>
            </w14:solidFill>
          </w14:textFill>
        </w:rPr>
      </w:pPr>
    </w:p>
    <w:p w14:paraId="2CB480F2">
      <w:pPr>
        <w:spacing w:line="560" w:lineRule="exact"/>
        <w:jc w:val="center"/>
        <w:rPr>
          <w:rFonts w:hint="eastAsia"/>
          <w:b/>
          <w:bCs/>
          <w:color w:val="000000" w:themeColor="text1"/>
          <w:sz w:val="36"/>
          <w:szCs w:val="36"/>
          <w14:textFill>
            <w14:solidFill>
              <w14:schemeClr w14:val="tx1"/>
            </w14:solidFill>
          </w14:textFill>
        </w:rPr>
      </w:pPr>
    </w:p>
    <w:p w14:paraId="23C39CDB">
      <w:pPr>
        <w:spacing w:line="560" w:lineRule="exact"/>
        <w:jc w:val="center"/>
        <w:rPr>
          <w:rFonts w:hint="eastAsia"/>
          <w:b/>
          <w:bCs/>
          <w:color w:val="000000" w:themeColor="text1"/>
          <w:sz w:val="36"/>
          <w:szCs w:val="36"/>
          <w14:textFill>
            <w14:solidFill>
              <w14:schemeClr w14:val="tx1"/>
            </w14:solidFill>
          </w14:textFill>
        </w:rPr>
      </w:pPr>
    </w:p>
    <w:p w14:paraId="22654857">
      <w:pPr>
        <w:spacing w:line="560" w:lineRule="exact"/>
        <w:jc w:val="center"/>
        <w:rPr>
          <w:rFonts w:hint="eastAsia"/>
          <w:b/>
          <w:bCs/>
          <w:color w:val="000000" w:themeColor="text1"/>
          <w:sz w:val="36"/>
          <w:szCs w:val="36"/>
          <w14:textFill>
            <w14:solidFill>
              <w14:schemeClr w14:val="tx1"/>
            </w14:solidFill>
          </w14:textFill>
        </w:rPr>
      </w:pPr>
    </w:p>
    <w:p w14:paraId="2294EFB9">
      <w:pPr>
        <w:ind w:firstLine="0" w:firstLineChars="0"/>
        <w:jc w:val="left"/>
        <w:rPr>
          <w:rFonts w:hint="eastAsia" w:ascii="黑体" w:hAnsi="Times New Roman" w:eastAsia="黑体"/>
          <w:bCs/>
          <w:color w:val="000000"/>
          <w:sz w:val="30"/>
          <w:szCs w:val="30"/>
          <w:lang w:eastAsia="zh-CN"/>
        </w:rPr>
      </w:pPr>
      <w:r>
        <w:rPr>
          <w:rFonts w:hint="eastAsia" w:ascii="黑体" w:hAnsi="Times New Roman" w:eastAsia="黑体"/>
          <w:bCs/>
          <w:color w:val="000000"/>
          <w:sz w:val="30"/>
          <w:szCs w:val="30"/>
        </w:rPr>
        <w:t>项目名称：</w:t>
      </w:r>
      <w:r>
        <w:rPr>
          <w:rFonts w:hint="eastAsia" w:ascii="黑体" w:hAnsi="Times New Roman" w:eastAsia="黑体"/>
          <w:bCs/>
          <w:color w:val="000000"/>
          <w:sz w:val="30"/>
          <w:szCs w:val="30"/>
          <w:lang w:eastAsia="zh-CN"/>
        </w:rPr>
        <w:t>昌州财教【2023】90号（保民生）提前下达2024年城乡义务教育补助经费（中央直达资金）公用经费</w:t>
      </w:r>
    </w:p>
    <w:p w14:paraId="46BD55F0">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实施单位：阜康市第三中学</w:t>
      </w:r>
    </w:p>
    <w:p w14:paraId="6896A7D6">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主管部门：阜康市教育局</w:t>
      </w:r>
    </w:p>
    <w:p w14:paraId="76B199CD">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项目负责人：姜莉</w:t>
      </w:r>
    </w:p>
    <w:p w14:paraId="16663E3E">
      <w:pPr>
        <w:ind w:firstLine="0" w:firstLineChars="0"/>
        <w:jc w:val="left"/>
        <w:rPr>
          <w:rFonts w:hint="eastAsia"/>
          <w:bCs/>
        </w:rPr>
      </w:pPr>
      <w:r>
        <w:rPr>
          <w:rFonts w:hint="eastAsia" w:ascii="黑体" w:hAnsi="Times New Roman" w:eastAsia="黑体"/>
          <w:bCs/>
          <w:sz w:val="30"/>
          <w:szCs w:val="30"/>
        </w:rPr>
        <w:t>填报时间：2025年3月31日</w:t>
      </w:r>
    </w:p>
    <w:p w14:paraId="0BECED1A">
      <w:pPr>
        <w:spacing w:line="560" w:lineRule="exact"/>
        <w:ind w:firstLine="560"/>
        <w:rPr>
          <w:rFonts w:hint="eastAsia"/>
        </w:rPr>
      </w:pPr>
      <w:r>
        <w:rPr>
          <w:rFonts w:hint="eastAsia"/>
        </w:rPr>
        <w:br w:type="page"/>
      </w:r>
    </w:p>
    <w:sdt>
      <w:sdtPr>
        <w:rPr>
          <w:b/>
          <w:bCs/>
          <w:szCs w:val="40"/>
        </w:rPr>
        <w:id w:val="147474046"/>
        <w15:color w:val="DBDBDB"/>
        <w:docPartObj>
          <w:docPartGallery w:val="Table of Contents"/>
          <w:docPartUnique/>
        </w:docPartObj>
      </w:sdtPr>
      <w:sdtEndPr>
        <w:rPr>
          <w:rFonts w:hint="eastAsia"/>
          <w:b/>
          <w:bCs/>
          <w:szCs w:val="28"/>
        </w:rPr>
      </w:sdtEndPr>
      <w:sdtContent>
        <w:p w14:paraId="05195621">
          <w:pPr>
            <w:spacing w:after="0" w:line="560" w:lineRule="exact"/>
            <w:ind w:firstLine="0" w:firstLineChars="0"/>
            <w:jc w:val="center"/>
            <w:rPr>
              <w:rFonts w:hint="eastAsia"/>
              <w:b/>
              <w:bCs/>
              <w:sz w:val="40"/>
              <w:szCs w:val="40"/>
            </w:rPr>
          </w:pPr>
          <w:r>
            <w:rPr>
              <w:b/>
              <w:bCs/>
              <w:sz w:val="40"/>
              <w:szCs w:val="40"/>
            </w:rPr>
            <w:t>目录</w:t>
          </w:r>
        </w:p>
        <w:p w14:paraId="3809EACF">
          <w:pPr>
            <w:pStyle w:val="10"/>
            <w:tabs>
              <w:tab w:val="right" w:leader="dot" w:pos="8844"/>
            </w:tabs>
            <w:ind w:firstLine="560"/>
            <w:rPr>
              <w:rFonts w:hint="eastAsia"/>
            </w:rPr>
          </w:pPr>
          <w:r>
            <w:rPr>
              <w:rFonts w:hint="eastAsia"/>
            </w:rPr>
            <w:fldChar w:fldCharType="begin"/>
          </w:r>
          <w:r>
            <w:rPr>
              <w:rFonts w:hint="eastAsia"/>
            </w:rPr>
            <w:instrText xml:space="preserve">TOC \o "1-3" \h \u </w:instrText>
          </w:r>
          <w:r>
            <w:rPr>
              <w:rFonts w:hint="eastAsia"/>
            </w:rPr>
            <w:fldChar w:fldCharType="separate"/>
          </w:r>
        </w:p>
        <w:p w14:paraId="6F81D13A">
          <w:pPr>
            <w:pStyle w:val="10"/>
            <w:tabs>
              <w:tab w:val="right" w:leader="dot" w:pos="8844"/>
            </w:tabs>
            <w:ind w:firstLine="560"/>
            <w:rPr>
              <w:rFonts w:hint="eastAsia"/>
            </w:rPr>
          </w:pPr>
          <w:r>
            <w:fldChar w:fldCharType="begin"/>
          </w:r>
          <w:r>
            <w:instrText xml:space="preserve"> HYPERLINK \l "_Toc18485" </w:instrText>
          </w:r>
          <w:r>
            <w:fldChar w:fldCharType="separate"/>
          </w:r>
          <w:r>
            <w:rPr>
              <w:rFonts w:hint="eastAsia" w:ascii="黑体" w:hAnsi="黑体" w:eastAsia="黑体" w:cs="黑体"/>
            </w:rPr>
            <w:t>一、基本情况</w:t>
          </w:r>
          <w:r>
            <w:tab/>
          </w:r>
          <w:r>
            <w:fldChar w:fldCharType="begin"/>
          </w:r>
          <w:r>
            <w:instrText xml:space="preserve"> PAGEREF _Toc18485 \h </w:instrText>
          </w:r>
          <w:r>
            <w:fldChar w:fldCharType="separate"/>
          </w:r>
          <w:r>
            <w:t>4</w:t>
          </w:r>
          <w:r>
            <w:fldChar w:fldCharType="end"/>
          </w:r>
          <w:r>
            <w:fldChar w:fldCharType="end"/>
          </w:r>
        </w:p>
        <w:p w14:paraId="62448997">
          <w:pPr>
            <w:pStyle w:val="10"/>
            <w:tabs>
              <w:tab w:val="right" w:leader="dot" w:pos="8844"/>
            </w:tabs>
            <w:ind w:firstLine="560"/>
            <w:rPr>
              <w:rFonts w:hint="eastAsia"/>
            </w:rPr>
          </w:pPr>
          <w:r>
            <w:fldChar w:fldCharType="begin"/>
          </w:r>
          <w:r>
            <w:instrText xml:space="preserve"> HYPERLINK \l "_Toc23184" </w:instrText>
          </w:r>
          <w:r>
            <w:fldChar w:fldCharType="separate"/>
          </w:r>
          <w:r>
            <w:rPr>
              <w:rFonts w:hint="eastAsia" w:ascii="Times New Roman" w:hAnsi="Times New Roman" w:eastAsia="楷体_GB2312" w:cs="Times New Roman"/>
              <w:kern w:val="28"/>
            </w:rPr>
            <w:t>（一）项目概况</w:t>
          </w:r>
          <w:r>
            <w:tab/>
          </w:r>
          <w:r>
            <w:fldChar w:fldCharType="begin"/>
          </w:r>
          <w:r>
            <w:instrText xml:space="preserve"> PAGEREF _Toc23184 \h </w:instrText>
          </w:r>
          <w:r>
            <w:fldChar w:fldCharType="separate"/>
          </w:r>
          <w:r>
            <w:t>4</w:t>
          </w:r>
          <w:r>
            <w:fldChar w:fldCharType="end"/>
          </w:r>
          <w:r>
            <w:fldChar w:fldCharType="end"/>
          </w:r>
        </w:p>
        <w:p w14:paraId="7A5F58DE">
          <w:pPr>
            <w:pStyle w:val="10"/>
            <w:tabs>
              <w:tab w:val="right" w:leader="dot" w:pos="8844"/>
            </w:tabs>
            <w:ind w:firstLine="560"/>
            <w:rPr>
              <w:rFonts w:hint="eastAsia"/>
            </w:rPr>
          </w:pPr>
          <w:r>
            <w:fldChar w:fldCharType="begin"/>
          </w:r>
          <w:r>
            <w:instrText xml:space="preserve"> HYPERLINK \l "_Toc9109" </w:instrText>
          </w:r>
          <w:r>
            <w:fldChar w:fldCharType="separate"/>
          </w:r>
          <w:r>
            <w:rPr>
              <w:rFonts w:hint="eastAsia" w:ascii="Times New Roman" w:hAnsi="Times New Roman" w:eastAsia="楷体_GB2312" w:cs="Times New Roman"/>
              <w:kern w:val="28"/>
            </w:rPr>
            <w:t>（二）项目绩效目标</w:t>
          </w:r>
          <w:r>
            <w:tab/>
          </w:r>
          <w:r>
            <w:fldChar w:fldCharType="begin"/>
          </w:r>
          <w:r>
            <w:instrText xml:space="preserve"> PAGEREF _Toc9109 \h </w:instrText>
          </w:r>
          <w:r>
            <w:fldChar w:fldCharType="separate"/>
          </w:r>
          <w:r>
            <w:t>5</w:t>
          </w:r>
          <w:r>
            <w:fldChar w:fldCharType="end"/>
          </w:r>
          <w:r>
            <w:fldChar w:fldCharType="end"/>
          </w:r>
        </w:p>
        <w:p w14:paraId="36E135E2">
          <w:pPr>
            <w:pStyle w:val="10"/>
            <w:tabs>
              <w:tab w:val="right" w:leader="dot" w:pos="8844"/>
            </w:tabs>
            <w:ind w:firstLine="560"/>
            <w:rPr>
              <w:rFonts w:hint="eastAsia" w:ascii="黑体" w:hAnsi="黑体" w:eastAsia="黑体" w:cs="黑体"/>
            </w:rPr>
          </w:pPr>
          <w:r>
            <w:fldChar w:fldCharType="begin"/>
          </w:r>
          <w:r>
            <w:instrText xml:space="preserve"> HYPERLINK \l "_Toc26567" </w:instrText>
          </w:r>
          <w:r>
            <w:fldChar w:fldCharType="separate"/>
          </w:r>
          <w:r>
            <w:rPr>
              <w:rFonts w:hint="eastAsia" w:ascii="黑体" w:hAnsi="黑体" w:eastAsia="黑体" w:cs="黑体"/>
              <w:bCs/>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rPr>
            <w:fldChar w:fldCharType="end"/>
          </w:r>
        </w:p>
        <w:p w14:paraId="78DCF50B">
          <w:pPr>
            <w:pStyle w:val="10"/>
            <w:tabs>
              <w:tab w:val="right" w:leader="dot" w:pos="8844"/>
            </w:tabs>
            <w:ind w:firstLine="560"/>
            <w:rPr>
              <w:rFonts w:hint="eastAsia"/>
            </w:rPr>
          </w:pPr>
          <w:r>
            <w:fldChar w:fldCharType="begin"/>
          </w:r>
          <w:r>
            <w:instrText xml:space="preserve"> HYPERLINK \l "_Toc22839" </w:instrText>
          </w:r>
          <w:r>
            <w:fldChar w:fldCharType="separate"/>
          </w:r>
          <w:r>
            <w:rPr>
              <w:rFonts w:hint="eastAsia" w:ascii="Times New Roman" w:hAnsi="Times New Roman" w:eastAsia="楷体_GB2312" w:cs="Times New Roman"/>
              <w:kern w:val="28"/>
            </w:rPr>
            <w:t>（一）绩效评价的目的、对象和范围</w:t>
          </w:r>
          <w:r>
            <w:tab/>
          </w:r>
          <w:r>
            <w:fldChar w:fldCharType="begin"/>
          </w:r>
          <w:r>
            <w:instrText xml:space="preserve"> PAGEREF _Toc22839 \h </w:instrText>
          </w:r>
          <w:r>
            <w:fldChar w:fldCharType="separate"/>
          </w:r>
          <w:r>
            <w:t>6</w:t>
          </w:r>
          <w:r>
            <w:fldChar w:fldCharType="end"/>
          </w:r>
          <w:r>
            <w:fldChar w:fldCharType="end"/>
          </w:r>
        </w:p>
        <w:p w14:paraId="4FB18DF2">
          <w:pPr>
            <w:pStyle w:val="10"/>
            <w:tabs>
              <w:tab w:val="right" w:leader="dot" w:pos="8844"/>
            </w:tabs>
            <w:ind w:firstLine="560"/>
            <w:rPr>
              <w:rFonts w:hint="eastAsia"/>
            </w:rPr>
          </w:pPr>
          <w:r>
            <w:fldChar w:fldCharType="begin"/>
          </w:r>
          <w:r>
            <w:instrText xml:space="preserve"> HYPERLINK \l "_Toc29785" </w:instrText>
          </w:r>
          <w:r>
            <w:fldChar w:fldCharType="separate"/>
          </w:r>
          <w:r>
            <w:rPr>
              <w:rFonts w:hint="eastAsia" w:ascii="Times New Roman" w:hAnsi="Times New Roman" w:eastAsia="楷体_GB2312" w:cs="Times New Roman"/>
              <w:kern w:val="28"/>
            </w:rPr>
            <w:t>（二）绩效评价原则、评价指标体系（</w:t>
          </w:r>
          <w:r>
            <w:rPr>
              <w:rFonts w:ascii="Times New Roman" w:hAnsi="Times New Roman" w:eastAsia="楷体_GB2312" w:cs="Times New Roman"/>
              <w:kern w:val="28"/>
            </w:rPr>
            <w:t>详情见</w:t>
          </w:r>
          <w:r>
            <w:rPr>
              <w:rFonts w:hint="eastAsia" w:ascii="Times New Roman" w:hAnsi="Times New Roman" w:eastAsia="楷体_GB2312" w:cs="Times New Roman"/>
              <w:kern w:val="28"/>
            </w:rPr>
            <w:t>附件二）、评价方法、评价标准</w:t>
          </w:r>
          <w:r>
            <w:tab/>
          </w:r>
          <w:r>
            <w:fldChar w:fldCharType="begin"/>
          </w:r>
          <w:r>
            <w:instrText xml:space="preserve"> PAGEREF _Toc29785 \h </w:instrText>
          </w:r>
          <w:r>
            <w:fldChar w:fldCharType="separate"/>
          </w:r>
          <w:r>
            <w:t>10</w:t>
          </w:r>
          <w:r>
            <w:fldChar w:fldCharType="end"/>
          </w:r>
          <w:r>
            <w:fldChar w:fldCharType="end"/>
          </w:r>
        </w:p>
        <w:p w14:paraId="699F6CEE">
          <w:pPr>
            <w:pStyle w:val="10"/>
            <w:tabs>
              <w:tab w:val="right" w:leader="dot" w:pos="8844"/>
            </w:tabs>
            <w:ind w:firstLine="560"/>
            <w:rPr>
              <w:rFonts w:hint="eastAsia"/>
            </w:rPr>
          </w:pPr>
          <w:r>
            <w:fldChar w:fldCharType="begin"/>
          </w:r>
          <w:r>
            <w:instrText xml:space="preserve"> HYPERLINK \l "_Toc21435" </w:instrText>
          </w:r>
          <w:r>
            <w:fldChar w:fldCharType="separate"/>
          </w:r>
          <w:r>
            <w:rPr>
              <w:rFonts w:hint="eastAsia" w:ascii="Times New Roman" w:hAnsi="Times New Roman" w:eastAsia="楷体_GB2312" w:cs="Times New Roman"/>
              <w:kern w:val="28"/>
            </w:rPr>
            <w:t>（三）绩效评价工作过程</w:t>
          </w:r>
          <w:r>
            <w:tab/>
          </w:r>
          <w:r>
            <w:fldChar w:fldCharType="begin"/>
          </w:r>
          <w:r>
            <w:instrText xml:space="preserve"> PAGEREF _Toc21435 \h </w:instrText>
          </w:r>
          <w:r>
            <w:fldChar w:fldCharType="separate"/>
          </w:r>
          <w:r>
            <w:t>13</w:t>
          </w:r>
          <w:r>
            <w:fldChar w:fldCharType="end"/>
          </w:r>
          <w:r>
            <w:fldChar w:fldCharType="end"/>
          </w:r>
        </w:p>
        <w:p w14:paraId="2422D582">
          <w:pPr>
            <w:pStyle w:val="10"/>
            <w:tabs>
              <w:tab w:val="right" w:leader="dot" w:pos="8844"/>
            </w:tabs>
            <w:ind w:firstLine="560"/>
            <w:rPr>
              <w:rFonts w:hint="eastAsia"/>
            </w:rPr>
          </w:pPr>
          <w:r>
            <w:fldChar w:fldCharType="begin"/>
          </w:r>
          <w:r>
            <w:instrText xml:space="preserve"> HYPERLINK \l "_Toc19261" </w:instrText>
          </w:r>
          <w:r>
            <w:fldChar w:fldCharType="separate"/>
          </w:r>
          <w:r>
            <w:rPr>
              <w:rFonts w:hint="eastAsia" w:ascii="黑体" w:hAnsi="黑体" w:eastAsia="黑体" w:cs="黑体"/>
            </w:rPr>
            <w:t>三、综合评价情况及评价结论</w:t>
          </w:r>
          <w:r>
            <w:tab/>
          </w:r>
          <w:r>
            <w:fldChar w:fldCharType="begin"/>
          </w:r>
          <w:r>
            <w:instrText xml:space="preserve"> PAGEREF _Toc19261 \h </w:instrText>
          </w:r>
          <w:r>
            <w:fldChar w:fldCharType="separate"/>
          </w:r>
          <w:r>
            <w:t>15</w:t>
          </w:r>
          <w:r>
            <w:fldChar w:fldCharType="end"/>
          </w:r>
          <w:r>
            <w:fldChar w:fldCharType="end"/>
          </w:r>
        </w:p>
        <w:p w14:paraId="6765970B">
          <w:pPr>
            <w:pStyle w:val="10"/>
            <w:tabs>
              <w:tab w:val="right" w:leader="dot" w:pos="8844"/>
            </w:tabs>
            <w:ind w:firstLine="560"/>
            <w:rPr>
              <w:rFonts w:hint="eastAsia"/>
            </w:rPr>
          </w:pPr>
          <w:r>
            <w:fldChar w:fldCharType="begin"/>
          </w:r>
          <w:r>
            <w:instrText xml:space="preserve"> HYPERLINK \l "_Toc23319" </w:instrText>
          </w:r>
          <w:r>
            <w:fldChar w:fldCharType="separate"/>
          </w:r>
          <w:r>
            <w:rPr>
              <w:rFonts w:hint="eastAsia" w:ascii="Times New Roman" w:hAnsi="Times New Roman" w:eastAsia="楷体_GB2312" w:cs="Times New Roman"/>
              <w:kern w:val="28"/>
            </w:rPr>
            <w:t>（一）综合评价情况及评价结论</w:t>
          </w:r>
          <w:r>
            <w:tab/>
          </w:r>
          <w:r>
            <w:fldChar w:fldCharType="begin"/>
          </w:r>
          <w:r>
            <w:instrText xml:space="preserve"> PAGEREF _Toc23319 \h </w:instrText>
          </w:r>
          <w:r>
            <w:fldChar w:fldCharType="separate"/>
          </w:r>
          <w:r>
            <w:t>15</w:t>
          </w:r>
          <w:r>
            <w:fldChar w:fldCharType="end"/>
          </w:r>
          <w:r>
            <w:fldChar w:fldCharType="end"/>
          </w:r>
        </w:p>
        <w:p w14:paraId="3F607164">
          <w:pPr>
            <w:pStyle w:val="10"/>
            <w:tabs>
              <w:tab w:val="right" w:leader="dot" w:pos="8844"/>
            </w:tabs>
            <w:ind w:firstLine="560"/>
            <w:rPr>
              <w:rFonts w:hint="eastAsia"/>
            </w:rPr>
          </w:pPr>
          <w:r>
            <w:fldChar w:fldCharType="begin"/>
          </w:r>
          <w:r>
            <w:instrText xml:space="preserve"> HYPERLINK \l "_Toc11863" </w:instrText>
          </w:r>
          <w:r>
            <w:fldChar w:fldCharType="separate"/>
          </w:r>
          <w:r>
            <w:rPr>
              <w:rFonts w:hint="eastAsia" w:ascii="Times New Roman" w:hAnsi="Times New Roman" w:eastAsia="楷体_GB2312" w:cs="Times New Roman"/>
              <w:kern w:val="28"/>
            </w:rPr>
            <w:t>（二）相关评分表</w:t>
          </w:r>
          <w:r>
            <w:tab/>
          </w:r>
          <w:r>
            <w:fldChar w:fldCharType="begin"/>
          </w:r>
          <w:r>
            <w:instrText xml:space="preserve"> PAGEREF _Toc11863 \h </w:instrText>
          </w:r>
          <w:r>
            <w:fldChar w:fldCharType="separate"/>
          </w:r>
          <w:r>
            <w:t>16</w:t>
          </w:r>
          <w:r>
            <w:fldChar w:fldCharType="end"/>
          </w:r>
          <w:r>
            <w:fldChar w:fldCharType="end"/>
          </w:r>
        </w:p>
        <w:p w14:paraId="71EACE7C">
          <w:pPr>
            <w:pStyle w:val="10"/>
            <w:tabs>
              <w:tab w:val="right" w:leader="dot" w:pos="8844"/>
            </w:tabs>
            <w:ind w:firstLine="560"/>
            <w:rPr>
              <w:rFonts w:hint="eastAsia"/>
            </w:rPr>
          </w:pPr>
          <w:r>
            <w:fldChar w:fldCharType="begin"/>
          </w:r>
          <w:r>
            <w:instrText xml:space="preserve"> HYPERLINK \l "_Toc14941" </w:instrText>
          </w:r>
          <w:r>
            <w:fldChar w:fldCharType="separate"/>
          </w:r>
          <w:r>
            <w:rPr>
              <w:rFonts w:hint="eastAsia" w:ascii="黑体" w:hAnsi="黑体" w:eastAsia="黑体" w:cs="黑体"/>
            </w:rPr>
            <w:t>四、绩效评价指标分析</w:t>
          </w:r>
          <w:r>
            <w:tab/>
          </w:r>
          <w:r>
            <w:fldChar w:fldCharType="begin"/>
          </w:r>
          <w:r>
            <w:instrText xml:space="preserve"> PAGEREF _Toc14941 \h </w:instrText>
          </w:r>
          <w:r>
            <w:fldChar w:fldCharType="separate"/>
          </w:r>
          <w:r>
            <w:t>17</w:t>
          </w:r>
          <w:r>
            <w:fldChar w:fldCharType="end"/>
          </w:r>
          <w:r>
            <w:fldChar w:fldCharType="end"/>
          </w:r>
        </w:p>
        <w:p w14:paraId="58005DFC">
          <w:pPr>
            <w:pStyle w:val="10"/>
            <w:tabs>
              <w:tab w:val="right" w:leader="dot" w:pos="8844"/>
            </w:tabs>
            <w:ind w:firstLine="560"/>
            <w:rPr>
              <w:rFonts w:hint="eastAsia"/>
            </w:rPr>
          </w:pPr>
          <w:r>
            <w:fldChar w:fldCharType="begin"/>
          </w:r>
          <w:r>
            <w:instrText xml:space="preserve"> HYPERLINK \l "_Toc6759" </w:instrText>
          </w:r>
          <w: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fldChar w:fldCharType="end"/>
          </w:r>
        </w:p>
        <w:p w14:paraId="21227EF7">
          <w:pPr>
            <w:pStyle w:val="10"/>
            <w:tabs>
              <w:tab w:val="right" w:leader="dot" w:pos="8844"/>
            </w:tabs>
            <w:ind w:firstLine="560"/>
            <w:rPr>
              <w:rFonts w:hint="eastAsia"/>
            </w:rPr>
          </w:pPr>
          <w:r>
            <w:fldChar w:fldCharType="begin"/>
          </w:r>
          <w:r>
            <w:instrText xml:space="preserve"> HYPERLINK \l "_Toc10564" </w:instrText>
          </w:r>
          <w:r>
            <w:fldChar w:fldCharType="separate"/>
          </w:r>
          <w:r>
            <w:rPr>
              <w:rFonts w:hint="eastAsia" w:ascii="Times New Roman" w:hAnsi="Times New Roman" w:eastAsia="楷体" w:cs="Times New Roman"/>
              <w:kern w:val="28"/>
            </w:rPr>
            <w:t>（二）项目过程情况</w:t>
          </w:r>
          <w:r>
            <w:tab/>
          </w:r>
          <w:r>
            <w:fldChar w:fldCharType="begin"/>
          </w:r>
          <w:r>
            <w:instrText xml:space="preserve"> PAGEREF _Toc10564 \h </w:instrText>
          </w:r>
          <w:r>
            <w:fldChar w:fldCharType="separate"/>
          </w:r>
          <w:r>
            <w:t>20</w:t>
          </w:r>
          <w:r>
            <w:fldChar w:fldCharType="end"/>
          </w:r>
          <w:r>
            <w:fldChar w:fldCharType="end"/>
          </w:r>
        </w:p>
        <w:p w14:paraId="436D8B38">
          <w:pPr>
            <w:pStyle w:val="10"/>
            <w:tabs>
              <w:tab w:val="right" w:leader="dot" w:pos="8844"/>
            </w:tabs>
            <w:ind w:firstLine="560"/>
            <w:rPr>
              <w:rFonts w:hint="eastAsia"/>
            </w:rPr>
          </w:pPr>
          <w:r>
            <w:fldChar w:fldCharType="begin"/>
          </w:r>
          <w:r>
            <w:instrText xml:space="preserve"> HYPERLINK \l "_Toc2441" </w:instrText>
          </w:r>
          <w:r>
            <w:fldChar w:fldCharType="separate"/>
          </w:r>
          <w:r>
            <w:rPr>
              <w:rFonts w:hint="eastAsia" w:ascii="Times New Roman" w:hAnsi="Times New Roman" w:eastAsia="楷体_GB2312" w:cs="Times New Roman"/>
              <w:kern w:val="28"/>
            </w:rPr>
            <w:t>（三）项目产出情况</w:t>
          </w:r>
          <w:r>
            <w:tab/>
          </w:r>
          <w:r>
            <w:fldChar w:fldCharType="begin"/>
          </w:r>
          <w:r>
            <w:instrText xml:space="preserve"> PAGEREF _Toc2441 \h </w:instrText>
          </w:r>
          <w:r>
            <w:fldChar w:fldCharType="separate"/>
          </w:r>
          <w:r>
            <w:t>23</w:t>
          </w:r>
          <w:r>
            <w:fldChar w:fldCharType="end"/>
          </w:r>
          <w:r>
            <w:fldChar w:fldCharType="end"/>
          </w:r>
        </w:p>
        <w:p w14:paraId="5C82B3BE">
          <w:pPr>
            <w:pStyle w:val="10"/>
            <w:tabs>
              <w:tab w:val="right" w:leader="dot" w:pos="8844"/>
            </w:tabs>
            <w:ind w:firstLine="560"/>
            <w:rPr>
              <w:rFonts w:hint="eastAsia"/>
            </w:rPr>
          </w:pPr>
          <w:r>
            <w:fldChar w:fldCharType="begin"/>
          </w:r>
          <w:r>
            <w:instrText xml:space="preserve"> HYPERLINK \l "_Toc19424" </w:instrText>
          </w:r>
          <w:r>
            <w:fldChar w:fldCharType="separate"/>
          </w:r>
          <w:r>
            <w:rPr>
              <w:rFonts w:hint="eastAsia" w:ascii="Times New Roman" w:hAnsi="Times New Roman" w:eastAsia="楷体_GB2312" w:cs="Times New Roman"/>
              <w:kern w:val="28"/>
            </w:rPr>
            <w:t>（四）项目效益情况</w:t>
          </w:r>
          <w:r>
            <w:tab/>
          </w:r>
          <w:r>
            <w:fldChar w:fldCharType="begin"/>
          </w:r>
          <w:r>
            <w:instrText xml:space="preserve"> PAGEREF _Toc19424 \h </w:instrText>
          </w:r>
          <w:r>
            <w:fldChar w:fldCharType="separate"/>
          </w:r>
          <w:r>
            <w:t>24</w:t>
          </w:r>
          <w:r>
            <w:fldChar w:fldCharType="end"/>
          </w:r>
          <w:r>
            <w:fldChar w:fldCharType="end"/>
          </w:r>
        </w:p>
        <w:p w14:paraId="1D36560B">
          <w:pPr>
            <w:pStyle w:val="10"/>
            <w:tabs>
              <w:tab w:val="right" w:leader="dot" w:pos="8844"/>
            </w:tabs>
            <w:ind w:firstLine="560"/>
            <w:rPr>
              <w:rFonts w:hint="eastAsia"/>
            </w:rPr>
          </w:pPr>
          <w:r>
            <w:fldChar w:fldCharType="begin"/>
          </w:r>
          <w:r>
            <w:instrText xml:space="preserve"> HYPERLINK \l "_Toc23313" </w:instrText>
          </w:r>
          <w:r>
            <w:fldChar w:fldCharType="separate"/>
          </w:r>
          <w:r>
            <w:rPr>
              <w:rFonts w:hint="eastAsia" w:ascii="Times New Roman" w:hAnsi="Times New Roman" w:eastAsia="楷体_GB2312" w:cs="Times New Roman"/>
              <w:bCs/>
              <w:kern w:val="28"/>
            </w:rPr>
            <w:t>（五）满意度指标完成情况分析</w:t>
          </w:r>
          <w:r>
            <w:tab/>
          </w:r>
          <w:r>
            <w:fldChar w:fldCharType="begin"/>
          </w:r>
          <w:r>
            <w:instrText xml:space="preserve"> PAGEREF _Toc23313 \h </w:instrText>
          </w:r>
          <w:r>
            <w:fldChar w:fldCharType="separate"/>
          </w:r>
          <w:r>
            <w:t>25</w:t>
          </w:r>
          <w:r>
            <w:fldChar w:fldCharType="end"/>
          </w:r>
          <w:r>
            <w:fldChar w:fldCharType="end"/>
          </w:r>
        </w:p>
        <w:p w14:paraId="488FAB8D">
          <w:pPr>
            <w:pStyle w:val="10"/>
            <w:tabs>
              <w:tab w:val="right" w:leader="dot" w:pos="8844"/>
            </w:tabs>
            <w:ind w:firstLine="560"/>
            <w:rPr>
              <w:rFonts w:hint="eastAsia" w:ascii="黑体" w:hAnsi="黑体" w:eastAsia="黑体" w:cs="黑体"/>
            </w:rPr>
          </w:pPr>
          <w:r>
            <w:fldChar w:fldCharType="begin"/>
          </w:r>
          <w:r>
            <w:instrText xml:space="preserve"> HYPERLINK \l "_Toc6622" </w:instrText>
          </w:r>
          <w:r>
            <w:fldChar w:fldCharType="separate"/>
          </w:r>
          <w:r>
            <w:rPr>
              <w:rFonts w:hint="eastAsia" w:ascii="黑体" w:hAnsi="黑体" w:eastAsia="黑体" w:cs="黑体"/>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rPr>
            <w:fldChar w:fldCharType="end"/>
          </w:r>
        </w:p>
        <w:p w14:paraId="4AB52BF8">
          <w:pPr>
            <w:pStyle w:val="10"/>
            <w:tabs>
              <w:tab w:val="right" w:leader="dot" w:pos="8844"/>
            </w:tabs>
            <w:ind w:firstLine="560"/>
            <w:rPr>
              <w:rFonts w:hint="eastAsia"/>
            </w:rPr>
          </w:pPr>
          <w:r>
            <w:fldChar w:fldCharType="begin"/>
          </w:r>
          <w:r>
            <w:instrText xml:space="preserve"> HYPERLINK \l "_Toc15449" </w:instrText>
          </w:r>
          <w:r>
            <w:fldChar w:fldCharType="separate"/>
          </w:r>
          <w:r>
            <w:rPr>
              <w:rFonts w:hint="eastAsia" w:ascii="Times New Roman" w:hAnsi="Times New Roman" w:eastAsia="楷体_GB2312" w:cs="Times New Roman"/>
              <w:bCs/>
              <w:kern w:val="28"/>
            </w:rPr>
            <w:t>（一）主要经验及做法</w:t>
          </w:r>
          <w:r>
            <w:tab/>
          </w:r>
          <w:r>
            <w:fldChar w:fldCharType="begin"/>
          </w:r>
          <w:r>
            <w:instrText xml:space="preserve"> PAGEREF _Toc15449 \h </w:instrText>
          </w:r>
          <w:r>
            <w:fldChar w:fldCharType="separate"/>
          </w:r>
          <w:r>
            <w:t>25</w:t>
          </w:r>
          <w:r>
            <w:fldChar w:fldCharType="end"/>
          </w:r>
          <w:r>
            <w:fldChar w:fldCharType="end"/>
          </w:r>
        </w:p>
        <w:p w14:paraId="2364AA94">
          <w:pPr>
            <w:pStyle w:val="10"/>
            <w:tabs>
              <w:tab w:val="right" w:leader="dot" w:pos="8844"/>
            </w:tabs>
            <w:ind w:firstLine="560"/>
            <w:rPr>
              <w:rFonts w:hint="eastAsia"/>
            </w:rPr>
          </w:pPr>
          <w:r>
            <w:fldChar w:fldCharType="begin"/>
          </w:r>
          <w:r>
            <w:instrText xml:space="preserve"> HYPERLINK \l "_Toc29168" </w:instrText>
          </w:r>
          <w:r>
            <w:fldChar w:fldCharType="separate"/>
          </w:r>
          <w:r>
            <w:rPr>
              <w:rFonts w:hint="eastAsia" w:ascii="Times New Roman" w:hAnsi="Times New Roman" w:eastAsia="楷体_GB2312" w:cs="Times New Roman"/>
              <w:bCs/>
              <w:kern w:val="28"/>
            </w:rPr>
            <w:t>（二）存在的问题及原因分析</w:t>
          </w:r>
          <w:r>
            <w:tab/>
          </w:r>
          <w:r>
            <w:fldChar w:fldCharType="begin"/>
          </w:r>
          <w:r>
            <w:instrText xml:space="preserve"> PAGEREF _Toc29168 \h </w:instrText>
          </w:r>
          <w:r>
            <w:fldChar w:fldCharType="separate"/>
          </w:r>
          <w:r>
            <w:t>26</w:t>
          </w:r>
          <w:r>
            <w:fldChar w:fldCharType="end"/>
          </w:r>
          <w:r>
            <w:fldChar w:fldCharType="end"/>
          </w:r>
        </w:p>
        <w:p w14:paraId="67F0AF4D">
          <w:pPr>
            <w:pStyle w:val="10"/>
            <w:tabs>
              <w:tab w:val="right" w:leader="dot" w:pos="8844"/>
            </w:tabs>
            <w:ind w:firstLine="560"/>
            <w:rPr>
              <w:rFonts w:hint="eastAsia" w:ascii="黑体" w:hAnsi="黑体" w:eastAsia="黑体" w:cs="黑体"/>
            </w:rPr>
          </w:pPr>
          <w:r>
            <w:fldChar w:fldCharType="begin"/>
          </w:r>
          <w:r>
            <w:instrText xml:space="preserve"> HYPERLINK \l "_Toc3333" </w:instrText>
          </w:r>
          <w:r>
            <w:fldChar w:fldCharType="separate"/>
          </w:r>
          <w:r>
            <w:rPr>
              <w:rFonts w:hint="eastAsia" w:ascii="黑体" w:hAnsi="黑体" w:eastAsia="黑体" w:cs="黑体"/>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rPr>
            <w:fldChar w:fldCharType="end"/>
          </w:r>
        </w:p>
        <w:p w14:paraId="17821E60">
          <w:pPr>
            <w:pStyle w:val="10"/>
            <w:tabs>
              <w:tab w:val="right" w:leader="dot" w:pos="8844"/>
            </w:tabs>
            <w:ind w:firstLine="560"/>
            <w:rPr>
              <w:rFonts w:hint="eastAsia" w:ascii="黑体" w:hAnsi="黑体" w:eastAsia="黑体" w:cs="黑体"/>
            </w:rPr>
          </w:pPr>
          <w:r>
            <w:fldChar w:fldCharType="begin"/>
          </w:r>
          <w:r>
            <w:instrText xml:space="preserve"> HYPERLINK \l "_Toc14256" </w:instrText>
          </w:r>
          <w:r>
            <w:fldChar w:fldCharType="separate"/>
          </w:r>
          <w:r>
            <w:rPr>
              <w:rFonts w:hint="eastAsia" w:ascii="黑体" w:hAnsi="黑体" w:eastAsia="黑体" w:cs="黑体"/>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rPr>
            <w:fldChar w:fldCharType="end"/>
          </w:r>
        </w:p>
        <w:p w14:paraId="75D416F3">
          <w:pPr>
            <w:pStyle w:val="10"/>
            <w:tabs>
              <w:tab w:val="right" w:leader="dot" w:pos="8844"/>
            </w:tabs>
            <w:ind w:firstLine="560"/>
            <w:rPr>
              <w:rFonts w:hint="eastAsia" w:ascii="黑体" w:hAnsi="黑体" w:eastAsia="黑体" w:cs="黑体"/>
            </w:rPr>
          </w:pPr>
          <w:r>
            <w:fldChar w:fldCharType="begin"/>
          </w:r>
          <w:r>
            <w:instrText xml:space="preserve"> HYPERLINK \l "_Toc28971" </w:instrText>
          </w:r>
          <w:r>
            <w:fldChar w:fldCharType="separate"/>
          </w:r>
          <w:r>
            <w:rPr>
              <w:rFonts w:hint="eastAsia" w:ascii="黑体" w:hAnsi="黑体" w:eastAsia="黑体" w:cs="黑体"/>
              <w:bCs/>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rPr>
            <w:fldChar w:fldCharType="end"/>
          </w:r>
        </w:p>
        <w:p w14:paraId="64814C74">
          <w:pPr>
            <w:pStyle w:val="10"/>
            <w:tabs>
              <w:tab w:val="right" w:leader="dot" w:pos="8844"/>
            </w:tabs>
            <w:ind w:firstLine="560"/>
            <w:rPr>
              <w:rFonts w:hint="eastAsia" w:ascii="黑体" w:hAnsi="黑体" w:eastAsia="黑体" w:cs="黑体"/>
            </w:rPr>
          </w:pPr>
          <w:r>
            <w:fldChar w:fldCharType="begin"/>
          </w:r>
          <w:r>
            <w:instrText xml:space="preserve"> HYPERLINK \l "_Toc11223" </w:instrText>
          </w:r>
          <w:r>
            <w:fldChar w:fldCharType="separate"/>
          </w:r>
          <w:r>
            <w:rPr>
              <w:rFonts w:hint="eastAsia" w:ascii="黑体" w:hAnsi="黑体" w:eastAsia="黑体" w:cs="黑体"/>
              <w:bCs/>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rPr>
            <w:fldChar w:fldCharType="end"/>
          </w:r>
        </w:p>
        <w:p w14:paraId="4F5EF8CC">
          <w:pPr>
            <w:spacing w:line="560" w:lineRule="exact"/>
            <w:ind w:firstLine="560"/>
            <w:rPr>
              <w:rFonts w:hint="eastAsia"/>
            </w:rPr>
            <w:sectPr>
              <w:pgSz w:w="11906" w:h="16838"/>
              <w:pgMar w:top="1928" w:right="1531" w:bottom="1701" w:left="1531" w:header="737" w:footer="851" w:gutter="0"/>
              <w:cols w:space="720" w:num="1"/>
              <w:docGrid w:type="lines" w:linePitch="408" w:charSpace="0"/>
            </w:sectPr>
          </w:pPr>
          <w:r>
            <w:rPr>
              <w:rFonts w:hint="eastAsia"/>
            </w:rPr>
            <w:fldChar w:fldCharType="end"/>
          </w:r>
        </w:p>
      </w:sdtContent>
    </w:sdt>
    <w:p w14:paraId="647E9C0E">
      <w:pPr>
        <w:pStyle w:val="2"/>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黑体" w:hAnsi="黑体" w:cs="黑体"/>
        </w:rPr>
      </w:pPr>
      <w:bookmarkStart w:id="4" w:name="_Toc18485"/>
      <w:r>
        <w:rPr>
          <w:rFonts w:hint="eastAsia" w:ascii="黑体" w:hAnsi="黑体" w:cs="黑体"/>
        </w:rPr>
        <w:t>一、基本情况</w:t>
      </w:r>
      <w:bookmarkEnd w:id="4"/>
    </w:p>
    <w:p w14:paraId="6835C450">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5" w:name="_Toc23184"/>
      <w:r>
        <w:rPr>
          <w:rFonts w:hint="eastAsia" w:ascii="Times New Roman" w:hAnsi="Times New Roman" w:eastAsia="楷体_GB2312" w:cs="Times New Roman"/>
          <w:kern w:val="28"/>
          <w:sz w:val="32"/>
        </w:rPr>
        <w:t>（一）项目概况</w:t>
      </w:r>
      <w:bookmarkEnd w:id="5"/>
    </w:p>
    <w:p w14:paraId="71B91B3C">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sz w:val="32"/>
        </w:rPr>
      </w:pPr>
      <w:bookmarkStart w:id="6" w:name="_Toc5043"/>
      <w:bookmarkStart w:id="7" w:name="_Toc29812"/>
      <w:bookmarkStart w:id="8" w:name="_Toc22346"/>
      <w:bookmarkStart w:id="9" w:name="_Toc10645"/>
      <w:r>
        <w:rPr>
          <w:rFonts w:hint="eastAsia" w:cs="仿宋_GB2312"/>
          <w:sz w:val="32"/>
        </w:rPr>
        <w:t>1.项目背景</w:t>
      </w:r>
      <w:bookmarkEnd w:id="6"/>
      <w:bookmarkEnd w:id="7"/>
      <w:bookmarkEnd w:id="8"/>
      <w:bookmarkEnd w:id="9"/>
    </w:p>
    <w:p w14:paraId="790FCC0C">
      <w:pPr>
        <w:pStyle w:val="13"/>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both"/>
        <w:textAlignment w:val="auto"/>
      </w:pPr>
      <w:bookmarkStart w:id="10" w:name="_Toc17880"/>
      <w:bookmarkStart w:id="11" w:name="_Toc27343"/>
      <w:bookmarkStart w:id="12" w:name="_Toc1630"/>
      <w:bookmarkStart w:id="13" w:name="_Toc10730"/>
      <w:r>
        <w:rPr>
          <w:rFonts w:hint="eastAsia" w:ascii="仿宋_GB2312" w:hAnsi="仿宋_GB2312" w:eastAsia="仿宋_GB2312" w:cs="仿宋_GB2312"/>
          <w:b w:val="0"/>
          <w:bCs w:val="0"/>
          <w:kern w:val="2"/>
          <w:sz w:val="32"/>
          <w:szCs w:val="32"/>
          <w:lang w:val="en-US" w:eastAsia="zh-CN" w:bidi="ar-SA"/>
        </w:rPr>
        <w:t>为贯彻落实《财政部 教育部关于巩固提高义务教育经费保障水平的通知》及全国教育工作会议精神，进一步推进义务教育优质均衡发展和城乡一体化，2024年继续实施初中义务教育生均经费保障项目。该项目的设立旨在解决城乡教育资源分配不均、部分学校办学条件薄弱、公用经费保障标准偏低等问题，确保义务教育阶段学校正常运转和教学质量提升。</w:t>
      </w:r>
      <w:r>
        <w:t xml:space="preserve">   </w:t>
      </w:r>
    </w:p>
    <w:p w14:paraId="4A79D369">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2.主要内容及实施情况</w:t>
      </w:r>
      <w:bookmarkEnd w:id="10"/>
      <w:bookmarkEnd w:id="11"/>
      <w:bookmarkEnd w:id="12"/>
      <w:bookmarkEnd w:id="13"/>
    </w:p>
    <w:p w14:paraId="3EB03651">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b w:val="0"/>
          <w:bCs w:val="0"/>
          <w:kern w:val="2"/>
          <w:sz w:val="32"/>
        </w:rPr>
      </w:pPr>
      <w:bookmarkStart w:id="14" w:name="_Toc27245"/>
      <w:bookmarkStart w:id="15" w:name="_Toc21898"/>
      <w:bookmarkStart w:id="16" w:name="_Toc27409"/>
      <w:bookmarkStart w:id="17" w:name="_Toc16592"/>
      <w:r>
        <w:rPr>
          <w:rFonts w:hint="eastAsia" w:cs="仿宋_GB2312"/>
          <w:sz w:val="32"/>
        </w:rPr>
        <w:t>项目主要内容：</w:t>
      </w:r>
      <w:bookmarkEnd w:id="14"/>
      <w:bookmarkEnd w:id="15"/>
      <w:bookmarkEnd w:id="16"/>
      <w:bookmarkEnd w:id="17"/>
      <w:r>
        <w:rPr>
          <w:rFonts w:hint="eastAsia" w:cs="仿宋_GB2312"/>
          <w:b w:val="0"/>
          <w:bCs w:val="0"/>
          <w:kern w:val="2"/>
          <w:sz w:val="32"/>
        </w:rPr>
        <w:t>依据学校在校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09208CBB">
      <w:pPr>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项目实施情况：</w:t>
      </w:r>
      <w:r>
        <w:rPr>
          <w:rFonts w:hint="eastAsia" w:ascii="仿宋_GB2312" w:hAnsi="仿宋_GB2312" w:eastAsia="仿宋_GB2312" w:cs="仿宋_GB2312"/>
          <w:sz w:val="32"/>
          <w:szCs w:val="32"/>
        </w:rPr>
        <w:t>本项目自2024年1月1日经昌州财教[2023]90号文件批复，经阜康市第三中学会议，确定了项目领导小组，明确了责任分工：组长为丁军，副组长为张鸿翔，项目负责人为姜莉,组员为张萍、李文欣、马尔加尼，其中：张萍负责监管工作，</w:t>
      </w:r>
      <w:bookmarkStart w:id="18" w:name="OLE_LINK1"/>
      <w:r>
        <w:rPr>
          <w:rFonts w:hint="eastAsia" w:ascii="仿宋_GB2312" w:hAnsi="仿宋_GB2312" w:eastAsia="仿宋_GB2312" w:cs="仿宋_GB2312"/>
          <w:sz w:val="32"/>
          <w:szCs w:val="32"/>
        </w:rPr>
        <w:t>李文欣</w:t>
      </w:r>
      <w:bookmarkEnd w:id="18"/>
      <w:r>
        <w:rPr>
          <w:rFonts w:hint="eastAsia" w:ascii="仿宋_GB2312" w:hAnsi="仿宋_GB2312" w:eastAsia="仿宋_GB2312" w:cs="仿宋_GB2312"/>
          <w:sz w:val="32"/>
          <w:szCs w:val="32"/>
        </w:rPr>
        <w:t>负责项目档案资料，马尔加尼负责资金拨付工作。</w:t>
      </w:r>
    </w:p>
    <w:p w14:paraId="40C3AA77">
      <w:pPr>
        <w:pStyle w:val="5"/>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本项目涉及学生人数890人，公用经费享受比例达到100%，教师培训结业率达到100%，公用经费标准以940元/人/年完成，达到学校正常运转率提高，改善教学环境，提供良好的学生成长条件，保障学校正常运转,师生满意度达到90%。</w:t>
      </w:r>
    </w:p>
    <w:p w14:paraId="2D6F6A7A">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19" w:name="_Toc569"/>
      <w:bookmarkStart w:id="20" w:name="_Toc10240"/>
      <w:bookmarkStart w:id="21" w:name="_Toc12348"/>
      <w:bookmarkStart w:id="22" w:name="_Toc1858"/>
      <w:r>
        <w:rPr>
          <w:rFonts w:hint="eastAsia" w:cs="仿宋_GB2312"/>
          <w:color w:val="000000" w:themeColor="text1"/>
          <w:sz w:val="32"/>
          <w14:textFill>
            <w14:solidFill>
              <w14:schemeClr w14:val="tx1"/>
            </w14:solidFill>
          </w14:textFill>
        </w:rPr>
        <w:t>3.资金投入和使用情况</w:t>
      </w:r>
      <w:bookmarkEnd w:id="19"/>
      <w:bookmarkEnd w:id="20"/>
      <w:bookmarkEnd w:id="21"/>
      <w:bookmarkEnd w:id="22"/>
    </w:p>
    <w:p w14:paraId="26549C98">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outlineLvl w:val="0"/>
        <w:rPr>
          <w:rFonts w:hint="eastAsia" w:ascii="仿宋_GB2312" w:hAnsi="仿宋_GB2312" w:eastAsia="仿宋_GB2312" w:cs="仿宋_GB2312"/>
          <w:sz w:val="32"/>
          <w:szCs w:val="32"/>
        </w:rPr>
      </w:pPr>
      <w:bookmarkStart w:id="23" w:name="_Toc23509"/>
      <w:bookmarkStart w:id="24" w:name="_Toc694"/>
      <w:bookmarkStart w:id="25" w:name="_Toc26369"/>
      <w:r>
        <w:rPr>
          <w:rFonts w:hint="eastAsia" w:ascii="仿宋_GB2312" w:hAnsi="仿宋_GB2312" w:eastAsia="仿宋_GB2312" w:cs="仿宋_GB2312"/>
          <w:sz w:val="32"/>
          <w:szCs w:val="32"/>
        </w:rPr>
        <w:t>（1）资金投入情况</w:t>
      </w:r>
      <w:bookmarkEnd w:id="23"/>
      <w:bookmarkEnd w:id="24"/>
      <w:bookmarkEnd w:id="25"/>
    </w:p>
    <w:p w14:paraId="170837A2">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outlineLvl w:val="0"/>
        <w:rPr>
          <w:rFonts w:hint="eastAsia" w:ascii="仿宋_GB2312" w:hAnsi="仿宋_GB2312" w:eastAsia="仿宋_GB2312" w:cs="仿宋_GB2312"/>
          <w:sz w:val="32"/>
          <w:szCs w:val="32"/>
        </w:rPr>
      </w:pPr>
      <w:bookmarkStart w:id="26" w:name="_Toc29190"/>
      <w:bookmarkStart w:id="27" w:name="_Toc5573"/>
      <w:bookmarkStart w:id="28" w:name="_Toc9464"/>
      <w:r>
        <w:rPr>
          <w:rFonts w:hint="eastAsia" w:ascii="仿宋_GB2312" w:hAnsi="仿宋_GB2312" w:eastAsia="仿宋_GB2312" w:cs="仿宋_GB2312"/>
          <w:sz w:val="32"/>
          <w:szCs w:val="32"/>
        </w:rPr>
        <w:t>该项目年初预算数81.20万元，全年预算数81.20万元，该项目资金已全部落实到位，资金来源为财政拨款。</w:t>
      </w:r>
      <w:bookmarkEnd w:id="26"/>
      <w:bookmarkEnd w:id="27"/>
      <w:bookmarkEnd w:id="28"/>
      <w:bookmarkStart w:id="29" w:name="_Toc1166"/>
      <w:bookmarkStart w:id="30" w:name="_Toc28187"/>
      <w:bookmarkStart w:id="31" w:name="_Toc3409"/>
    </w:p>
    <w:p w14:paraId="314AEF1C">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bookmarkEnd w:id="29"/>
      <w:bookmarkEnd w:id="30"/>
      <w:bookmarkEnd w:id="31"/>
    </w:p>
    <w:p w14:paraId="22C3D3EC">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outlineLvl w:val="0"/>
        <w:rPr>
          <w:rFonts w:hint="eastAsia" w:ascii="仿宋_GB2312" w:hAnsi="仿宋_GB2312" w:eastAsia="仿宋_GB2312" w:cs="仿宋_GB2312"/>
          <w:sz w:val="32"/>
          <w:szCs w:val="32"/>
        </w:rPr>
      </w:pPr>
      <w:bookmarkStart w:id="32" w:name="_Toc1430"/>
      <w:bookmarkStart w:id="33" w:name="_Toc11647"/>
      <w:bookmarkStart w:id="34" w:name="_Toc29121"/>
      <w:r>
        <w:rPr>
          <w:rFonts w:hint="eastAsia" w:ascii="仿宋_GB2312" w:hAnsi="仿宋_GB2312" w:eastAsia="仿宋_GB2312" w:cs="仿宋_GB2312"/>
          <w:sz w:val="32"/>
          <w:szCs w:val="32"/>
        </w:rPr>
        <w:t>该项目年初预算数81.20万元，全年预算数81.20万元，截至2024年12月31日，全年执行数81.20万元，预算执行率为100%，主要用于：支付日常办公用品采购、卫生用品购置、水费、电费、邮电费、取暖费缴纳、学校设施设备维修等。</w:t>
      </w:r>
      <w:bookmarkEnd w:id="32"/>
      <w:bookmarkEnd w:id="33"/>
      <w:bookmarkEnd w:id="34"/>
    </w:p>
    <w:p w14:paraId="4DA5DAE7">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35" w:name="_Toc9109"/>
      <w:r>
        <w:rPr>
          <w:rFonts w:hint="eastAsia" w:ascii="Times New Roman" w:hAnsi="Times New Roman" w:eastAsia="楷体_GB2312" w:cs="Times New Roman"/>
          <w:kern w:val="28"/>
          <w:sz w:val="32"/>
        </w:rPr>
        <w:t>（二）项目绩效目标</w:t>
      </w:r>
      <w:bookmarkEnd w:id="35"/>
    </w:p>
    <w:p w14:paraId="6ECBA569">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36" w:name="_Toc8528"/>
      <w:bookmarkStart w:id="37" w:name="_Toc2547"/>
      <w:bookmarkStart w:id="38" w:name="_Toc14758"/>
      <w:bookmarkStart w:id="39" w:name="_Toc10047"/>
      <w:r>
        <w:rPr>
          <w:rFonts w:hint="eastAsia" w:cs="仿宋_GB2312"/>
          <w:color w:val="000000" w:themeColor="text1"/>
          <w:sz w:val="32"/>
          <w14:textFill>
            <w14:solidFill>
              <w14:schemeClr w14:val="tx1"/>
            </w14:solidFill>
          </w14:textFill>
        </w:rPr>
        <w:t>1.总体目标</w:t>
      </w:r>
      <w:bookmarkEnd w:id="36"/>
      <w:bookmarkEnd w:id="37"/>
      <w:bookmarkEnd w:id="38"/>
      <w:bookmarkEnd w:id="39"/>
    </w:p>
    <w:p w14:paraId="159590A7">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保障学校正常运转，完成教学活动及其他日常业务的正常运转。2024年学校在校学生人数890人，计划完成每学年以940元/生/学年的标准使用公用经费,公用经费、教师培训结业率达到100%。通过项目实施，将有效改善教学环境，提供良好的学生成长条件，保障学校正常运转,师生满意度预计将达到90%以上。</w:t>
      </w:r>
    </w:p>
    <w:p w14:paraId="25DB128A">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40" w:name="_Toc4487"/>
      <w:bookmarkStart w:id="41" w:name="_Toc3255"/>
      <w:bookmarkStart w:id="42" w:name="_Toc4007"/>
      <w:bookmarkStart w:id="43" w:name="_Toc8990"/>
      <w:r>
        <w:rPr>
          <w:rFonts w:hint="eastAsia" w:cs="仿宋_GB2312"/>
          <w:color w:val="000000" w:themeColor="text1"/>
          <w:sz w:val="32"/>
          <w14:textFill>
            <w14:solidFill>
              <w14:schemeClr w14:val="tx1"/>
            </w14:solidFill>
          </w14:textFill>
        </w:rPr>
        <w:t>2.阶段性目标</w:t>
      </w:r>
      <w:bookmarkEnd w:id="40"/>
      <w:bookmarkEnd w:id="41"/>
      <w:bookmarkEnd w:id="42"/>
      <w:bookmarkEnd w:id="43"/>
    </w:p>
    <w:p w14:paraId="6062F0A1">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根据《预算法》《财政支出绩效评价管理暂行办法》（财预〔2020〕10号）</w:t>
      </w:r>
      <w:r>
        <w:rPr>
          <w:rFonts w:hint="eastAsia" w:ascii="仿宋_GB2312" w:hAnsi="仿宋_GB2312" w:eastAsia="仿宋_GB2312" w:cs="仿宋_GB2312"/>
          <w:color w:val="000000" w:themeColor="text1"/>
          <w:sz w:val="32"/>
          <w:szCs w:val="32"/>
          <w14:textFill>
            <w14:solidFill>
              <w14:schemeClr w14:val="tx1"/>
            </w14:solidFill>
          </w14:textFill>
        </w:rPr>
        <w:t>等文件</w:t>
      </w:r>
      <w:r>
        <w:rPr>
          <w:rFonts w:hint="eastAsia" w:ascii="仿宋_GB2312" w:hAnsi="仿宋_GB2312" w:eastAsia="仿宋_GB2312" w:cs="仿宋_GB2312"/>
          <w:bCs/>
          <w:color w:val="000000" w:themeColor="text1"/>
          <w:sz w:val="32"/>
          <w:szCs w:val="32"/>
          <w14:textFill>
            <w14:solidFill>
              <w14:schemeClr w14:val="tx1"/>
            </w14:solidFill>
          </w14:textFill>
        </w:rPr>
        <w:t>的规定，结合项目实施单位的规章制度以及财务相关资料，评价小组对项目绩效目标进行了进一步的完善，完善后绩效目标如下：</w:t>
      </w:r>
    </w:p>
    <w:p w14:paraId="4EB628AE">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（1）项目产出目标</w:t>
      </w:r>
    </w:p>
    <w:p w14:paraId="3D436D08">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①数量指标</w:t>
      </w:r>
    </w:p>
    <w:p w14:paraId="5EBAB33B">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“在校学生人数（人）”指标，预期目标值为=890人；</w:t>
      </w:r>
    </w:p>
    <w:p w14:paraId="3B7ACAC8">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②质量指标</w:t>
      </w:r>
    </w:p>
    <w:p w14:paraId="70C22728">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“公用经费享受比例”指标，预期目标值为=100%；</w:t>
      </w:r>
    </w:p>
    <w:p w14:paraId="636514D4">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“教师培训结业率”指标，预期目标值为=100%；</w:t>
      </w:r>
    </w:p>
    <w:p w14:paraId="37DCE70D">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③时效指标</w:t>
      </w:r>
    </w:p>
    <w:p w14:paraId="3098B5FD">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“资金支付及时率”指标，预期目标值为=100%；</w:t>
      </w:r>
    </w:p>
    <w:p w14:paraId="6D8A83B3">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（2）成本指标</w:t>
      </w:r>
    </w:p>
    <w:p w14:paraId="75EB4D3B">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44" w:name="OLE_LINK2"/>
      <w:r>
        <w:rPr>
          <w:rFonts w:hint="eastAsia" w:ascii="仿宋_GB2312" w:hAnsi="仿宋_GB2312" w:eastAsia="仿宋_GB2312" w:cs="仿宋_GB2312"/>
          <w:color w:val="000000" w:themeColor="text1"/>
          <w:sz w:val="32"/>
          <w:szCs w:val="32"/>
          <w14:textFill>
            <w14:solidFill>
              <w14:schemeClr w14:val="tx1"/>
            </w14:solidFill>
          </w14:textFill>
        </w:rPr>
        <w:t>“水电暖支出”指标，预期目标值为</w:t>
      </w:r>
      <w:bookmarkStart w:id="45" w:name="OLE_LINK3"/>
      <w:r>
        <w:rPr>
          <w:rFonts w:hint="eastAsia"/>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40万元</w:t>
      </w:r>
      <w:bookmarkEnd w:id="45"/>
      <w:r>
        <w:rPr>
          <w:rFonts w:hint="eastAsia" w:ascii="仿宋_GB2312" w:hAnsi="仿宋_GB2312" w:eastAsia="仿宋_GB2312" w:cs="仿宋_GB2312"/>
          <w:color w:val="000000" w:themeColor="text1"/>
          <w:sz w:val="32"/>
          <w:szCs w:val="32"/>
          <w14:textFill>
            <w14:solidFill>
              <w14:schemeClr w14:val="tx1"/>
            </w14:solidFill>
          </w14:textFill>
        </w:rPr>
        <w:t>；</w:t>
      </w:r>
    </w:p>
    <w:bookmarkEnd w:id="44"/>
    <w:p w14:paraId="5EFEBD27">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“物业管理费及其他支出”指标，预期目标值为</w:t>
      </w:r>
      <w:r>
        <w:rPr>
          <w:rFonts w:hint="eastAsia"/>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41.20万元；</w:t>
      </w:r>
    </w:p>
    <w:p w14:paraId="6DAB7095">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（3）项目效益指标</w:t>
      </w:r>
    </w:p>
    <w:p w14:paraId="2A258CC7">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①社会效益指标</w:t>
      </w:r>
    </w:p>
    <w:p w14:paraId="7D968787">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“学校正常运转率”指标，预期目标值为=100%；</w:t>
      </w:r>
    </w:p>
    <w:p w14:paraId="12DA5310">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“改善教学环境，提供良好的学生成长条件”指标，预期目标值为改善；</w:t>
      </w:r>
    </w:p>
    <w:p w14:paraId="4467A111">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rPr>
        <w:t>满意度指标</w:t>
      </w:r>
    </w:p>
    <w:p w14:paraId="569AF49F">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“师生满意度”指标，预期目标值为≥90%。</w:t>
      </w:r>
    </w:p>
    <w:p w14:paraId="11A763BD">
      <w:pPr>
        <w:pStyle w:val="2"/>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ascii="宋体" w:hAnsi="宋体" w:eastAsia="宋体"/>
          <w:b/>
          <w:bCs/>
          <w:color w:val="000000" w:themeColor="text1"/>
          <w14:textFill>
            <w14:solidFill>
              <w14:schemeClr w14:val="tx1"/>
            </w14:solidFill>
          </w14:textFill>
        </w:rPr>
      </w:pPr>
      <w:bookmarkStart w:id="46" w:name="_Toc26567"/>
      <w:r>
        <w:rPr>
          <w:rFonts w:hint="eastAsia" w:ascii="宋体" w:hAnsi="宋体" w:eastAsia="宋体"/>
          <w:b/>
          <w:bCs/>
          <w:color w:val="000000" w:themeColor="text1"/>
          <w14:textFill>
            <w14:solidFill>
              <w14:schemeClr w14:val="tx1"/>
            </w14:solidFill>
          </w14:textFill>
        </w:rPr>
        <w:t>二、绩效评价工作开展情况</w:t>
      </w:r>
      <w:bookmarkEnd w:id="46"/>
    </w:p>
    <w:p w14:paraId="5DA9F352">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47" w:name="_Toc480473081"/>
      <w:bookmarkStart w:id="48" w:name="_Toc5462343"/>
      <w:bookmarkStart w:id="49" w:name="_Toc5258"/>
      <w:bookmarkStart w:id="50" w:name="_Toc22922"/>
      <w:bookmarkStart w:id="51" w:name="_Toc22169_WPSOffice_Level2"/>
      <w:bookmarkStart w:id="52" w:name="_Toc12868"/>
      <w:bookmarkStart w:id="53" w:name="_Toc26632"/>
      <w:bookmarkStart w:id="54" w:name="_Toc21664"/>
      <w:bookmarkStart w:id="55" w:name="_Toc22839"/>
      <w:r>
        <w:rPr>
          <w:rFonts w:hint="eastAsia" w:ascii="Times New Roman" w:hAnsi="Times New Roman" w:eastAsia="楷体_GB2312" w:cs="Times New Roman"/>
          <w:kern w:val="28"/>
          <w:sz w:val="32"/>
        </w:rPr>
        <w:t>（一）绩效评价的目的</w:t>
      </w:r>
      <w:bookmarkEnd w:id="47"/>
      <w:bookmarkEnd w:id="48"/>
      <w:bookmarkEnd w:id="49"/>
      <w:bookmarkEnd w:id="50"/>
      <w:bookmarkEnd w:id="51"/>
      <w:bookmarkEnd w:id="52"/>
      <w:bookmarkEnd w:id="53"/>
      <w:bookmarkEnd w:id="54"/>
      <w:r>
        <w:rPr>
          <w:rFonts w:hint="eastAsia" w:ascii="Times New Roman" w:hAnsi="Times New Roman" w:eastAsia="楷体_GB2312" w:cs="Times New Roman"/>
          <w:kern w:val="28"/>
          <w:sz w:val="32"/>
        </w:rPr>
        <w:t>、对象和范围</w:t>
      </w:r>
      <w:bookmarkEnd w:id="55"/>
    </w:p>
    <w:p w14:paraId="5BE86A54">
      <w:pPr>
        <w:pStyle w:val="14"/>
        <w:pageBreakBefore w:val="0"/>
        <w:kinsoku/>
        <w:wordWrap/>
        <w:overflowPunct/>
        <w:topLinePunct w:val="0"/>
        <w:autoSpaceDE/>
        <w:autoSpaceDN/>
        <w:bidi w:val="0"/>
        <w:adjustRightInd/>
        <w:spacing w:before="0" w:beforeAutospacing="0" w:after="0" w:afterAutospacing="0" w:line="560" w:lineRule="exact"/>
        <w:ind w:firstLine="643" w:firstLineChars="200"/>
        <w:jc w:val="both"/>
        <w:textAlignment w:val="auto"/>
        <w:outlineLvl w:val="9"/>
        <w:rPr>
          <w:rFonts w:ascii="Times New Roman" w:hAnsi="Times New Roman" w:eastAsia="仿宋_GB2312" w:cs="Times New Roman"/>
          <w:sz w:val="32"/>
        </w:rPr>
      </w:pPr>
      <w:bookmarkStart w:id="56" w:name="_Toc15732"/>
      <w:r>
        <w:rPr>
          <w:rFonts w:ascii="Times New Roman" w:hAnsi="Times New Roman" w:eastAsia="仿宋_GB2312" w:cs="Times New Roman"/>
          <w:sz w:val="32"/>
        </w:rPr>
        <w:t>1.绩效评价完整性</w:t>
      </w:r>
    </w:p>
    <w:p w14:paraId="7E43F4AD">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00E7AB9">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1686D803">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E19A589">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8F04652">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4C6918E">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57" w:name="_Toc21770"/>
      <w:bookmarkStart w:id="58" w:name="_Toc417"/>
      <w:r>
        <w:rPr>
          <w:rFonts w:hint="eastAsia" w:cs="仿宋_GB2312"/>
          <w:color w:val="000000" w:themeColor="text1"/>
          <w:sz w:val="32"/>
          <w14:textFill>
            <w14:solidFill>
              <w14:schemeClr w14:val="tx1"/>
            </w14:solidFill>
          </w14:textFill>
        </w:rPr>
        <w:t>2.绩效评价的目的</w:t>
      </w:r>
      <w:bookmarkEnd w:id="56"/>
      <w:bookmarkEnd w:id="57"/>
      <w:bookmarkEnd w:id="58"/>
    </w:p>
    <w:p w14:paraId="10CABF4B">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4D195765">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bookmarkStart w:id="59" w:name="_Toc30609"/>
      <w:r>
        <w:rPr>
          <w:rFonts w:ascii="Times New Roman" w:hAnsi="Times New Roman" w:eastAsia="仿宋_GB2312" w:cs="Times New Roman"/>
          <w:sz w:val="32"/>
          <w:szCs w:val="32"/>
        </w:rPr>
        <w:t>（1）评估项目实施效果</w:t>
      </w:r>
    </w:p>
    <w:p w14:paraId="603A8B8A">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通过对项目预算执行情况及各项绩效目标达成程度的系统性分析，全面、客观地评估项目在预定周期内的实施效果，包括社会效益维度指标，为项目后续的改进与优化提供科学依据。</w:t>
      </w:r>
    </w:p>
    <w:p w14:paraId="410822C5">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（2）提升资源利用效率</w:t>
      </w:r>
    </w:p>
    <w:p w14:paraId="702AC025">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31A50D1">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（3）强化项目管理责任</w:t>
      </w:r>
    </w:p>
    <w:p w14:paraId="139B21B1">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1684CE1">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（4）为决策提供支持</w:t>
      </w:r>
    </w:p>
    <w:p w14:paraId="595A3BD0">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5B57FDD">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（5）促进项目持续改进</w:t>
      </w:r>
    </w:p>
    <w:p w14:paraId="4EF7314D">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C2B4617">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仿宋_GB2312" w:cs="Times New Roman"/>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32CC882">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60" w:name="_Toc16346"/>
      <w:bookmarkStart w:id="61" w:name="_Toc31970"/>
      <w:r>
        <w:rPr>
          <w:rFonts w:hint="eastAsia" w:cs="仿宋_GB2312"/>
          <w:color w:val="000000" w:themeColor="text1"/>
          <w:sz w:val="32"/>
          <w14:textFill>
            <w14:solidFill>
              <w14:schemeClr w14:val="tx1"/>
            </w14:solidFill>
          </w14:textFill>
        </w:rPr>
        <w:t>3.绩效评价的对象</w:t>
      </w:r>
      <w:bookmarkEnd w:id="59"/>
      <w:bookmarkEnd w:id="60"/>
      <w:bookmarkEnd w:id="61"/>
    </w:p>
    <w:p w14:paraId="0814E94A">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此次我单位根据《财政支出绩效评价管理暂行办法》（财预〔2020〕10号）文件要求对2024年度</w:t>
      </w:r>
      <w:r>
        <w:rPr>
          <w:rFonts w:hint="eastAsia" w:ascii="仿宋_GB2312" w:hAnsi="仿宋_GB2312" w:eastAsia="仿宋_GB2312" w:cs="仿宋_GB2312"/>
          <w:sz w:val="32"/>
          <w:szCs w:val="32"/>
        </w:rPr>
        <w:t xml:space="preserve">我单位实施的 </w:t>
      </w:r>
      <w:r>
        <w:rPr>
          <w:rFonts w:hint="eastAsia" w:ascii="仿宋_GB2312" w:hAnsi="仿宋_GB2312" w:eastAsia="仿宋_GB2312" w:cs="仿宋_GB2312"/>
          <w:sz w:val="32"/>
          <w:szCs w:val="32"/>
          <w:lang w:eastAsia="zh-CN"/>
        </w:rPr>
        <w:t>昌州财教【2023】90号（保民生）提前下达2024年城乡义务教育补助经费（中央直达资金）公用经费</w:t>
      </w:r>
      <w:r>
        <w:rPr>
          <w:rFonts w:hint="eastAsia" w:ascii="仿宋_GB2312" w:hAnsi="仿宋_GB2312" w:eastAsia="仿宋_GB2312" w:cs="仿宋_GB2312"/>
          <w:sz w:val="32"/>
          <w:szCs w:val="32"/>
        </w:rPr>
        <w:t>项目</w:t>
      </w:r>
      <w:r>
        <w:rPr>
          <w:rFonts w:ascii="仿宋_GB2312" w:hAnsi="仿宋_GB2312" w:eastAsia="仿宋_GB2312" w:cs="仿宋_GB2312"/>
          <w:sz w:val="32"/>
          <w:szCs w:val="32"/>
        </w:rPr>
        <w:t>及其预算执行情况</w:t>
      </w:r>
      <w:r>
        <w:rPr>
          <w:rFonts w:hint="eastAsia" w:ascii="仿宋_GB2312" w:hAnsi="仿宋_GB2312" w:eastAsia="仿宋_GB2312" w:cs="仿宋_GB2312"/>
          <w:sz w:val="32"/>
          <w:szCs w:val="32"/>
        </w:rPr>
        <w:t>开展部门绩效评价。</w:t>
      </w:r>
    </w:p>
    <w:p w14:paraId="254668FE">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sz w:val="32"/>
          <w:szCs w:val="32"/>
        </w:rPr>
        <w:t>该项</w:t>
      </w:r>
      <w:r>
        <w:rPr>
          <w:rFonts w:ascii="仿宋_GB2312" w:hAnsi="仿宋_GB2312" w:eastAsia="仿宋_GB2312" w:cs="仿宋_GB2312"/>
          <w:sz w:val="32"/>
          <w:szCs w:val="32"/>
          <w:highlight w:val="none"/>
        </w:rPr>
        <w:t>目由</w:t>
      </w:r>
      <w:r>
        <w:rPr>
          <w:rFonts w:hint="eastAsia" w:ascii="仿宋_GB2312" w:hAnsi="仿宋_GB2312" w:eastAsia="仿宋_GB2312" w:cs="仿宋_GB2312"/>
          <w:sz w:val="32"/>
          <w:szCs w:val="32"/>
          <w:highlight w:val="none"/>
        </w:rPr>
        <w:t>阜康市第三中学</w:t>
      </w:r>
      <w:r>
        <w:rPr>
          <w:rFonts w:ascii="仿宋_GB2312" w:hAnsi="仿宋_GB2312" w:eastAsia="仿宋_GB2312" w:cs="仿宋_GB2312"/>
          <w:sz w:val="32"/>
          <w:szCs w:val="32"/>
          <w:highlight w:val="none"/>
        </w:rPr>
        <w:t>负责实施，旨在</w:t>
      </w:r>
      <w:r>
        <w:rPr>
          <w:rFonts w:hint="default" w:ascii="Times New Roman" w:hAnsi="Times New Roman" w:eastAsia="仿宋_GB2312" w:cs="Times New Roman"/>
          <w:b w:val="0"/>
          <w:bCs w:val="0"/>
          <w:color w:val="auto"/>
          <w:kern w:val="2"/>
          <w:sz w:val="32"/>
          <w:szCs w:val="32"/>
          <w:highlight w:val="none"/>
          <w:lang w:val="en-US" w:eastAsia="zh-CN" w:bidi="ar-SA"/>
        </w:rPr>
        <w:t>提高</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正常运转率，改善教学环境，提供良好的学生成长条件，保障</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w:t>
      </w:r>
      <w:r>
        <w:rPr>
          <w:rFonts w:ascii="仿宋_GB2312" w:hAnsi="仿宋_GB2312" w:eastAsia="仿宋_GB2312" w:cs="仿宋_GB2312"/>
          <w:sz w:val="32"/>
          <w:szCs w:val="32"/>
          <w:highlight w:val="none"/>
        </w:rPr>
        <w:t>项目</w:t>
      </w:r>
      <w:r>
        <w:rPr>
          <w:rFonts w:ascii="仿宋_GB2312" w:hAnsi="仿宋_GB2312" w:eastAsia="仿宋_GB2312" w:cs="仿宋_GB2312"/>
          <w:sz w:val="32"/>
          <w:szCs w:val="32"/>
        </w:rPr>
        <w:t>预算涵盖从</w:t>
      </w:r>
      <w:r>
        <w:rPr>
          <w:rFonts w:hint="eastAsia" w:ascii="仿宋_GB2312" w:hAnsi="仿宋_GB2312" w:eastAsia="仿宋_GB2312" w:cs="仿宋_GB2312"/>
          <w:sz w:val="32"/>
          <w:szCs w:val="32"/>
        </w:rPr>
        <w:t>2024年1月1日</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2024年12月31日</w:t>
      </w:r>
      <w:r>
        <w:rPr>
          <w:rFonts w:ascii="仿宋_GB2312" w:hAnsi="仿宋_GB2312" w:eastAsia="仿宋_GB2312" w:cs="仿宋_GB2312"/>
          <w:sz w:val="32"/>
          <w:szCs w:val="32"/>
        </w:rPr>
        <w:t>的全部资金投入与支出，涉及资金总额为</w:t>
      </w:r>
      <w:r>
        <w:rPr>
          <w:rFonts w:hint="eastAsia" w:ascii="仿宋_GB2312" w:hAnsi="仿宋_GB2312" w:eastAsia="仿宋_GB2312" w:cs="仿宋_GB2312"/>
          <w:color w:val="000000" w:themeColor="text1"/>
          <w:sz w:val="32"/>
          <w:szCs w:val="32"/>
          <w14:textFill>
            <w14:solidFill>
              <w14:schemeClr w14:val="tx1"/>
            </w14:solidFill>
          </w14:textFill>
        </w:rPr>
        <w:t>81.20</w:t>
      </w:r>
      <w:r>
        <w:rPr>
          <w:rFonts w:ascii="仿宋_GB2312" w:hAnsi="仿宋_GB2312" w:eastAsia="仿宋_GB2312" w:cs="仿宋_GB2312"/>
          <w:color w:val="000000" w:themeColor="text1"/>
          <w:sz w:val="32"/>
          <w:szCs w:val="32"/>
          <w14:textFill>
            <w14:solidFill>
              <w14:schemeClr w14:val="tx1"/>
            </w14:solidFill>
          </w14:textFill>
        </w:rPr>
        <w:t>万元。</w:t>
      </w:r>
    </w:p>
    <w:p w14:paraId="19369917">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62" w:name="_Toc21311"/>
      <w:bookmarkStart w:id="63" w:name="_Toc11666"/>
      <w:r>
        <w:rPr>
          <w:rFonts w:cs="仿宋_GB2312"/>
          <w:color w:val="000000" w:themeColor="text1"/>
          <w:sz w:val="32"/>
          <w14:textFill>
            <w14:solidFill>
              <w14:schemeClr w14:val="tx1"/>
            </w14:solidFill>
          </w14:textFill>
        </w:rPr>
        <w:t>4.绩效评价的范围</w:t>
      </w:r>
      <w:bookmarkEnd w:id="62"/>
      <w:bookmarkEnd w:id="63"/>
    </w:p>
    <w:p w14:paraId="5E9BBF66">
      <w:pPr>
        <w:pStyle w:val="14"/>
        <w:pageBreakBefore w:val="0"/>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本项目预算绩效评价报告的评价范围广泛而全面，涵盖了从项目立项至评价时点期间的所有关键预算活动和财务流程。具体而言，评价范围包括但不限于以下几个方面：</w:t>
      </w:r>
    </w:p>
    <w:p w14:paraId="180AA72A">
      <w:pPr>
        <w:pStyle w:val="14"/>
        <w:pageBreakBefore w:val="0"/>
        <w:numPr>
          <w:ilvl w:val="0"/>
          <w:numId w:val="1"/>
        </w:numPr>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项目预算编制与执行：全面审视项目预算的编制依据、合理性、科学性以及实际执行情况，包括预算调整的原因和效果。</w:t>
      </w:r>
    </w:p>
    <w:p w14:paraId="6BBBBA71">
      <w:pPr>
        <w:pStyle w:val="14"/>
        <w:pageBreakBefore w:val="0"/>
        <w:numPr>
          <w:ilvl w:val="0"/>
          <w:numId w:val="1"/>
        </w:numPr>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资金管理：深入分析项目资金的分配、使用和监管情况，确保资金使用的合规性、高效性和透明度。</w:t>
      </w:r>
    </w:p>
    <w:p w14:paraId="1BEC6622">
      <w:pPr>
        <w:pStyle w:val="14"/>
        <w:pageBreakBefore w:val="0"/>
        <w:numPr>
          <w:ilvl w:val="0"/>
          <w:numId w:val="1"/>
        </w:numPr>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项目实施进度与产出：评估项目是否按照既定计划顺利推进，各项任务是否按时完成，以及项目产出的数量、质量和时效性是否符合预期。</w:t>
      </w:r>
    </w:p>
    <w:p w14:paraId="5716DB2D">
      <w:pPr>
        <w:pStyle w:val="14"/>
        <w:pageBreakBefore w:val="0"/>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ascii="Times New Roman" w:hAnsi="Times New Roman" w:eastAsia="仿宋_GB2312" w:cs="Times New Roman"/>
          <w:b w:val="0"/>
          <w:bCs w:val="0"/>
          <w:highlight w:val="green"/>
        </w:rPr>
      </w:pPr>
      <w:r>
        <w:rPr>
          <w:rFonts w:hint="eastAsia" w:ascii="仿宋_GB2312" w:hAnsi="仿宋_GB2312" w:eastAsia="仿宋_GB2312" w:cs="仿宋_GB2312"/>
          <w:b w:val="0"/>
          <w:bCs w:val="0"/>
          <w:sz w:val="32"/>
          <w:highlight w:val="none"/>
        </w:rPr>
        <w:t>（4）</w:t>
      </w:r>
      <w:r>
        <w:rPr>
          <w:rFonts w:hint="eastAsia" w:ascii="仿宋_GB2312" w:hAnsi="仿宋_GB2312" w:eastAsia="仿宋_GB2312" w:cs="仿宋_GB2312"/>
          <w:b w:val="0"/>
          <w:bCs w:val="0"/>
          <w:color w:val="auto"/>
          <w:sz w:val="32"/>
          <w:szCs w:val="32"/>
          <w:highlight w:val="none"/>
        </w:rPr>
        <w:t>社会影响：考察项目对社会方面的综合影响。</w:t>
      </w:r>
    </w:p>
    <w:p w14:paraId="22E3295D">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64" w:name="_Toc1286"/>
      <w:bookmarkStart w:id="65" w:name="_Toc29785"/>
      <w:r>
        <w:rPr>
          <w:rFonts w:hint="eastAsia" w:ascii="Times New Roman" w:hAnsi="Times New Roman" w:eastAsia="楷体_GB2312" w:cs="Times New Roman"/>
          <w:kern w:val="28"/>
          <w:sz w:val="32"/>
        </w:rPr>
        <w:t>（二）绩效评价原则、评价指标体系（</w:t>
      </w:r>
      <w:r>
        <w:rPr>
          <w:rFonts w:ascii="Times New Roman" w:hAnsi="Times New Roman" w:eastAsia="楷体_GB2312" w:cs="Times New Roman"/>
          <w:kern w:val="28"/>
          <w:sz w:val="32"/>
        </w:rPr>
        <w:t>详情见</w:t>
      </w:r>
      <w:r>
        <w:rPr>
          <w:rFonts w:hint="eastAsia" w:ascii="Times New Roman" w:hAnsi="Times New Roman" w:eastAsia="楷体_GB2312" w:cs="Times New Roman"/>
          <w:kern w:val="28"/>
          <w:sz w:val="32"/>
        </w:rPr>
        <w:t>附件二）、评价方法、评价标准</w:t>
      </w:r>
      <w:bookmarkEnd w:id="64"/>
      <w:bookmarkEnd w:id="65"/>
    </w:p>
    <w:p w14:paraId="7FB68A5B">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ascii="Times New Roman" w:hAnsi="Times New Roman" w:cs="Times New Roman"/>
          <w:color w:val="000000"/>
          <w:kern w:val="2"/>
          <w:sz w:val="32"/>
        </w:rPr>
      </w:pPr>
      <w:bookmarkStart w:id="66" w:name="_Toc24506"/>
      <w:bookmarkStart w:id="67" w:name="_Toc5354"/>
      <w:bookmarkStart w:id="68" w:name="_Toc13694"/>
      <w:r>
        <w:rPr>
          <w:rFonts w:hint="eastAsia" w:ascii="Times New Roman" w:hAnsi="Times New Roman" w:cs="Times New Roman"/>
          <w:color w:val="000000"/>
          <w:kern w:val="2"/>
          <w:sz w:val="32"/>
        </w:rPr>
        <w:t>1.绩效评价原则</w:t>
      </w:r>
      <w:bookmarkEnd w:id="66"/>
      <w:bookmarkEnd w:id="67"/>
      <w:bookmarkEnd w:id="68"/>
    </w:p>
    <w:p w14:paraId="18E6C065">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依据《财政支出绩效评价管理暂行办法》（财预〔2020〕10号）本次绩效评价秉承科学规范、公正公开、分级分类、绩效相关等原则</w:t>
      </w:r>
      <w:r>
        <w:rPr>
          <w:rFonts w:hint="eastAsia" w:ascii="Times New Roman" w:hAnsi="Times New Roman" w:eastAsia="仿宋_GB2312" w:cs="Times New Roman"/>
          <w:sz w:val="32"/>
          <w:szCs w:val="32"/>
        </w:rPr>
        <w:t xml:space="preserve">，按照从投入、过程到产出效果和影响的绩效逻辑路径，结合  </w:t>
      </w:r>
      <w:r>
        <w:rPr>
          <w:rFonts w:hint="eastAsia" w:ascii="Times New Roman" w:hAnsi="Times New Roman" w:eastAsia="仿宋_GB2312" w:cs="Times New Roman"/>
          <w:sz w:val="32"/>
          <w:szCs w:val="32"/>
          <w:lang w:eastAsia="zh-CN"/>
        </w:rPr>
        <w:t>昌州财教【2023】90号（保民生）提前下达2024年城乡义务教育补助经费（中央直达资金）公用经费</w:t>
      </w:r>
      <w:r>
        <w:rPr>
          <w:rFonts w:hint="eastAsia" w:ascii="Times New Roman" w:hAnsi="Times New Roman" w:eastAsia="仿宋_GB2312" w:cs="Times New Roman"/>
          <w:sz w:val="32"/>
          <w:szCs w:val="32"/>
        </w:rPr>
        <w:t>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rPr>
        <w:t>以切实提升财政资金管理的科学化、规范化和精细化水平。</w:t>
      </w:r>
    </w:p>
    <w:p w14:paraId="676F9591">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根据以上原则，绩效评价应遵循如下要求：</w:t>
      </w:r>
    </w:p>
    <w:p w14:paraId="3EC9C254">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（1）科学公正。绩效评价应当运用科学合理的方法，按照规范的程序，对项目绩效进行客观、公正的反映。</w:t>
      </w:r>
    </w:p>
    <w:p w14:paraId="5D30E482">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（2）统筹兼顾。单位自评、部门评价和财政评价应职责明确，各有侧重，相互衔接。单位自评应由项目单位自主实施，即“谁支出、谁自评”。</w:t>
      </w:r>
    </w:p>
    <w:p w14:paraId="37BB40D2">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（3）激励约束。绩效评价结果应与预算安排、政策调整、改进管理实质性挂钩，体现奖优罚劣和激励相容导向，有效要安排、低效要压减、无效要问责。</w:t>
      </w:r>
    </w:p>
    <w:p w14:paraId="25B279DA">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（4）公开透明。绩效评价结果应依法依规公开，并自觉接受社会监督。</w:t>
      </w:r>
    </w:p>
    <w:p w14:paraId="4AF97790">
      <w:pPr>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ascii="仿宋_GB2312" w:hAnsi="仿宋_GB2312" w:eastAsia="仿宋_GB2312" w:cs="仿宋_GB2312"/>
          <w:b/>
          <w:bCs/>
          <w:color w:val="000000"/>
          <w:sz w:val="32"/>
          <w:szCs w:val="32"/>
        </w:rPr>
      </w:pPr>
      <w:bookmarkStart w:id="69" w:name="_Toc1913"/>
      <w:bookmarkStart w:id="70" w:name="_Toc428278230"/>
      <w:bookmarkStart w:id="71" w:name="_Toc24396"/>
      <w:bookmarkStart w:id="72" w:name="_Toc26131"/>
      <w:bookmarkStart w:id="73" w:name="_Toc419984722"/>
      <w:r>
        <w:rPr>
          <w:rFonts w:hint="eastAsia" w:ascii="仿宋_GB2312" w:hAnsi="仿宋_GB2312" w:eastAsia="仿宋_GB2312" w:cs="仿宋_GB2312"/>
          <w:b/>
          <w:bCs/>
          <w:color w:val="000000"/>
          <w:sz w:val="32"/>
          <w:szCs w:val="32"/>
        </w:rPr>
        <w:t>2.绩效评价指标体系</w:t>
      </w:r>
      <w:bookmarkEnd w:id="69"/>
      <w:bookmarkEnd w:id="70"/>
      <w:bookmarkEnd w:id="71"/>
      <w:bookmarkEnd w:id="72"/>
      <w:bookmarkEnd w:id="73"/>
    </w:p>
    <w:p w14:paraId="5F6CA135">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bookmarkStart w:id="74"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65715C8C">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48F84F16">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8FECBDE">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61DFEB6C">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FF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6577E1A">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458D8C8D">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255E6A5">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147E3796">
      <w:pPr>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详见上传的附件二。</w:t>
      </w:r>
    </w:p>
    <w:p w14:paraId="492741B2">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bookmarkStart w:id="75" w:name="_Toc30114"/>
      <w:bookmarkStart w:id="76" w:name="_Toc5690"/>
      <w:r>
        <w:rPr>
          <w:rFonts w:hint="eastAsia" w:cs="仿宋_GB2312"/>
          <w:color w:val="000000" w:themeColor="text1"/>
          <w:sz w:val="32"/>
          <w14:textFill>
            <w14:solidFill>
              <w14:schemeClr w14:val="tx1"/>
            </w14:solidFill>
          </w14:textFill>
        </w:rPr>
        <w:t>3.评价方法</w:t>
      </w:r>
      <w:bookmarkEnd w:id="74"/>
      <w:bookmarkEnd w:id="75"/>
      <w:bookmarkEnd w:id="76"/>
    </w:p>
    <w:p w14:paraId="4EF86CD3">
      <w:pPr>
        <w:pageBreakBefore w:val="0"/>
        <w:widowControl w:val="0"/>
        <w:kinsoku/>
        <w:wordWrap/>
        <w:overflowPunct/>
        <w:topLinePunct w:val="0"/>
        <w:autoSpaceDE/>
        <w:autoSpaceDN/>
        <w:bidi w:val="0"/>
        <w:adjustRightInd/>
        <w:snapToGrid/>
        <w:spacing w:beforeAutospacing="0" w:after="0" w:afterAutospacing="0" w:line="560" w:lineRule="exact"/>
        <w:ind w:firstLine="708" w:firstLineChars="200"/>
        <w:jc w:val="both"/>
        <w:textAlignment w:val="auto"/>
        <w:rPr>
          <w:rFonts w:hint="eastAsia" w:ascii="仿宋_GB2312" w:hAnsi="仿宋_GB2312" w:eastAsia="仿宋_GB2312" w:cs="仿宋_GB2312"/>
          <w:color w:val="auto"/>
          <w:spacing w:val="17"/>
          <w:sz w:val="32"/>
          <w:szCs w:val="32"/>
          <w:highlight w:val="none"/>
        </w:rPr>
      </w:pPr>
      <w:bookmarkStart w:id="77" w:name="_Toc6081"/>
      <w:bookmarkStart w:id="78" w:name="_Toc25391"/>
      <w:bookmarkStart w:id="79" w:name="_Toc2565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beforeAutospacing="0" w:after="0" w:afterAutospacing="0" w:line="560" w:lineRule="exact"/>
        <w:ind w:firstLine="708"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pageBreakBefore w:val="0"/>
        <w:kinsoku/>
        <w:wordWrap/>
        <w:overflowPunct/>
        <w:topLinePunct w:val="0"/>
        <w:autoSpaceDE/>
        <w:autoSpaceDN/>
        <w:bidi w:val="0"/>
        <w:adjustRightInd/>
        <w:snapToGrid/>
        <w:spacing w:beforeAutospacing="0" w:after="0" w:afterAutospacing="0" w:line="56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14:paraId="60584C02">
      <w:pPr>
        <w:pageBreakBefore w:val="0"/>
        <w:kinsoku/>
        <w:wordWrap/>
        <w:overflowPunct/>
        <w:topLinePunct w:val="0"/>
        <w:autoSpaceDE/>
        <w:autoSpaceDN/>
        <w:bidi w:val="0"/>
        <w:adjustRightInd/>
        <w:snapToGrid/>
        <w:spacing w:beforeAutospacing="0" w:after="0" w:afterAutospacing="0" w:line="56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14:paraId="011E3FF1">
      <w:pPr>
        <w:pStyle w:val="4"/>
        <w:pageBreakBefore w:val="0"/>
        <w:kinsoku/>
        <w:wordWrap/>
        <w:overflowPunct/>
        <w:topLinePunct w:val="0"/>
        <w:autoSpaceDE/>
        <w:autoSpaceDN/>
        <w:bidi w:val="0"/>
        <w:adjustRightInd/>
        <w:spacing w:beforeAutospacing="0" w:after="0" w:afterAutospacing="0" w:line="560" w:lineRule="exact"/>
        <w:ind w:firstLine="643" w:firstLineChars="200"/>
        <w:jc w:val="both"/>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4.评价标准</w:t>
      </w:r>
      <w:bookmarkEnd w:id="77"/>
      <w:bookmarkEnd w:id="78"/>
      <w:bookmarkEnd w:id="79"/>
    </w:p>
    <w:p w14:paraId="0087BA07">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rPr>
        <w:t>、</w:t>
      </w:r>
      <w:r>
        <w:rPr>
          <w:rFonts w:ascii="Times New Roman" w:hAnsi="Times New Roman" w:eastAsia="仿宋_GB2312" w:cs="Times New Roman"/>
          <w:color w:val="000000"/>
          <w:spacing w:val="17"/>
          <w:sz w:val="32"/>
          <w:szCs w:val="32"/>
        </w:rPr>
        <w:t>历史标准</w:t>
      </w:r>
      <w:r>
        <w:rPr>
          <w:rFonts w:ascii="Times New Roman" w:hAnsi="Times New Roman" w:eastAsia="仿宋_GB2312" w:cs="Times New Roman"/>
          <w:color w:val="FF0000"/>
          <w:spacing w:val="17"/>
          <w:sz w:val="32"/>
          <w:szCs w:val="32"/>
        </w:rPr>
        <w:t>。</w:t>
      </w:r>
    </w:p>
    <w:p w14:paraId="71F8435D">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（1）计划标准。指以预先制定的目标、计划、预算、定额等作为评价标准。</w:t>
      </w:r>
    </w:p>
    <w:p w14:paraId="5C3D4DC6">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（2）</w:t>
      </w:r>
      <w:r>
        <w:rPr>
          <w:rFonts w:hint="eastAsia" w:ascii="Times New Roman" w:hAnsi="Times New Roman" w:eastAsia="仿宋_GB2312" w:cs="Times New Roman"/>
          <w:color w:val="000000"/>
          <w:spacing w:val="17"/>
          <w:sz w:val="32"/>
          <w:szCs w:val="32"/>
        </w:rPr>
        <w:t>历</w:t>
      </w:r>
      <w:r>
        <w:rPr>
          <w:rFonts w:ascii="Times New Roman" w:hAnsi="Times New Roman" w:eastAsia="仿宋_GB2312" w:cs="Times New Roman"/>
          <w:color w:val="000000"/>
          <w:spacing w:val="17"/>
          <w:sz w:val="32"/>
          <w:szCs w:val="32"/>
        </w:rPr>
        <w:t>史标准。指参照历史数据制定的评价标准，为体现绩效改进的原则，在可实现的条件下应当确定相对较高的评价标准。</w:t>
      </w:r>
    </w:p>
    <w:p w14:paraId="36DD9E64">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80" w:name="_Toc21435"/>
      <w:r>
        <w:rPr>
          <w:rFonts w:hint="eastAsia" w:ascii="Times New Roman" w:hAnsi="Times New Roman" w:eastAsia="楷体_GB2312" w:cs="Times New Roman"/>
          <w:kern w:val="28"/>
          <w:sz w:val="32"/>
        </w:rPr>
        <w:t>（三）绩效评价工作过程</w:t>
      </w:r>
      <w:bookmarkEnd w:id="80"/>
    </w:p>
    <w:p w14:paraId="6F1226A9">
      <w:pPr>
        <w:pageBreakBefore w:val="0"/>
        <w:kinsoku/>
        <w:wordWrap/>
        <w:overflowPunct/>
        <w:topLinePunct w:val="0"/>
        <w:autoSpaceDE/>
        <w:autoSpaceDN/>
        <w:bidi w:val="0"/>
        <w:adjustRightInd/>
        <w:spacing w:beforeAutospacing="0" w:after="0" w:afterAutospacing="0" w:line="560" w:lineRule="exact"/>
        <w:ind w:firstLine="711" w:firstLineChars="200"/>
        <w:jc w:val="both"/>
        <w:textAlignment w:val="auto"/>
        <w:rPr>
          <w:rFonts w:ascii="Times New Roman" w:hAnsi="Times New Roman" w:eastAsia="仿宋_GB2312" w:cs="Times New Roman"/>
          <w:b/>
          <w:bCs/>
          <w:color w:val="000000"/>
          <w:spacing w:val="17"/>
          <w:sz w:val="32"/>
          <w:szCs w:val="32"/>
        </w:rPr>
      </w:pPr>
      <w:bookmarkStart w:id="81" w:name="_Toc12862"/>
      <w:r>
        <w:rPr>
          <w:rFonts w:hint="eastAsia" w:ascii="Times New Roman" w:hAnsi="Times New Roman" w:eastAsia="仿宋_GB2312" w:cs="Times New Roman"/>
          <w:b/>
          <w:bCs/>
          <w:color w:val="000000"/>
          <w:spacing w:val="17"/>
          <w:sz w:val="32"/>
          <w:szCs w:val="32"/>
        </w:rPr>
        <w:t>1.前期准备</w:t>
      </w:r>
      <w:bookmarkEnd w:id="81"/>
    </w:p>
    <w:p w14:paraId="26621469">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（1）成立绩效评价项目小组</w:t>
      </w:r>
    </w:p>
    <w:p w14:paraId="1BB5D318">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为确保该项目绩效评价的顺利实施，评价机构组建了绩效评价项目小组。项目小组负责建立联络制度、明确评价责任人、制定评价方案、实施具体评价等工作。</w:t>
      </w:r>
    </w:p>
    <w:p w14:paraId="296FF61E">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2" w:name="_Toc31571"/>
      <w:r>
        <w:rPr>
          <w:rFonts w:hint="eastAsia" w:ascii="Times New Roman" w:hAnsi="Times New Roman" w:eastAsia="仿宋_GB2312" w:cs="Times New Roman"/>
          <w:color w:val="000000"/>
          <w:spacing w:val="17"/>
          <w:sz w:val="32"/>
          <w:szCs w:val="32"/>
        </w:rPr>
        <w:t>（2）开展前期调研</w:t>
      </w:r>
      <w:bookmarkEnd w:id="82"/>
    </w:p>
    <w:p w14:paraId="4741B1CB">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3" w:name="_Toc21240"/>
      <w:r>
        <w:rPr>
          <w:rFonts w:hint="eastAsia" w:ascii="Times New Roman" w:hAnsi="Times New Roman" w:eastAsia="仿宋_GB2312" w:cs="Times New Roman"/>
          <w:color w:val="000000"/>
          <w:spacing w:val="17"/>
          <w:sz w:val="32"/>
          <w:szCs w:val="32"/>
        </w:rPr>
        <w:t>绩效评价项目小组依据此次绩效评价受委托内容，对拟评价的项目实施前期调研。通过调研对</w:t>
      </w:r>
      <w:r>
        <w:rPr>
          <w:rFonts w:hint="eastAsia" w:ascii="仿宋" w:hAnsi="仿宋" w:eastAsia="仿宋" w:cs="仿宋"/>
          <w:color w:val="000000"/>
          <w:spacing w:val="17"/>
          <w:sz w:val="32"/>
          <w:szCs w:val="32"/>
          <w:lang w:eastAsia="zh-CN"/>
        </w:rPr>
        <w:t>昌州财教【2023】90号（保民生）提前下达2024年城乡义务教育补助经费（中央直达资金）公用经费</w:t>
      </w:r>
      <w:r>
        <w:rPr>
          <w:rFonts w:hint="eastAsia" w:ascii="Times New Roman" w:hAnsi="Times New Roman" w:eastAsia="仿宋_GB2312" w:cs="Times New Roman"/>
          <w:spacing w:val="17"/>
          <w:sz w:val="32"/>
          <w:szCs w:val="32"/>
        </w:rPr>
        <w:t>实施内容、目标信息、预算信息以及其他的一些项目</w:t>
      </w:r>
      <w:r>
        <w:rPr>
          <w:rFonts w:hint="eastAsia" w:ascii="Times New Roman" w:hAnsi="Times New Roman" w:eastAsia="仿宋_GB2312" w:cs="Times New Roman"/>
          <w:color w:val="000000"/>
          <w:spacing w:val="17"/>
          <w:sz w:val="32"/>
          <w:szCs w:val="32"/>
        </w:rPr>
        <w:t>基本信息，有了初步了解，为制定绩效评价工作方案做好准备。</w:t>
      </w:r>
      <w:bookmarkEnd w:id="83"/>
    </w:p>
    <w:p w14:paraId="3E4E8ADE">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4" w:name="_Toc27977"/>
      <w:r>
        <w:rPr>
          <w:rFonts w:hint="eastAsia" w:ascii="Times New Roman" w:hAnsi="Times New Roman" w:eastAsia="仿宋_GB2312" w:cs="Times New Roman"/>
          <w:color w:val="000000"/>
          <w:spacing w:val="17"/>
          <w:sz w:val="32"/>
          <w:szCs w:val="32"/>
        </w:rPr>
        <w:t>（3）制订绩效评价工作方案</w:t>
      </w:r>
      <w:bookmarkEnd w:id="84"/>
    </w:p>
    <w:p w14:paraId="6632437C">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5" w:name="_Toc19659"/>
      <w:r>
        <w:rPr>
          <w:rFonts w:hint="eastAsia" w:ascii="Times New Roman" w:hAnsi="Times New Roman" w:eastAsia="仿宋_GB2312" w:cs="Times New Roman"/>
          <w:color w:val="000000"/>
          <w:spacing w:val="17"/>
          <w:sz w:val="32"/>
          <w:szCs w:val="32"/>
        </w:rPr>
        <w:t>绩效评价项目小组根据有关规定和评价对象的特点以及前期调研收集的一些信息，拟定详细的绩效评价工作方案。</w:t>
      </w:r>
      <w:bookmarkEnd w:id="85"/>
    </w:p>
    <w:p w14:paraId="3153C7E9">
      <w:pPr>
        <w:pageBreakBefore w:val="0"/>
        <w:kinsoku/>
        <w:wordWrap/>
        <w:overflowPunct/>
        <w:topLinePunct w:val="0"/>
        <w:autoSpaceDE/>
        <w:autoSpaceDN/>
        <w:bidi w:val="0"/>
        <w:adjustRightInd/>
        <w:spacing w:beforeAutospacing="0" w:after="0" w:afterAutospacing="0" w:line="560" w:lineRule="exact"/>
        <w:ind w:firstLine="711" w:firstLineChars="200"/>
        <w:jc w:val="both"/>
        <w:textAlignment w:val="auto"/>
        <w:rPr>
          <w:rFonts w:ascii="Times New Roman" w:hAnsi="Times New Roman" w:eastAsia="仿宋_GB2312" w:cs="Times New Roman"/>
          <w:b/>
          <w:bCs/>
          <w:color w:val="000000"/>
          <w:spacing w:val="17"/>
          <w:sz w:val="32"/>
          <w:szCs w:val="32"/>
        </w:rPr>
      </w:pPr>
      <w:bookmarkStart w:id="86" w:name="_Toc11353"/>
      <w:r>
        <w:rPr>
          <w:rFonts w:hint="eastAsia" w:ascii="Times New Roman" w:hAnsi="Times New Roman" w:eastAsia="仿宋_GB2312" w:cs="Times New Roman"/>
          <w:b/>
          <w:bCs/>
          <w:color w:val="000000"/>
          <w:spacing w:val="17"/>
          <w:sz w:val="32"/>
          <w:szCs w:val="32"/>
        </w:rPr>
        <w:t>2.具体实施</w:t>
      </w:r>
      <w:bookmarkEnd w:id="86"/>
    </w:p>
    <w:p w14:paraId="762903A4">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7" w:name="_Toc14111"/>
      <w:r>
        <w:rPr>
          <w:rFonts w:hint="eastAsia" w:ascii="Times New Roman" w:hAnsi="Times New Roman" w:eastAsia="仿宋_GB2312" w:cs="Times New Roman"/>
          <w:color w:val="000000"/>
          <w:spacing w:val="17"/>
          <w:sz w:val="32"/>
          <w:szCs w:val="32"/>
        </w:rPr>
        <w:t>（1）收集基础资料</w:t>
      </w:r>
      <w:bookmarkEnd w:id="87"/>
    </w:p>
    <w:p w14:paraId="1E7DAE28">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8" w:name="_Toc28524"/>
      <w:r>
        <w:rPr>
          <w:rFonts w:hint="eastAsia" w:ascii="Times New Roman" w:hAnsi="Times New Roman" w:eastAsia="仿宋_GB2312" w:cs="Times New Roman"/>
          <w:color w:val="000000"/>
          <w:spacing w:val="17"/>
          <w:sz w:val="32"/>
          <w:szCs w:val="32"/>
        </w:rPr>
        <w:t>根据评价工作的需要和要求，在前期调研的基础上，通过多种渠道全面收集项目基础信息资料，主要包括：</w:t>
      </w:r>
      <w:bookmarkEnd w:id="88"/>
    </w:p>
    <w:p w14:paraId="568EE682">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9" w:name="_Toc32216"/>
      <w:r>
        <w:rPr>
          <w:rFonts w:hint="eastAsia" w:ascii="Times New Roman" w:hAnsi="Times New Roman" w:eastAsia="仿宋_GB2312" w:cs="Times New Roman"/>
          <w:color w:val="000000"/>
          <w:spacing w:val="17"/>
          <w:sz w:val="32"/>
          <w:szCs w:val="32"/>
        </w:rPr>
        <w:t>①被评价单位基本概况，如单位职能、事业发展规划、预决算情况、项目立项依据等；</w:t>
      </w:r>
      <w:bookmarkEnd w:id="89"/>
    </w:p>
    <w:p w14:paraId="432DE8FC">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0" w:name="_Toc10505"/>
      <w:r>
        <w:rPr>
          <w:rFonts w:hint="eastAsia" w:ascii="Times New Roman" w:hAnsi="Times New Roman" w:eastAsia="仿宋_GB2312" w:cs="Times New Roman"/>
          <w:color w:val="000000"/>
          <w:spacing w:val="17"/>
          <w:sz w:val="32"/>
          <w:szCs w:val="32"/>
        </w:rPr>
        <w:t>②绩效目标及其设立依据和调整情况；</w:t>
      </w:r>
      <w:bookmarkEnd w:id="90"/>
    </w:p>
    <w:p w14:paraId="534FEAA1">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1" w:name="_Toc28365"/>
      <w:r>
        <w:rPr>
          <w:rFonts w:hint="eastAsia" w:ascii="Times New Roman" w:hAnsi="Times New Roman" w:eastAsia="仿宋_GB2312" w:cs="Times New Roman"/>
          <w:color w:val="000000"/>
          <w:spacing w:val="17"/>
          <w:sz w:val="32"/>
          <w:szCs w:val="32"/>
        </w:rPr>
        <w:t>③管理措施及组织实施情况；</w:t>
      </w:r>
      <w:bookmarkEnd w:id="91"/>
    </w:p>
    <w:p w14:paraId="3BE90F96">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2" w:name="_Toc10091"/>
      <w:r>
        <w:rPr>
          <w:rFonts w:hint="eastAsia" w:ascii="Times New Roman" w:hAnsi="Times New Roman" w:eastAsia="仿宋_GB2312" w:cs="Times New Roman"/>
          <w:color w:val="000000"/>
          <w:spacing w:val="17"/>
          <w:sz w:val="32"/>
          <w:szCs w:val="32"/>
        </w:rPr>
        <w:t>④被评价单位总结分析的绩效目标完成情况及绩效报告；</w:t>
      </w:r>
      <w:bookmarkEnd w:id="92"/>
    </w:p>
    <w:p w14:paraId="7707B2F3">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3" w:name="_Toc1"/>
      <w:r>
        <w:rPr>
          <w:rFonts w:hint="eastAsia" w:ascii="Times New Roman" w:hAnsi="Times New Roman" w:eastAsia="仿宋_GB2312" w:cs="Times New Roman"/>
          <w:color w:val="000000"/>
          <w:spacing w:val="17"/>
          <w:sz w:val="32"/>
          <w:szCs w:val="32"/>
        </w:rPr>
        <w:t>⑤与绩效评价相关的计划标准、行业标准、历史标准等；</w:t>
      </w:r>
      <w:bookmarkEnd w:id="93"/>
    </w:p>
    <w:p w14:paraId="7D68FCB9">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4" w:name="_Toc20059"/>
      <w:r>
        <w:rPr>
          <w:rFonts w:hint="eastAsia" w:ascii="Times New Roman" w:hAnsi="Times New Roman" w:eastAsia="仿宋_GB2312" w:cs="Times New Roman"/>
          <w:color w:val="000000"/>
          <w:spacing w:val="17"/>
          <w:sz w:val="32"/>
          <w:szCs w:val="32"/>
        </w:rPr>
        <w:t>⑥其他必要的相关资料等。</w:t>
      </w:r>
      <w:bookmarkEnd w:id="94"/>
    </w:p>
    <w:p w14:paraId="3FB44D80">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5" w:name="_Toc31911"/>
      <w:r>
        <w:rPr>
          <w:rFonts w:hint="eastAsia" w:ascii="Times New Roman" w:hAnsi="Times New Roman" w:eastAsia="仿宋_GB2312" w:cs="Times New Roman"/>
          <w:color w:val="000000"/>
          <w:spacing w:val="17"/>
          <w:sz w:val="32"/>
          <w:szCs w:val="32"/>
        </w:rPr>
        <w:t>（2）整理、研读基础资料</w:t>
      </w:r>
      <w:bookmarkEnd w:id="95"/>
    </w:p>
    <w:p w14:paraId="030E10EE">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6" w:name="_Toc167"/>
      <w:r>
        <w:rPr>
          <w:rFonts w:hint="eastAsia" w:ascii="Times New Roman" w:hAnsi="Times New Roman" w:eastAsia="仿宋_GB2312" w:cs="Times New Roman"/>
          <w:color w:val="000000"/>
          <w:spacing w:val="17"/>
          <w:sz w:val="32"/>
          <w:szCs w:val="32"/>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6"/>
    </w:p>
    <w:p w14:paraId="4DAC1D61">
      <w:pPr>
        <w:pageBreakBefore w:val="0"/>
        <w:kinsoku/>
        <w:wordWrap/>
        <w:overflowPunct/>
        <w:topLinePunct w:val="0"/>
        <w:autoSpaceDE/>
        <w:autoSpaceDN/>
        <w:bidi w:val="0"/>
        <w:adjustRightInd/>
        <w:spacing w:beforeAutospacing="0" w:after="0" w:afterAutospacing="0" w:line="560" w:lineRule="exact"/>
        <w:ind w:firstLine="711" w:firstLineChars="200"/>
        <w:jc w:val="both"/>
        <w:textAlignment w:val="auto"/>
        <w:rPr>
          <w:rFonts w:ascii="Times New Roman" w:hAnsi="Times New Roman" w:eastAsia="仿宋_GB2312" w:cs="Times New Roman"/>
          <w:b/>
          <w:bCs/>
          <w:color w:val="000000"/>
          <w:spacing w:val="17"/>
          <w:sz w:val="32"/>
          <w:szCs w:val="32"/>
        </w:rPr>
      </w:pPr>
      <w:bookmarkStart w:id="97" w:name="_Toc30513"/>
      <w:r>
        <w:rPr>
          <w:rFonts w:hint="eastAsia" w:ascii="Times New Roman" w:hAnsi="Times New Roman" w:eastAsia="仿宋_GB2312" w:cs="Times New Roman"/>
          <w:b/>
          <w:bCs/>
          <w:color w:val="000000"/>
          <w:spacing w:val="17"/>
          <w:sz w:val="32"/>
          <w:szCs w:val="32"/>
        </w:rPr>
        <w:t>3.分析评价和撰写报告</w:t>
      </w:r>
      <w:bookmarkEnd w:id="97"/>
    </w:p>
    <w:p w14:paraId="5EEFDE71">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8" w:name="_Toc15974"/>
      <w:r>
        <w:rPr>
          <w:rFonts w:hint="eastAsia" w:ascii="Times New Roman" w:hAnsi="Times New Roman" w:eastAsia="仿宋_GB2312" w:cs="Times New Roman"/>
          <w:color w:val="000000"/>
          <w:spacing w:val="17"/>
          <w:sz w:val="32"/>
          <w:szCs w:val="32"/>
        </w:rPr>
        <w:t>（1）综合分析评价</w:t>
      </w:r>
      <w:bookmarkEnd w:id="98"/>
    </w:p>
    <w:p w14:paraId="33357B7B">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9" w:name="_Toc4352"/>
      <w:r>
        <w:rPr>
          <w:rFonts w:hint="eastAsia" w:ascii="Times New Roman" w:hAnsi="Times New Roman" w:eastAsia="仿宋_GB2312" w:cs="Times New Roman"/>
          <w:color w:val="000000"/>
          <w:spacing w:val="17"/>
          <w:sz w:val="32"/>
          <w:szCs w:val="32"/>
        </w:rPr>
        <w:t>①根据所收集的基础资料，结合现场核查的有关情况，整理出绩效评价所需的项目材料和基础数据。</w:t>
      </w:r>
      <w:bookmarkEnd w:id="99"/>
    </w:p>
    <w:p w14:paraId="25CEDCC6">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0" w:name="_Toc26231"/>
      <w:r>
        <w:rPr>
          <w:rFonts w:hint="eastAsia" w:ascii="Times New Roman" w:hAnsi="Times New Roman" w:eastAsia="仿宋_GB2312" w:cs="Times New Roman"/>
          <w:color w:val="000000"/>
          <w:spacing w:val="17"/>
          <w:sz w:val="32"/>
          <w:szCs w:val="32"/>
        </w:rPr>
        <w:t>②将初步评价结论、调整事项、专家咨询意见和有关说明等提交单位内部讨论并征求意见。之后，对所征求的意见及时地进行收集和整理。</w:t>
      </w:r>
      <w:bookmarkEnd w:id="100"/>
    </w:p>
    <w:p w14:paraId="0BF86F86">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1" w:name="_Toc27759"/>
      <w:r>
        <w:rPr>
          <w:rFonts w:hint="eastAsia" w:ascii="Times New Roman" w:hAnsi="Times New Roman" w:eastAsia="仿宋_GB2312" w:cs="Times New Roman"/>
          <w:color w:val="000000"/>
          <w:spacing w:val="17"/>
          <w:sz w:val="32"/>
          <w:szCs w:val="32"/>
        </w:rPr>
        <w:t>（2）撰写报告</w:t>
      </w:r>
      <w:bookmarkEnd w:id="101"/>
    </w:p>
    <w:p w14:paraId="54DB281E">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2" w:name="_Toc15579"/>
      <w:r>
        <w:rPr>
          <w:rFonts w:hint="eastAsia" w:ascii="Times New Roman" w:hAnsi="Times New Roman" w:eastAsia="仿宋_GB2312" w:cs="Times New Roman"/>
          <w:color w:val="000000"/>
          <w:spacing w:val="17"/>
          <w:sz w:val="32"/>
          <w:szCs w:val="32"/>
        </w:rPr>
        <w:t>绩效评价项目小组依照整理、分析后的项目材料、数据资料，依据评价形成的初步结论，按照既定的格式和内容要求撰写绩效评价初步报告，最终形成评价结果。</w:t>
      </w:r>
      <w:bookmarkEnd w:id="102"/>
    </w:p>
    <w:p w14:paraId="769EE8D4">
      <w:pPr>
        <w:pStyle w:val="2"/>
        <w:pageBreakBefore w:val="0"/>
        <w:kinsoku/>
        <w:wordWrap/>
        <w:overflowPunct/>
        <w:topLinePunct w:val="0"/>
        <w:autoSpaceDE/>
        <w:autoSpaceDN/>
        <w:bidi w:val="0"/>
        <w:adjustRightInd/>
        <w:spacing w:beforeAutospacing="0" w:after="0" w:afterAutospacing="0" w:line="560" w:lineRule="exact"/>
        <w:ind w:firstLine="640" w:firstLineChars="200"/>
        <w:jc w:val="both"/>
        <w:textAlignment w:val="auto"/>
        <w:rPr>
          <w:rFonts w:hint="eastAsia" w:ascii="黑体" w:hAnsi="黑体" w:cs="黑体"/>
          <w:color w:val="000000" w:themeColor="text1"/>
          <w14:textFill>
            <w14:solidFill>
              <w14:schemeClr w14:val="tx1"/>
            </w14:solidFill>
          </w14:textFill>
        </w:rPr>
      </w:pPr>
      <w:bookmarkStart w:id="103" w:name="_Toc19261"/>
      <w:r>
        <w:rPr>
          <w:rFonts w:hint="eastAsia" w:ascii="黑体" w:hAnsi="黑体" w:cs="黑体"/>
          <w:color w:val="000000" w:themeColor="text1"/>
          <w14:textFill>
            <w14:solidFill>
              <w14:schemeClr w14:val="tx1"/>
            </w14:solidFill>
          </w14:textFill>
        </w:rPr>
        <w:t>三、综合评价情况及评价结论</w:t>
      </w:r>
      <w:bookmarkEnd w:id="103"/>
    </w:p>
    <w:p w14:paraId="4956F65D">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104" w:name="_Toc23319"/>
      <w:r>
        <w:rPr>
          <w:rFonts w:hint="eastAsia" w:ascii="Times New Roman" w:hAnsi="Times New Roman" w:eastAsia="楷体_GB2312" w:cs="Times New Roman"/>
          <w:kern w:val="28"/>
          <w:sz w:val="32"/>
        </w:rPr>
        <w:t>（一）综合评价情况及评价结论</w:t>
      </w:r>
      <w:bookmarkEnd w:id="104"/>
    </w:p>
    <w:p w14:paraId="2836369D">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sz w:val="32"/>
          <w:szCs w:val="32"/>
          <w:highlight w:val="green"/>
        </w:rPr>
      </w:pPr>
      <w:r>
        <w:rPr>
          <w:rFonts w:ascii="Times New Roman" w:hAnsi="Times New Roman" w:eastAsia="仿宋_GB2312"/>
          <w:sz w:val="32"/>
          <w:szCs w:val="32"/>
        </w:rPr>
        <w:t>本项目的综合评价基于对项目各方面绩效的深入分析与评估。从项目目标的达成情况来看，</w:t>
      </w:r>
      <w:r>
        <w:rPr>
          <w:rFonts w:hint="eastAsia" w:ascii="仿宋" w:hAnsi="仿宋" w:eastAsia="仿宋" w:cs="仿宋"/>
          <w:sz w:val="32"/>
          <w:szCs w:val="32"/>
          <w:lang w:eastAsia="zh-CN"/>
        </w:rPr>
        <w:t>昌州财教【2023】90号（保民生）提前下达2024年城乡义务教育补助经费（中央直达资金）公用经费</w:t>
      </w:r>
      <w:r>
        <w:rPr>
          <w:rFonts w:ascii="Times New Roman" w:hAnsi="Times New Roman" w:eastAsia="仿宋_GB2312"/>
          <w:sz w:val="32"/>
          <w:szCs w:val="32"/>
        </w:rPr>
        <w:t>在</w:t>
      </w:r>
      <w:r>
        <w:rPr>
          <w:rFonts w:hint="eastAsia" w:ascii="Times New Roman" w:hAnsi="Times New Roman" w:eastAsia="仿宋_GB2312"/>
          <w:sz w:val="32"/>
          <w:szCs w:val="32"/>
        </w:rPr>
        <w:t>项目产出方面完成较好</w:t>
      </w:r>
      <w:r>
        <w:rPr>
          <w:rFonts w:ascii="Times New Roman" w:hAnsi="Times New Roman" w:eastAsia="仿宋_GB2312"/>
          <w:sz w:val="32"/>
          <w:szCs w:val="32"/>
        </w:rPr>
        <w:t>，达到了预期的标准与要求。</w:t>
      </w:r>
    </w:p>
    <w:p w14:paraId="42D9DCEF">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sz w:val="32"/>
          <w:szCs w:val="32"/>
        </w:rPr>
      </w:pPr>
      <w:r>
        <w:rPr>
          <w:rFonts w:ascii="Times New Roman" w:hAnsi="Times New Roman" w:eastAsia="仿宋_GB2312"/>
          <w:sz w:val="32"/>
          <w:szCs w:val="32"/>
        </w:rPr>
        <w:t>在项目管理方面，</w:t>
      </w:r>
      <w:r>
        <w:rPr>
          <w:rFonts w:hint="eastAsia" w:ascii="Times New Roman" w:hAnsi="Times New Roman" w:eastAsia="仿宋_GB2312"/>
          <w:sz w:val="32"/>
          <w:szCs w:val="32"/>
        </w:rPr>
        <w:t>阜康市第三中学</w:t>
      </w:r>
      <w:r>
        <w:rPr>
          <w:rFonts w:ascii="Times New Roman" w:hAnsi="Times New Roman" w:eastAsia="仿宋_GB2312"/>
          <w:sz w:val="32"/>
          <w:szCs w:val="32"/>
        </w:rPr>
        <w:t>通过有效的规划、组织与协调，项目得以顺利实施，并在预算与时间上保持了良好的控制。</w:t>
      </w:r>
    </w:p>
    <w:p w14:paraId="3AFD83A2">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sz w:val="32"/>
          <w:szCs w:val="32"/>
        </w:rPr>
      </w:pPr>
      <w:r>
        <w:rPr>
          <w:rFonts w:ascii="Times New Roman" w:hAnsi="Times New Roman" w:eastAsia="仿宋_GB2312"/>
          <w:sz w:val="32"/>
          <w:szCs w:val="32"/>
        </w:rPr>
        <w:t>从项目效益的角度来看，本项目不仅实现了预期的社会效益等方面产生了积极的影响。具体而言改善教学环境，提供良好的学生成长条件等方面的提升，为项目的利益相关者带来了实实在在的利益。</w:t>
      </w:r>
    </w:p>
    <w:p w14:paraId="2AAFAA48">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rPr>
      </w:pPr>
      <w:r>
        <w:rPr>
          <w:rFonts w:ascii="Times New Roman" w:hAnsi="Times New Roman" w:eastAsia="仿宋_GB2312"/>
          <w:sz w:val="32"/>
          <w:szCs w:val="32"/>
        </w:rPr>
        <w:t>综上所述，</w:t>
      </w:r>
      <w:r>
        <w:rPr>
          <w:rFonts w:hint="eastAsia" w:ascii="仿宋" w:hAnsi="仿宋" w:eastAsia="仿宋" w:cs="仿宋"/>
          <w:sz w:val="32"/>
          <w:szCs w:val="32"/>
          <w:lang w:eastAsia="zh-CN"/>
        </w:rPr>
        <w:t>昌州财教【2023】90号（保民生）提前下达2024年城乡义务教育补助经费（中央直达资金）公用经费</w:t>
      </w:r>
      <w:r>
        <w:rPr>
          <w:rFonts w:ascii="Times New Roman" w:hAnsi="Times New Roman" w:eastAsia="仿宋_GB2312"/>
          <w:sz w:val="32"/>
          <w:szCs w:val="32"/>
        </w:rPr>
        <w:t>在绩效评价中表现出色，达到了项目的预期目标，并在多个方面取得了显著的成效</w:t>
      </w:r>
      <w:r>
        <w:rPr>
          <w:rFonts w:hint="eastAsia" w:ascii="Times New Roman" w:hAnsi="Times New Roman" w:eastAsia="仿宋_GB2312"/>
          <w:sz w:val="32"/>
          <w:szCs w:val="32"/>
        </w:rPr>
        <w:t>，评价等级为优秀</w:t>
      </w:r>
      <w:r>
        <w:rPr>
          <w:rFonts w:ascii="Times New Roman" w:hAnsi="Times New Roman" w:eastAsia="仿宋_GB2312"/>
          <w:sz w:val="32"/>
          <w:szCs w:val="32"/>
        </w:rPr>
        <w:t>。</w:t>
      </w:r>
    </w:p>
    <w:p w14:paraId="30244A20">
      <w:pPr>
        <w:pStyle w:val="14"/>
        <w:pageBreakBefore w:val="0"/>
        <w:widowControl/>
        <w:kinsoku/>
        <w:wordWrap/>
        <w:overflowPunct/>
        <w:topLinePunct w:val="0"/>
        <w:autoSpaceDE/>
        <w:autoSpaceDN/>
        <w:bidi w:val="0"/>
        <w:adjustRightInd/>
        <w:spacing w:before="0" w:beforeAutospacing="0" w:after="0" w:afterAutospacing="0" w:line="560" w:lineRule="exact"/>
        <w:ind w:firstLine="643" w:firstLineChars="200"/>
        <w:jc w:val="both"/>
        <w:textAlignment w:val="auto"/>
        <w:rPr>
          <w:rFonts w:ascii="Times New Roman" w:hAnsi="Times New Roman" w:eastAsia="楷体_GB2312" w:cs="Times New Roman"/>
          <w:kern w:val="28"/>
          <w:sz w:val="32"/>
        </w:rPr>
      </w:pPr>
      <w:bookmarkStart w:id="105" w:name="_Toc11863"/>
      <w:r>
        <w:rPr>
          <w:rFonts w:hint="eastAsia" w:ascii="Times New Roman" w:hAnsi="Times New Roman" w:eastAsia="楷体_GB2312" w:cs="Times New Roman"/>
          <w:kern w:val="28"/>
          <w:sz w:val="32"/>
        </w:rPr>
        <w:t>（二）相关评分表</w:t>
      </w:r>
      <w:bookmarkEnd w:id="105"/>
    </w:p>
    <w:p w14:paraId="7B3C696A">
      <w:pPr>
        <w:pageBreakBefore w:val="0"/>
        <w:kinsoku/>
        <w:wordWrap/>
        <w:overflowPunct/>
        <w:topLinePunct w:val="0"/>
        <w:autoSpaceDE/>
        <w:autoSpaceDN/>
        <w:bidi w:val="0"/>
        <w:adjustRightInd/>
        <w:spacing w:beforeAutospacing="0" w:after="0" w:afterAutospacing="0" w:line="560" w:lineRule="exact"/>
        <w:ind w:firstLine="708" w:firstLineChars="200"/>
        <w:jc w:val="both"/>
        <w:textAlignment w:val="auto"/>
        <w:rPr>
          <w:rFonts w:ascii="Times New Roman" w:hAnsi="Times New Roman" w:eastAsia="仿宋_GB2312" w:cs="Times New Roman"/>
          <w:color w:val="000000"/>
          <w:spacing w:val="17"/>
          <w:sz w:val="32"/>
          <w:szCs w:val="32"/>
          <w:lang w:val="zh-TW" w:eastAsia="zh-TW"/>
        </w:rPr>
      </w:pPr>
      <w:r>
        <w:rPr>
          <w:rFonts w:hint="eastAsia" w:ascii="Times New Roman" w:hAnsi="Times New Roman" w:eastAsia="仿宋_GB2312" w:cs="Times New Roman"/>
          <w:spacing w:val="17"/>
          <w:sz w:val="32"/>
          <w:szCs w:val="32"/>
        </w:rPr>
        <w:t>此次绩效评价</w:t>
      </w:r>
      <w:r>
        <w:rPr>
          <w:rFonts w:hint="eastAsia" w:ascii="Times New Roman" w:hAnsi="Times New Roman" w:eastAsia="仿宋_GB2312" w:cs="Times New Roman"/>
          <w:spacing w:val="17"/>
          <w:sz w:val="32"/>
          <w:szCs w:val="32"/>
          <w:lang w:val="zh-TW" w:eastAsia="zh-TW"/>
        </w:rPr>
        <w:t>通过组论证的评价指标体系及评分标准，</w:t>
      </w:r>
      <w:r>
        <w:rPr>
          <w:rFonts w:hint="eastAsia" w:ascii="Times New Roman" w:hAnsi="Times New Roman" w:eastAsia="仿宋_GB2312" w:cs="Times New Roman"/>
          <w:spacing w:val="17"/>
          <w:sz w:val="32"/>
          <w:szCs w:val="32"/>
        </w:rPr>
        <w:t>采用的方法</w:t>
      </w:r>
      <w:r>
        <w:rPr>
          <w:rFonts w:hint="eastAsia" w:ascii="Times New Roman" w:hAnsi="Times New Roman" w:eastAsia="仿宋_GB2312" w:cs="Times New Roman"/>
          <w:spacing w:val="17"/>
          <w:sz w:val="32"/>
          <w:szCs w:val="32"/>
          <w:lang w:eastAsia="zh-CN"/>
        </w:rPr>
        <w:t>是成本效益法、</w:t>
      </w:r>
      <w:r>
        <w:rPr>
          <w:rFonts w:hint="eastAsia" w:ascii="Times New Roman" w:hAnsi="Times New Roman" w:eastAsia="仿宋_GB2312" w:cs="Times New Roman"/>
          <w:spacing w:val="17"/>
          <w:sz w:val="32"/>
          <w:szCs w:val="32"/>
        </w:rPr>
        <w:t>公众评判法，</w:t>
      </w:r>
      <w:r>
        <w:rPr>
          <w:rFonts w:hint="eastAsia" w:ascii="Times New Roman" w:hAnsi="Times New Roman" w:eastAsia="仿宋_GB2312" w:cs="Times New Roman"/>
          <w:spacing w:val="17"/>
          <w:sz w:val="32"/>
          <w:szCs w:val="32"/>
          <w:lang w:val="zh-TW" w:eastAsia="zh-TW"/>
        </w:rPr>
        <w:t>对</w:t>
      </w:r>
      <w:r>
        <w:rPr>
          <w:rFonts w:hint="eastAsia" w:ascii="Times New Roman" w:hAnsi="Times New Roman" w:eastAsia="仿宋_GB2312" w:cs="Times New Roman"/>
          <w:sz w:val="32"/>
          <w:szCs w:val="32"/>
          <w:lang w:eastAsia="zh-CN"/>
        </w:rPr>
        <w:t>昌州财教【2023】90号（保民生）提前下达2024年城乡义务教育补助经费（中央直达资金）公用经费</w:t>
      </w:r>
      <w:r>
        <w:rPr>
          <w:rFonts w:hint="eastAsia" w:ascii="Times New Roman" w:hAnsi="Times New Roman" w:eastAsia="仿宋_GB2312" w:cs="Times New Roman"/>
          <w:spacing w:val="17"/>
          <w:sz w:val="32"/>
          <w:szCs w:val="32"/>
          <w:lang w:val="zh-TW" w:eastAsia="zh-TW"/>
        </w:rPr>
        <w:t>绩效进行客观</w:t>
      </w:r>
      <w:r>
        <w:rPr>
          <w:rFonts w:hint="eastAsia" w:ascii="Times New Roman" w:hAnsi="Times New Roman" w:eastAsia="仿宋_GB2312" w:cs="Times New Roman"/>
          <w:color w:val="000000"/>
          <w:spacing w:val="17"/>
          <w:sz w:val="32"/>
          <w:szCs w:val="32"/>
          <w:lang w:val="zh-TW" w:eastAsia="zh-TW"/>
        </w:rPr>
        <w:t>评价，最终评分结果：</w:t>
      </w:r>
      <w:r>
        <w:rPr>
          <w:rFonts w:ascii="Times New Roman" w:hAnsi="Times New Roman" w:eastAsia="仿宋_GB2312" w:cs="Times New Roman"/>
          <w:color w:val="000000"/>
          <w:spacing w:val="17"/>
          <w:sz w:val="32"/>
          <w:szCs w:val="32"/>
        </w:rPr>
        <w:t>总</w:t>
      </w:r>
      <w:r>
        <w:rPr>
          <w:rFonts w:ascii="Times New Roman" w:hAnsi="Times New Roman" w:eastAsia="仿宋_GB2312" w:cs="Times New Roman"/>
          <w:spacing w:val="17"/>
          <w:sz w:val="32"/>
          <w:szCs w:val="32"/>
        </w:rPr>
        <w:t>得分为</w:t>
      </w:r>
      <w:r>
        <w:rPr>
          <w:rFonts w:hint="eastAsia" w:ascii="Times New Roman" w:hAnsi="Times New Roman" w:eastAsia="仿宋_GB2312" w:cs="Times New Roman"/>
          <w:spacing w:val="17"/>
          <w:sz w:val="32"/>
          <w:szCs w:val="32"/>
          <w:lang w:val="en-US" w:eastAsia="zh-CN"/>
        </w:rPr>
        <w:t>100</w:t>
      </w:r>
      <w:r>
        <w:rPr>
          <w:rFonts w:ascii="Times New Roman" w:hAnsi="Times New Roman" w:eastAsia="仿宋_GB2312" w:cs="Times New Roman"/>
          <w:spacing w:val="17"/>
          <w:sz w:val="32"/>
          <w:szCs w:val="32"/>
        </w:rPr>
        <w:t>分，属于“优”。其中，项目决策类指标权重为20分，得分为</w:t>
      </w:r>
      <w:r>
        <w:rPr>
          <w:rFonts w:hint="eastAsia" w:ascii="Times New Roman" w:hAnsi="Times New Roman" w:eastAsia="仿宋_GB2312" w:cs="Times New Roman"/>
          <w:spacing w:val="17"/>
          <w:sz w:val="32"/>
          <w:szCs w:val="32"/>
        </w:rPr>
        <w:t>19</w:t>
      </w:r>
      <w:r>
        <w:rPr>
          <w:rFonts w:hint="eastAsia" w:ascii="Times New Roman" w:hAnsi="Times New Roman" w:eastAsia="仿宋_GB2312" w:cs="Times New Roman"/>
          <w:spacing w:val="17"/>
          <w:sz w:val="32"/>
          <w:szCs w:val="32"/>
          <w:lang w:val="en-US" w:eastAsia="zh-CN"/>
        </w:rPr>
        <w:t>.2</w:t>
      </w:r>
      <w:r>
        <w:rPr>
          <w:rFonts w:ascii="Times New Roman" w:hAnsi="Times New Roman" w:eastAsia="仿宋_GB2312" w:cs="Times New Roman"/>
          <w:spacing w:val="17"/>
          <w:sz w:val="32"/>
          <w:szCs w:val="32"/>
        </w:rPr>
        <w:t>分，得分率为</w:t>
      </w:r>
      <w:r>
        <w:rPr>
          <w:rFonts w:hint="eastAsia" w:ascii="Times New Roman" w:hAnsi="Times New Roman" w:eastAsia="仿宋_GB2312" w:cs="Times New Roman"/>
          <w:spacing w:val="17"/>
          <w:sz w:val="32"/>
          <w:szCs w:val="32"/>
        </w:rPr>
        <w:t>9</w:t>
      </w:r>
      <w:r>
        <w:rPr>
          <w:rFonts w:hint="eastAsia" w:ascii="Times New Roman" w:hAnsi="Times New Roman" w:eastAsia="仿宋_GB2312" w:cs="Times New Roman"/>
          <w:spacing w:val="17"/>
          <w:sz w:val="32"/>
          <w:szCs w:val="32"/>
          <w:lang w:val="en-US" w:eastAsia="zh-CN"/>
        </w:rPr>
        <w:t>6</w:t>
      </w:r>
      <w:r>
        <w:rPr>
          <w:rFonts w:ascii="Times New Roman" w:hAnsi="Times New Roman" w:eastAsia="仿宋_GB2312" w:cs="Times New Roman"/>
          <w:spacing w:val="17"/>
          <w:sz w:val="32"/>
          <w:szCs w:val="32"/>
        </w:rPr>
        <w:t>%。项目过程类指标权重为20分，得分为</w:t>
      </w:r>
      <w:r>
        <w:rPr>
          <w:rFonts w:hint="eastAsia" w:ascii="Times New Roman" w:hAnsi="Times New Roman" w:eastAsia="仿宋_GB2312" w:cs="Times New Roman"/>
          <w:spacing w:val="17"/>
          <w:sz w:val="32"/>
          <w:szCs w:val="32"/>
        </w:rPr>
        <w:t>20</w:t>
      </w:r>
      <w:r>
        <w:rPr>
          <w:rFonts w:ascii="Times New Roman" w:hAnsi="Times New Roman" w:eastAsia="仿宋_GB2312" w:cs="Times New Roman"/>
          <w:spacing w:val="17"/>
          <w:sz w:val="32"/>
          <w:szCs w:val="32"/>
        </w:rPr>
        <w:t>分，得分率为</w:t>
      </w:r>
      <w:r>
        <w:rPr>
          <w:rFonts w:hint="eastAsia" w:ascii="Times New Roman" w:hAnsi="Times New Roman" w:eastAsia="仿宋_GB2312" w:cs="Times New Roman"/>
          <w:spacing w:val="17"/>
          <w:sz w:val="32"/>
          <w:szCs w:val="32"/>
        </w:rPr>
        <w:t>100</w:t>
      </w:r>
      <w:r>
        <w:rPr>
          <w:rFonts w:ascii="Times New Roman" w:hAnsi="Times New Roman" w:eastAsia="仿宋_GB2312" w:cs="Times New Roman"/>
          <w:spacing w:val="17"/>
          <w:sz w:val="32"/>
          <w:szCs w:val="32"/>
        </w:rPr>
        <w:t>%。项目产出类指标权重为40分，得分为</w:t>
      </w:r>
      <w:r>
        <w:rPr>
          <w:rFonts w:hint="eastAsia" w:ascii="Times New Roman" w:hAnsi="Times New Roman" w:eastAsia="仿宋_GB2312" w:cs="Times New Roman"/>
          <w:spacing w:val="17"/>
          <w:sz w:val="32"/>
          <w:szCs w:val="32"/>
        </w:rPr>
        <w:t>40</w:t>
      </w:r>
      <w:r>
        <w:rPr>
          <w:rFonts w:ascii="Times New Roman" w:hAnsi="Times New Roman" w:eastAsia="仿宋_GB2312" w:cs="Times New Roman"/>
          <w:spacing w:val="17"/>
          <w:sz w:val="32"/>
          <w:szCs w:val="32"/>
        </w:rPr>
        <w:t>分，得分率为</w:t>
      </w:r>
      <w:r>
        <w:rPr>
          <w:rFonts w:hint="eastAsia" w:ascii="Times New Roman" w:hAnsi="Times New Roman" w:eastAsia="仿宋_GB2312" w:cs="Times New Roman"/>
          <w:spacing w:val="17"/>
          <w:sz w:val="32"/>
          <w:szCs w:val="32"/>
        </w:rPr>
        <w:t>100</w:t>
      </w:r>
      <w:r>
        <w:rPr>
          <w:rFonts w:ascii="Times New Roman" w:hAnsi="Times New Roman" w:eastAsia="仿宋_GB2312" w:cs="Times New Roman"/>
          <w:spacing w:val="17"/>
          <w:sz w:val="32"/>
          <w:szCs w:val="32"/>
        </w:rPr>
        <w:t>%。项目效益类指标权重为20分，得分为</w:t>
      </w:r>
      <w:r>
        <w:rPr>
          <w:rFonts w:hint="eastAsia" w:ascii="Times New Roman" w:hAnsi="Times New Roman" w:eastAsia="仿宋_GB2312" w:cs="Times New Roman"/>
          <w:spacing w:val="17"/>
          <w:sz w:val="32"/>
          <w:szCs w:val="32"/>
        </w:rPr>
        <w:t>20</w:t>
      </w:r>
      <w:r>
        <w:rPr>
          <w:rFonts w:ascii="Times New Roman" w:hAnsi="Times New Roman" w:eastAsia="仿宋_GB2312" w:cs="Times New Roman"/>
          <w:spacing w:val="17"/>
          <w:sz w:val="32"/>
          <w:szCs w:val="32"/>
        </w:rPr>
        <w:t>分，得分率为</w:t>
      </w:r>
      <w:r>
        <w:rPr>
          <w:rFonts w:hint="eastAsia" w:ascii="Times New Roman" w:hAnsi="Times New Roman" w:eastAsia="仿宋_GB2312" w:cs="Times New Roman"/>
          <w:spacing w:val="17"/>
          <w:sz w:val="32"/>
          <w:szCs w:val="32"/>
        </w:rPr>
        <w:t>100</w:t>
      </w:r>
      <w:r>
        <w:rPr>
          <w:rFonts w:ascii="Times New Roman" w:hAnsi="Times New Roman" w:eastAsia="仿宋_GB2312" w:cs="Times New Roman"/>
          <w:spacing w:val="17"/>
          <w:sz w:val="32"/>
          <w:szCs w:val="32"/>
        </w:rPr>
        <w:t>%。</w:t>
      </w:r>
      <w:r>
        <w:rPr>
          <w:rFonts w:hint="eastAsia" w:ascii="Times New Roman" w:hAnsi="Times New Roman" w:eastAsia="仿宋_GB2312" w:cs="Times New Roman"/>
          <w:spacing w:val="17"/>
          <w:sz w:val="32"/>
          <w:szCs w:val="32"/>
          <w:lang w:val="zh-TW" w:eastAsia="zh-TW"/>
        </w:rPr>
        <w:t>各部分权重和绩效</w:t>
      </w:r>
      <w:r>
        <w:rPr>
          <w:rFonts w:hint="eastAsia" w:ascii="Times New Roman" w:hAnsi="Times New Roman" w:eastAsia="仿宋_GB2312" w:cs="Times New Roman"/>
          <w:color w:val="000000"/>
          <w:spacing w:val="17"/>
          <w:sz w:val="32"/>
          <w:szCs w:val="32"/>
        </w:rPr>
        <w:t>汇总</w:t>
      </w:r>
      <w:r>
        <w:rPr>
          <w:rFonts w:hint="eastAsia" w:ascii="Times New Roman" w:hAnsi="Times New Roman" w:eastAsia="仿宋_GB2312" w:cs="Times New Roman"/>
          <w:color w:val="000000"/>
          <w:spacing w:val="17"/>
          <w:sz w:val="32"/>
          <w:szCs w:val="32"/>
          <w:lang w:val="zh-TW" w:eastAsia="zh-TW"/>
        </w:rPr>
        <w:t>分值如下表</w:t>
      </w:r>
      <w:r>
        <w:rPr>
          <w:rFonts w:hint="eastAsia" w:ascii="Times New Roman" w:hAnsi="Times New Roman" w:eastAsia="仿宋_GB2312" w:cs="Times New Roman"/>
          <w:color w:val="000000"/>
          <w:spacing w:val="17"/>
          <w:sz w:val="32"/>
          <w:szCs w:val="32"/>
        </w:rPr>
        <w:t>3-1</w:t>
      </w:r>
      <w:r>
        <w:rPr>
          <w:rFonts w:hint="eastAsia" w:ascii="Times New Roman" w:hAnsi="Times New Roman" w:eastAsia="仿宋_GB2312" w:cs="Times New Roman"/>
          <w:color w:val="000000"/>
          <w:spacing w:val="17"/>
          <w:sz w:val="32"/>
          <w:szCs w:val="32"/>
          <w:lang w:val="zh-TW" w:eastAsia="zh-TW"/>
        </w:rPr>
        <w:t>所示</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rPr>
        <w:t>详见上传的附件</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lang w:val="zh-TW" w:eastAsia="zh-TW"/>
        </w:rPr>
        <w:t>：</w:t>
      </w:r>
    </w:p>
    <w:tbl>
      <w:tblPr>
        <w:tblStyle w:val="16"/>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14:paraId="70DAE63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57A505C3">
            <w:pPr>
              <w:pageBreakBefore w:val="0"/>
              <w:widowControl/>
              <w:kinsoku/>
              <w:wordWrap/>
              <w:overflowPunct/>
              <w:topLinePunct w:val="0"/>
              <w:autoSpaceDE/>
              <w:autoSpaceDN/>
              <w:bidi w:val="0"/>
              <w:adjustRightInd/>
              <w:snapToGrid w:val="0"/>
              <w:spacing w:beforeAutospacing="0" w:after="0" w:afterAutospacing="0" w:line="560" w:lineRule="exact"/>
              <w:ind w:firstLine="562" w:firstLineChars="200"/>
              <w:jc w:val="both"/>
              <w:textAlignment w:val="auto"/>
              <w:rPr>
                <w:rFonts w:hint="eastAsia"/>
                <w:kern w:val="0"/>
                <w:sz w:val="24"/>
                <w:szCs w:val="24"/>
              </w:rPr>
            </w:pPr>
            <w:r>
              <w:rPr>
                <w:rFonts w:hint="eastAsia"/>
                <w:b/>
                <w:bCs/>
                <w:kern w:val="0"/>
              </w:rPr>
              <w:t>表3-1：</w:t>
            </w:r>
            <w:r>
              <w:rPr>
                <w:rFonts w:hint="eastAsia" w:ascii="Times New Roman" w:hAnsi="Times New Roman" w:eastAsia="仿宋_GB2312" w:cs="Times New Roman"/>
                <w:sz w:val="32"/>
                <w:szCs w:val="32"/>
                <w:lang w:eastAsia="zh-CN"/>
              </w:rPr>
              <w:t>昌州财教【2023】90号（保民生）提前下达2024年城乡义务教育补助经费（中央直达资金）公用经费</w:t>
            </w:r>
            <w:r>
              <w:rPr>
                <w:rFonts w:hint="eastAsia"/>
                <w:b/>
                <w:bCs/>
                <w:kern w:val="0"/>
              </w:rPr>
              <w:t>得分表</w:t>
            </w:r>
          </w:p>
        </w:tc>
      </w:tr>
      <w:tr w14:paraId="5BD5247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F177D">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4D6C5">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044E4">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FCC73">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27A7">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4FD46">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合计</w:t>
            </w:r>
          </w:p>
        </w:tc>
      </w:tr>
      <w:tr w14:paraId="190F037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4F8B9">
            <w:pPr>
              <w:widowControl/>
              <w:snapToGrid w:val="0"/>
              <w:spacing w:line="560" w:lineRule="exact"/>
              <w:ind w:firstLine="0" w:firstLineChars="0"/>
              <w:jc w:val="center"/>
              <w:rPr>
                <w:rFonts w:hint="eastAsia"/>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67E9D">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29B9">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16C21">
            <w:pPr>
              <w:widowControl/>
              <w:snapToGrid w:val="0"/>
              <w:spacing w:line="560" w:lineRule="exact"/>
              <w:ind w:firstLine="0" w:firstLineChars="0"/>
              <w:jc w:val="center"/>
              <w:rPr>
                <w:rFonts w:hint="eastAsia"/>
                <w:kern w:val="0"/>
                <w:sz w:val="21"/>
                <w:szCs w:val="21"/>
              </w:rPr>
            </w:pPr>
            <w:r>
              <w:rPr>
                <w:rFonts w:hint="eastAsia"/>
                <w:kern w:val="0"/>
                <w:sz w:val="21"/>
                <w:szCs w:val="21"/>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E2A98">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E5C1">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r>
      <w:tr w14:paraId="4A0A8603">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4CAB6">
            <w:pPr>
              <w:widowControl/>
              <w:snapToGrid w:val="0"/>
              <w:spacing w:line="560" w:lineRule="exact"/>
              <w:ind w:firstLine="0" w:firstLineChars="0"/>
              <w:jc w:val="center"/>
              <w:rPr>
                <w:rFonts w:hint="eastAsia"/>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1AA32">
            <w:pPr>
              <w:widowControl/>
              <w:snapToGrid w:val="0"/>
              <w:spacing w:line="560" w:lineRule="exact"/>
              <w:ind w:firstLine="0" w:firstLineChars="0"/>
              <w:jc w:val="center"/>
              <w:rPr>
                <w:rFonts w:hint="default" w:eastAsia="宋体"/>
                <w:kern w:val="0"/>
                <w:sz w:val="21"/>
                <w:szCs w:val="21"/>
                <w:lang w:val="en-US" w:eastAsia="zh-CN"/>
              </w:rPr>
            </w:pPr>
            <w:r>
              <w:rPr>
                <w:rFonts w:hint="eastAsia"/>
                <w:kern w:val="0"/>
                <w:sz w:val="21"/>
                <w:szCs w:val="21"/>
              </w:rPr>
              <w:t>19</w:t>
            </w:r>
            <w:r>
              <w:rPr>
                <w:rFonts w:hint="eastAsia"/>
                <w:kern w:val="0"/>
                <w:sz w:val="21"/>
                <w:szCs w:val="21"/>
                <w:lang w:val="en-US" w:eastAsia="zh-CN"/>
              </w:rPr>
              <w:t>.2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B003B">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49687">
            <w:pPr>
              <w:widowControl/>
              <w:snapToGrid w:val="0"/>
              <w:spacing w:line="560" w:lineRule="exact"/>
              <w:ind w:firstLine="0" w:firstLineChars="0"/>
              <w:jc w:val="center"/>
              <w:rPr>
                <w:rFonts w:hint="eastAsia"/>
                <w:kern w:val="0"/>
                <w:sz w:val="21"/>
                <w:szCs w:val="21"/>
              </w:rPr>
            </w:pPr>
            <w:r>
              <w:rPr>
                <w:rFonts w:hint="eastAsia"/>
                <w:kern w:val="0"/>
                <w:sz w:val="21"/>
                <w:szCs w:val="21"/>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F8147">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382A">
            <w:pPr>
              <w:widowControl/>
              <w:snapToGrid w:val="0"/>
              <w:spacing w:line="560" w:lineRule="exact"/>
              <w:ind w:firstLine="0" w:firstLineChars="0"/>
              <w:jc w:val="center"/>
              <w:rPr>
                <w:rFonts w:hint="default" w:eastAsia="宋体"/>
                <w:kern w:val="0"/>
                <w:sz w:val="21"/>
                <w:szCs w:val="21"/>
                <w:lang w:val="en-US" w:eastAsia="zh-CN"/>
              </w:rPr>
            </w:pPr>
            <w:r>
              <w:rPr>
                <w:rFonts w:hint="eastAsia"/>
                <w:kern w:val="0"/>
                <w:sz w:val="21"/>
                <w:szCs w:val="21"/>
              </w:rPr>
              <w:t>99</w:t>
            </w:r>
            <w:r>
              <w:rPr>
                <w:rFonts w:hint="eastAsia"/>
                <w:kern w:val="0"/>
                <w:sz w:val="21"/>
                <w:szCs w:val="21"/>
                <w:lang w:val="en-US" w:eastAsia="zh-CN"/>
              </w:rPr>
              <w:t>.2</w:t>
            </w:r>
          </w:p>
        </w:tc>
      </w:tr>
      <w:tr w14:paraId="1B30894F">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40A5E">
            <w:pPr>
              <w:widowControl/>
              <w:snapToGrid w:val="0"/>
              <w:spacing w:line="560" w:lineRule="exact"/>
              <w:ind w:firstLine="0" w:firstLineChars="0"/>
              <w:jc w:val="center"/>
              <w:rPr>
                <w:rFonts w:hint="eastAsia"/>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E737E">
            <w:pPr>
              <w:widowControl/>
              <w:snapToGrid w:val="0"/>
              <w:spacing w:line="560" w:lineRule="exact"/>
              <w:ind w:firstLine="0" w:firstLineChars="0"/>
              <w:jc w:val="center"/>
              <w:rPr>
                <w:rFonts w:hint="eastAsia"/>
                <w:kern w:val="0"/>
                <w:sz w:val="21"/>
                <w:szCs w:val="21"/>
              </w:rPr>
            </w:pPr>
            <w:r>
              <w:rPr>
                <w:rFonts w:hint="eastAsia"/>
                <w:kern w:val="0"/>
                <w:sz w:val="21"/>
                <w:szCs w:val="21"/>
              </w:rPr>
              <w:t>9</w:t>
            </w:r>
            <w:r>
              <w:rPr>
                <w:rFonts w:hint="eastAsia"/>
                <w:kern w:val="0"/>
                <w:sz w:val="21"/>
                <w:szCs w:val="21"/>
                <w:lang w:val="en-US" w:eastAsia="zh-CN"/>
              </w:rPr>
              <w:t>6</w:t>
            </w:r>
            <w:r>
              <w:rPr>
                <w:rFonts w:hint="eastAsia"/>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17D38">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D9C04">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73B05">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FE212">
            <w:pPr>
              <w:widowControl/>
              <w:snapToGrid w:val="0"/>
              <w:spacing w:line="560" w:lineRule="exact"/>
              <w:ind w:firstLine="0" w:firstLineChars="0"/>
              <w:jc w:val="center"/>
              <w:rPr>
                <w:rFonts w:hint="eastAsia"/>
                <w:kern w:val="0"/>
                <w:sz w:val="21"/>
                <w:szCs w:val="21"/>
              </w:rPr>
            </w:pPr>
            <w:r>
              <w:rPr>
                <w:rFonts w:hint="eastAsia"/>
                <w:kern w:val="0"/>
                <w:sz w:val="21"/>
                <w:szCs w:val="21"/>
              </w:rPr>
              <w:t>99</w:t>
            </w:r>
            <w:r>
              <w:rPr>
                <w:rFonts w:hint="eastAsia"/>
                <w:kern w:val="0"/>
                <w:sz w:val="21"/>
                <w:szCs w:val="21"/>
                <w:lang w:val="en-US" w:eastAsia="zh-CN"/>
              </w:rPr>
              <w:t>.2</w:t>
            </w:r>
            <w:r>
              <w:rPr>
                <w:rFonts w:hint="eastAsia"/>
                <w:kern w:val="0"/>
                <w:sz w:val="21"/>
                <w:szCs w:val="21"/>
              </w:rPr>
              <w:t>%</w:t>
            </w:r>
          </w:p>
        </w:tc>
      </w:tr>
    </w:tbl>
    <w:p w14:paraId="30105B17">
      <w:pPr>
        <w:pStyle w:val="2"/>
        <w:ind w:firstLine="640"/>
        <w:rPr>
          <w:rFonts w:hint="eastAsia" w:ascii="黑体" w:hAnsi="黑体" w:cs="黑体"/>
          <w:color w:val="000000" w:themeColor="text1"/>
          <w14:textFill>
            <w14:solidFill>
              <w14:schemeClr w14:val="tx1"/>
            </w14:solidFill>
          </w14:textFill>
        </w:rPr>
      </w:pPr>
      <w:bookmarkStart w:id="106" w:name="_Toc14941"/>
      <w:r>
        <w:rPr>
          <w:rFonts w:hint="eastAsia" w:ascii="黑体" w:hAnsi="黑体" w:cs="黑体"/>
          <w:color w:val="000000" w:themeColor="text1"/>
          <w14:textFill>
            <w14:solidFill>
              <w14:schemeClr w14:val="tx1"/>
            </w14:solidFill>
          </w14:textFill>
        </w:rPr>
        <w:t>四、绩效评价指标分析</w:t>
      </w:r>
      <w:bookmarkEnd w:id="106"/>
    </w:p>
    <w:p w14:paraId="7E834E74">
      <w:pPr>
        <w:pStyle w:val="14"/>
        <w:widowControl/>
        <w:spacing w:before="0" w:after="0" w:line="560" w:lineRule="exact"/>
        <w:ind w:firstLine="643"/>
        <w:jc w:val="both"/>
        <w:rPr>
          <w:rFonts w:ascii="Times New Roman" w:hAnsi="Times New Roman" w:eastAsia="楷体_GB2312" w:cs="Times New Roman"/>
          <w:kern w:val="28"/>
          <w:sz w:val="32"/>
        </w:rPr>
      </w:pPr>
      <w:bookmarkStart w:id="107" w:name="_Toc6759"/>
      <w:r>
        <w:rPr>
          <w:rFonts w:hint="eastAsia" w:ascii="Times New Roman" w:hAnsi="Times New Roman" w:eastAsia="楷体_GB2312" w:cs="Times New Roman"/>
          <w:kern w:val="28"/>
          <w:sz w:val="32"/>
        </w:rPr>
        <w:t>（一）项目决策情况</w:t>
      </w:r>
      <w:bookmarkEnd w:id="107"/>
    </w:p>
    <w:p w14:paraId="0E65B4D3">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项目决策由3个二级指标和6个三级指标构成，权重分20分，实际得分19</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b/>
          <w:bCs/>
          <w:sz w:val="32"/>
          <w:szCs w:val="32"/>
          <w:u w:color="000000"/>
        </w:rPr>
        <w:t>4-1</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b/>
          <w:bCs/>
          <w:sz w:val="32"/>
          <w:szCs w:val="32"/>
        </w:rPr>
        <w:t>详见上传的附件二</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sz w:val="32"/>
          <w:szCs w:val="32"/>
        </w:rPr>
        <w:t>：</w:t>
      </w:r>
    </w:p>
    <w:p w14:paraId="6ED6BFB7">
      <w:pPr>
        <w:widowControl/>
        <w:snapToGrid w:val="0"/>
        <w:spacing w:line="560" w:lineRule="exact"/>
        <w:ind w:firstLine="0" w:firstLineChars="0"/>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14:textFill>
            <w14:solidFill>
              <w14:schemeClr w14:val="tx1"/>
            </w14:solidFill>
          </w14:textFill>
        </w:rPr>
        <w:t>4-1</w:t>
      </w: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14:paraId="41D48DC2">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F85D11B">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BB3DBF1">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E096BF2">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EC9A8">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AE1FD">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8C63F9">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E44916">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7BB2D112">
        <w:tblPrEx>
          <w:tblCellMar>
            <w:top w:w="0" w:type="dxa"/>
            <w:left w:w="0" w:type="dxa"/>
            <w:bottom w:w="0" w:type="dxa"/>
            <w:right w:w="0" w:type="dxa"/>
          </w:tblCellMar>
        </w:tblPrEx>
        <w:trPr>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24F313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320718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EB06B1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w:t>
            </w:r>
          </w:p>
        </w:tc>
        <w:tc>
          <w:tcPr>
            <w:tcW w:w="794" w:type="dxa"/>
            <w:vMerge w:val="restart"/>
            <w:tcBorders>
              <w:top w:val="single" w:color="000000" w:sz="4" w:space="0"/>
              <w:left w:val="single" w:color="auto" w:sz="4" w:space="0"/>
              <w:right w:val="single" w:color="000000" w:sz="4" w:space="0"/>
            </w:tcBorders>
            <w:shd w:val="clear" w:color="auto" w:fill="auto"/>
            <w:tcMar>
              <w:top w:w="12" w:type="dxa"/>
              <w:left w:w="12" w:type="dxa"/>
              <w:right w:w="12" w:type="dxa"/>
            </w:tcMar>
            <w:vAlign w:val="center"/>
          </w:tcPr>
          <w:p w14:paraId="21090E6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B377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0D036A">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48D225">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14:paraId="742AA0F3">
        <w:tblPrEx>
          <w:tblCellMar>
            <w:top w:w="0" w:type="dxa"/>
            <w:left w:w="0" w:type="dxa"/>
            <w:bottom w:w="0" w:type="dxa"/>
            <w:right w:w="0" w:type="dxa"/>
          </w:tblCellMar>
        </w:tblPrEx>
        <w:trPr>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160B948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54CE12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14:paraId="0167135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6A5D35C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E549A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480EC5">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B79C0">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rPr>
              <w:t>2</w:t>
            </w:r>
            <w:r>
              <w:rPr>
                <w:rFonts w:hint="eastAsia"/>
                <w:kern w:val="0"/>
                <w:sz w:val="20"/>
                <w:szCs w:val="20"/>
                <w:lang w:val="en-US" w:eastAsia="zh-CN"/>
              </w:rPr>
              <w:t>.2</w:t>
            </w:r>
          </w:p>
        </w:tc>
      </w:tr>
      <w:tr w14:paraId="0AA57C57">
        <w:tblPrEx>
          <w:tblCellMar>
            <w:top w:w="0" w:type="dxa"/>
            <w:left w:w="0" w:type="dxa"/>
            <w:bottom w:w="0" w:type="dxa"/>
            <w:right w:w="0" w:type="dxa"/>
          </w:tblCellMar>
        </w:tblPrEx>
        <w:trPr>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226D813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E01F27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BBFABE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198C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DD89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29EBD8">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9AE03">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14:paraId="3D69EDE5">
        <w:tblPrEx>
          <w:tblCellMar>
            <w:top w:w="0" w:type="dxa"/>
            <w:left w:w="0" w:type="dxa"/>
            <w:bottom w:w="0" w:type="dxa"/>
            <w:right w:w="0" w:type="dxa"/>
          </w:tblCellMar>
        </w:tblPrEx>
        <w:trPr>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099FC18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0CFA95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9A1286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7EC8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9F39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E223E6">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7EBB3">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14:paraId="7C12CC1C">
        <w:tblPrEx>
          <w:tblCellMar>
            <w:top w:w="0" w:type="dxa"/>
            <w:left w:w="0" w:type="dxa"/>
            <w:bottom w:w="0" w:type="dxa"/>
            <w:right w:w="0" w:type="dxa"/>
          </w:tblCellMar>
        </w:tblPrEx>
        <w:trPr>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23D8490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B774FE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B4195D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E1DCD5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B6F0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BF3304">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4E144">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14:paraId="1AC926F1">
        <w:tblPrEx>
          <w:tblCellMar>
            <w:top w:w="0" w:type="dxa"/>
            <w:left w:w="0" w:type="dxa"/>
            <w:bottom w:w="0" w:type="dxa"/>
            <w:right w:w="0" w:type="dxa"/>
          </w:tblCellMar>
        </w:tblPrEx>
        <w:trPr>
          <w:trHeight w:val="334" w:hRule="atLeast"/>
          <w:tblHeader/>
          <w:jc w:val="center"/>
        </w:trPr>
        <w:tc>
          <w:tcPr>
            <w:tcW w:w="1077" w:type="dxa"/>
            <w:vMerge w:val="continue"/>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14:paraId="782D494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C61136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332B5A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EBF8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B64FF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5CFB4">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E0F99">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r>
      <w:tr w14:paraId="31FD3481">
        <w:tblPrEx>
          <w:tblCellMar>
            <w:top w:w="0" w:type="dxa"/>
            <w:left w:w="0" w:type="dxa"/>
            <w:bottom w:w="0" w:type="dxa"/>
            <w:right w:w="0" w:type="dxa"/>
          </w:tblCellMar>
        </w:tblPrEx>
        <w:trPr>
          <w:trHeight w:val="334" w:hRule="atLeast"/>
          <w:tblHeader/>
          <w:jc w:val="center"/>
        </w:trPr>
        <w:tc>
          <w:tcPr>
            <w:tcW w:w="3285" w:type="dxa"/>
            <w:gridSpan w:val="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E7B48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59C1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24AF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3B8EE">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A6765">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rPr>
              <w:t>19</w:t>
            </w:r>
            <w:r>
              <w:rPr>
                <w:rFonts w:hint="eastAsia"/>
                <w:kern w:val="0"/>
                <w:sz w:val="20"/>
                <w:szCs w:val="20"/>
                <w:lang w:val="en-US" w:eastAsia="zh-CN"/>
              </w:rPr>
              <w:t>.2</w:t>
            </w:r>
          </w:p>
        </w:tc>
      </w:tr>
    </w:tbl>
    <w:p w14:paraId="59D41626">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08" w:name="_Toc28069"/>
      <w:bookmarkStart w:id="109" w:name="_Toc13522"/>
      <w:r>
        <w:rPr>
          <w:rFonts w:hint="eastAsia" w:ascii="仿宋_GB2312" w:hAnsi="仿宋_GB2312" w:eastAsia="仿宋_GB2312" w:cs="仿宋_GB2312"/>
          <w:b/>
          <w:bCs/>
          <w:sz w:val="32"/>
          <w:szCs w:val="32"/>
        </w:rPr>
        <w:t>1.立项依据充分性</w:t>
      </w:r>
      <w:bookmarkEnd w:id="108"/>
      <w:bookmarkEnd w:id="109"/>
    </w:p>
    <w:p w14:paraId="38628F1D">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①项目立项符合财教【2023】64号关于下达2024年城乡义务教育补助经费预算的通知；</w:t>
      </w:r>
    </w:p>
    <w:p w14:paraId="3819272C">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rPr>
      </w:pPr>
      <w:r>
        <w:rPr>
          <w:rFonts w:hint="eastAsia" w:ascii="仿宋_GB2312" w:hAnsi="仿宋_GB2312" w:eastAsia="仿宋_GB2312" w:cs="仿宋_GB2312"/>
          <w:sz w:val="32"/>
          <w:szCs w:val="32"/>
        </w:rPr>
        <w:t>②项目立项符合项目立项符合《阜康市教育扶贫惠民政策宣传手册》相关政策要求；</w:t>
      </w:r>
    </w:p>
    <w:p w14:paraId="3800A272">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③项目立项与宣传贯彻党和国家的教育方针、教育政策、教育法律法规、贯彻执行上级教育行政部门的各项规章制度的部门职责范围相符，属于部门履职所需；</w:t>
      </w:r>
    </w:p>
    <w:p w14:paraId="0B64B2A1">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④项目属于公共财政支持范围，符合中央、地方事权支出责任划分原则；</w:t>
      </w:r>
    </w:p>
    <w:p w14:paraId="31257B58">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⑤项目与相关部门同类项目、部门内部相关项目不重复。</w:t>
      </w:r>
    </w:p>
    <w:p w14:paraId="05F9A2EF">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14:paraId="54EC54A2">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0" w:name="_Toc23240"/>
      <w:bookmarkStart w:id="111" w:name="_Toc21976"/>
      <w:r>
        <w:rPr>
          <w:rFonts w:hint="eastAsia" w:ascii="仿宋_GB2312" w:hAnsi="仿宋_GB2312" w:eastAsia="仿宋_GB2312" w:cs="仿宋_GB2312"/>
          <w:b/>
          <w:bCs/>
          <w:sz w:val="32"/>
          <w:szCs w:val="32"/>
        </w:rPr>
        <w:t>2.立项程序规范性</w:t>
      </w:r>
      <w:bookmarkEnd w:id="110"/>
      <w:bookmarkEnd w:id="111"/>
    </w:p>
    <w:p w14:paraId="0977B255">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①项目按照规定的程序申请设立；</w:t>
      </w:r>
    </w:p>
    <w:p w14:paraId="5001146F">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②审批文件、材料符合相关要求；</w:t>
      </w:r>
    </w:p>
    <w:p w14:paraId="5479D0F2">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③事前经过必要的集体决策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未经过可行性研究、专家论证、风险评估、绩效评估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扣0.8分。</w:t>
      </w:r>
    </w:p>
    <w:p w14:paraId="6051BFF6">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综上，该项指标满分3分，得分2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分。</w:t>
      </w:r>
    </w:p>
    <w:p w14:paraId="3B3E175C">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2" w:name="_Toc23542"/>
      <w:bookmarkStart w:id="113" w:name="_Toc15382"/>
      <w:r>
        <w:rPr>
          <w:rFonts w:hint="eastAsia" w:ascii="仿宋_GB2312" w:hAnsi="仿宋_GB2312" w:eastAsia="仿宋_GB2312" w:cs="仿宋_GB2312"/>
          <w:b/>
          <w:bCs/>
          <w:sz w:val="32"/>
          <w:szCs w:val="32"/>
        </w:rPr>
        <w:t>3.绩效目标合理性</w:t>
      </w:r>
      <w:bookmarkEnd w:id="112"/>
      <w:bookmarkEnd w:id="113"/>
    </w:p>
    <w:p w14:paraId="5812F9D7">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①该项目已设置年度绩效目标。</w:t>
      </w:r>
    </w:p>
    <w:p w14:paraId="6B0789A4">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该项目实际工作内容为：保障学校正常运转，完成教学活动及其他日常业务的正常运转。2024年学校在校学生人数890人，计划完成每学年以940元/生/学年的标准使用公用经费,公用经费、教师培训结业率达到100%。通过项目实施，将有效改善教学环境，提供良好的学生成长条件，保障学校正常运转。绩效目标与实际工作内容一致，两者具有相关性。</w:t>
      </w:r>
    </w:p>
    <w:p w14:paraId="1B383EEF">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③该项目按照绩效目标完成数量指标、质量指标、时效指标、成本指标，项目的完成达到改善教学环境，提供良好的学生成长条件的效益，预期产出效益和效果是否符合正常的业绩水平。</w:t>
      </w:r>
    </w:p>
    <w:p w14:paraId="57D30F18">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④《项目支出绩效目标表》中预算金额为81.20万元，预算确定的项目资金与预算确定的项目投资额相匹配。</w:t>
      </w:r>
    </w:p>
    <w:p w14:paraId="56F6F55E">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14:paraId="5B2FF555">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4" w:name="_Toc10650"/>
      <w:bookmarkStart w:id="115" w:name="_Toc18198"/>
      <w:r>
        <w:rPr>
          <w:rFonts w:hint="eastAsia" w:ascii="仿宋_GB2312" w:hAnsi="仿宋_GB2312" w:eastAsia="仿宋_GB2312" w:cs="仿宋_GB2312"/>
          <w:b/>
          <w:bCs/>
          <w:sz w:val="32"/>
          <w:szCs w:val="32"/>
        </w:rPr>
        <w:t>4.绩效指标明确性</w:t>
      </w:r>
      <w:bookmarkEnd w:id="114"/>
      <w:bookmarkEnd w:id="115"/>
    </w:p>
    <w:p w14:paraId="59E3A414">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①将项目绩效目标细化分解为具体的绩效指标，其中三级指标共计</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w:t>
      </w:r>
    </w:p>
    <w:p w14:paraId="0D1A8A2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②通过清晰、可衡量的指标值予以体现，量化率达到8</w:t>
      </w:r>
      <w:r>
        <w:rPr>
          <w:rFonts w:hint="eastAsia" w:ascii="仿宋_GB2312" w:hAnsi="仿宋_GB2312" w:eastAsia="仿宋_GB2312" w:cs="仿宋_GB2312"/>
          <w:sz w:val="32"/>
          <w:szCs w:val="32"/>
          <w:lang w:val="en-US" w:eastAsia="zh-CN"/>
        </w:rPr>
        <w:t>8.89</w:t>
      </w:r>
      <w:r>
        <w:rPr>
          <w:rFonts w:hint="eastAsia" w:ascii="仿宋_GB2312" w:hAnsi="仿宋_GB2312" w:eastAsia="仿宋_GB2312" w:cs="仿宋_GB2312"/>
          <w:sz w:val="32"/>
          <w:szCs w:val="32"/>
        </w:rPr>
        <w:t>%；</w:t>
      </w:r>
    </w:p>
    <w:p w14:paraId="4E33C44D">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③《项目绩效目标申报表》中，三级指标的年度指标值与年度绩效目标中任务数一致。</w:t>
      </w:r>
    </w:p>
    <w:p w14:paraId="32FEA3A7">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已设置的绩效目标具备明确性、可衡量性、可实现性、相关性、时限性。</w:t>
      </w:r>
    </w:p>
    <w:p w14:paraId="6DD903CC">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14:paraId="3973A9E9">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6" w:name="_Toc19401"/>
      <w:bookmarkStart w:id="117" w:name="_Toc8296"/>
      <w:r>
        <w:rPr>
          <w:rFonts w:hint="eastAsia" w:ascii="仿宋_GB2312" w:hAnsi="仿宋_GB2312" w:eastAsia="仿宋_GB2312" w:cs="仿宋_GB2312"/>
          <w:b/>
          <w:bCs/>
          <w:sz w:val="32"/>
          <w:szCs w:val="32"/>
        </w:rPr>
        <w:t>5.预算编制科学性</w:t>
      </w:r>
      <w:bookmarkEnd w:id="116"/>
      <w:bookmarkEnd w:id="117"/>
    </w:p>
    <w:p w14:paraId="254A32C7">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①根据项目预算批复，项目的预算编制经过科学论证；</w:t>
      </w:r>
    </w:p>
    <w:p w14:paraId="2A8ABBAF">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②预算申请内容为有效改善教学环境，提供良好的学生成长条件，保障学校正常运转,项目实际内容为有有效改善教学环境，提供良好的学生成长条件，保障学校正常运转,预算申请与项目内容匹配；</w:t>
      </w:r>
    </w:p>
    <w:p w14:paraId="274EF5AD">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预算申请资金81.20万元，我单位在预算申请中严格按照项目实施内容及测算标准进行核算，其中办公费0.9万元、印刷费5.93万元、水费7.82万元、电费4.86万元、取暖费27.95万元、邮电费5.48万元、物业管理费6.64万元、差旅费0.34万元；维修（护）费5.15万元；租赁费0.23万元；培训费4.36万元、专用材料费1.34万元；劳务费0.7万元；其他商品和服务支出0.93万元、办公设备购置7.69万元；基他资本性支出0.88万元。</w:t>
      </w:r>
    </w:p>
    <w:p w14:paraId="1B33C42B">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④预算确定资金量与实际工作任务相匹配。项目预算额度测算依据充分，严格按照标准编制，项目资金量与项目实施内容相匹配。</w:t>
      </w:r>
    </w:p>
    <w:p w14:paraId="2BF962B0">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14:paraId="194BD534">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8" w:name="_Toc697"/>
      <w:bookmarkStart w:id="119" w:name="_Toc20556"/>
      <w:r>
        <w:rPr>
          <w:rFonts w:hint="eastAsia" w:ascii="仿宋_GB2312" w:hAnsi="仿宋_GB2312" w:eastAsia="仿宋_GB2312" w:cs="仿宋_GB2312"/>
          <w:b/>
          <w:bCs/>
          <w:sz w:val="32"/>
          <w:szCs w:val="32"/>
        </w:rPr>
        <w:t>6.资金分配合理性</w:t>
      </w:r>
      <w:bookmarkEnd w:id="118"/>
      <w:bookmarkEnd w:id="119"/>
    </w:p>
    <w:p w14:paraId="0D3EE883">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①项目实际分配资金以《财政支出预算管理办法》</w:t>
      </w:r>
      <w:r>
        <w:rPr>
          <w:rFonts w:hint="eastAsia" w:ascii="仿宋_GB2312" w:hAnsi="仿宋_GB2312" w:eastAsia="仿宋_GB2312" w:cs="仿宋_GB2312"/>
          <w:sz w:val="32"/>
          <w:szCs w:val="32"/>
          <w:lang w:eastAsia="zh-Hans"/>
        </w:rPr>
        <w:t>《202</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Hans"/>
        </w:rPr>
        <w:t>年公用经费收支预算表》为依据进行资金分配，预算资金分配依据充分</w:t>
      </w:r>
      <w:r>
        <w:rPr>
          <w:rFonts w:hint="eastAsia" w:ascii="仿宋_GB2312" w:hAnsi="仿宋_GB2312" w:eastAsia="仿宋_GB2312" w:cs="仿宋_GB2312"/>
          <w:sz w:val="32"/>
          <w:szCs w:val="32"/>
        </w:rPr>
        <w:t>。</w:t>
      </w:r>
    </w:p>
    <w:p w14:paraId="416A9B0B">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②项目实际到位资金81.20万元，资金分配额度合理，与项目单位及项目实际实施情况相适应。</w:t>
      </w:r>
    </w:p>
    <w:p w14:paraId="31CACA57">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rPr>
      </w:pPr>
      <w:r>
        <w:rPr>
          <w:rFonts w:hint="eastAsia" w:ascii="仿宋_GB2312" w:hAnsi="仿宋_GB2312" w:eastAsia="仿宋_GB2312" w:cs="仿宋_GB2312"/>
          <w:b/>
          <w:bCs/>
          <w:sz w:val="32"/>
          <w:szCs w:val="32"/>
        </w:rPr>
        <w:t>综上，该项指标满分3分，得分3分。</w:t>
      </w:r>
    </w:p>
    <w:p w14:paraId="4BC1412C">
      <w:pPr>
        <w:pStyle w:val="14"/>
        <w:keepNext w:val="0"/>
        <w:keepLines w:val="0"/>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 w:cs="Times New Roman"/>
          <w:kern w:val="28"/>
          <w:sz w:val="32"/>
        </w:rPr>
      </w:pPr>
      <w:bookmarkStart w:id="120" w:name="_Toc10564"/>
      <w:r>
        <w:rPr>
          <w:rFonts w:hint="eastAsia" w:ascii="Times New Roman" w:hAnsi="Times New Roman" w:eastAsia="楷体" w:cs="Times New Roman"/>
          <w:kern w:val="28"/>
          <w:sz w:val="32"/>
        </w:rPr>
        <w:t>（二）项目过程情况</w:t>
      </w:r>
      <w:bookmarkEnd w:id="120"/>
    </w:p>
    <w:p w14:paraId="4FEE1F75">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过程</w:t>
      </w:r>
      <w:r>
        <w:rPr>
          <w:rFonts w:hint="eastAsia" w:ascii="仿宋_GB2312" w:hAnsi="仿宋_GB2312" w:eastAsia="仿宋_GB2312" w:cs="仿宋_GB2312"/>
          <w:sz w:val="32"/>
          <w:szCs w:val="32"/>
          <w:u w:color="000000"/>
        </w:rPr>
        <w:t>管理</w:t>
      </w:r>
      <w:r>
        <w:rPr>
          <w:rFonts w:hint="eastAsia" w:ascii="仿宋_GB2312" w:hAnsi="仿宋_GB2312" w:eastAsia="仿宋_GB2312" w:cs="仿宋_GB2312"/>
          <w:sz w:val="32"/>
          <w:szCs w:val="32"/>
          <w:u w:color="000000"/>
          <w:lang w:val="zh-TW" w:eastAsia="zh-TW"/>
        </w:rPr>
        <w:t>类指标由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5</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4-2</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详见上传的附件二</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7D39A99C">
      <w:pPr>
        <w:keepNext w:val="0"/>
        <w:keepLines w:val="0"/>
        <w:pageBreakBefore w:val="0"/>
        <w:widowControl/>
        <w:kinsoku/>
        <w:wordWrap/>
        <w:overflowPunct/>
        <w:topLinePunct w:val="0"/>
        <w:autoSpaceDE/>
        <w:autoSpaceDN/>
        <w:bidi w:val="0"/>
        <w:adjustRightInd/>
        <w:snapToGrid w:val="0"/>
        <w:spacing w:after="0" w:line="560" w:lineRule="exact"/>
        <w:ind w:firstLine="562" w:firstLineChars="200"/>
        <w:jc w:val="center"/>
        <w:textAlignment w:val="auto"/>
        <w:rPr>
          <w:rFonts w:hint="eastAsia"/>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rPr>
        <w:t>过程</w:t>
      </w:r>
      <w:r>
        <w:rPr>
          <w:rFonts w:hint="eastAsia"/>
          <w:b/>
          <w:bCs/>
          <w:kern w:val="0"/>
          <w:lang w:val="zh-TW" w:eastAsia="zh-TW"/>
        </w:rPr>
        <w:t>指标及分值</w:t>
      </w:r>
      <w:r>
        <w:rPr>
          <w:rFonts w:hint="eastAsia"/>
          <w:b/>
          <w:bCs/>
          <w:kern w:val="0"/>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1763B9A">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CCB45">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7EEACF">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2F1BF">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11178">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07DD6A">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62DE2">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B130B">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shd w:val="clear"/>
                <w14:textFill>
                  <w14:solidFill>
                    <w14:schemeClr w14:val="tx1"/>
                  </w14:solidFill>
                </w14:textFill>
              </w:rPr>
              <w:t>得分</w:t>
            </w:r>
          </w:p>
        </w:tc>
      </w:tr>
      <w:tr w14:paraId="614A0FBC">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D95C0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C9DF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5A8C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8F180">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75841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9DA05">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DE654">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5B6A07A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A9CB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6B67F5">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7FFA7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9A17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744F6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18432C">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D5AD66">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65AD620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4B4A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82ADA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DA53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C8AB0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679F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2090B">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1BEB1">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50D5022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962BD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1D932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A31F2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EE8C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5947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DF944">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508396">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0CBD453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C1A61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E3C4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2ACA1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9839A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E7F52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B502A8">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3BBEC">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6C293BC6">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15522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FE8A9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6F76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E07A2">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783D4">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r>
    </w:tbl>
    <w:p w14:paraId="04E6FA05">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outlineLvl w:val="2"/>
        <w:rPr>
          <w:rFonts w:hint="eastAsia" w:ascii="仿宋_GB2312" w:hAnsi="仿宋_GB2312" w:eastAsia="仿宋_GB2312" w:cs="仿宋_GB2312"/>
          <w:b/>
          <w:bCs/>
          <w:color w:val="FF0000"/>
          <w:sz w:val="32"/>
          <w:szCs w:val="32"/>
        </w:rPr>
      </w:pPr>
      <w:bookmarkStart w:id="121" w:name="_Toc20449"/>
      <w:bookmarkStart w:id="122" w:name="_Toc3886"/>
      <w:r>
        <w:rPr>
          <w:rFonts w:hint="eastAsia" w:ascii="仿宋_GB2312" w:hAnsi="仿宋_GB2312" w:eastAsia="仿宋_GB2312" w:cs="仿宋_GB2312"/>
          <w:b/>
          <w:bCs/>
          <w:sz w:val="32"/>
          <w:szCs w:val="32"/>
        </w:rPr>
        <w:t>1.资金到位率</w:t>
      </w:r>
      <w:bookmarkEnd w:id="121"/>
      <w:bookmarkEnd w:id="122"/>
    </w:p>
    <w:p w14:paraId="2C123243">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项目预算资金为81.20万元，其中：财政安排资金81.20万元，其他资金0万元。</w:t>
      </w:r>
    </w:p>
    <w:p w14:paraId="511F00C4">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资金到位率=（81.20万元/81.20万元）×100%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p>
    <w:p w14:paraId="2D6D4389">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53C49A90">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outlineLvl w:val="2"/>
        <w:rPr>
          <w:rFonts w:hint="eastAsia" w:ascii="仿宋_GB2312" w:hAnsi="仿宋_GB2312" w:eastAsia="仿宋_GB2312" w:cs="仿宋_GB2312"/>
          <w:b/>
          <w:bCs/>
          <w:sz w:val="32"/>
          <w:szCs w:val="32"/>
        </w:rPr>
      </w:pPr>
      <w:bookmarkStart w:id="123" w:name="_Toc9705"/>
      <w:bookmarkStart w:id="124" w:name="_Toc17709"/>
      <w:r>
        <w:rPr>
          <w:rFonts w:hint="eastAsia" w:ascii="仿宋_GB2312" w:hAnsi="仿宋_GB2312" w:eastAsia="仿宋_GB2312" w:cs="仿宋_GB2312"/>
          <w:b/>
          <w:bCs/>
          <w:sz w:val="32"/>
          <w:szCs w:val="32"/>
        </w:rPr>
        <w:t>2.预算执行率</w:t>
      </w:r>
      <w:bookmarkEnd w:id="123"/>
      <w:bookmarkEnd w:id="124"/>
    </w:p>
    <w:p w14:paraId="386A5E34">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截至2024年12月31日，项目实际支出81.20万元。</w:t>
      </w:r>
    </w:p>
    <w:p w14:paraId="63ACCD33">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预算执行率=（81.20万元/81.20万元）×100%。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r>
        <w:rPr>
          <w:rFonts w:hint="eastAsia" w:ascii="仿宋_GB2312" w:hAnsi="仿宋_GB2312" w:eastAsia="仿宋_GB2312" w:cs="仿宋_GB2312"/>
          <w:b/>
          <w:bCs/>
          <w:sz w:val="32"/>
          <w:szCs w:val="32"/>
        </w:rPr>
        <w:t>综上，该项指标满分4分，得分4分。</w:t>
      </w:r>
    </w:p>
    <w:p w14:paraId="77491556">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outlineLvl w:val="2"/>
        <w:rPr>
          <w:rFonts w:hint="eastAsia" w:ascii="仿宋_GB2312" w:hAnsi="仿宋_GB2312" w:eastAsia="仿宋_GB2312" w:cs="仿宋_GB2312"/>
          <w:b/>
          <w:bCs/>
          <w:sz w:val="32"/>
          <w:szCs w:val="32"/>
        </w:rPr>
      </w:pPr>
      <w:bookmarkStart w:id="125" w:name="_Toc18691"/>
      <w:bookmarkStart w:id="126" w:name="_Toc28875"/>
      <w:r>
        <w:rPr>
          <w:rFonts w:hint="eastAsia" w:ascii="仿宋_GB2312" w:hAnsi="仿宋_GB2312" w:eastAsia="仿宋_GB2312" w:cs="仿宋_GB2312"/>
          <w:b/>
          <w:bCs/>
          <w:sz w:val="32"/>
          <w:szCs w:val="32"/>
        </w:rPr>
        <w:t>3.资金使用合规性</w:t>
      </w:r>
      <w:bookmarkEnd w:id="125"/>
      <w:bookmarkEnd w:id="126"/>
    </w:p>
    <w:p w14:paraId="49C46F17">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方正仿宋_GBK" w:hAnsi="方正仿宋_GBK" w:eastAsia="方正仿宋_GBK" w:cs="方正仿宋_GBK"/>
          <w:sz w:val="32"/>
          <w:szCs w:val="32"/>
        </w:rPr>
      </w:pPr>
      <w:r>
        <w:rPr>
          <w:rFonts w:hint="eastAsia" w:ascii="仿宋_GB2312" w:hAnsi="仿宋_GB2312" w:eastAsia="仿宋_GB2312" w:cs="仿宋_GB2312"/>
          <w:sz w:val="32"/>
          <w:szCs w:val="32"/>
        </w:rPr>
        <w:t>①本项目资金支出符合国家财经法规、《政府会计制度》《阜康市第三中学单位资金管理办法》《阜康市第三中学专项资金管理办法》；</w:t>
      </w:r>
    </w:p>
    <w:p w14:paraId="0FE6A019">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②资金的拨付有完整的审批程序和手续；</w:t>
      </w:r>
    </w:p>
    <w:p w14:paraId="1D989149">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③符合项目预算批复或合同规定的用途；</w:t>
      </w:r>
    </w:p>
    <w:p w14:paraId="010A6BD3">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④不存在截留、挤占、挪用、虚列支出等情况。</w:t>
      </w:r>
    </w:p>
    <w:p w14:paraId="07D72A03">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b/>
          <w:bCs/>
          <w:sz w:val="32"/>
          <w:szCs w:val="32"/>
        </w:rPr>
      </w:pPr>
      <w:r>
        <w:rPr>
          <w:rFonts w:ascii="Times New Roman" w:hAnsi="Times New Roman" w:eastAsia="仿宋_GB2312" w:cs="Times New Roman"/>
          <w:sz w:val="32"/>
          <w:szCs w:val="32"/>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rPr>
        <w:t xml:space="preserve"> </w:t>
      </w:r>
    </w:p>
    <w:p w14:paraId="64737CF2">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3D8D3CAC">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4.管理制度健全性</w:t>
      </w:r>
    </w:p>
    <w:p w14:paraId="6E5D7217">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我单位已制定《阜康市第三中学资金管理办法》《阜康市第三中学收支业务管理制度》《阜康市第三中学政府采购业务管理制度》《阜康市第三中学合同管理制度》，相关制度均符合行政事业单位内控管理要求；</w:t>
      </w:r>
    </w:p>
    <w:p w14:paraId="11EED3DF">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②已制定的财务和业务管理制度合法、合规、完整，本项目执行符合上述制度规定。</w:t>
      </w:r>
    </w:p>
    <w:p w14:paraId="1242BAB3">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250130B5">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outlineLvl w:val="2"/>
        <w:rPr>
          <w:rFonts w:hint="eastAsia" w:ascii="仿宋_GB2312" w:hAnsi="仿宋_GB2312" w:eastAsia="仿宋_GB2312" w:cs="仿宋_GB2312"/>
          <w:b/>
          <w:bCs/>
          <w:sz w:val="32"/>
          <w:szCs w:val="32"/>
        </w:rPr>
      </w:pPr>
      <w:bookmarkStart w:id="127" w:name="_Toc13984"/>
      <w:bookmarkStart w:id="128" w:name="_Toc31684"/>
      <w:r>
        <w:rPr>
          <w:rFonts w:hint="eastAsia" w:ascii="仿宋_GB2312" w:hAnsi="仿宋_GB2312" w:eastAsia="仿宋_GB2312" w:cs="仿宋_GB2312"/>
          <w:b/>
          <w:bCs/>
          <w:sz w:val="32"/>
          <w:szCs w:val="32"/>
        </w:rPr>
        <w:t>5.制度执行有效性</w:t>
      </w:r>
      <w:bookmarkEnd w:id="127"/>
      <w:bookmarkEnd w:id="128"/>
    </w:p>
    <w:p w14:paraId="39B654C3">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①项目的实施遵守相关法律法规及相关管理规定，符合《阜康市第三中学办法》《阜康市第三中学管理制度》《阜康市第三中学采购业务管理制度》《阜康市第三中学合同管理制度》等管理规定；</w:t>
      </w:r>
    </w:p>
    <w:p w14:paraId="22DEA1D8">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w:t>
      </w:r>
      <w:r>
        <w:rPr>
          <w:rFonts w:hint="eastAsia" w:ascii="仿宋_GB2312" w:hAnsi="仿宋_GB2312" w:eastAsia="仿宋_GB2312" w:cs="仿宋_GB2312"/>
          <w:color w:val="auto"/>
          <w:sz w:val="32"/>
          <w:szCs w:val="32"/>
          <w:highlight w:val="none"/>
        </w:rPr>
        <w:t>该项目实施过程中</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rPr>
        <w:t>存在调整事项</w:t>
      </w:r>
      <w:r>
        <w:rPr>
          <w:rFonts w:hint="eastAsia" w:ascii="仿宋_GB2312" w:hAnsi="仿宋_GB2312" w:eastAsia="仿宋_GB2312" w:cs="仿宋_GB2312"/>
          <w:color w:val="auto"/>
          <w:sz w:val="32"/>
          <w:szCs w:val="32"/>
          <w:highlight w:val="none"/>
          <w:lang w:eastAsia="zh-CN"/>
        </w:rPr>
        <w:t>。</w:t>
      </w:r>
    </w:p>
    <w:p w14:paraId="51F3AF9D">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③项目合同书、验收评审表、财务支付凭证等资料齐全并及时归档。</w:t>
      </w:r>
    </w:p>
    <w:p w14:paraId="0CA4F334">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sz w:val="32"/>
          <w:szCs w:val="32"/>
          <w:lang w:eastAsia="zh-CN"/>
        </w:rPr>
        <w:t>昌州财教【2023】90号（保民生）提前下达2024年城乡义务教育补助经费（中央直达资金）公用经费</w:t>
      </w:r>
      <w:r>
        <w:rPr>
          <w:rFonts w:hint="eastAsia" w:ascii="仿宋_GB2312" w:hAnsi="仿宋_GB2312" w:eastAsia="仿宋_GB2312" w:cs="仿宋_GB2312"/>
          <w:sz w:val="32"/>
          <w:szCs w:val="32"/>
        </w:rPr>
        <w:t>项目工作领导小组，由丁军任组长，负责项目的组织工作；张鸿翔任副组长，负责项目的实施工作；组员包括：姜莉、张萍、李文欣、马尔加尼，张萍主要负责项目监督管理、李文欣负责验收，马尔加尼负责资金核拨等工作。</w:t>
      </w:r>
    </w:p>
    <w:p w14:paraId="2F12CB36">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7F0AAEBB">
      <w:pPr>
        <w:pStyle w:val="14"/>
        <w:keepNext w:val="0"/>
        <w:keepLines w:val="0"/>
        <w:pageBreakBefore w:val="0"/>
        <w:widowControl/>
        <w:kinsoku/>
        <w:wordWrap/>
        <w:overflowPunct/>
        <w:topLinePunct w:val="0"/>
        <w:autoSpaceDE/>
        <w:autoSpaceDN/>
        <w:bidi w:val="0"/>
        <w:adjustRightInd/>
        <w:snapToGrid/>
        <w:spacing w:before="0" w:after="0" w:line="560" w:lineRule="exact"/>
        <w:ind w:left="0" w:leftChars="0" w:firstLine="643" w:firstLineChars="200"/>
        <w:jc w:val="both"/>
        <w:textAlignment w:val="auto"/>
        <w:rPr>
          <w:rFonts w:ascii="Times New Roman" w:hAnsi="Times New Roman" w:eastAsia="楷体_GB2312" w:cs="Times New Roman"/>
          <w:kern w:val="28"/>
          <w:sz w:val="32"/>
        </w:rPr>
      </w:pPr>
      <w:bookmarkStart w:id="129" w:name="_Toc2441"/>
      <w:r>
        <w:rPr>
          <w:rFonts w:hint="eastAsia" w:ascii="Times New Roman" w:hAnsi="Times New Roman" w:eastAsia="楷体_GB2312" w:cs="Times New Roman"/>
          <w:kern w:val="28"/>
          <w:sz w:val="32"/>
        </w:rPr>
        <w:t>（三）项目产出情况</w:t>
      </w:r>
      <w:bookmarkEnd w:id="129"/>
    </w:p>
    <w:p w14:paraId="57DE2D26">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产出</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包括产出数量、产出质量、产出时效、产出成本四方面的内容，</w:t>
      </w:r>
      <w:r>
        <w:rPr>
          <w:rFonts w:hint="eastAsia" w:ascii="Times New Roman" w:hAnsi="Times New Roman" w:eastAsia="仿宋_GB2312" w:cs="Times New Roman"/>
          <w:sz w:val="32"/>
          <w:szCs w:val="32"/>
        </w:rPr>
        <w:t>共</w:t>
      </w:r>
      <w:r>
        <w:rPr>
          <w:rFonts w:hint="eastAsia" w:ascii="仿宋_GB2312" w:hAnsi="仿宋_GB2312" w:eastAsia="仿宋_GB2312" w:cs="仿宋_GB2312"/>
          <w:sz w:val="32"/>
          <w:szCs w:val="32"/>
          <w:u w:color="000000"/>
        </w:rPr>
        <w:t>4</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lang w:val="en-US" w:eastAsia="zh-CN"/>
        </w:rPr>
        <w:t>6</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40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40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4-3</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0176F655">
      <w:pPr>
        <w:keepNext w:val="0"/>
        <w:keepLines w:val="0"/>
        <w:pageBreakBefore w:val="0"/>
        <w:widowControl/>
        <w:kinsoku/>
        <w:wordWrap/>
        <w:overflowPunct/>
        <w:topLinePunct w:val="0"/>
        <w:autoSpaceDE/>
        <w:autoSpaceDN/>
        <w:bidi w:val="0"/>
        <w:adjustRightInd/>
        <w:snapToGrid/>
        <w:spacing w:after="0" w:line="560" w:lineRule="exact"/>
        <w:ind w:left="0" w:leftChars="0" w:firstLine="562" w:firstLineChars="200"/>
        <w:jc w:val="both"/>
        <w:textAlignment w:val="auto"/>
        <w:rPr>
          <w:rFonts w:hint="eastAsia"/>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tbl>
      <w:tblPr>
        <w:tblStyle w:val="16"/>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14:paraId="5DE05CE8">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4C118">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0819F">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99623">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1B3B4">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7C4F2">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B7FD6">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3FB67">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指标得分</w:t>
            </w:r>
          </w:p>
        </w:tc>
      </w:tr>
      <w:tr w14:paraId="5C72DB9D">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591CDB">
            <w:pPr>
              <w:widowControl/>
              <w:snapToGrid w:val="0"/>
              <w:spacing w:line="300" w:lineRule="exact"/>
              <w:ind w:firstLine="0" w:firstLineChars="0"/>
              <w:jc w:val="center"/>
              <w:rPr>
                <w:rFonts w:hint="eastAsia"/>
                <w:kern w:val="0"/>
                <w:sz w:val="20"/>
                <w:szCs w:val="20"/>
              </w:rPr>
            </w:pPr>
            <w:r>
              <w:rPr>
                <w:rFonts w:hint="eastAsia"/>
                <w:kern w:val="0"/>
                <w:sz w:val="20"/>
                <w:szCs w:val="20"/>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4B89B">
            <w:pPr>
              <w:widowControl/>
              <w:snapToGrid w:val="0"/>
              <w:spacing w:line="300" w:lineRule="exact"/>
              <w:ind w:firstLine="0" w:firstLineChars="0"/>
              <w:jc w:val="center"/>
              <w:rPr>
                <w:rFonts w:hint="eastAsia"/>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ACAE2">
            <w:pPr>
              <w:widowControl/>
              <w:snapToGrid w:val="0"/>
              <w:spacing w:line="300" w:lineRule="exact"/>
              <w:ind w:firstLine="0" w:firstLineChars="0"/>
              <w:jc w:val="center"/>
              <w:rPr>
                <w:rFonts w:hint="eastAsia"/>
                <w:kern w:val="0"/>
                <w:sz w:val="20"/>
                <w:szCs w:val="20"/>
              </w:rPr>
            </w:pPr>
            <w:r>
              <w:rPr>
                <w:rFonts w:hint="eastAsia"/>
                <w:kern w:val="0"/>
                <w:sz w:val="20"/>
                <w:szCs w:val="20"/>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5F8E5">
            <w:pPr>
              <w:widowControl/>
              <w:snapToGrid w:val="0"/>
              <w:spacing w:line="300" w:lineRule="exact"/>
              <w:ind w:firstLine="0" w:firstLineChars="0"/>
              <w:jc w:val="center"/>
              <w:rPr>
                <w:rFonts w:hint="eastAsia"/>
                <w:kern w:val="0"/>
                <w:sz w:val="20"/>
                <w:szCs w:val="20"/>
              </w:rPr>
            </w:pPr>
            <w:r>
              <w:rPr>
                <w:rFonts w:hint="eastAsia"/>
                <w:kern w:val="0"/>
                <w:sz w:val="20"/>
                <w:szCs w:val="20"/>
              </w:rPr>
              <w:t>=890人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A5D41">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86E63">
            <w:pPr>
              <w:widowControl/>
              <w:snapToGrid w:val="0"/>
              <w:spacing w:line="300" w:lineRule="exact"/>
              <w:ind w:firstLine="0" w:firstLineChars="0"/>
              <w:jc w:val="center"/>
              <w:rPr>
                <w:rFonts w:hint="eastAsia"/>
                <w:kern w:val="0"/>
                <w:sz w:val="20"/>
                <w:szCs w:val="20"/>
              </w:rPr>
            </w:pPr>
            <w:r>
              <w:rPr>
                <w:rFonts w:hint="eastAsia"/>
                <w:kern w:val="0"/>
                <w:sz w:val="20"/>
                <w:szCs w:val="20"/>
              </w:rPr>
              <w:t>890人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FBBC3">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14:paraId="3DCC0F6A">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D600395">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776426C">
            <w:pPr>
              <w:widowControl/>
              <w:snapToGrid w:val="0"/>
              <w:spacing w:line="300" w:lineRule="exact"/>
              <w:ind w:firstLine="0" w:firstLineChars="0"/>
              <w:jc w:val="center"/>
              <w:rPr>
                <w:rFonts w:hint="eastAsia"/>
                <w:kern w:val="0"/>
                <w:sz w:val="20"/>
                <w:szCs w:val="20"/>
              </w:rPr>
            </w:pPr>
            <w:r>
              <w:rPr>
                <w:rFonts w:hint="eastAsia"/>
                <w:kern w:val="0"/>
                <w:sz w:val="20"/>
                <w:szCs w:val="20"/>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EF429">
            <w:pPr>
              <w:widowControl/>
              <w:snapToGrid w:val="0"/>
              <w:spacing w:line="300" w:lineRule="exact"/>
              <w:ind w:firstLine="0" w:firstLineChars="0"/>
              <w:jc w:val="center"/>
              <w:rPr>
                <w:rFonts w:hint="eastAsia"/>
                <w:kern w:val="0"/>
                <w:sz w:val="20"/>
                <w:szCs w:val="20"/>
              </w:rPr>
            </w:pPr>
            <w:r>
              <w:rPr>
                <w:rFonts w:hint="eastAsia"/>
                <w:kern w:val="0"/>
                <w:sz w:val="20"/>
                <w:szCs w:val="20"/>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9BB4F">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3ADA1">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8AA7D">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175AB">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6BAA37F1">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8783DBB">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5222D">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CD9C2">
            <w:pPr>
              <w:widowControl/>
              <w:snapToGrid w:val="0"/>
              <w:spacing w:line="300" w:lineRule="exact"/>
              <w:ind w:firstLine="0" w:firstLineChars="0"/>
              <w:jc w:val="center"/>
              <w:rPr>
                <w:rFonts w:hint="eastAsia"/>
                <w:kern w:val="0"/>
                <w:sz w:val="20"/>
                <w:szCs w:val="20"/>
              </w:rPr>
            </w:pPr>
            <w:r>
              <w:rPr>
                <w:rFonts w:hint="eastAsia"/>
                <w:kern w:val="0"/>
                <w:sz w:val="20"/>
                <w:szCs w:val="20"/>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AD746">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14C35">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55470">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51598">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0530A396">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C30FC94">
            <w:pPr>
              <w:widowControl/>
              <w:snapToGrid w:val="0"/>
              <w:spacing w:line="300" w:lineRule="exact"/>
              <w:ind w:firstLine="0" w:firstLineChars="0"/>
              <w:jc w:val="center"/>
              <w:rPr>
                <w:rFonts w:hint="eastAsia"/>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6A67C">
            <w:pPr>
              <w:widowControl/>
              <w:snapToGrid w:val="0"/>
              <w:spacing w:line="300" w:lineRule="exact"/>
              <w:ind w:firstLine="0" w:firstLineChars="0"/>
              <w:jc w:val="center"/>
              <w:rPr>
                <w:rFonts w:hint="eastAsia"/>
                <w:kern w:val="0"/>
                <w:sz w:val="20"/>
                <w:szCs w:val="20"/>
              </w:rPr>
            </w:pPr>
            <w:r>
              <w:rPr>
                <w:rFonts w:hint="eastAsia"/>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DD277">
            <w:pPr>
              <w:widowControl/>
              <w:snapToGrid w:val="0"/>
              <w:spacing w:line="300" w:lineRule="exact"/>
              <w:ind w:firstLine="0" w:firstLineChars="0"/>
              <w:jc w:val="center"/>
              <w:rPr>
                <w:rFonts w:hint="eastAsia"/>
                <w:kern w:val="0"/>
                <w:sz w:val="20"/>
                <w:szCs w:val="20"/>
              </w:rPr>
            </w:pPr>
            <w:r>
              <w:rPr>
                <w:rFonts w:hint="eastAsia"/>
                <w:kern w:val="0"/>
                <w:sz w:val="20"/>
                <w:szCs w:val="20"/>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FCF8">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8727D">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CE852">
            <w:pPr>
              <w:widowControl/>
              <w:snapToGrid w:val="0"/>
              <w:spacing w:line="300" w:lineRule="exact"/>
              <w:ind w:firstLine="0" w:firstLineChars="0"/>
              <w:jc w:val="center"/>
              <w:rPr>
                <w:rFonts w:hint="eastAsia"/>
                <w:kern w:val="0"/>
                <w:sz w:val="20"/>
                <w:szCs w:val="20"/>
              </w:rPr>
            </w:pPr>
            <w:bookmarkStart w:id="130" w:name="OLE_LINK4"/>
            <w:r>
              <w:rPr>
                <w:rFonts w:hint="eastAsia"/>
                <w:kern w:val="0"/>
                <w:sz w:val="20"/>
                <w:szCs w:val="20"/>
              </w:rPr>
              <w:t>100%</w:t>
            </w:r>
            <w:bookmarkEnd w:id="130"/>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9737E">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14:paraId="6B015834">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60059CE">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6820309">
            <w:pPr>
              <w:widowControl/>
              <w:snapToGrid w:val="0"/>
              <w:spacing w:line="300" w:lineRule="exact"/>
              <w:ind w:firstLine="0" w:firstLineChars="0"/>
              <w:jc w:val="center"/>
              <w:rPr>
                <w:rFonts w:hint="eastAsia"/>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B49E3">
            <w:pPr>
              <w:widowControl/>
              <w:snapToGrid w:val="0"/>
              <w:spacing w:line="300" w:lineRule="exact"/>
              <w:ind w:firstLine="0" w:firstLineChars="0"/>
              <w:jc w:val="center"/>
              <w:rPr>
                <w:rFonts w:hint="eastAsia"/>
                <w:kern w:val="0"/>
                <w:sz w:val="20"/>
                <w:szCs w:val="20"/>
              </w:rPr>
            </w:pPr>
            <w:r>
              <w:rPr>
                <w:rFonts w:hint="eastAsia"/>
                <w:kern w:val="0"/>
                <w:sz w:val="20"/>
                <w:szCs w:val="20"/>
              </w:rPr>
              <w:t>水电暖支出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E463C">
            <w:pPr>
              <w:widowControl/>
              <w:snapToGrid w:val="0"/>
              <w:spacing w:line="300" w:lineRule="exact"/>
              <w:ind w:firstLine="0" w:firstLineChars="0"/>
              <w:jc w:val="center"/>
              <w:rPr>
                <w:rFonts w:hint="eastAsia"/>
                <w:kern w:val="0"/>
                <w:sz w:val="20"/>
                <w:szCs w:val="20"/>
              </w:rPr>
            </w:pPr>
            <w:r>
              <w:rPr>
                <w:rFonts w:hint="eastAsia"/>
                <w:kern w:val="0"/>
                <w:sz w:val="20"/>
                <w:szCs w:val="20"/>
                <w:lang w:val="en-US" w:eastAsia="zh-CN"/>
              </w:rPr>
              <w:t>≤</w:t>
            </w:r>
            <w:r>
              <w:rPr>
                <w:rFonts w:hint="eastAsia"/>
                <w:kern w:val="0"/>
                <w:sz w:val="20"/>
                <w:szCs w:val="20"/>
              </w:rPr>
              <w:t>40万元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92B2F">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A9D8B">
            <w:pPr>
              <w:widowControl/>
              <w:snapToGrid w:val="0"/>
              <w:spacing w:line="300" w:lineRule="exact"/>
              <w:ind w:firstLine="0" w:firstLineChars="0"/>
              <w:jc w:val="center"/>
              <w:rPr>
                <w:rFonts w:hint="eastAsia"/>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A8D73">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6FBCEC38">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1C485">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CDF16">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70E62">
            <w:pPr>
              <w:widowControl/>
              <w:snapToGrid w:val="0"/>
              <w:spacing w:line="300" w:lineRule="exact"/>
              <w:ind w:firstLine="0" w:firstLineChars="0"/>
              <w:jc w:val="center"/>
              <w:rPr>
                <w:rFonts w:hint="eastAsia"/>
                <w:kern w:val="0"/>
                <w:sz w:val="20"/>
                <w:szCs w:val="20"/>
              </w:rPr>
            </w:pPr>
            <w:r>
              <w:rPr>
                <w:rFonts w:hint="eastAsia"/>
                <w:kern w:val="0"/>
                <w:sz w:val="20"/>
                <w:szCs w:val="20"/>
              </w:rPr>
              <w:t>物业管理费及其他支出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F92B4">
            <w:pPr>
              <w:widowControl/>
              <w:snapToGrid w:val="0"/>
              <w:spacing w:line="300" w:lineRule="exact"/>
              <w:ind w:firstLine="0" w:firstLineChars="0"/>
              <w:jc w:val="center"/>
              <w:rPr>
                <w:rFonts w:hint="eastAsia"/>
                <w:kern w:val="0"/>
                <w:sz w:val="20"/>
                <w:szCs w:val="20"/>
              </w:rPr>
            </w:pPr>
            <w:r>
              <w:rPr>
                <w:rFonts w:hint="eastAsia"/>
                <w:kern w:val="0"/>
                <w:sz w:val="20"/>
                <w:szCs w:val="20"/>
                <w:lang w:val="en-US" w:eastAsia="zh-CN"/>
              </w:rPr>
              <w:t>≤</w:t>
            </w:r>
            <w:r>
              <w:rPr>
                <w:rFonts w:hint="eastAsia"/>
                <w:kern w:val="0"/>
                <w:sz w:val="20"/>
                <w:szCs w:val="20"/>
              </w:rPr>
              <w:t>41.20万元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BD9B6">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BD830">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15E56">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33FF7E08">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F1E86">
            <w:pPr>
              <w:widowControl/>
              <w:snapToGrid w:val="0"/>
              <w:spacing w:line="300" w:lineRule="exact"/>
              <w:ind w:firstLine="0" w:firstLineChars="0"/>
              <w:jc w:val="center"/>
              <w:rPr>
                <w:rFonts w:hint="eastAsia"/>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2D005">
            <w:pPr>
              <w:widowControl/>
              <w:snapToGrid w:val="0"/>
              <w:spacing w:line="300" w:lineRule="exact"/>
              <w:ind w:firstLine="0" w:firstLineChars="0"/>
              <w:jc w:val="center"/>
              <w:rPr>
                <w:rFonts w:hint="eastAsia"/>
                <w:kern w:val="0"/>
                <w:sz w:val="20"/>
                <w:szCs w:val="20"/>
              </w:rPr>
            </w:pPr>
            <w:r>
              <w:rPr>
                <w:rFonts w:hint="eastAsia"/>
                <w:kern w:val="0"/>
                <w:sz w:val="20"/>
                <w:szCs w:val="20"/>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4BBF">
            <w:pPr>
              <w:widowControl/>
              <w:snapToGrid w:val="0"/>
              <w:spacing w:line="300" w:lineRule="exact"/>
              <w:ind w:firstLine="0" w:firstLineChars="0"/>
              <w:jc w:val="center"/>
              <w:rPr>
                <w:rFonts w:hint="eastAsia"/>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DC8DC">
            <w:pPr>
              <w:widowControl/>
              <w:snapToGrid w:val="0"/>
              <w:spacing w:line="300" w:lineRule="exact"/>
              <w:ind w:firstLine="0" w:firstLineChars="0"/>
              <w:jc w:val="center"/>
              <w:rPr>
                <w:rFonts w:hint="eastAsia"/>
                <w:kern w:val="0"/>
                <w:sz w:val="20"/>
                <w:szCs w:val="20"/>
              </w:rPr>
            </w:pPr>
            <w:r>
              <w:rPr>
                <w:rFonts w:hint="eastAsia"/>
                <w:kern w:val="0"/>
                <w:sz w:val="20"/>
                <w:szCs w:val="20"/>
              </w:rPr>
              <w:t>40</w:t>
            </w:r>
          </w:p>
        </w:tc>
      </w:tr>
    </w:tbl>
    <w:p w14:paraId="6B92D823">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b/>
          <w:bCs/>
          <w:color w:val="FF0000"/>
          <w:sz w:val="32"/>
          <w:szCs w:val="32"/>
        </w:rPr>
      </w:pPr>
      <w:bookmarkStart w:id="131" w:name="_Toc11067"/>
      <w:bookmarkStart w:id="132" w:name="_Toc26689"/>
      <w:r>
        <w:rPr>
          <w:rFonts w:hint="eastAsia" w:ascii="仿宋_GB2312" w:hAnsi="仿宋_GB2312" w:eastAsia="仿宋_GB2312" w:cs="仿宋_GB2312"/>
          <w:b/>
          <w:bCs/>
          <w:sz w:val="32"/>
          <w:szCs w:val="32"/>
        </w:rPr>
        <w:t>1.数量指标完成情况</w:t>
      </w:r>
      <w:bookmarkEnd w:id="131"/>
      <w:bookmarkEnd w:id="132"/>
    </w:p>
    <w:p w14:paraId="7B7AB1BE">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（1）“在校学生人数（人）”指标，预期目标值为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890人，实际完成为890人。实际完成率=（890/890）×100%=100%。</w:t>
      </w:r>
    </w:p>
    <w:p w14:paraId="2D01D01E">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综上，该项指标满分10分，得分10分。</w:t>
      </w:r>
    </w:p>
    <w:p w14:paraId="3999DFBF">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outlineLvl w:val="2"/>
        <w:rPr>
          <w:rFonts w:hint="eastAsia" w:ascii="仿宋_GB2312" w:hAnsi="仿宋_GB2312" w:eastAsia="仿宋_GB2312" w:cs="仿宋_GB2312"/>
          <w:b/>
          <w:bCs/>
          <w:sz w:val="32"/>
          <w:szCs w:val="32"/>
        </w:rPr>
      </w:pPr>
      <w:bookmarkStart w:id="133" w:name="_Toc31739"/>
      <w:bookmarkStart w:id="134" w:name="_Toc14255"/>
      <w:r>
        <w:rPr>
          <w:rFonts w:hint="eastAsia" w:ascii="仿宋_GB2312" w:hAnsi="仿宋_GB2312" w:eastAsia="仿宋_GB2312" w:cs="仿宋_GB2312"/>
          <w:b/>
          <w:bCs/>
          <w:sz w:val="32"/>
          <w:szCs w:val="32"/>
        </w:rPr>
        <w:t>2.</w:t>
      </w:r>
      <w:bookmarkEnd w:id="133"/>
      <w:r>
        <w:rPr>
          <w:rFonts w:hint="eastAsia" w:ascii="仿宋_GB2312" w:hAnsi="仿宋_GB2312" w:eastAsia="仿宋_GB2312" w:cs="仿宋_GB2312"/>
          <w:b/>
          <w:bCs/>
          <w:sz w:val="32"/>
          <w:szCs w:val="32"/>
        </w:rPr>
        <w:t>质量指标完成情况</w:t>
      </w:r>
      <w:bookmarkEnd w:id="134"/>
    </w:p>
    <w:p w14:paraId="5F297BD9">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（1）“公用经费享受比例”指标，预期目标值为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r>
        <w:rPr>
          <w:rFonts w:hint="eastAsia" w:ascii="仿宋_GB2312" w:hAnsi="仿宋_GB2312" w:eastAsia="仿宋_GB2312" w:cs="仿宋_GB2312"/>
          <w:sz w:val="32"/>
          <w:szCs w:val="32"/>
          <w:lang w:eastAsia="zh-CN"/>
        </w:rPr>
        <w:t>。</w:t>
      </w:r>
    </w:p>
    <w:p w14:paraId="55812F63">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（2）“教师培训结业率”指标，预期目标值为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14:paraId="5803D6F5">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综上，该项指标满分10分，得分10分。</w:t>
      </w:r>
    </w:p>
    <w:p w14:paraId="265A67B9">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outlineLvl w:val="2"/>
        <w:rPr>
          <w:rFonts w:hint="eastAsia" w:ascii="仿宋_GB2312" w:hAnsi="仿宋_GB2312" w:eastAsia="仿宋_GB2312" w:cs="仿宋_GB2312"/>
          <w:b/>
          <w:bCs/>
          <w:sz w:val="32"/>
          <w:szCs w:val="32"/>
        </w:rPr>
      </w:pPr>
      <w:bookmarkStart w:id="135" w:name="_Toc18307"/>
      <w:bookmarkStart w:id="136" w:name="_Toc28885"/>
      <w:r>
        <w:rPr>
          <w:rFonts w:hint="eastAsia" w:ascii="仿宋_GB2312" w:hAnsi="仿宋_GB2312" w:eastAsia="仿宋_GB2312" w:cs="仿宋_GB2312"/>
          <w:b/>
          <w:bCs/>
          <w:sz w:val="32"/>
          <w:szCs w:val="32"/>
        </w:rPr>
        <w:t>3.</w:t>
      </w:r>
      <w:bookmarkEnd w:id="135"/>
      <w:r>
        <w:rPr>
          <w:rFonts w:hint="eastAsia" w:ascii="仿宋_GB2312" w:hAnsi="仿宋_GB2312" w:eastAsia="仿宋_GB2312" w:cs="仿宋_GB2312"/>
          <w:b/>
          <w:bCs/>
          <w:sz w:val="32"/>
          <w:szCs w:val="32"/>
        </w:rPr>
        <w:t>时效指标完成情况</w:t>
      </w:r>
      <w:bookmarkEnd w:id="136"/>
    </w:p>
    <w:p w14:paraId="7549DB34">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“资金支付及时率”指标，预期目标值为100%，实际完成为100%。实际完成率100%。</w:t>
      </w:r>
    </w:p>
    <w:p w14:paraId="2D6B402B">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14:paraId="06898937">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outlineLvl w:val="2"/>
        <w:rPr>
          <w:rFonts w:hint="eastAsia" w:ascii="仿宋_GB2312" w:hAnsi="仿宋_GB2312" w:eastAsia="仿宋_GB2312" w:cs="仿宋_GB2312"/>
          <w:b/>
          <w:bCs/>
          <w:sz w:val="32"/>
          <w:szCs w:val="32"/>
        </w:rPr>
      </w:pPr>
      <w:bookmarkStart w:id="137" w:name="_Toc32765"/>
      <w:bookmarkStart w:id="138" w:name="_Toc20607"/>
      <w:r>
        <w:rPr>
          <w:rFonts w:hint="eastAsia" w:ascii="仿宋_GB2312" w:hAnsi="仿宋_GB2312" w:eastAsia="仿宋_GB2312" w:cs="仿宋_GB2312"/>
          <w:b/>
          <w:bCs/>
          <w:sz w:val="32"/>
          <w:szCs w:val="32"/>
        </w:rPr>
        <w:t>4.项目</w:t>
      </w:r>
      <w:bookmarkEnd w:id="137"/>
      <w:r>
        <w:rPr>
          <w:rFonts w:hint="eastAsia" w:ascii="仿宋_GB2312" w:hAnsi="仿宋_GB2312" w:eastAsia="仿宋_GB2312" w:cs="仿宋_GB2312"/>
          <w:b/>
          <w:bCs/>
          <w:sz w:val="32"/>
          <w:szCs w:val="32"/>
        </w:rPr>
        <w:t>成本情况</w:t>
      </w:r>
      <w:bookmarkEnd w:id="138"/>
    </w:p>
    <w:p w14:paraId="6561C36B">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经济成本指标完成情况</w:t>
      </w:r>
    </w:p>
    <w:p w14:paraId="7292C1CD">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bookmarkStart w:id="139" w:name="OLE_LINK5"/>
      <w:r>
        <w:rPr>
          <w:rFonts w:hint="eastAsia" w:ascii="仿宋_GB2312" w:hAnsi="仿宋_GB2312" w:eastAsia="仿宋_GB2312" w:cs="仿宋_GB2312"/>
          <w:sz w:val="32"/>
          <w:szCs w:val="32"/>
        </w:rPr>
        <w:t>“水电暖支出”指标，预期目标值为</w:t>
      </w:r>
      <w:r>
        <w:rPr>
          <w:rFonts w:hint="eastAsia"/>
          <w:kern w:val="0"/>
          <w:sz w:val="30"/>
          <w:szCs w:val="30"/>
          <w:lang w:val="en-US" w:eastAsia="zh-CN"/>
        </w:rPr>
        <w:t>≤</w:t>
      </w:r>
      <w:r>
        <w:rPr>
          <w:rFonts w:hint="eastAsia" w:ascii="仿宋_GB2312" w:hAnsi="仿宋_GB2312" w:eastAsia="仿宋_GB2312" w:cs="仿宋_GB2312"/>
          <w:sz w:val="32"/>
          <w:szCs w:val="32"/>
        </w:rPr>
        <w:t>40万元，实际完成40万元。实际完成率100%，无偏差。</w:t>
      </w:r>
    </w:p>
    <w:bookmarkEnd w:id="139"/>
    <w:p w14:paraId="0321BED3">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“物业管理费及其他支出”指标，预期目标值为</w:t>
      </w:r>
      <w:r>
        <w:rPr>
          <w:rFonts w:hint="eastAsia"/>
          <w:kern w:val="0"/>
          <w:sz w:val="30"/>
          <w:szCs w:val="30"/>
          <w:lang w:val="en-US" w:eastAsia="zh-CN"/>
        </w:rPr>
        <w:t>≤</w:t>
      </w:r>
      <w:r>
        <w:rPr>
          <w:rFonts w:hint="eastAsia" w:ascii="仿宋_GB2312" w:hAnsi="仿宋_GB2312" w:eastAsia="仿宋_GB2312" w:cs="仿宋_GB2312"/>
          <w:sz w:val="32"/>
          <w:szCs w:val="32"/>
        </w:rPr>
        <w:t>41.20万元，实际完成41.20万元。实际完成率100%。</w:t>
      </w:r>
    </w:p>
    <w:p w14:paraId="40A2671D">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14:paraId="315AA1CC">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40" w:name="_Toc19424"/>
      <w:r>
        <w:rPr>
          <w:rFonts w:hint="eastAsia" w:ascii="Times New Roman" w:hAnsi="Times New Roman" w:eastAsia="楷体_GB2312" w:cs="Times New Roman"/>
          <w:kern w:val="28"/>
          <w:sz w:val="32"/>
        </w:rPr>
        <w:t>（四）项目效益情况</w:t>
      </w:r>
      <w:bookmarkEnd w:id="140"/>
    </w:p>
    <w:p w14:paraId="7CFDECEB">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包括项目实施效益和满意度两方面的内容，</w:t>
      </w:r>
      <w:r>
        <w:rPr>
          <w:rFonts w:hint="eastAsia" w:ascii="仿宋_GB2312" w:hAnsi="仿宋_GB2312" w:eastAsia="仿宋_GB2312" w:cs="仿宋_GB2312"/>
          <w:sz w:val="32"/>
          <w:szCs w:val="32"/>
          <w:u w:color="000000"/>
          <w:lang w:val="zh-TW" w:eastAsia="zh-TW"/>
        </w:rPr>
        <w:t>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3</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4-4</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3476DD19">
      <w:pPr>
        <w:spacing w:line="560" w:lineRule="exact"/>
        <w:ind w:firstLine="562"/>
        <w:jc w:val="center"/>
        <w:rPr>
          <w:rFonts w:hint="eastAsia"/>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4-4项目效益</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6"/>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14:paraId="048D640C">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F0CC6F2">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w:t>
            </w:r>
          </w:p>
          <w:p w14:paraId="38391AF7">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1CC4289">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13C37">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FD788">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年度指</w:t>
            </w:r>
          </w:p>
          <w:p w14:paraId="2CCC6D2D">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518FC">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标杆</w:t>
            </w:r>
          </w:p>
          <w:p w14:paraId="421C59E2">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100E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全年实</w:t>
            </w:r>
          </w:p>
          <w:p w14:paraId="257B800C">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0AB4">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p w14:paraId="336353AA">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19B32F65">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3F43D82E">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28C942EA">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C18DB8E">
            <w:pPr>
              <w:widowControl/>
              <w:snapToGrid w:val="0"/>
              <w:spacing w:line="240" w:lineRule="auto"/>
              <w:ind w:firstLine="0" w:firstLineChars="0"/>
              <w:jc w:val="center"/>
              <w:rPr>
                <w:rFonts w:hint="eastAsia"/>
                <w:kern w:val="0"/>
                <w:sz w:val="20"/>
                <w:szCs w:val="20"/>
              </w:rPr>
            </w:pPr>
            <w:r>
              <w:rPr>
                <w:rFonts w:hint="eastAsia"/>
                <w:kern w:val="0"/>
                <w:sz w:val="20"/>
                <w:szCs w:val="20"/>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BBA8A">
            <w:pPr>
              <w:widowControl/>
              <w:snapToGrid w:val="0"/>
              <w:spacing w:line="240" w:lineRule="auto"/>
              <w:ind w:firstLine="0" w:firstLineChars="0"/>
              <w:jc w:val="center"/>
              <w:rPr>
                <w:rFonts w:hint="eastAsia"/>
                <w:kern w:val="0"/>
                <w:sz w:val="20"/>
                <w:szCs w:val="20"/>
              </w:rPr>
            </w:pPr>
            <w:r>
              <w:rPr>
                <w:rFonts w:hint="eastAsia"/>
                <w:kern w:val="0"/>
                <w:sz w:val="20"/>
                <w:szCs w:val="20"/>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025D0">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762C4">
            <w:pPr>
              <w:widowControl/>
              <w:snapToGrid w:val="0"/>
              <w:spacing w:line="240" w:lineRule="auto"/>
              <w:ind w:firstLine="0" w:firstLineChars="0"/>
              <w:jc w:val="center"/>
              <w:rPr>
                <w:rFonts w:hint="eastAsia"/>
                <w:kern w:val="0"/>
                <w:sz w:val="20"/>
                <w:szCs w:val="20"/>
              </w:rPr>
            </w:pPr>
            <w:r>
              <w:rPr>
                <w:rFonts w:hint="eastAsia"/>
                <w:kern w:val="0"/>
                <w:sz w:val="20"/>
                <w:szCs w:val="20"/>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500F8">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r>
      <w:tr w14:paraId="6F913565">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A2DEE91">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F25DEFC">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AE826C4">
            <w:pPr>
              <w:widowControl/>
              <w:snapToGrid w:val="0"/>
              <w:spacing w:line="240" w:lineRule="auto"/>
              <w:ind w:firstLine="0" w:firstLineChars="0"/>
              <w:jc w:val="center"/>
              <w:rPr>
                <w:rFonts w:hint="eastAsia"/>
                <w:kern w:val="0"/>
                <w:sz w:val="20"/>
                <w:szCs w:val="20"/>
              </w:rPr>
            </w:pPr>
            <w:r>
              <w:rPr>
                <w:rFonts w:hint="eastAsia"/>
                <w:kern w:val="0"/>
                <w:sz w:val="20"/>
                <w:szCs w:val="20"/>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3F00B">
            <w:pPr>
              <w:widowControl/>
              <w:snapToGrid w:val="0"/>
              <w:spacing w:line="240" w:lineRule="auto"/>
              <w:ind w:firstLine="0" w:firstLineChars="0"/>
              <w:jc w:val="center"/>
              <w:rPr>
                <w:rFonts w:hint="eastAsia"/>
                <w:kern w:val="0"/>
                <w:sz w:val="20"/>
                <w:szCs w:val="20"/>
              </w:rPr>
            </w:pPr>
            <w:r>
              <w:rPr>
                <w:rFonts w:hint="eastAsia"/>
                <w:kern w:val="0"/>
                <w:sz w:val="20"/>
                <w:szCs w:val="20"/>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C8A60">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53714">
            <w:pPr>
              <w:widowControl/>
              <w:snapToGrid w:val="0"/>
              <w:spacing w:line="240" w:lineRule="auto"/>
              <w:ind w:firstLine="0" w:firstLineChars="0"/>
              <w:jc w:val="center"/>
              <w:rPr>
                <w:rFonts w:hint="eastAsia"/>
                <w:kern w:val="0"/>
                <w:sz w:val="20"/>
                <w:szCs w:val="20"/>
              </w:rPr>
            </w:pPr>
            <w:r>
              <w:rPr>
                <w:rFonts w:hint="eastAsia"/>
                <w:kern w:val="0"/>
                <w:sz w:val="20"/>
                <w:szCs w:val="20"/>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EC890">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r>
      <w:tr w14:paraId="27325B8A">
        <w:tblPrEx>
          <w:tblCellMar>
            <w:top w:w="0" w:type="dxa"/>
            <w:left w:w="0" w:type="dxa"/>
            <w:bottom w:w="0" w:type="dxa"/>
            <w:right w:w="0" w:type="dxa"/>
          </w:tblCellMar>
        </w:tblPrEx>
        <w:trPr>
          <w:trHeight w:val="436" w:hRule="atLeast"/>
          <w:jc w:val="center"/>
        </w:trPr>
        <w:tc>
          <w:tcPr>
            <w:tcW w:w="685" w:type="dxa"/>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0BA51EA">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76E538F9">
            <w:pPr>
              <w:widowControl/>
              <w:snapToGrid w:val="0"/>
              <w:spacing w:line="240" w:lineRule="auto"/>
              <w:ind w:firstLine="0" w:firstLineChars="0"/>
              <w:jc w:val="center"/>
              <w:rPr>
                <w:rFonts w:hint="eastAsia"/>
                <w:kern w:val="0"/>
                <w:sz w:val="20"/>
                <w:szCs w:val="20"/>
              </w:rPr>
            </w:pPr>
            <w:r>
              <w:rPr>
                <w:rFonts w:hint="eastAsia"/>
                <w:kern w:val="0"/>
                <w:sz w:val="20"/>
                <w:szCs w:val="20"/>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2C7A6C9">
            <w:pPr>
              <w:widowControl/>
              <w:snapToGrid w:val="0"/>
              <w:spacing w:line="240" w:lineRule="auto"/>
              <w:ind w:firstLine="0" w:firstLineChars="0"/>
              <w:jc w:val="center"/>
              <w:rPr>
                <w:rFonts w:hint="eastAsia"/>
                <w:kern w:val="0"/>
                <w:sz w:val="20"/>
                <w:szCs w:val="20"/>
              </w:rPr>
            </w:pPr>
            <w:r>
              <w:rPr>
                <w:rFonts w:hint="eastAsia"/>
                <w:kern w:val="0"/>
                <w:sz w:val="20"/>
                <w:szCs w:val="20"/>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65073">
            <w:pPr>
              <w:widowControl/>
              <w:snapToGrid w:val="0"/>
              <w:spacing w:line="240" w:lineRule="auto"/>
              <w:ind w:firstLine="0" w:firstLineChars="0"/>
              <w:jc w:val="center"/>
              <w:rPr>
                <w:rFonts w:hint="eastAsia"/>
                <w:kern w:val="0"/>
                <w:sz w:val="20"/>
                <w:szCs w:val="20"/>
              </w:rPr>
            </w:pPr>
            <w:r>
              <w:rPr>
                <w:rFonts w:hint="eastAsia"/>
                <w:kern w:val="0"/>
                <w:sz w:val="20"/>
                <w:szCs w:val="20"/>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9270B">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B8D9C">
            <w:pPr>
              <w:widowControl/>
              <w:snapToGrid w:val="0"/>
              <w:spacing w:line="240" w:lineRule="auto"/>
              <w:ind w:firstLine="0" w:firstLineChars="0"/>
              <w:jc w:val="center"/>
              <w:rPr>
                <w:rFonts w:hint="eastAsia"/>
                <w:kern w:val="0"/>
                <w:sz w:val="20"/>
                <w:szCs w:val="20"/>
              </w:rPr>
            </w:pPr>
            <w:r>
              <w:rPr>
                <w:rFonts w:hint="eastAsia"/>
                <w:kern w:val="0"/>
                <w:sz w:val="20"/>
                <w:szCs w:val="20"/>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497DA">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r>
      <w:tr w14:paraId="3CABCAF3">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92B3">
            <w:pPr>
              <w:widowControl/>
              <w:snapToGrid w:val="0"/>
              <w:spacing w:line="240" w:lineRule="auto"/>
              <w:ind w:firstLine="0" w:firstLineChars="0"/>
              <w:jc w:val="center"/>
              <w:rPr>
                <w:rFonts w:hint="eastAsia"/>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EC780">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8579C">
            <w:pPr>
              <w:widowControl/>
              <w:snapToGrid w:val="0"/>
              <w:spacing w:line="240" w:lineRule="auto"/>
              <w:ind w:firstLine="0" w:firstLineChars="0"/>
              <w:jc w:val="center"/>
              <w:rPr>
                <w:rFonts w:hint="eastAsia"/>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5DAE8">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r>
    </w:tbl>
    <w:p w14:paraId="2595AFDC">
      <w:pPr>
        <w:pageBreakBefore w:val="0"/>
        <w:kinsoku/>
        <w:wordWrap/>
        <w:overflowPunct/>
        <w:topLinePunct w:val="0"/>
        <w:autoSpaceDE/>
        <w:autoSpaceDN/>
        <w:bidi w:val="0"/>
        <w:adjustRightInd/>
        <w:snapToGrid/>
        <w:spacing w:after="0" w:line="560" w:lineRule="exact"/>
        <w:ind w:firstLine="643"/>
        <w:textAlignment w:val="auto"/>
        <w:outlineLvl w:val="2"/>
        <w:rPr>
          <w:rFonts w:hint="eastAsia" w:ascii="仿宋_GB2312" w:hAnsi="仿宋_GB2312" w:eastAsia="仿宋_GB2312" w:cs="仿宋_GB2312"/>
          <w:b/>
          <w:bCs/>
          <w:sz w:val="32"/>
          <w:szCs w:val="32"/>
        </w:rPr>
      </w:pPr>
      <w:bookmarkStart w:id="141" w:name="_Toc5170"/>
      <w:bookmarkStart w:id="142" w:name="_Toc8010"/>
      <w:r>
        <w:rPr>
          <w:rFonts w:hint="eastAsia" w:ascii="仿宋_GB2312" w:hAnsi="仿宋_GB2312" w:eastAsia="仿宋_GB2312" w:cs="仿宋_GB2312"/>
          <w:b/>
          <w:bCs/>
          <w:sz w:val="32"/>
          <w:szCs w:val="32"/>
        </w:rPr>
        <w:t>1.</w:t>
      </w:r>
      <w:bookmarkEnd w:id="141"/>
      <w:bookmarkEnd w:id="142"/>
      <w:bookmarkStart w:id="143" w:name="_Toc27006"/>
      <w:bookmarkStart w:id="144" w:name="_Toc29606"/>
      <w:r>
        <w:rPr>
          <w:rFonts w:hint="eastAsia" w:ascii="仿宋_GB2312" w:hAnsi="仿宋_GB2312" w:eastAsia="仿宋_GB2312" w:cs="仿宋_GB2312"/>
          <w:b/>
          <w:bCs/>
          <w:sz w:val="32"/>
          <w:szCs w:val="32"/>
        </w:rPr>
        <w:t>社会效益指标</w:t>
      </w:r>
      <w:bookmarkEnd w:id="143"/>
      <w:r>
        <w:rPr>
          <w:rFonts w:hint="eastAsia" w:ascii="仿宋_GB2312" w:hAnsi="仿宋_GB2312" w:eastAsia="仿宋_GB2312" w:cs="仿宋_GB2312"/>
          <w:b/>
          <w:bCs/>
          <w:sz w:val="32"/>
          <w:szCs w:val="32"/>
        </w:rPr>
        <w:t>完成情况</w:t>
      </w:r>
      <w:bookmarkEnd w:id="144"/>
    </w:p>
    <w:p w14:paraId="7A884DC1">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（1）“学校正常运转率”指标，预期目标值为=100%，，实际完成为100%。</w:t>
      </w:r>
    </w:p>
    <w:p w14:paraId="5A1BE637">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通过项目的实施，学校正常运转率得到了提高。</w:t>
      </w:r>
    </w:p>
    <w:p w14:paraId="7B5BA49E">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（2）“改善教学环境，提供良好的学生成长条件”指标，预期目标值为改善，实际完成为达到预期目标。</w:t>
      </w:r>
    </w:p>
    <w:p w14:paraId="05C73D09">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通过项目的实施，改善了教学环境，提供良好的学生成长条件。</w:t>
      </w:r>
    </w:p>
    <w:p w14:paraId="477D2AA8">
      <w:pPr>
        <w:pageBreakBefore w:val="0"/>
        <w:kinsoku/>
        <w:wordWrap/>
        <w:overflowPunct/>
        <w:topLinePunct w:val="0"/>
        <w:autoSpaceDE/>
        <w:autoSpaceDN/>
        <w:bidi w:val="0"/>
        <w:adjustRightInd/>
        <w:snapToGrid/>
        <w:spacing w:after="0" w:line="56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综上，该项指标满分12分，得分12分。</w:t>
      </w:r>
    </w:p>
    <w:p w14:paraId="27DA4533">
      <w:pPr>
        <w:pStyle w:val="14"/>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45" w:name="_Toc23313"/>
      <w:r>
        <w:rPr>
          <w:rFonts w:hint="eastAsia" w:ascii="Times New Roman" w:hAnsi="Times New Roman" w:eastAsia="楷体_GB2312" w:cs="Times New Roman"/>
          <w:kern w:val="28"/>
          <w:sz w:val="32"/>
        </w:rPr>
        <w:t>（五）满意度指标完成情况分析</w:t>
      </w:r>
      <w:bookmarkEnd w:id="145"/>
    </w:p>
    <w:p w14:paraId="7B9D8B04">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“师生满意度”指标，预期目标值为≥90%，实际完成为90%。</w:t>
      </w:r>
    </w:p>
    <w:p w14:paraId="65EB2252">
      <w:pPr>
        <w:pageBreakBefore w:val="0"/>
        <w:kinsoku/>
        <w:wordWrap/>
        <w:overflowPunct/>
        <w:topLinePunct w:val="0"/>
        <w:autoSpaceDE/>
        <w:autoSpaceDN/>
        <w:bidi w:val="0"/>
        <w:adjustRightInd/>
        <w:snapToGrid/>
        <w:spacing w:after="0" w:line="560" w:lineRule="exact"/>
        <w:ind w:firstLine="643"/>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综上，该项指标满分8分，得分8分。</w:t>
      </w:r>
    </w:p>
    <w:p w14:paraId="08908606">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bookmarkStart w:id="146" w:name="_Toc6622"/>
      <w:r>
        <w:rPr>
          <w:rFonts w:hint="eastAsia" w:ascii="黑体" w:hAnsi="黑体" w:cs="黑体"/>
          <w:color w:val="000000" w:themeColor="text1"/>
          <w14:textFill>
            <w14:solidFill>
              <w14:schemeClr w14:val="tx1"/>
            </w14:solidFill>
          </w14:textFill>
        </w:rPr>
        <w:t>五、主要经验及做法、存在的问题及原因分析</w:t>
      </w:r>
      <w:bookmarkEnd w:id="146"/>
    </w:p>
    <w:p w14:paraId="2B724CAD">
      <w:pPr>
        <w:pStyle w:val="14"/>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47" w:name="_Toc15449"/>
      <w:bookmarkStart w:id="148" w:name="_Toc1921"/>
      <w:bookmarkStart w:id="149" w:name="_Toc28290"/>
      <w:r>
        <w:rPr>
          <w:rFonts w:hint="eastAsia" w:ascii="Times New Roman" w:hAnsi="Times New Roman" w:eastAsia="楷体_GB2312" w:cs="Times New Roman"/>
          <w:kern w:val="28"/>
          <w:sz w:val="32"/>
        </w:rPr>
        <w:t>（一）主要经验及做法</w:t>
      </w:r>
      <w:bookmarkEnd w:id="147"/>
    </w:p>
    <w:p w14:paraId="5AF46109">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昌州财教【2023】90号（保民生）提前下达2024年城乡义务教育补助经费（中央直达资金）公用经费</w:t>
      </w:r>
      <w:r>
        <w:rPr>
          <w:rFonts w:hint="eastAsia" w:ascii="仿宋_GB2312" w:hAnsi="仿宋_GB2312" w:eastAsia="仿宋_GB2312" w:cs="仿宋_GB2312"/>
          <w:sz w:val="32"/>
          <w:szCs w:val="32"/>
        </w:rPr>
        <w:t>2024年预算数为81.20万元，截至2024年12月31日共支出81.20万元，预算执行率为100%。</w:t>
      </w:r>
    </w:p>
    <w:p w14:paraId="6C3B8E74">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阜康市第三中学建立健全了预算管理规章制度，各部门严格按照预算编制的原则和要求做好当年预算编制工作，在预算绩效管理工作中，做到合理安排各项资金，重点保障基本支出，按轻重缓急顺序原则，优先安排了阜康市第三中学事业发展中关系民生与稳定的项目，切实优化资源配置，提高了资金使用的效率和效果。</w:t>
      </w:r>
    </w:p>
    <w:bookmarkEnd w:id="148"/>
    <w:bookmarkEnd w:id="149"/>
    <w:p w14:paraId="43D4DF78">
      <w:pPr>
        <w:pStyle w:val="14"/>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50" w:name="_Toc29168"/>
      <w:r>
        <w:rPr>
          <w:rFonts w:hint="eastAsia" w:ascii="Times New Roman" w:hAnsi="Times New Roman" w:eastAsia="楷体_GB2312" w:cs="Times New Roman"/>
          <w:kern w:val="28"/>
          <w:sz w:val="32"/>
        </w:rPr>
        <w:t>（二）存在的问题及原因分析</w:t>
      </w:r>
      <w:bookmarkEnd w:id="150"/>
    </w:p>
    <w:p w14:paraId="588DC4A7">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bookmarkStart w:id="151" w:name="_Toc3333"/>
      <w:r>
        <w:rPr>
          <w:rFonts w:hint="eastAsia" w:ascii="仿宋_GB2312" w:hAnsi="仿宋_GB2312" w:eastAsia="仿宋_GB2312" w:cs="仿宋_GB2312"/>
          <w:sz w:val="32"/>
          <w:szCs w:val="32"/>
        </w:rPr>
        <w:t>1.在项目实施期间部分业务人员未能全面深入认识理解项目管理工作的意义。项目管理经验不足，项目管理工作有待进一步落实。</w:t>
      </w:r>
    </w:p>
    <w:p w14:paraId="51BE0E23">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2.因年初预算数据不够清晰明确到明细科目，使得整个年度财务核算及审核流程不准确清晰。</w:t>
      </w:r>
    </w:p>
    <w:p w14:paraId="03313BE5">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六、有关建议</w:t>
      </w:r>
      <w:bookmarkEnd w:id="151"/>
    </w:p>
    <w:p w14:paraId="12D3783E">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bookmarkStart w:id="152" w:name="_Toc20454"/>
      <w:bookmarkStart w:id="153" w:name="_Toc3948"/>
      <w:bookmarkStart w:id="154" w:name="_Toc14256"/>
      <w:r>
        <w:rPr>
          <w:rFonts w:hint="eastAsia" w:ascii="仿宋_GB2312" w:hAnsi="仿宋_GB2312" w:eastAsia="仿宋_GB2312" w:cs="仿宋_GB2312"/>
          <w:sz w:val="32"/>
          <w:szCs w:val="32"/>
        </w:rPr>
        <w:t>（一）加强项目管理，健全单位项目管理制度体系。 加大项目管理人员的业务培训，确保项目能够顺利实施。</w:t>
      </w:r>
    </w:p>
    <w:p w14:paraId="55B890E8">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（二）加强财务人员业务培训，在年初预算时及时与各科室联系，将年初预算数据填写清晰，确保财务支付审核程序顺利进行。</w:t>
      </w:r>
    </w:p>
    <w:bookmarkEnd w:id="152"/>
    <w:bookmarkEnd w:id="153"/>
    <w:p w14:paraId="249BEF79">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七、其他需要说明的问题</w:t>
      </w:r>
      <w:bookmarkEnd w:id="154"/>
    </w:p>
    <w:p w14:paraId="0D3EAA9C">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无其他需要说明的问题。</w:t>
      </w:r>
    </w:p>
    <w:p w14:paraId="3823D83F">
      <w:pPr>
        <w:pageBreakBefore w:val="0"/>
        <w:kinsoku/>
        <w:wordWrap/>
        <w:overflowPunct/>
        <w:topLinePunct w:val="0"/>
        <w:autoSpaceDE/>
        <w:autoSpaceDN/>
        <w:bidi w:val="0"/>
        <w:adjustRightInd/>
        <w:snapToGrid/>
        <w:spacing w:after="0" w:line="560" w:lineRule="exact"/>
        <w:ind w:firstLine="560"/>
        <w:textAlignment w:val="auto"/>
        <w:rPr>
          <w:rFonts w:hint="eastAsia"/>
          <w:color w:val="000000" w:themeColor="text1"/>
          <w14:textFill>
            <w14:solidFill>
              <w14:schemeClr w14:val="tx1"/>
            </w14:solidFill>
          </w14:textFill>
        </w:rPr>
        <w:sectPr>
          <w:footerReference r:id="rId5" w:type="default"/>
          <w:pgSz w:w="11906" w:h="16838"/>
          <w:pgMar w:top="1440" w:right="1800" w:bottom="1440" w:left="1800" w:header="737" w:footer="851" w:gutter="0"/>
          <w:cols w:space="720" w:num="1"/>
          <w:docGrid w:type="lines" w:linePitch="408" w:charSpace="0"/>
        </w:sectPr>
      </w:pPr>
    </w:p>
    <w:p w14:paraId="522BBDDB">
      <w:pPr>
        <w:ind w:firstLine="562"/>
        <w:jc w:val="left"/>
        <w:rPr>
          <w:rFonts w:hint="eastAsia"/>
          <w:b/>
          <w:bCs/>
          <w:color w:val="000000" w:themeColor="text1"/>
          <w14:textFill>
            <w14:solidFill>
              <w14:schemeClr w14:val="tx1"/>
            </w14:solidFill>
          </w14:textFill>
        </w:rPr>
      </w:pPr>
      <w:bookmarkStart w:id="155" w:name="_Toc28971"/>
      <w:bookmarkStart w:id="156" w:name="_Toc11349"/>
      <w:r>
        <w:rPr>
          <w:rFonts w:hint="eastAsia"/>
          <w:b/>
          <w:bCs/>
          <w:color w:val="000000" w:themeColor="text1"/>
          <w14:textFill>
            <w14:solidFill>
              <w14:schemeClr w14:val="tx1"/>
            </w14:solidFill>
          </w14:textFill>
        </w:rPr>
        <w:t>附件一、项目支出绩效自评表</w:t>
      </w:r>
      <w:bookmarkEnd w:id="155"/>
      <w:bookmarkEnd w:id="156"/>
      <w:bookmarkStart w:id="157" w:name="_Toc15067"/>
      <w:bookmarkStart w:id="158" w:name="_Toc1122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298"/>
        <w:gridCol w:w="1217"/>
        <w:gridCol w:w="1053"/>
        <w:gridCol w:w="1217"/>
        <w:gridCol w:w="890"/>
        <w:gridCol w:w="890"/>
        <w:gridCol w:w="890"/>
        <w:gridCol w:w="890"/>
        <w:gridCol w:w="1135"/>
      </w:tblGrid>
      <w:tr w14:paraId="5F327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1" w:hRule="atLeast"/>
        </w:trPr>
        <w:tc>
          <w:tcPr>
            <w:tcW w:w="5000" w:type="pct"/>
            <w:gridSpan w:val="14"/>
            <w:tcBorders>
              <w:top w:val="nil"/>
              <w:left w:val="nil"/>
              <w:bottom w:val="nil"/>
              <w:right w:val="nil"/>
            </w:tcBorders>
            <w:shd w:val="clear" w:color="auto" w:fill="auto"/>
            <w:vAlign w:val="center"/>
          </w:tcPr>
          <w:p w14:paraId="52252C9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2F24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5000" w:type="pct"/>
            <w:gridSpan w:val="14"/>
            <w:tcBorders>
              <w:top w:val="nil"/>
              <w:left w:val="nil"/>
              <w:bottom w:val="single" w:color="auto" w:sz="4" w:space="0"/>
              <w:right w:val="nil"/>
            </w:tcBorders>
            <w:shd w:val="clear" w:color="auto" w:fill="auto"/>
            <w:vAlign w:val="center"/>
          </w:tcPr>
          <w:p w14:paraId="2FF211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B024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DE6C9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A04E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昌州财教【2023】90号（保民生）提前下达2024年城乡义务教育补助经费（中央直达资金）公用经费</w:t>
            </w:r>
          </w:p>
        </w:tc>
      </w:tr>
      <w:tr w14:paraId="6E38C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2BF6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2C2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06D8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EC7F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阜康市第三中学</w:t>
            </w:r>
          </w:p>
        </w:tc>
      </w:tr>
      <w:tr w14:paraId="3DA78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E35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836AD">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7E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E2C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029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E64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CEB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767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276E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16C6D">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D61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3B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56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36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E587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81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34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DBA9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3BC24">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DFD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30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9E0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F59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B5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63F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9F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FA4B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AD94B">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0FA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E1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C5CB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4EEB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B2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7B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A9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A7E1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A74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AC9D9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52D7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DBDB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72CE4">
            <w:pPr>
              <w:jc w:val="center"/>
              <w:rPr>
                <w:rFonts w:hint="eastAsia" w:ascii="宋体" w:hAnsi="宋体" w:eastAsia="宋体" w:cs="宋体"/>
                <w:b/>
                <w:bCs/>
                <w:i w:val="0"/>
                <w:iCs w:val="0"/>
                <w:color w:val="000000"/>
                <w:sz w:val="18"/>
                <w:szCs w:val="18"/>
                <w:u w:val="none"/>
              </w:rPr>
            </w:pPr>
          </w:p>
        </w:tc>
        <w:tc>
          <w:tcPr>
            <w:tcW w:w="195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186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2024年学校在校学生人数890人，计划完成每学年以940元/生/学年的标准使用公用经费，公用经费、教师培训结业率达到100%。通过项目实施，将有效改善教学环境，提供良好的学生成长条件，保障学校正常运转,师生满意度预计将达到90%以上。</w:t>
            </w:r>
          </w:p>
        </w:tc>
        <w:tc>
          <w:tcPr>
            <w:tcW w:w="28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AD65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每学年以940元/生/学年的标准使用公用经费，公用经费、教师培训结业率达到100%,通过项目的实施，能够有效改善教学环境，提供良好的学生成长条件，保障学校正常运转效益，师生满意度达90%。</w:t>
            </w:r>
          </w:p>
        </w:tc>
      </w:tr>
      <w:tr w14:paraId="388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F46E1">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E5C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76F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661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576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1C0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CFF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BE4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7267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77A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7951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393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581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843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18B7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EA2D9">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2A01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DB368">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2A14B">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70C6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46EFA">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6DD30">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7D815">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93B5B">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B24A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F09FA">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73962">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A0FD1">
            <w:pPr>
              <w:jc w:val="center"/>
              <w:rPr>
                <w:rFonts w:hint="eastAsia" w:ascii="宋体" w:hAnsi="宋体" w:eastAsia="宋体" w:cs="宋体"/>
                <w:b/>
                <w:bCs/>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E9657">
            <w:pPr>
              <w:jc w:val="center"/>
              <w:rPr>
                <w:rFonts w:hint="eastAsia" w:ascii="宋体" w:hAnsi="宋体" w:eastAsia="宋体" w:cs="宋体"/>
                <w:b/>
                <w:bCs/>
                <w:i w:val="0"/>
                <w:iCs w:val="0"/>
                <w:color w:val="000000"/>
                <w:sz w:val="18"/>
                <w:szCs w:val="18"/>
                <w:u w:val="none"/>
              </w:rPr>
            </w:pPr>
          </w:p>
        </w:tc>
      </w:tr>
      <w:tr w14:paraId="7A153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4F45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9"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97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BA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57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0E6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C0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=890人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7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=890人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8F22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57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02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416D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A1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F0D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25AB7">
            <w:pPr>
              <w:jc w:val="center"/>
              <w:rPr>
                <w:rFonts w:hint="eastAsia" w:ascii="宋体" w:hAnsi="宋体" w:eastAsia="宋体" w:cs="宋体"/>
                <w:i w:val="0"/>
                <w:iCs w:val="0"/>
                <w:color w:val="000000"/>
                <w:sz w:val="18"/>
                <w:szCs w:val="18"/>
                <w:u w:val="none"/>
              </w:rPr>
            </w:pPr>
          </w:p>
        </w:tc>
      </w:tr>
      <w:tr w14:paraId="63EC4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3DEB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7D5B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40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4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6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9B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B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B0A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07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ED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AAEE2">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40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35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C0893">
            <w:pPr>
              <w:jc w:val="center"/>
              <w:rPr>
                <w:rFonts w:hint="eastAsia" w:ascii="宋体" w:hAnsi="宋体" w:eastAsia="宋体" w:cs="宋体"/>
                <w:i w:val="0"/>
                <w:iCs w:val="0"/>
                <w:color w:val="000000"/>
                <w:sz w:val="18"/>
                <w:szCs w:val="18"/>
                <w:u w:val="none"/>
              </w:rPr>
            </w:pPr>
          </w:p>
        </w:tc>
      </w:tr>
      <w:tr w14:paraId="74F65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6625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2D4E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A7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CD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A5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52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AB4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4FC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F9D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95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9FCC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CC4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737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C6961">
            <w:pPr>
              <w:jc w:val="center"/>
              <w:rPr>
                <w:rFonts w:hint="eastAsia" w:ascii="宋体" w:hAnsi="宋体" w:eastAsia="宋体" w:cs="宋体"/>
                <w:i w:val="0"/>
                <w:iCs w:val="0"/>
                <w:color w:val="000000"/>
                <w:sz w:val="18"/>
                <w:szCs w:val="18"/>
                <w:u w:val="none"/>
              </w:rPr>
            </w:pPr>
          </w:p>
        </w:tc>
      </w:tr>
      <w:tr w14:paraId="3C6A0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4DDB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5C47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9D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49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A1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57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FF4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9883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12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D65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C2E00">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7B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3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329C1">
            <w:pPr>
              <w:jc w:val="center"/>
              <w:rPr>
                <w:rFonts w:hint="eastAsia" w:ascii="宋体" w:hAnsi="宋体" w:eastAsia="宋体" w:cs="宋体"/>
                <w:i w:val="0"/>
                <w:iCs w:val="0"/>
                <w:color w:val="000000"/>
                <w:sz w:val="18"/>
                <w:szCs w:val="18"/>
                <w:u w:val="none"/>
              </w:rPr>
            </w:pPr>
          </w:p>
        </w:tc>
      </w:tr>
      <w:tr w14:paraId="3E31D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48025">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854F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49A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A9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水电暖支出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AD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37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&lt;=40万元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3C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&lt;=40万元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DCA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06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A03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E2D36">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4A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77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3D91E">
            <w:pPr>
              <w:jc w:val="center"/>
              <w:rPr>
                <w:rFonts w:hint="eastAsia" w:ascii="宋体" w:hAnsi="宋体" w:eastAsia="宋体" w:cs="宋体"/>
                <w:i w:val="0"/>
                <w:iCs w:val="0"/>
                <w:color w:val="000000"/>
                <w:sz w:val="18"/>
                <w:szCs w:val="18"/>
                <w:u w:val="none"/>
              </w:rPr>
            </w:pPr>
          </w:p>
        </w:tc>
      </w:tr>
      <w:tr w14:paraId="5D92D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E907F">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F9AD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48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A8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物业管理费及其他支出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4D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4E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&lt;=41.20万元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EB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&lt;=41.2万元</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3ED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45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A0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CDAB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0D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CA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9962">
            <w:pPr>
              <w:jc w:val="center"/>
              <w:rPr>
                <w:rFonts w:hint="eastAsia" w:ascii="宋体" w:hAnsi="宋体" w:eastAsia="宋体" w:cs="宋体"/>
                <w:i w:val="0"/>
                <w:iCs w:val="0"/>
                <w:color w:val="000000"/>
                <w:sz w:val="18"/>
                <w:szCs w:val="18"/>
                <w:u w:val="none"/>
              </w:rPr>
            </w:pPr>
          </w:p>
        </w:tc>
      </w:tr>
      <w:tr w14:paraId="29ECF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3C0C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2483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1C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8933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CB7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AABC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6FE3">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C4A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0D2F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60E9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9994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7D78C">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C0E9A">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C76F9">
            <w:pPr>
              <w:jc w:val="center"/>
              <w:rPr>
                <w:rFonts w:hint="eastAsia" w:ascii="宋体" w:hAnsi="宋体" w:eastAsia="宋体" w:cs="宋体"/>
                <w:i w:val="0"/>
                <w:iCs w:val="0"/>
                <w:color w:val="000000"/>
                <w:sz w:val="18"/>
                <w:szCs w:val="18"/>
                <w:u w:val="none"/>
              </w:rPr>
            </w:pPr>
          </w:p>
        </w:tc>
      </w:tr>
      <w:tr w14:paraId="7031E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94C4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AA02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4E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D703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E4BE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F94F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55B7">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AB17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1108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59EA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A613D">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298AA">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D41D1">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AE74F">
            <w:pPr>
              <w:jc w:val="center"/>
              <w:rPr>
                <w:rFonts w:hint="eastAsia" w:ascii="宋体" w:hAnsi="宋体" w:eastAsia="宋体" w:cs="宋体"/>
                <w:i w:val="0"/>
                <w:iCs w:val="0"/>
                <w:color w:val="000000"/>
                <w:sz w:val="18"/>
                <w:szCs w:val="18"/>
                <w:u w:val="none"/>
              </w:rPr>
            </w:pPr>
          </w:p>
        </w:tc>
      </w:tr>
      <w:tr w14:paraId="22E31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E3B20">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50D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6A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1F94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272C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B25F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71DF">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B1E5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0901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9BA0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BAF4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83F5F">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C0A87">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5AFFE">
            <w:pPr>
              <w:jc w:val="center"/>
              <w:rPr>
                <w:rFonts w:hint="eastAsia" w:ascii="宋体" w:hAnsi="宋体" w:eastAsia="宋体" w:cs="宋体"/>
                <w:i w:val="0"/>
                <w:iCs w:val="0"/>
                <w:color w:val="000000"/>
                <w:sz w:val="18"/>
                <w:szCs w:val="18"/>
                <w:u w:val="none"/>
              </w:rPr>
            </w:pPr>
          </w:p>
        </w:tc>
      </w:tr>
      <w:tr w14:paraId="5B556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FD9B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C1EE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9A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09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F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F7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9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51B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B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EA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C165A">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2A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87A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5890">
            <w:pPr>
              <w:jc w:val="center"/>
              <w:rPr>
                <w:rFonts w:hint="eastAsia" w:ascii="宋体" w:hAnsi="宋体" w:eastAsia="宋体" w:cs="宋体"/>
                <w:i w:val="0"/>
                <w:iCs w:val="0"/>
                <w:color w:val="000000"/>
                <w:sz w:val="18"/>
                <w:szCs w:val="18"/>
                <w:u w:val="none"/>
              </w:rPr>
            </w:pPr>
          </w:p>
        </w:tc>
      </w:tr>
      <w:tr w14:paraId="07F9D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3714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55F3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D3E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1D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43B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0C9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693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4376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280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6C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0E83A">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C4C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51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051E">
            <w:pPr>
              <w:jc w:val="center"/>
              <w:rPr>
                <w:rFonts w:hint="eastAsia" w:ascii="宋体" w:hAnsi="宋体" w:eastAsia="宋体" w:cs="宋体"/>
                <w:i w:val="0"/>
                <w:iCs w:val="0"/>
                <w:color w:val="000000"/>
                <w:sz w:val="18"/>
                <w:szCs w:val="18"/>
                <w:u w:val="none"/>
              </w:rPr>
            </w:pPr>
          </w:p>
        </w:tc>
      </w:tr>
      <w:tr w14:paraId="547B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79BD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964A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83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4E73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B36E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88A8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913C0">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FFA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E20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B0E7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C054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25548">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B5073">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732C">
            <w:pPr>
              <w:jc w:val="center"/>
              <w:rPr>
                <w:rFonts w:hint="eastAsia" w:ascii="宋体" w:hAnsi="宋体" w:eastAsia="宋体" w:cs="宋体"/>
                <w:i w:val="0"/>
                <w:iCs w:val="0"/>
                <w:color w:val="000000"/>
                <w:sz w:val="18"/>
                <w:szCs w:val="18"/>
                <w:u w:val="none"/>
              </w:rPr>
            </w:pPr>
          </w:p>
        </w:tc>
      </w:tr>
      <w:tr w14:paraId="71686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6B351">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C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10A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E65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D0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9E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5E0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A57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89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D6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D577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54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0B2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49E9">
            <w:pPr>
              <w:jc w:val="center"/>
              <w:rPr>
                <w:rFonts w:hint="eastAsia" w:ascii="宋体" w:hAnsi="宋体" w:eastAsia="宋体" w:cs="宋体"/>
                <w:i w:val="0"/>
                <w:iCs w:val="0"/>
                <w:color w:val="000000"/>
                <w:sz w:val="18"/>
                <w:szCs w:val="18"/>
                <w:u w:val="none"/>
              </w:rPr>
            </w:pPr>
          </w:p>
        </w:tc>
      </w:tr>
      <w:bookmarkEnd w:id="159"/>
      <w:tr w14:paraId="1FC01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89" w:type="pct"/>
            <w:gridSpan w:val="4"/>
            <w:tcBorders>
              <w:top w:val="single" w:color="000000" w:sz="4" w:space="0"/>
              <w:left w:val="single" w:color="000000" w:sz="4" w:space="0"/>
              <w:bottom w:val="single" w:color="000000" w:sz="4" w:space="0"/>
              <w:right w:val="nil"/>
            </w:tcBorders>
            <w:shd w:val="clear" w:color="auto" w:fill="auto"/>
            <w:vAlign w:val="center"/>
          </w:tcPr>
          <w:p w14:paraId="65C017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8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51FAF2E7">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762F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B196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51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C85DF">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3BFB5">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FBEC2">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1A062">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6F93F">
            <w:pPr>
              <w:rPr>
                <w:rFonts w:hint="eastAsia" w:ascii="宋体" w:hAnsi="宋体" w:eastAsia="宋体" w:cs="宋体"/>
                <w:i w:val="0"/>
                <w:iCs w:val="0"/>
                <w:color w:val="000000"/>
                <w:sz w:val="18"/>
                <w:szCs w:val="18"/>
                <w:u w:val="none"/>
              </w:rPr>
            </w:pPr>
          </w:p>
        </w:tc>
      </w:tr>
    </w:tbl>
    <w:p w14:paraId="42E1F0A7">
      <w:pPr>
        <w:pStyle w:val="6"/>
        <w:ind w:firstLine="883"/>
        <w:rPr>
          <w:rFonts w:hint="eastAsia"/>
        </w:rPr>
      </w:pPr>
    </w:p>
    <w:p w14:paraId="70DA11B4">
      <w:pPr>
        <w:pStyle w:val="6"/>
        <w:ind w:firstLine="883"/>
        <w:rPr>
          <w:rFonts w:hint="eastAsia"/>
        </w:rPr>
        <w:sectPr>
          <w:pgSz w:w="16838" w:h="11906" w:orient="landscape"/>
          <w:pgMar w:top="1800" w:right="1440" w:bottom="1800" w:left="1440" w:header="737" w:footer="851" w:gutter="0"/>
          <w:cols w:space="720" w:num="1"/>
          <w:docGrid w:type="lines" w:linePitch="408" w:charSpace="0"/>
        </w:sectPr>
      </w:pPr>
    </w:p>
    <w:p w14:paraId="78E61AD3">
      <w:pPr>
        <w:pStyle w:val="2"/>
        <w:ind w:firstLine="0" w:firstLineChars="0"/>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附件二、项目支出绩效评价指标体系打分表</w:t>
      </w:r>
      <w:bookmarkEnd w:id="157"/>
      <w:bookmarkEnd w:id="158"/>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1A6C7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14:paraId="2EA01B5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一级指标</w:t>
            </w:r>
          </w:p>
        </w:tc>
        <w:tc>
          <w:tcPr>
            <w:tcW w:w="727" w:type="dxa"/>
            <w:shd w:val="clear" w:color="auto" w:fill="auto"/>
            <w:vAlign w:val="center"/>
          </w:tcPr>
          <w:p w14:paraId="4F45E13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二级指标</w:t>
            </w:r>
          </w:p>
        </w:tc>
        <w:tc>
          <w:tcPr>
            <w:tcW w:w="820" w:type="dxa"/>
            <w:shd w:val="clear" w:color="auto" w:fill="auto"/>
            <w:vAlign w:val="center"/>
          </w:tcPr>
          <w:p w14:paraId="46DD406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三级指标</w:t>
            </w:r>
          </w:p>
        </w:tc>
        <w:tc>
          <w:tcPr>
            <w:tcW w:w="2141" w:type="dxa"/>
            <w:shd w:val="clear" w:color="auto" w:fill="auto"/>
            <w:vAlign w:val="center"/>
          </w:tcPr>
          <w:p w14:paraId="30FBEE2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指标解释</w:t>
            </w:r>
          </w:p>
        </w:tc>
        <w:tc>
          <w:tcPr>
            <w:tcW w:w="7821" w:type="dxa"/>
            <w:shd w:val="clear" w:color="auto" w:fill="auto"/>
            <w:vAlign w:val="center"/>
          </w:tcPr>
          <w:p w14:paraId="4BEC465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指标说明</w:t>
            </w:r>
          </w:p>
        </w:tc>
        <w:tc>
          <w:tcPr>
            <w:tcW w:w="785" w:type="dxa"/>
            <w:shd w:val="clear" w:color="auto" w:fill="auto"/>
            <w:vAlign w:val="center"/>
          </w:tcPr>
          <w:p w14:paraId="4253D20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分值</w:t>
            </w:r>
          </w:p>
        </w:tc>
        <w:tc>
          <w:tcPr>
            <w:tcW w:w="769" w:type="dxa"/>
            <w:shd w:val="clear" w:color="auto" w:fill="auto"/>
            <w:vAlign w:val="center"/>
          </w:tcPr>
          <w:p w14:paraId="24ACF62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得分</w:t>
            </w:r>
          </w:p>
        </w:tc>
      </w:tr>
      <w:tr w14:paraId="3B37C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vAlign w:val="center"/>
          </w:tcPr>
          <w:p w14:paraId="4DEE7EC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决策　</w:t>
            </w:r>
          </w:p>
          <w:p w14:paraId="51824FF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p w14:paraId="0F428F00">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tc>
        <w:tc>
          <w:tcPr>
            <w:tcW w:w="727" w:type="dxa"/>
            <w:vMerge w:val="restart"/>
            <w:shd w:val="clear" w:color="auto" w:fill="auto"/>
            <w:vAlign w:val="center"/>
          </w:tcPr>
          <w:p w14:paraId="0774A56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项目立项　</w:t>
            </w:r>
          </w:p>
        </w:tc>
        <w:tc>
          <w:tcPr>
            <w:tcW w:w="820" w:type="dxa"/>
            <w:shd w:val="clear" w:color="auto" w:fill="auto"/>
            <w:vAlign w:val="center"/>
          </w:tcPr>
          <w:p w14:paraId="20FB29C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立项依据</w:t>
            </w:r>
          </w:p>
          <w:p w14:paraId="5E7F8A3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充分性</w:t>
            </w:r>
          </w:p>
        </w:tc>
        <w:tc>
          <w:tcPr>
            <w:tcW w:w="2141" w:type="dxa"/>
            <w:shd w:val="clear" w:color="auto" w:fill="auto"/>
            <w:vAlign w:val="center"/>
          </w:tcPr>
          <w:p w14:paraId="5DE5692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7821" w:type="dxa"/>
            <w:shd w:val="clear" w:color="auto" w:fill="auto"/>
            <w:vAlign w:val="center"/>
          </w:tcPr>
          <w:p w14:paraId="44FF872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19F0034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①项目立项是否符合国家法律法规、国民经济发展规划和相关政策；</w:t>
            </w:r>
          </w:p>
          <w:p w14:paraId="27B9E80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②项目立项是否符合行业发展规划和政策要求；</w:t>
            </w:r>
          </w:p>
          <w:p w14:paraId="2206067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③项目立项是否与部门职责范围相符，属于部门履职所需；</w:t>
            </w:r>
          </w:p>
          <w:p w14:paraId="5C33D5F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④项目是否属于公共财政支持范围，是否符合中央、地方事权支出责任划分原则；</w:t>
            </w:r>
          </w:p>
          <w:p w14:paraId="4BA4DF9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⑤项目是否与相关部门同类项目或部门内部相关项目重复。</w:t>
            </w:r>
          </w:p>
        </w:tc>
        <w:tc>
          <w:tcPr>
            <w:tcW w:w="785" w:type="dxa"/>
            <w:shd w:val="clear" w:color="auto" w:fill="auto"/>
            <w:vAlign w:val="center"/>
          </w:tcPr>
          <w:p w14:paraId="0F2282CB">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2</w:t>
            </w:r>
          </w:p>
        </w:tc>
        <w:tc>
          <w:tcPr>
            <w:tcW w:w="769" w:type="dxa"/>
            <w:shd w:val="clear" w:color="auto" w:fill="auto"/>
            <w:vAlign w:val="center"/>
          </w:tcPr>
          <w:p w14:paraId="3A005E8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2</w:t>
            </w:r>
          </w:p>
        </w:tc>
      </w:tr>
      <w:tr w14:paraId="608BF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14:paraId="66080DDD">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5E08C01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10BED06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立项程序</w:t>
            </w:r>
          </w:p>
          <w:p w14:paraId="034EF92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规范性</w:t>
            </w:r>
          </w:p>
        </w:tc>
        <w:tc>
          <w:tcPr>
            <w:tcW w:w="2141" w:type="dxa"/>
            <w:shd w:val="clear" w:color="auto" w:fill="auto"/>
            <w:vAlign w:val="center"/>
          </w:tcPr>
          <w:p w14:paraId="07B859C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7821" w:type="dxa"/>
            <w:shd w:val="clear" w:color="auto" w:fill="auto"/>
            <w:vAlign w:val="center"/>
          </w:tcPr>
          <w:p w14:paraId="46590BA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611FCBE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①项目是否按照规定的程序申请设立；</w:t>
            </w:r>
          </w:p>
          <w:p w14:paraId="1BDE8F8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②审批文件、材料是否符合相关要求；</w:t>
            </w:r>
          </w:p>
          <w:p w14:paraId="4435C8E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③事前是否已经过必要的可行性研究、专家论证、风险评估、绩效评估、集体决策。</w:t>
            </w:r>
          </w:p>
        </w:tc>
        <w:tc>
          <w:tcPr>
            <w:tcW w:w="785" w:type="dxa"/>
            <w:shd w:val="clear" w:color="auto" w:fill="auto"/>
            <w:vAlign w:val="center"/>
          </w:tcPr>
          <w:p w14:paraId="5E68EDA1">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3</w:t>
            </w:r>
          </w:p>
        </w:tc>
        <w:tc>
          <w:tcPr>
            <w:tcW w:w="769" w:type="dxa"/>
            <w:shd w:val="clear" w:color="auto" w:fill="auto"/>
            <w:vAlign w:val="center"/>
          </w:tcPr>
          <w:p w14:paraId="7A711DA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default" w:eastAsia="宋体"/>
                <w:color w:val="000000"/>
                <w:kern w:val="0"/>
                <w:sz w:val="22"/>
                <w:szCs w:val="22"/>
                <w:lang w:val="en-US" w:eastAsia="zh-CN"/>
              </w:rPr>
            </w:pPr>
            <w:r>
              <w:rPr>
                <w:rFonts w:hint="eastAsia"/>
                <w:color w:val="000000"/>
                <w:kern w:val="0"/>
                <w:sz w:val="22"/>
                <w:szCs w:val="22"/>
              </w:rPr>
              <w:t>2</w:t>
            </w:r>
            <w:r>
              <w:rPr>
                <w:rFonts w:hint="eastAsia"/>
                <w:color w:val="000000"/>
                <w:kern w:val="0"/>
                <w:sz w:val="22"/>
                <w:szCs w:val="22"/>
                <w:lang w:val="en-US" w:eastAsia="zh-CN"/>
              </w:rPr>
              <w:t>.2</w:t>
            </w:r>
          </w:p>
        </w:tc>
      </w:tr>
      <w:tr w14:paraId="26DB7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vAlign w:val="center"/>
          </w:tcPr>
          <w:p w14:paraId="7582D2BC">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shd w:val="clear" w:color="auto" w:fill="auto"/>
            <w:vAlign w:val="center"/>
          </w:tcPr>
          <w:p w14:paraId="36DB783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绩效目标　</w:t>
            </w:r>
          </w:p>
        </w:tc>
        <w:tc>
          <w:tcPr>
            <w:tcW w:w="820" w:type="dxa"/>
            <w:shd w:val="clear" w:color="auto" w:fill="auto"/>
            <w:vAlign w:val="center"/>
          </w:tcPr>
          <w:p w14:paraId="1C9FFB5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绩效目标</w:t>
            </w:r>
          </w:p>
          <w:p w14:paraId="407A5A9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14:paraId="30F2948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vAlign w:val="center"/>
          </w:tcPr>
          <w:p w14:paraId="6539871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6B005B1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（如未设定预算绩效目标，也可考核其他工作任务目标）</w:t>
            </w:r>
          </w:p>
          <w:p w14:paraId="07B3641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①项目是否有绩效目标；</w:t>
            </w:r>
          </w:p>
          <w:p w14:paraId="08146F9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②项目绩效目标与实际工作内容是否具有相关性；</w:t>
            </w:r>
          </w:p>
          <w:p w14:paraId="130A09D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③项目预期产出效益和效果是否符合正常的业绩水平；</w:t>
            </w:r>
          </w:p>
          <w:p w14:paraId="03292F7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④是否与预算确定的项目投资额或资金量相匹配。</w:t>
            </w:r>
          </w:p>
        </w:tc>
        <w:tc>
          <w:tcPr>
            <w:tcW w:w="785" w:type="dxa"/>
            <w:shd w:val="clear" w:color="auto" w:fill="auto"/>
            <w:vAlign w:val="center"/>
          </w:tcPr>
          <w:p w14:paraId="5E0F9DD5">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5</w:t>
            </w:r>
          </w:p>
        </w:tc>
        <w:tc>
          <w:tcPr>
            <w:tcW w:w="769" w:type="dxa"/>
            <w:shd w:val="clear" w:color="auto" w:fill="auto"/>
            <w:vAlign w:val="center"/>
          </w:tcPr>
          <w:p w14:paraId="1826E2E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5</w:t>
            </w:r>
          </w:p>
        </w:tc>
      </w:tr>
      <w:tr w14:paraId="3CE7B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14:paraId="4DB070F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决策　</w:t>
            </w:r>
          </w:p>
        </w:tc>
        <w:tc>
          <w:tcPr>
            <w:tcW w:w="727" w:type="dxa"/>
            <w:shd w:val="clear" w:color="auto" w:fill="auto"/>
            <w:vAlign w:val="center"/>
          </w:tcPr>
          <w:p w14:paraId="04EA771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绩效目标</w:t>
            </w:r>
          </w:p>
        </w:tc>
        <w:tc>
          <w:tcPr>
            <w:tcW w:w="820" w:type="dxa"/>
            <w:shd w:val="clear" w:color="auto" w:fill="auto"/>
            <w:vAlign w:val="center"/>
          </w:tcPr>
          <w:p w14:paraId="31E7928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绩效指标</w:t>
            </w:r>
          </w:p>
          <w:p w14:paraId="1BEC674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明确性</w:t>
            </w:r>
          </w:p>
        </w:tc>
        <w:tc>
          <w:tcPr>
            <w:tcW w:w="2141" w:type="dxa"/>
            <w:shd w:val="clear" w:color="auto" w:fill="auto"/>
            <w:vAlign w:val="center"/>
          </w:tcPr>
          <w:p w14:paraId="5744129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7821" w:type="dxa"/>
            <w:shd w:val="clear" w:color="auto" w:fill="auto"/>
            <w:vAlign w:val="center"/>
          </w:tcPr>
          <w:p w14:paraId="698B3E3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1DDDD53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①是否将项目绩效目标细化分解为具体的绩效指标；</w:t>
            </w:r>
          </w:p>
          <w:p w14:paraId="624A4D2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②是否通过清晰、可衡量的指标值予以体现；</w:t>
            </w:r>
          </w:p>
          <w:p w14:paraId="577F337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③是否与项目目标任务数或计划数相对应。</w:t>
            </w:r>
          </w:p>
          <w:p w14:paraId="45E5B1E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85" w:type="dxa"/>
            <w:shd w:val="clear" w:color="auto" w:fill="auto"/>
            <w:vAlign w:val="center"/>
          </w:tcPr>
          <w:p w14:paraId="17E68658">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5</w:t>
            </w:r>
          </w:p>
        </w:tc>
        <w:tc>
          <w:tcPr>
            <w:tcW w:w="769" w:type="dxa"/>
            <w:shd w:val="clear" w:color="auto" w:fill="auto"/>
            <w:vAlign w:val="center"/>
          </w:tcPr>
          <w:p w14:paraId="01BCA3E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5</w:t>
            </w:r>
          </w:p>
        </w:tc>
      </w:tr>
      <w:tr w14:paraId="26A77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vAlign w:val="center"/>
          </w:tcPr>
          <w:p w14:paraId="1FFBAA7D">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restart"/>
            <w:shd w:val="clear" w:color="auto" w:fill="auto"/>
            <w:vAlign w:val="center"/>
          </w:tcPr>
          <w:p w14:paraId="14C84BB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资金投入</w:t>
            </w:r>
          </w:p>
          <w:p w14:paraId="630D57D6">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14:paraId="11EF9AF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预算编制</w:t>
            </w:r>
          </w:p>
          <w:p w14:paraId="3018B0A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科学性</w:t>
            </w:r>
          </w:p>
        </w:tc>
        <w:tc>
          <w:tcPr>
            <w:tcW w:w="2141" w:type="dxa"/>
            <w:shd w:val="clear" w:color="auto" w:fill="auto"/>
            <w:vAlign w:val="center"/>
          </w:tcPr>
          <w:p w14:paraId="3E3CBB1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vAlign w:val="center"/>
          </w:tcPr>
          <w:p w14:paraId="3AE37BA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440BF5B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①预算编制是否经过科学论证；</w:t>
            </w:r>
          </w:p>
          <w:p w14:paraId="19DE0F8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②预算内容与项目内容是否匹配；</w:t>
            </w:r>
          </w:p>
          <w:p w14:paraId="770566C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③预算额度测算依据是否充分，是否按照标准编制；</w:t>
            </w:r>
          </w:p>
          <w:p w14:paraId="2545EDB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④预算确定的项目投资额或资金量是否与工作任务相匹配。</w:t>
            </w:r>
          </w:p>
        </w:tc>
        <w:tc>
          <w:tcPr>
            <w:tcW w:w="785" w:type="dxa"/>
            <w:shd w:val="clear" w:color="auto" w:fill="auto"/>
            <w:vAlign w:val="center"/>
          </w:tcPr>
          <w:p w14:paraId="06BD4925">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2</w:t>
            </w:r>
          </w:p>
        </w:tc>
        <w:tc>
          <w:tcPr>
            <w:tcW w:w="769" w:type="dxa"/>
            <w:shd w:val="clear" w:color="auto" w:fill="auto"/>
            <w:vAlign w:val="center"/>
          </w:tcPr>
          <w:p w14:paraId="26ABC4B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2</w:t>
            </w:r>
          </w:p>
        </w:tc>
      </w:tr>
      <w:tr w14:paraId="47978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vAlign w:val="center"/>
          </w:tcPr>
          <w:p w14:paraId="02B16C3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6B90196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122C0F9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资金分配</w:t>
            </w:r>
          </w:p>
          <w:p w14:paraId="3F5FE09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14:paraId="5C38B40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vAlign w:val="center"/>
          </w:tcPr>
          <w:p w14:paraId="0660992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42E0A17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①预算资金分配依据是否充分；</w:t>
            </w:r>
          </w:p>
          <w:p w14:paraId="3E9E6D4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②资金分配额度是否合理，与项目单位或地方实际是否相适应。</w:t>
            </w:r>
          </w:p>
        </w:tc>
        <w:tc>
          <w:tcPr>
            <w:tcW w:w="785" w:type="dxa"/>
            <w:shd w:val="clear" w:color="auto" w:fill="auto"/>
            <w:vAlign w:val="center"/>
          </w:tcPr>
          <w:p w14:paraId="5ED40979">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3</w:t>
            </w:r>
          </w:p>
        </w:tc>
        <w:tc>
          <w:tcPr>
            <w:tcW w:w="769" w:type="dxa"/>
            <w:shd w:val="clear" w:color="auto" w:fill="auto"/>
            <w:vAlign w:val="center"/>
          </w:tcPr>
          <w:p w14:paraId="077C536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3</w:t>
            </w:r>
          </w:p>
        </w:tc>
      </w:tr>
      <w:tr w14:paraId="4356C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vAlign w:val="center"/>
          </w:tcPr>
          <w:p w14:paraId="1AA49DEF">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过程</w:t>
            </w:r>
          </w:p>
        </w:tc>
        <w:tc>
          <w:tcPr>
            <w:tcW w:w="727" w:type="dxa"/>
            <w:vMerge w:val="restart"/>
            <w:shd w:val="clear" w:color="auto" w:fill="auto"/>
            <w:vAlign w:val="center"/>
          </w:tcPr>
          <w:p w14:paraId="384B91D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14:paraId="4627ECC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资金到位率</w:t>
            </w:r>
          </w:p>
        </w:tc>
        <w:tc>
          <w:tcPr>
            <w:tcW w:w="2141" w:type="dxa"/>
            <w:shd w:val="clear" w:color="auto" w:fill="auto"/>
            <w:vAlign w:val="center"/>
          </w:tcPr>
          <w:p w14:paraId="04B292A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7821" w:type="dxa"/>
            <w:shd w:val="clear" w:color="auto" w:fill="auto"/>
            <w:vAlign w:val="center"/>
          </w:tcPr>
          <w:p w14:paraId="51B1427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资金到位率=（</w:t>
            </w:r>
          </w:p>
          <w:p w14:paraId="184FF71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实际到位资金/预算资金）×100%。</w:t>
            </w:r>
          </w:p>
          <w:p w14:paraId="4EC6429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实际到位资金：一定时期（本年度或项目期）内落实到具体项目的资金。</w:t>
            </w:r>
          </w:p>
          <w:p w14:paraId="26F52E3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预算资金：一定时期（本年度或项目期）内预算安排到具体项目的资金。</w:t>
            </w:r>
          </w:p>
        </w:tc>
        <w:tc>
          <w:tcPr>
            <w:tcW w:w="785" w:type="dxa"/>
            <w:shd w:val="clear" w:color="auto" w:fill="auto"/>
            <w:vAlign w:val="center"/>
          </w:tcPr>
          <w:p w14:paraId="26F9BC09">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55AF5B8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52B49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vAlign w:val="center"/>
          </w:tcPr>
          <w:p w14:paraId="72B48BCA">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1363C6D6">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75CFBC5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预算执行率</w:t>
            </w:r>
          </w:p>
        </w:tc>
        <w:tc>
          <w:tcPr>
            <w:tcW w:w="2141" w:type="dxa"/>
            <w:shd w:val="clear" w:color="auto" w:fill="auto"/>
            <w:vAlign w:val="center"/>
          </w:tcPr>
          <w:p w14:paraId="3D79ED3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项目预算资金是否按照计划执行，用以反映或考核项目预算执行情况。</w:t>
            </w:r>
          </w:p>
        </w:tc>
        <w:tc>
          <w:tcPr>
            <w:tcW w:w="7821" w:type="dxa"/>
            <w:shd w:val="clear" w:color="auto" w:fill="auto"/>
            <w:vAlign w:val="center"/>
          </w:tcPr>
          <w:p w14:paraId="098F128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预算执行率=（实际支出资金/实际到位资金）×100%。</w:t>
            </w:r>
          </w:p>
          <w:p w14:paraId="50C5B46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实际支出资金：一定时期（本年度或项目期）内项目实际拨付的资金。</w:t>
            </w:r>
          </w:p>
        </w:tc>
        <w:tc>
          <w:tcPr>
            <w:tcW w:w="785" w:type="dxa"/>
            <w:shd w:val="clear" w:color="auto" w:fill="auto"/>
            <w:vAlign w:val="center"/>
          </w:tcPr>
          <w:p w14:paraId="4BA7CA6F">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7F0DE26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0B21C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vAlign w:val="center"/>
          </w:tcPr>
          <w:p w14:paraId="75C091B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p w14:paraId="77A21DD9">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过程　</w:t>
            </w:r>
          </w:p>
        </w:tc>
        <w:tc>
          <w:tcPr>
            <w:tcW w:w="727" w:type="dxa"/>
            <w:shd w:val="clear" w:color="auto" w:fill="auto"/>
            <w:vAlign w:val="center"/>
          </w:tcPr>
          <w:p w14:paraId="215FF31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14:paraId="78FC6F9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资金使用</w:t>
            </w:r>
          </w:p>
          <w:p w14:paraId="07512E2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合规性</w:t>
            </w:r>
          </w:p>
        </w:tc>
        <w:tc>
          <w:tcPr>
            <w:tcW w:w="2141" w:type="dxa"/>
            <w:shd w:val="clear" w:color="auto" w:fill="auto"/>
            <w:vAlign w:val="center"/>
          </w:tcPr>
          <w:p w14:paraId="50652AD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7821" w:type="dxa"/>
            <w:shd w:val="clear" w:color="auto" w:fill="auto"/>
            <w:vAlign w:val="center"/>
          </w:tcPr>
          <w:p w14:paraId="5428962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3415242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①是否符合国家财经法规和财务管理制度以及有关专项资金管理办法的规定；</w:t>
            </w:r>
          </w:p>
          <w:p w14:paraId="2A1962D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②资金的拨付是否有完整的审批程序和手续；</w:t>
            </w:r>
          </w:p>
          <w:p w14:paraId="2AF15DB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③是否符合项目预算批复或合同规定的用途；</w:t>
            </w:r>
          </w:p>
          <w:p w14:paraId="08A53B9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④是否存在截留、挤占、挪用、虚列支出等情况。</w:t>
            </w:r>
          </w:p>
        </w:tc>
        <w:tc>
          <w:tcPr>
            <w:tcW w:w="785" w:type="dxa"/>
            <w:shd w:val="clear" w:color="auto" w:fill="auto"/>
            <w:vAlign w:val="center"/>
          </w:tcPr>
          <w:p w14:paraId="45EC6207">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187993A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46C4F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vAlign w:val="center"/>
          </w:tcPr>
          <w:p w14:paraId="28D101B9">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restart"/>
            <w:shd w:val="clear" w:color="auto" w:fill="auto"/>
            <w:vAlign w:val="center"/>
          </w:tcPr>
          <w:p w14:paraId="753BD19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组织实施</w:t>
            </w:r>
          </w:p>
          <w:p w14:paraId="12E5C28A">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14:paraId="1364F2B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管理制度</w:t>
            </w:r>
          </w:p>
          <w:p w14:paraId="22BF198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健全性</w:t>
            </w:r>
          </w:p>
        </w:tc>
        <w:tc>
          <w:tcPr>
            <w:tcW w:w="2141" w:type="dxa"/>
            <w:shd w:val="clear" w:color="auto" w:fill="auto"/>
            <w:vAlign w:val="center"/>
          </w:tcPr>
          <w:p w14:paraId="18428CA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vAlign w:val="center"/>
          </w:tcPr>
          <w:p w14:paraId="4C1BE41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650A7AB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①是否已制定或具有相应的财务和业务管理制度；</w:t>
            </w:r>
          </w:p>
          <w:p w14:paraId="5E12539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②财务和业务管理制度是否合法、合规、完整。</w:t>
            </w:r>
          </w:p>
        </w:tc>
        <w:tc>
          <w:tcPr>
            <w:tcW w:w="785" w:type="dxa"/>
            <w:shd w:val="clear" w:color="auto" w:fill="auto"/>
            <w:vAlign w:val="center"/>
          </w:tcPr>
          <w:p w14:paraId="001E6A0F">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29D7618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3F943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vAlign w:val="center"/>
          </w:tcPr>
          <w:p w14:paraId="0DE840A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22056EE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457BA5A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制度执行</w:t>
            </w:r>
          </w:p>
          <w:p w14:paraId="338DB69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有效性</w:t>
            </w:r>
          </w:p>
        </w:tc>
        <w:tc>
          <w:tcPr>
            <w:tcW w:w="2141" w:type="dxa"/>
            <w:shd w:val="clear" w:color="auto" w:fill="auto"/>
            <w:vAlign w:val="center"/>
          </w:tcPr>
          <w:p w14:paraId="5EA2223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7821" w:type="dxa"/>
            <w:shd w:val="clear" w:color="auto" w:fill="auto"/>
            <w:vAlign w:val="center"/>
          </w:tcPr>
          <w:p w14:paraId="0D0822C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0C2BE57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①是否遵守相关法律法规和相关管理规定；</w:t>
            </w:r>
          </w:p>
          <w:p w14:paraId="0B0FF68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②项目调整及支出调整手续是否完备；</w:t>
            </w:r>
          </w:p>
          <w:p w14:paraId="7E7083A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③项目合同书、验收报告、技术鉴定等资料是否齐全并及时归档；</w:t>
            </w:r>
          </w:p>
          <w:p w14:paraId="3D76D6B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④项目实施的人员条件、场地设备、信息支撑等是否落实到位。</w:t>
            </w:r>
          </w:p>
        </w:tc>
        <w:tc>
          <w:tcPr>
            <w:tcW w:w="785" w:type="dxa"/>
            <w:shd w:val="clear" w:color="auto" w:fill="auto"/>
            <w:vAlign w:val="center"/>
          </w:tcPr>
          <w:p w14:paraId="1317DD82">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1599927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279A2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vAlign w:val="center"/>
          </w:tcPr>
          <w:p w14:paraId="3431182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w:t>
            </w:r>
          </w:p>
        </w:tc>
        <w:tc>
          <w:tcPr>
            <w:tcW w:w="727" w:type="dxa"/>
            <w:shd w:val="clear" w:color="auto" w:fill="auto"/>
            <w:vAlign w:val="center"/>
          </w:tcPr>
          <w:p w14:paraId="5A790A8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产出数量</w:t>
            </w:r>
          </w:p>
        </w:tc>
        <w:tc>
          <w:tcPr>
            <w:tcW w:w="820" w:type="dxa"/>
            <w:shd w:val="clear" w:color="auto" w:fill="auto"/>
            <w:vAlign w:val="center"/>
          </w:tcPr>
          <w:p w14:paraId="7094CB6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在校学生人数</w:t>
            </w:r>
          </w:p>
        </w:tc>
        <w:tc>
          <w:tcPr>
            <w:tcW w:w="2141" w:type="dxa"/>
            <w:shd w:val="clear" w:color="auto" w:fill="auto"/>
            <w:vAlign w:val="center"/>
          </w:tcPr>
          <w:p w14:paraId="174B443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auto" w:fill="auto"/>
            <w:vAlign w:val="center"/>
          </w:tcPr>
          <w:p w14:paraId="3D85F00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实际完成率=（实际产出数/计划产出数）×100%。</w:t>
            </w:r>
          </w:p>
          <w:p w14:paraId="5656909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实际产出数：一定时期（本年度或项目期）内项目实际产出的产品或提供的服务数量。</w:t>
            </w:r>
          </w:p>
          <w:p w14:paraId="51F5CC5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计划产出数：项目绩效目标确定的在一定时期（本年度或项目期）内计划产出的产品或提供的服务数量。</w:t>
            </w:r>
          </w:p>
        </w:tc>
        <w:tc>
          <w:tcPr>
            <w:tcW w:w="785" w:type="dxa"/>
            <w:shd w:val="clear" w:color="auto" w:fill="auto"/>
            <w:vAlign w:val="center"/>
          </w:tcPr>
          <w:p w14:paraId="5DAD1D7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c>
          <w:tcPr>
            <w:tcW w:w="769" w:type="dxa"/>
            <w:shd w:val="clear" w:color="auto" w:fill="auto"/>
            <w:vAlign w:val="center"/>
          </w:tcPr>
          <w:p w14:paraId="5551363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r>
      <w:tr w14:paraId="66DC17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vAlign w:val="center"/>
          </w:tcPr>
          <w:p w14:paraId="6365A87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w:t>
            </w:r>
          </w:p>
        </w:tc>
        <w:tc>
          <w:tcPr>
            <w:tcW w:w="727" w:type="dxa"/>
            <w:vMerge w:val="restart"/>
            <w:shd w:val="clear" w:color="auto" w:fill="auto"/>
            <w:vAlign w:val="center"/>
          </w:tcPr>
          <w:p w14:paraId="4DFD710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产出质量</w:t>
            </w:r>
          </w:p>
        </w:tc>
        <w:tc>
          <w:tcPr>
            <w:tcW w:w="820" w:type="dxa"/>
            <w:shd w:val="clear" w:color="auto" w:fill="auto"/>
            <w:vAlign w:val="center"/>
          </w:tcPr>
          <w:p w14:paraId="0EE67E3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公用经费享受比例</w:t>
            </w:r>
          </w:p>
        </w:tc>
        <w:tc>
          <w:tcPr>
            <w:tcW w:w="2141" w:type="dxa"/>
            <w:shd w:val="clear" w:color="auto" w:fill="auto"/>
            <w:vAlign w:val="center"/>
          </w:tcPr>
          <w:p w14:paraId="3B8538A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auto" w:fill="auto"/>
            <w:vAlign w:val="center"/>
          </w:tcPr>
          <w:p w14:paraId="00DA763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质量达标率=（质量达标产出数/实际产出数）×100%。</w:t>
            </w:r>
          </w:p>
          <w:p w14:paraId="57F6143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1673567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c>
          <w:tcPr>
            <w:tcW w:w="769" w:type="dxa"/>
            <w:shd w:val="clear" w:color="auto" w:fill="auto"/>
            <w:vAlign w:val="center"/>
          </w:tcPr>
          <w:p w14:paraId="61C893D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r>
      <w:tr w14:paraId="71E18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2474563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vMerge w:val="continue"/>
            <w:shd w:val="clear" w:color="auto" w:fill="auto"/>
            <w:vAlign w:val="center"/>
          </w:tcPr>
          <w:p w14:paraId="1E1CCB7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820" w:type="dxa"/>
            <w:shd w:val="clear" w:color="auto" w:fill="auto"/>
            <w:vAlign w:val="center"/>
          </w:tcPr>
          <w:p w14:paraId="51B61FE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教师培训结业率</w:t>
            </w:r>
          </w:p>
        </w:tc>
        <w:tc>
          <w:tcPr>
            <w:tcW w:w="2141" w:type="dxa"/>
            <w:shd w:val="clear" w:color="auto" w:fill="auto"/>
            <w:vAlign w:val="center"/>
          </w:tcPr>
          <w:p w14:paraId="52F3611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auto" w:fill="auto"/>
            <w:vAlign w:val="center"/>
          </w:tcPr>
          <w:p w14:paraId="5DE0D70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质量达标率=（质量达标产出数/实际产出数）×100%。</w:t>
            </w:r>
          </w:p>
          <w:p w14:paraId="15A6AE7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367FF38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c>
          <w:tcPr>
            <w:tcW w:w="769" w:type="dxa"/>
            <w:shd w:val="clear" w:color="auto" w:fill="auto"/>
            <w:vAlign w:val="center"/>
          </w:tcPr>
          <w:p w14:paraId="65AE7C4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r>
      <w:tr w14:paraId="63BF6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74013C15">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shd w:val="clear" w:color="auto" w:fill="auto"/>
            <w:vAlign w:val="center"/>
          </w:tcPr>
          <w:p w14:paraId="6E6AEEAF">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产出时效</w:t>
            </w:r>
          </w:p>
        </w:tc>
        <w:tc>
          <w:tcPr>
            <w:tcW w:w="820" w:type="dxa"/>
            <w:shd w:val="clear" w:color="auto" w:fill="auto"/>
            <w:vAlign w:val="center"/>
          </w:tcPr>
          <w:p w14:paraId="17538F8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资金支付及时率</w:t>
            </w:r>
          </w:p>
        </w:tc>
        <w:tc>
          <w:tcPr>
            <w:tcW w:w="2141" w:type="dxa"/>
            <w:shd w:val="clear" w:color="auto" w:fill="auto"/>
            <w:vAlign w:val="center"/>
          </w:tcPr>
          <w:p w14:paraId="7BB72EA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auto" w:fill="auto"/>
            <w:vAlign w:val="center"/>
          </w:tcPr>
          <w:p w14:paraId="3D857E0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实际完成时间：项目实施单位完成该项目实际所耗用的时间。</w:t>
            </w:r>
          </w:p>
          <w:p w14:paraId="453FD53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计划完成时间：按照项目实施计划或相关规定完成该项目所需的时间。</w:t>
            </w:r>
          </w:p>
        </w:tc>
        <w:tc>
          <w:tcPr>
            <w:tcW w:w="785" w:type="dxa"/>
            <w:shd w:val="clear" w:color="auto" w:fill="auto"/>
            <w:vAlign w:val="center"/>
          </w:tcPr>
          <w:p w14:paraId="3CE270B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c>
          <w:tcPr>
            <w:tcW w:w="769" w:type="dxa"/>
            <w:shd w:val="clear" w:color="auto" w:fill="auto"/>
            <w:vAlign w:val="center"/>
          </w:tcPr>
          <w:p w14:paraId="560A49D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r>
      <w:tr w14:paraId="5F253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404C4CF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shd w:val="clear" w:color="auto" w:fill="auto"/>
            <w:vAlign w:val="center"/>
          </w:tcPr>
          <w:p w14:paraId="4A30E86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产出成本</w:t>
            </w:r>
          </w:p>
        </w:tc>
        <w:tc>
          <w:tcPr>
            <w:tcW w:w="820" w:type="dxa"/>
            <w:shd w:val="clear" w:color="auto" w:fill="auto"/>
            <w:vAlign w:val="center"/>
          </w:tcPr>
          <w:p w14:paraId="5151C23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成本节约率</w:t>
            </w:r>
          </w:p>
        </w:tc>
        <w:tc>
          <w:tcPr>
            <w:tcW w:w="2141" w:type="dxa"/>
            <w:shd w:val="clear" w:color="auto" w:fill="auto"/>
            <w:vAlign w:val="center"/>
          </w:tcPr>
          <w:p w14:paraId="4894944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auto" w:fill="auto"/>
            <w:vAlign w:val="center"/>
          </w:tcPr>
          <w:p w14:paraId="0709D2B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p w14:paraId="1EE4BB2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成本节约率=[（计划成本-实际成本）/计划成本]×100%。</w:t>
            </w:r>
          </w:p>
          <w:p w14:paraId="47EC7B6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实际成本：项目实施单位如期、保质、保量完成既定工作目标实际所耗费的支出。</w:t>
            </w:r>
          </w:p>
          <w:p w14:paraId="56469C5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计划成本：项目实施单位为完成工作目标计划安排的支出，一般以项目预算为参考。</w:t>
            </w:r>
          </w:p>
        </w:tc>
        <w:tc>
          <w:tcPr>
            <w:tcW w:w="785" w:type="dxa"/>
            <w:shd w:val="clear" w:color="auto" w:fill="auto"/>
            <w:vAlign w:val="center"/>
          </w:tcPr>
          <w:p w14:paraId="6DE7CC5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c>
          <w:tcPr>
            <w:tcW w:w="769" w:type="dxa"/>
            <w:shd w:val="clear" w:color="auto" w:fill="auto"/>
            <w:vAlign w:val="center"/>
          </w:tcPr>
          <w:p w14:paraId="7096AAD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r>
      <w:tr w14:paraId="185B7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vAlign w:val="center"/>
          </w:tcPr>
          <w:p w14:paraId="328508A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效益　</w:t>
            </w:r>
          </w:p>
        </w:tc>
        <w:tc>
          <w:tcPr>
            <w:tcW w:w="727" w:type="dxa"/>
            <w:vMerge w:val="restart"/>
            <w:shd w:val="clear" w:color="auto" w:fill="auto"/>
            <w:vAlign w:val="center"/>
          </w:tcPr>
          <w:p w14:paraId="34A9478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项目效益　</w:t>
            </w:r>
          </w:p>
        </w:tc>
        <w:tc>
          <w:tcPr>
            <w:tcW w:w="820" w:type="dxa"/>
            <w:shd w:val="clear" w:color="auto" w:fill="auto"/>
            <w:vAlign w:val="center"/>
          </w:tcPr>
          <w:p w14:paraId="5D2AF37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正常运转率</w:t>
            </w:r>
          </w:p>
        </w:tc>
        <w:tc>
          <w:tcPr>
            <w:tcW w:w="2141" w:type="dxa"/>
            <w:shd w:val="clear" w:color="auto" w:fill="auto"/>
            <w:vAlign w:val="center"/>
          </w:tcPr>
          <w:p w14:paraId="53CB171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14:paraId="3142892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14:paraId="609574C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c>
          <w:tcPr>
            <w:tcW w:w="769" w:type="dxa"/>
            <w:shd w:val="clear" w:color="auto" w:fill="auto"/>
            <w:vAlign w:val="center"/>
          </w:tcPr>
          <w:p w14:paraId="60AE435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r>
      <w:tr w14:paraId="28AA8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075C3D6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vMerge w:val="continue"/>
            <w:shd w:val="clear" w:color="auto" w:fill="auto"/>
            <w:vAlign w:val="center"/>
          </w:tcPr>
          <w:p w14:paraId="78ACB41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820" w:type="dxa"/>
            <w:shd w:val="clear" w:color="auto" w:fill="auto"/>
            <w:vAlign w:val="center"/>
          </w:tcPr>
          <w:p w14:paraId="1486CDF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改善教学环境，提供良好的学生成长条件</w:t>
            </w:r>
          </w:p>
        </w:tc>
        <w:tc>
          <w:tcPr>
            <w:tcW w:w="2141" w:type="dxa"/>
            <w:shd w:val="clear" w:color="auto" w:fill="auto"/>
            <w:vAlign w:val="center"/>
          </w:tcPr>
          <w:p w14:paraId="129892A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14:paraId="023F48F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14:paraId="50E00BD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7</w:t>
            </w:r>
          </w:p>
        </w:tc>
        <w:tc>
          <w:tcPr>
            <w:tcW w:w="769" w:type="dxa"/>
            <w:shd w:val="clear" w:color="auto" w:fill="auto"/>
            <w:vAlign w:val="center"/>
          </w:tcPr>
          <w:p w14:paraId="3E323F1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7</w:t>
            </w:r>
          </w:p>
        </w:tc>
      </w:tr>
      <w:tr w14:paraId="10829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3103656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vMerge w:val="continue"/>
            <w:shd w:val="clear" w:color="auto" w:fill="auto"/>
            <w:vAlign w:val="center"/>
          </w:tcPr>
          <w:p w14:paraId="6A5714C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820" w:type="dxa"/>
            <w:shd w:val="clear" w:color="auto" w:fill="auto"/>
            <w:vAlign w:val="center"/>
          </w:tcPr>
          <w:p w14:paraId="29C63FF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师生满意度</w:t>
            </w:r>
          </w:p>
        </w:tc>
        <w:tc>
          <w:tcPr>
            <w:tcW w:w="2141" w:type="dxa"/>
            <w:shd w:val="clear" w:color="auto" w:fill="auto"/>
            <w:vAlign w:val="center"/>
          </w:tcPr>
          <w:p w14:paraId="3590966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社会公众或服务对象对项目实施效果的满意程度。</w:t>
            </w:r>
          </w:p>
        </w:tc>
        <w:tc>
          <w:tcPr>
            <w:tcW w:w="7821" w:type="dxa"/>
            <w:shd w:val="clear" w:color="auto" w:fill="auto"/>
            <w:vAlign w:val="center"/>
          </w:tcPr>
          <w:p w14:paraId="06E61B8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auto" w:fill="auto"/>
            <w:vAlign w:val="center"/>
          </w:tcPr>
          <w:p w14:paraId="44BAA91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8</w:t>
            </w:r>
          </w:p>
        </w:tc>
        <w:tc>
          <w:tcPr>
            <w:tcW w:w="769" w:type="dxa"/>
            <w:shd w:val="clear" w:color="auto" w:fill="auto"/>
            <w:vAlign w:val="center"/>
          </w:tcPr>
          <w:p w14:paraId="47F4AC4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8</w:t>
            </w:r>
          </w:p>
        </w:tc>
      </w:tr>
      <w:tr w14:paraId="7E133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vAlign w:val="center"/>
          </w:tcPr>
          <w:p w14:paraId="7E204FD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合计</w:t>
            </w:r>
          </w:p>
        </w:tc>
        <w:tc>
          <w:tcPr>
            <w:tcW w:w="7821" w:type="dxa"/>
            <w:shd w:val="clear" w:color="auto" w:fill="auto"/>
            <w:vAlign w:val="center"/>
          </w:tcPr>
          <w:p w14:paraId="38A3DF8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85" w:type="dxa"/>
            <w:shd w:val="clear" w:color="auto" w:fill="auto"/>
            <w:vAlign w:val="center"/>
          </w:tcPr>
          <w:p w14:paraId="01C3BBD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100</w:t>
            </w:r>
          </w:p>
        </w:tc>
        <w:tc>
          <w:tcPr>
            <w:tcW w:w="769" w:type="dxa"/>
            <w:shd w:val="clear" w:color="auto" w:fill="auto"/>
            <w:vAlign w:val="center"/>
          </w:tcPr>
          <w:p w14:paraId="4D096FC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default" w:eastAsia="宋体"/>
                <w:kern w:val="0"/>
                <w:sz w:val="22"/>
                <w:szCs w:val="22"/>
                <w:lang w:val="en-US" w:eastAsia="zh-CN"/>
              </w:rPr>
            </w:pPr>
            <w:r>
              <w:rPr>
                <w:rFonts w:hint="eastAsia"/>
                <w:kern w:val="0"/>
                <w:sz w:val="22"/>
                <w:szCs w:val="22"/>
              </w:rPr>
              <w:t>99</w:t>
            </w:r>
            <w:r>
              <w:rPr>
                <w:rFonts w:hint="eastAsia"/>
                <w:kern w:val="0"/>
                <w:sz w:val="22"/>
                <w:szCs w:val="22"/>
                <w:lang w:val="en-US" w:eastAsia="zh-CN"/>
              </w:rPr>
              <w:t>.2</w:t>
            </w:r>
          </w:p>
        </w:tc>
      </w:tr>
    </w:tbl>
    <w:p w14:paraId="4128D5AC">
      <w:pPr>
        <w:spacing w:line="560" w:lineRule="exact"/>
        <w:ind w:firstLine="0" w:firstLineChars="0"/>
        <w:rPr>
          <w:rFonts w:ascii="Times New Roman" w:hAnsi="Times New Roman" w:eastAsia="仿宋_GB2312" w:cs="Times New Roman"/>
          <w:sz w:val="30"/>
          <w:szCs w:val="24"/>
        </w:rPr>
      </w:pPr>
    </w:p>
    <w:p w14:paraId="5699EFF0">
      <w:pPr>
        <w:spacing w:line="560" w:lineRule="exact"/>
        <w:ind w:firstLine="560"/>
        <w:rPr>
          <w:rFonts w:hint="eastAsia"/>
        </w:rPr>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B45A9">
    <w:pPr>
      <w:pStyle w:val="8"/>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ACB61A">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EACB61A">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005EC0"/>
    <w:rsid w:val="00030850"/>
    <w:rsid w:val="004F0B2B"/>
    <w:rsid w:val="007D6A04"/>
    <w:rsid w:val="00932727"/>
    <w:rsid w:val="00AE0CC5"/>
    <w:rsid w:val="00E23C81"/>
    <w:rsid w:val="01253350"/>
    <w:rsid w:val="01282E62"/>
    <w:rsid w:val="014029CF"/>
    <w:rsid w:val="01470C4C"/>
    <w:rsid w:val="02200440"/>
    <w:rsid w:val="02284B43"/>
    <w:rsid w:val="028C3E62"/>
    <w:rsid w:val="02B015E2"/>
    <w:rsid w:val="02DC08FA"/>
    <w:rsid w:val="033B569D"/>
    <w:rsid w:val="034F46D6"/>
    <w:rsid w:val="039C3BA0"/>
    <w:rsid w:val="03A845BB"/>
    <w:rsid w:val="03B45AD1"/>
    <w:rsid w:val="04371904"/>
    <w:rsid w:val="04D12EE4"/>
    <w:rsid w:val="04D63993"/>
    <w:rsid w:val="056A0F14"/>
    <w:rsid w:val="063F6102"/>
    <w:rsid w:val="07890F4F"/>
    <w:rsid w:val="07B209B3"/>
    <w:rsid w:val="07BD2FB9"/>
    <w:rsid w:val="08892439"/>
    <w:rsid w:val="08EB30F3"/>
    <w:rsid w:val="09237408"/>
    <w:rsid w:val="09781BD6"/>
    <w:rsid w:val="09F359DF"/>
    <w:rsid w:val="0A575E65"/>
    <w:rsid w:val="0ACA0AB6"/>
    <w:rsid w:val="0B8271BF"/>
    <w:rsid w:val="0C032502"/>
    <w:rsid w:val="0C27698C"/>
    <w:rsid w:val="0CE353ED"/>
    <w:rsid w:val="0D4452F3"/>
    <w:rsid w:val="0F5E5042"/>
    <w:rsid w:val="0FE95707"/>
    <w:rsid w:val="1033231B"/>
    <w:rsid w:val="10510571"/>
    <w:rsid w:val="10787A20"/>
    <w:rsid w:val="108672DE"/>
    <w:rsid w:val="10CC40C1"/>
    <w:rsid w:val="10EC685A"/>
    <w:rsid w:val="11B00D0A"/>
    <w:rsid w:val="11FA6155"/>
    <w:rsid w:val="12CF0947"/>
    <w:rsid w:val="12F1313F"/>
    <w:rsid w:val="136C678E"/>
    <w:rsid w:val="13EB2FF5"/>
    <w:rsid w:val="14ED4CAC"/>
    <w:rsid w:val="151F32C1"/>
    <w:rsid w:val="15725168"/>
    <w:rsid w:val="15A46B04"/>
    <w:rsid w:val="165825BC"/>
    <w:rsid w:val="16BC5D73"/>
    <w:rsid w:val="176F36D7"/>
    <w:rsid w:val="1795226D"/>
    <w:rsid w:val="18456B1E"/>
    <w:rsid w:val="1B9545EB"/>
    <w:rsid w:val="1BA304D0"/>
    <w:rsid w:val="1C1171C5"/>
    <w:rsid w:val="1D265138"/>
    <w:rsid w:val="1D7B6BCA"/>
    <w:rsid w:val="1DA41A79"/>
    <w:rsid w:val="1DF53469"/>
    <w:rsid w:val="1E2F24F2"/>
    <w:rsid w:val="1E58492F"/>
    <w:rsid w:val="1E5B6757"/>
    <w:rsid w:val="1ED10AC6"/>
    <w:rsid w:val="1F89225F"/>
    <w:rsid w:val="1F900A1F"/>
    <w:rsid w:val="1FB07E05"/>
    <w:rsid w:val="1FC0575D"/>
    <w:rsid w:val="206132C7"/>
    <w:rsid w:val="21484F20"/>
    <w:rsid w:val="21B00C1D"/>
    <w:rsid w:val="22944C07"/>
    <w:rsid w:val="23031BEB"/>
    <w:rsid w:val="23917691"/>
    <w:rsid w:val="244D65B8"/>
    <w:rsid w:val="245E1E24"/>
    <w:rsid w:val="25303581"/>
    <w:rsid w:val="25AD5E5D"/>
    <w:rsid w:val="26AA1ACC"/>
    <w:rsid w:val="2732478D"/>
    <w:rsid w:val="273B31FB"/>
    <w:rsid w:val="27661469"/>
    <w:rsid w:val="27900EAD"/>
    <w:rsid w:val="279B538A"/>
    <w:rsid w:val="286F545C"/>
    <w:rsid w:val="29314FBC"/>
    <w:rsid w:val="293E4198"/>
    <w:rsid w:val="2AA2081A"/>
    <w:rsid w:val="2C024B86"/>
    <w:rsid w:val="2C927671"/>
    <w:rsid w:val="2CC6306F"/>
    <w:rsid w:val="2D355E3C"/>
    <w:rsid w:val="2D7C5CD6"/>
    <w:rsid w:val="2E483E7E"/>
    <w:rsid w:val="2E690493"/>
    <w:rsid w:val="2E9854BD"/>
    <w:rsid w:val="2F0D407F"/>
    <w:rsid w:val="2F454B19"/>
    <w:rsid w:val="304E00A2"/>
    <w:rsid w:val="310224D9"/>
    <w:rsid w:val="31B4621C"/>
    <w:rsid w:val="31E3230A"/>
    <w:rsid w:val="330957E0"/>
    <w:rsid w:val="33356F64"/>
    <w:rsid w:val="335F682B"/>
    <w:rsid w:val="33944516"/>
    <w:rsid w:val="33FC7FC0"/>
    <w:rsid w:val="34B62907"/>
    <w:rsid w:val="36BD137C"/>
    <w:rsid w:val="36CE0624"/>
    <w:rsid w:val="38053EDF"/>
    <w:rsid w:val="380812A4"/>
    <w:rsid w:val="385D37E7"/>
    <w:rsid w:val="38782EDD"/>
    <w:rsid w:val="399A59A4"/>
    <w:rsid w:val="3B42664A"/>
    <w:rsid w:val="3CAD1E92"/>
    <w:rsid w:val="3D836A4E"/>
    <w:rsid w:val="3EA37E97"/>
    <w:rsid w:val="3EEB5E2F"/>
    <w:rsid w:val="3FBE0BC5"/>
    <w:rsid w:val="4048103A"/>
    <w:rsid w:val="40736643"/>
    <w:rsid w:val="407A287E"/>
    <w:rsid w:val="40D24A7A"/>
    <w:rsid w:val="42621029"/>
    <w:rsid w:val="430840BF"/>
    <w:rsid w:val="43424558"/>
    <w:rsid w:val="435241E2"/>
    <w:rsid w:val="43975C51"/>
    <w:rsid w:val="439E3FA7"/>
    <w:rsid w:val="43A70BAF"/>
    <w:rsid w:val="44403C9E"/>
    <w:rsid w:val="44B32266"/>
    <w:rsid w:val="44FC64F4"/>
    <w:rsid w:val="45AC718B"/>
    <w:rsid w:val="467F4585"/>
    <w:rsid w:val="470628CB"/>
    <w:rsid w:val="4729480B"/>
    <w:rsid w:val="47555BD4"/>
    <w:rsid w:val="47BC2DB1"/>
    <w:rsid w:val="47E96399"/>
    <w:rsid w:val="47F76025"/>
    <w:rsid w:val="486E33F5"/>
    <w:rsid w:val="48E12B50"/>
    <w:rsid w:val="497D63FE"/>
    <w:rsid w:val="499441BE"/>
    <w:rsid w:val="499A6C1C"/>
    <w:rsid w:val="49BD611A"/>
    <w:rsid w:val="4A195607"/>
    <w:rsid w:val="4A2138F0"/>
    <w:rsid w:val="4A583887"/>
    <w:rsid w:val="4B9F6E02"/>
    <w:rsid w:val="4C89637B"/>
    <w:rsid w:val="4D3C634C"/>
    <w:rsid w:val="4D7F1E58"/>
    <w:rsid w:val="4E6E48A8"/>
    <w:rsid w:val="4EEC036B"/>
    <w:rsid w:val="4F714FA1"/>
    <w:rsid w:val="4F9654F7"/>
    <w:rsid w:val="501D2673"/>
    <w:rsid w:val="50C80BF1"/>
    <w:rsid w:val="5141415C"/>
    <w:rsid w:val="51852833"/>
    <w:rsid w:val="52F11AC8"/>
    <w:rsid w:val="534F49D9"/>
    <w:rsid w:val="53555F0F"/>
    <w:rsid w:val="535D23D5"/>
    <w:rsid w:val="53AE40CE"/>
    <w:rsid w:val="53B1384B"/>
    <w:rsid w:val="56F4341A"/>
    <w:rsid w:val="57245F79"/>
    <w:rsid w:val="575A7321"/>
    <w:rsid w:val="580C3AB9"/>
    <w:rsid w:val="583C7AE0"/>
    <w:rsid w:val="586C1E9A"/>
    <w:rsid w:val="586E0800"/>
    <w:rsid w:val="59216F96"/>
    <w:rsid w:val="598C4145"/>
    <w:rsid w:val="59957D1B"/>
    <w:rsid w:val="59D4294E"/>
    <w:rsid w:val="5B634312"/>
    <w:rsid w:val="5B9D2CCD"/>
    <w:rsid w:val="5B9E71EA"/>
    <w:rsid w:val="5E226FBC"/>
    <w:rsid w:val="5EF87417"/>
    <w:rsid w:val="5F92193A"/>
    <w:rsid w:val="5FE72BD2"/>
    <w:rsid w:val="60120613"/>
    <w:rsid w:val="607131C5"/>
    <w:rsid w:val="618D5292"/>
    <w:rsid w:val="62143C96"/>
    <w:rsid w:val="622E78FA"/>
    <w:rsid w:val="62441633"/>
    <w:rsid w:val="63343F70"/>
    <w:rsid w:val="6377272F"/>
    <w:rsid w:val="63AE571B"/>
    <w:rsid w:val="63C139AA"/>
    <w:rsid w:val="64296E1C"/>
    <w:rsid w:val="64386FCC"/>
    <w:rsid w:val="649E64A2"/>
    <w:rsid w:val="65D317B3"/>
    <w:rsid w:val="65E5270A"/>
    <w:rsid w:val="663D3C54"/>
    <w:rsid w:val="667A6962"/>
    <w:rsid w:val="66862C89"/>
    <w:rsid w:val="66BB486D"/>
    <w:rsid w:val="66D24457"/>
    <w:rsid w:val="67394C7D"/>
    <w:rsid w:val="68126B38"/>
    <w:rsid w:val="68291A1A"/>
    <w:rsid w:val="68352BB8"/>
    <w:rsid w:val="691327EB"/>
    <w:rsid w:val="691B1594"/>
    <w:rsid w:val="693A016B"/>
    <w:rsid w:val="6A17429C"/>
    <w:rsid w:val="6A567EA3"/>
    <w:rsid w:val="6B4B4368"/>
    <w:rsid w:val="6B79100E"/>
    <w:rsid w:val="6C7D3B09"/>
    <w:rsid w:val="6C844C00"/>
    <w:rsid w:val="6C9B0E39"/>
    <w:rsid w:val="6E10212C"/>
    <w:rsid w:val="6E43561A"/>
    <w:rsid w:val="6E557973"/>
    <w:rsid w:val="6E7A7577"/>
    <w:rsid w:val="6E9568DB"/>
    <w:rsid w:val="6F0D6C22"/>
    <w:rsid w:val="6F47657F"/>
    <w:rsid w:val="6FAF23D9"/>
    <w:rsid w:val="70635CF6"/>
    <w:rsid w:val="70670707"/>
    <w:rsid w:val="720E3691"/>
    <w:rsid w:val="7249173A"/>
    <w:rsid w:val="724E244C"/>
    <w:rsid w:val="72DA6946"/>
    <w:rsid w:val="732764B3"/>
    <w:rsid w:val="73900D29"/>
    <w:rsid w:val="73A34E7A"/>
    <w:rsid w:val="74026044"/>
    <w:rsid w:val="74325A77"/>
    <w:rsid w:val="74746410"/>
    <w:rsid w:val="74794281"/>
    <w:rsid w:val="757E0B02"/>
    <w:rsid w:val="75C8506C"/>
    <w:rsid w:val="75E5007C"/>
    <w:rsid w:val="76CD25F5"/>
    <w:rsid w:val="77636B63"/>
    <w:rsid w:val="77813724"/>
    <w:rsid w:val="77861774"/>
    <w:rsid w:val="78F31435"/>
    <w:rsid w:val="79300B45"/>
    <w:rsid w:val="793519E3"/>
    <w:rsid w:val="794D3E18"/>
    <w:rsid w:val="79F3729A"/>
    <w:rsid w:val="7A880722"/>
    <w:rsid w:val="7ABE6120"/>
    <w:rsid w:val="7ACB0498"/>
    <w:rsid w:val="7AD93EE7"/>
    <w:rsid w:val="7AED0B4D"/>
    <w:rsid w:val="7B821819"/>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line="560" w:lineRule="exact"/>
      <w:ind w:firstLine="964"/>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cs="Times New Roman"/>
    </w:rPr>
  </w:style>
  <w:style w:type="paragraph" w:styleId="13">
    <w:name w:val="Normal (Web)"/>
    <w:basedOn w:val="1"/>
    <w:qFormat/>
    <w:uiPriority w:val="0"/>
    <w:pPr>
      <w:spacing w:beforeAutospacing="1" w:after="0" w:afterAutospacing="1"/>
      <w:jc w:val="left"/>
    </w:pPr>
    <w:rPr>
      <w:rFonts w:cs="Times New Roman"/>
      <w:kern w:val="0"/>
      <w:sz w:val="24"/>
    </w:rPr>
  </w:style>
  <w:style w:type="paragraph" w:styleId="14">
    <w:name w:val="Title"/>
    <w:basedOn w:val="1"/>
    <w:next w:val="1"/>
    <w:qFormat/>
    <w:uiPriority w:val="0"/>
    <w:pPr>
      <w:spacing w:before="240" w:after="60"/>
      <w:jc w:val="left"/>
      <w:outlineLvl w:val="0"/>
    </w:pPr>
    <w:rPr>
      <w:rFonts w:ascii="MS Sans Serif" w:hAnsi="MS Sans Serif" w:cs="MS Sans Serif"/>
      <w:b/>
      <w:bCs/>
      <w:sz w:val="24"/>
      <w:szCs w:val="32"/>
    </w:rPr>
  </w:style>
  <w:style w:type="paragraph" w:styleId="15">
    <w:name w:val="Body Text First Indent"/>
    <w:basedOn w:val="6"/>
    <w:qFormat/>
    <w:uiPriority w:val="0"/>
    <w:pPr>
      <w:spacing w:after="0"/>
      <w:ind w:firstLine="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字符"/>
    <w:link w:val="3"/>
    <w:qFormat/>
    <w:uiPriority w:val="0"/>
    <w:rPr>
      <w:rFonts w:ascii="Arial" w:hAnsi="Arial" w:eastAsia="楷体"/>
      <w:b/>
      <w:sz w:val="32"/>
    </w:rPr>
  </w:style>
  <w:style w:type="paragraph" w:customStyle="1" w:styleId="21">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 w:type="character" w:customStyle="1" w:styleId="26">
    <w:name w:val="font3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10651</Words>
  <Characters>11327</Characters>
  <Lines>26</Lines>
  <Paragraphs>34</Paragraphs>
  <TotalTime>4</TotalTime>
  <ScaleCrop>false</ScaleCrop>
  <LinksUpToDate>false</LinksUpToDate>
  <CharactersWithSpaces>11405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2025-10-23T04:08:54Z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