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F0AE68">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7CAC67A2">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44BFEE56">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43AD1214">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40"/>
          <w:szCs w:val="40"/>
          <w:highlight w:val="none"/>
          <w:shd w:val="clear" w:color="auto" w:fill="auto"/>
        </w:rPr>
      </w:pPr>
      <w:bookmarkStart w:id="0" w:name="_Toc15679"/>
      <w:bookmarkStart w:id="1" w:name="_Toc25575"/>
      <w:bookmarkStart w:id="2" w:name="_Toc29123"/>
      <w:bookmarkStart w:id="3" w:name="_Toc1949"/>
      <w:r>
        <w:rPr>
          <w:rFonts w:hint="eastAsia" w:cs="宋体"/>
          <w:b/>
          <w:bCs/>
          <w:color w:val="auto"/>
          <w:sz w:val="40"/>
          <w:szCs w:val="40"/>
          <w:highlight w:val="none"/>
          <w:shd w:val="clear" w:color="auto" w:fill="auto"/>
          <w:lang w:val="en-US" w:eastAsia="zh-CN"/>
        </w:rPr>
        <w:t>厦小昌州财教【2023】90号（保民生）提前下达2024年城乡义务教育补助经费（中央直达资金）公用经费小学</w:t>
      </w:r>
      <w:r>
        <w:rPr>
          <w:rFonts w:hint="eastAsia" w:ascii="宋体" w:hAnsi="宋体" w:eastAsia="宋体" w:cs="宋体"/>
          <w:b/>
          <w:bCs/>
          <w:color w:val="auto"/>
          <w:sz w:val="40"/>
          <w:szCs w:val="40"/>
          <w:highlight w:val="none"/>
          <w:shd w:val="clear" w:color="auto" w:fill="auto"/>
          <w:lang w:val="en-US" w:eastAsia="zh-CN"/>
        </w:rPr>
        <w:t>项目</w:t>
      </w:r>
      <w:r>
        <w:rPr>
          <w:rFonts w:hint="eastAsia" w:ascii="宋体" w:hAnsi="宋体" w:eastAsia="宋体" w:cs="宋体"/>
          <w:b/>
          <w:bCs/>
          <w:color w:val="auto"/>
          <w:sz w:val="40"/>
          <w:szCs w:val="40"/>
          <w:highlight w:val="none"/>
          <w:shd w:val="clear" w:color="auto" w:fill="auto"/>
        </w:rPr>
        <w:t>支出绩效评价报告</w:t>
      </w:r>
      <w:bookmarkEnd w:id="0"/>
      <w:bookmarkEnd w:id="1"/>
      <w:bookmarkEnd w:id="2"/>
      <w:bookmarkEnd w:id="3"/>
    </w:p>
    <w:p w14:paraId="752F74EA">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0CD1B4A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369B6B0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323ADF1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7F885D8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5186D21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011AEEBC">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04DEBCBB">
      <w:pPr>
        <w:spacing w:line="360" w:lineRule="auto"/>
        <w:ind w:firstLine="0" w:firstLineChars="0"/>
        <w:jc w:val="left"/>
        <w:rPr>
          <w:rFonts w:hint="eastAsia" w:ascii="黑体" w:hAnsi="Times New Roman" w:eastAsia="黑体"/>
          <w:b w:val="0"/>
          <w:bCs/>
          <w:color w:val="000000"/>
          <w:sz w:val="30"/>
          <w:szCs w:val="30"/>
          <w:lang w:eastAsia="zh-CN"/>
        </w:rPr>
      </w:pPr>
      <w:r>
        <w:rPr>
          <w:rFonts w:hint="eastAsia" w:ascii="黑体" w:hAnsi="Times New Roman" w:eastAsia="黑体"/>
          <w:b w:val="0"/>
          <w:bCs/>
          <w:color w:val="000000"/>
          <w:sz w:val="30"/>
          <w:szCs w:val="30"/>
        </w:rPr>
        <w:t>项目名称：</w:t>
      </w:r>
      <w:r>
        <w:rPr>
          <w:rFonts w:hint="eastAsia" w:ascii="黑体" w:hAnsi="Times New Roman" w:eastAsia="黑体"/>
          <w:b w:val="0"/>
          <w:bCs/>
          <w:color w:val="000000"/>
          <w:sz w:val="30"/>
          <w:szCs w:val="30"/>
          <w:lang w:eastAsia="zh-CN"/>
        </w:rPr>
        <w:t>厦小昌州财教【2023】90号（保民生）提前下达2024年城乡义务教育补助经费（中央直达资金）公用经费小学</w:t>
      </w:r>
    </w:p>
    <w:p w14:paraId="436832E8">
      <w:pPr>
        <w:spacing w:line="360" w:lineRule="auto"/>
        <w:ind w:firstLine="0" w:firstLineChars="0"/>
        <w:jc w:val="left"/>
        <w:rPr>
          <w:rFonts w:hint="eastAsia" w:ascii="黑体" w:hAnsi="Times New Roman" w:eastAsia="黑体"/>
          <w:b w:val="0"/>
          <w:bCs/>
          <w:color w:val="000000"/>
          <w:sz w:val="30"/>
          <w:szCs w:val="30"/>
          <w:lang w:val="en-US" w:eastAsia="zh-CN"/>
        </w:rPr>
      </w:pPr>
      <w:r>
        <w:rPr>
          <w:rFonts w:hint="eastAsia" w:ascii="黑体" w:hAnsi="Times New Roman" w:eastAsia="黑体"/>
          <w:b w:val="0"/>
          <w:bCs/>
          <w:color w:val="000000"/>
          <w:sz w:val="30"/>
          <w:szCs w:val="30"/>
        </w:rPr>
        <w:t>实施单位：</w:t>
      </w:r>
      <w:r>
        <w:rPr>
          <w:rFonts w:hint="eastAsia" w:ascii="黑体" w:hAnsi="Times New Roman" w:eastAsia="黑体"/>
          <w:b w:val="0"/>
          <w:bCs/>
          <w:color w:val="000000"/>
          <w:sz w:val="30"/>
          <w:szCs w:val="30"/>
          <w:lang w:val="en-US" w:eastAsia="zh-CN"/>
        </w:rPr>
        <w:t>阜康市厦门实验小学</w:t>
      </w:r>
    </w:p>
    <w:p w14:paraId="32568B12">
      <w:pPr>
        <w:spacing w:line="360" w:lineRule="auto"/>
        <w:ind w:firstLine="0" w:firstLineChars="0"/>
        <w:jc w:val="left"/>
        <w:rPr>
          <w:rFonts w:hint="eastAsia" w:ascii="黑体" w:hAnsi="Times New Roman" w:eastAsia="黑体"/>
          <w:b w:val="0"/>
          <w:bCs/>
          <w:color w:val="000000"/>
          <w:sz w:val="30"/>
          <w:szCs w:val="30"/>
          <w:lang w:eastAsia="zh-CN"/>
        </w:rPr>
      </w:pPr>
      <w:r>
        <w:rPr>
          <w:rFonts w:hint="eastAsia" w:ascii="黑体" w:hAnsi="Times New Roman" w:eastAsia="黑体"/>
          <w:b w:val="0"/>
          <w:bCs/>
          <w:color w:val="000000"/>
          <w:sz w:val="30"/>
          <w:szCs w:val="30"/>
        </w:rPr>
        <w:t>主管部门：</w:t>
      </w:r>
      <w:r>
        <w:rPr>
          <w:rFonts w:hint="eastAsia" w:ascii="黑体" w:hAnsi="Times New Roman" w:eastAsia="黑体"/>
          <w:b w:val="0"/>
          <w:bCs/>
          <w:color w:val="000000"/>
          <w:sz w:val="30"/>
          <w:szCs w:val="30"/>
          <w:lang w:eastAsia="zh-CN"/>
        </w:rPr>
        <w:t>阜康市教育局</w:t>
      </w:r>
    </w:p>
    <w:p w14:paraId="31354994">
      <w:pPr>
        <w:spacing w:line="360" w:lineRule="auto"/>
        <w:ind w:firstLine="0" w:firstLineChars="0"/>
        <w:jc w:val="left"/>
        <w:rPr>
          <w:rFonts w:hint="default" w:ascii="黑体" w:hAnsi="Times New Roman" w:eastAsia="黑体"/>
          <w:b w:val="0"/>
          <w:bCs/>
          <w:color w:val="000000"/>
          <w:sz w:val="30"/>
          <w:szCs w:val="30"/>
          <w:lang w:val="en-US" w:eastAsia="zh-CN"/>
        </w:rPr>
      </w:pPr>
      <w:r>
        <w:rPr>
          <w:rFonts w:hint="eastAsia" w:ascii="黑体" w:hAnsi="Times New Roman" w:eastAsia="黑体"/>
          <w:b w:val="0"/>
          <w:bCs/>
          <w:color w:val="000000"/>
          <w:sz w:val="30"/>
          <w:szCs w:val="30"/>
          <w:lang w:eastAsia="zh-CN"/>
        </w:rPr>
        <w:t>项目负责人：马娟</w:t>
      </w:r>
    </w:p>
    <w:p w14:paraId="53914921">
      <w:pPr>
        <w:spacing w:line="360" w:lineRule="auto"/>
        <w:ind w:firstLine="0" w:firstLineChars="0"/>
        <w:jc w:val="left"/>
        <w:rPr>
          <w:rFonts w:hint="default"/>
          <w:b w:val="0"/>
          <w:bCs/>
          <w:color w:val="auto"/>
          <w:lang w:val="en-US" w:eastAsia="zh-CN"/>
        </w:rPr>
      </w:pPr>
      <w:r>
        <w:rPr>
          <w:rFonts w:hint="eastAsia" w:ascii="黑体" w:hAnsi="Times New Roman" w:eastAsia="黑体"/>
          <w:b w:val="0"/>
          <w:bCs/>
          <w:color w:val="auto"/>
          <w:sz w:val="30"/>
          <w:szCs w:val="30"/>
          <w:lang w:eastAsia="zh-CN"/>
        </w:rPr>
        <w:t>填报时间：</w:t>
      </w:r>
      <w:r>
        <w:rPr>
          <w:rFonts w:hint="eastAsia" w:ascii="黑体" w:hAnsi="Times New Roman" w:eastAsia="黑体"/>
          <w:b w:val="0"/>
          <w:bCs/>
          <w:color w:val="auto"/>
          <w:sz w:val="30"/>
          <w:szCs w:val="30"/>
          <w:lang w:val="en-US" w:eastAsia="zh-CN"/>
        </w:rPr>
        <w:t>2025年3月31日</w:t>
      </w:r>
    </w:p>
    <w:p w14:paraId="40945534">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p>
    <w:p w14:paraId="706C1D3D">
      <w:pPr>
        <w:pageBreakBefore w:val="0"/>
        <w:kinsoku/>
        <w:wordWrap/>
        <w:overflowPunct/>
        <w:topLinePunct w:val="0"/>
        <w:autoSpaceDE/>
        <w:autoSpaceDN/>
        <w:bidi w:val="0"/>
        <w:spacing w:line="560" w:lineRule="exact"/>
        <w:textAlignment w:val="auto"/>
        <w:rPr>
          <w:rFonts w:hint="eastAsia"/>
          <w:lang w:val="en-US" w:eastAsia="zh-CN"/>
        </w:rPr>
      </w:pPr>
      <w:r>
        <w:rPr>
          <w:rFonts w:hint="eastAsia"/>
          <w:lang w:val="en-US" w:eastAsia="zh-CN"/>
        </w:rPr>
        <w:br w:type="page"/>
      </w:r>
    </w:p>
    <w:p w14:paraId="1A7BA882">
      <w:pPr>
        <w:pageBreakBefore w:val="0"/>
        <w:kinsoku/>
        <w:wordWrap/>
        <w:overflowPunct/>
        <w:topLinePunct w:val="0"/>
        <w:autoSpaceDE/>
        <w:autoSpaceDN/>
        <w:bidi w:val="0"/>
        <w:spacing w:line="560" w:lineRule="exact"/>
        <w:textAlignment w:val="auto"/>
        <w:rPr>
          <w:rFonts w:hint="eastAsia"/>
          <w:lang w:val="en-US" w:eastAsia="zh-CN"/>
        </w:rPr>
      </w:pPr>
    </w:p>
    <w:sdt>
      <w:sdtPr>
        <w:rPr>
          <w:rFonts w:ascii="宋体" w:hAnsi="宋体" w:eastAsia="宋体" w:cs="宋体"/>
          <w:b/>
          <w:bCs/>
          <w:kern w:val="2"/>
          <w:sz w:val="28"/>
          <w:szCs w:val="40"/>
          <w:lang w:val="en-US" w:eastAsia="zh-CN" w:bidi="ar-SA"/>
        </w:rPr>
        <w:id w:val="147474046"/>
        <w15:color w:val="DBDBDB"/>
        <w:docPartObj>
          <w:docPartGallery w:val="Table of Contents"/>
          <w:docPartUnique/>
        </w:docPartObj>
      </w:sdtPr>
      <w:sdtEndPr>
        <w:rPr>
          <w:rFonts w:hint="eastAsia" w:ascii="宋体" w:hAnsi="宋体" w:eastAsia="宋体" w:cs="宋体"/>
          <w:b/>
          <w:bCs/>
          <w:kern w:val="2"/>
          <w:sz w:val="28"/>
          <w:szCs w:val="28"/>
          <w:lang w:val="en-US" w:eastAsia="zh-CN" w:bidi="ar-SA"/>
        </w:rPr>
      </w:sdtEndPr>
      <w:sdtContent>
        <w:p w14:paraId="49AE021A">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sz w:val="40"/>
              <w:szCs w:val="40"/>
              <w:highlight w:val="none"/>
            </w:rPr>
          </w:pPr>
          <w:r>
            <w:rPr>
              <w:rFonts w:ascii="宋体" w:hAnsi="宋体" w:eastAsia="宋体"/>
              <w:b/>
              <w:bCs/>
              <w:sz w:val="40"/>
              <w:szCs w:val="40"/>
              <w:highlight w:val="none"/>
            </w:rPr>
            <w:t>目录</w:t>
          </w:r>
        </w:p>
        <w:p w14:paraId="2882AC3B">
          <w:pPr>
            <w:pStyle w:val="10"/>
            <w:tabs>
              <w:tab w:val="right" w:leader="dot" w:pos="8844"/>
            </w:tabs>
          </w:pPr>
          <w:r>
            <w:rPr>
              <w:rFonts w:hint="eastAsia"/>
              <w:sz w:val="28"/>
              <w:szCs w:val="28"/>
              <w:lang w:val="en-US" w:eastAsia="zh-CN"/>
            </w:rPr>
            <w:fldChar w:fldCharType="begin"/>
          </w:r>
          <w:r>
            <w:rPr>
              <w:rFonts w:hint="eastAsia"/>
              <w:sz w:val="28"/>
              <w:szCs w:val="28"/>
              <w:lang w:val="en-US" w:eastAsia="zh-CN"/>
            </w:rPr>
            <w:instrText xml:space="preserve">TOC \o "1-3" \h \u </w:instrText>
          </w:r>
          <w:r>
            <w:rPr>
              <w:rFonts w:hint="eastAsia"/>
              <w:sz w:val="28"/>
              <w:szCs w:val="28"/>
              <w:lang w:val="en-US" w:eastAsia="zh-CN"/>
            </w:rPr>
            <w:fldChar w:fldCharType="separate"/>
          </w:r>
        </w:p>
        <w:p w14:paraId="51CB5FA9">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_Toc18485 </w:instrText>
          </w:r>
          <w:r>
            <w:rPr>
              <w:rFonts w:hint="eastAsia"/>
              <w:szCs w:val="28"/>
              <w:lang w:val="en-US" w:eastAsia="zh-CN"/>
            </w:rPr>
            <w:fldChar w:fldCharType="separate"/>
          </w:r>
          <w:r>
            <w:rPr>
              <w:rFonts w:hint="eastAsia" w:ascii="黑体" w:hAnsi="黑体" w:eastAsia="黑体" w:cs="黑体"/>
              <w:bCs w:val="0"/>
              <w:highlight w:val="none"/>
              <w:shd w:val="clear" w:color="auto" w:fill="auto"/>
            </w:rPr>
            <w:t>一、基本情况</w:t>
          </w:r>
          <w:r>
            <w:tab/>
          </w:r>
          <w:r>
            <w:fldChar w:fldCharType="begin"/>
          </w:r>
          <w:r>
            <w:instrText xml:space="preserve"> PAGEREF _Toc18485 \h </w:instrText>
          </w:r>
          <w:r>
            <w:fldChar w:fldCharType="separate"/>
          </w:r>
          <w:r>
            <w:t>1</w:t>
          </w:r>
          <w:r>
            <w:fldChar w:fldCharType="end"/>
          </w:r>
          <w:r>
            <w:rPr>
              <w:rFonts w:hint="eastAsia"/>
              <w:szCs w:val="28"/>
              <w:lang w:val="en-US" w:eastAsia="zh-CN"/>
            </w:rPr>
            <w:fldChar w:fldCharType="end"/>
          </w:r>
        </w:p>
        <w:p w14:paraId="5BC6D660">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_Toc23184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（一）项目概况</w:t>
          </w:r>
          <w:r>
            <w:tab/>
          </w:r>
          <w:r>
            <w:fldChar w:fldCharType="begin"/>
          </w:r>
          <w:r>
            <w:instrText xml:space="preserve"> PAGEREF _Toc23184 \h </w:instrText>
          </w:r>
          <w:r>
            <w:fldChar w:fldCharType="separate"/>
          </w:r>
          <w:r>
            <w:t>1</w:t>
          </w:r>
          <w:r>
            <w:fldChar w:fldCharType="end"/>
          </w:r>
          <w:r>
            <w:rPr>
              <w:rFonts w:hint="eastAsia"/>
              <w:szCs w:val="28"/>
              <w:lang w:val="en-US" w:eastAsia="zh-CN"/>
            </w:rPr>
            <w:fldChar w:fldCharType="end"/>
          </w:r>
        </w:p>
        <w:p w14:paraId="556AC864">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_Toc9109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（二）项目绩效目标</w:t>
          </w:r>
          <w:r>
            <w:tab/>
          </w:r>
          <w:r>
            <w:fldChar w:fldCharType="begin"/>
          </w:r>
          <w:r>
            <w:instrText xml:space="preserve"> PAGEREF _Toc9109 \h </w:instrText>
          </w:r>
          <w:r>
            <w:fldChar w:fldCharType="separate"/>
          </w:r>
          <w:r>
            <w:t>2</w:t>
          </w:r>
          <w:r>
            <w:fldChar w:fldCharType="end"/>
          </w:r>
          <w:r>
            <w:rPr>
              <w:rFonts w:hint="eastAsia"/>
              <w:szCs w:val="28"/>
              <w:lang w:val="en-US" w:eastAsia="zh-CN"/>
            </w:rPr>
            <w:fldChar w:fldCharType="end"/>
          </w:r>
        </w:p>
        <w:p w14:paraId="51B5ABF7">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_Toc26567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rPr>
            <w:t>二、绩效评价工作开展情况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_Toc26567 \h </w:instrText>
          </w:r>
          <w:r>
            <w:rPr>
              <w:rFonts w:hint="eastAsia" w:ascii="黑体" w:hAnsi="黑体" w:eastAsia="黑体" w:cs="黑体"/>
            </w:rPr>
            <w:fldChar w:fldCharType="separate"/>
          </w:r>
          <w:r>
            <w:rPr>
              <w:rFonts w:hint="eastAsia" w:ascii="黑体" w:hAnsi="黑体" w:eastAsia="黑体" w:cs="黑体"/>
            </w:rPr>
            <w:t>4</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7BD1026E">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_Toc22839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（一）绩效评价的目的、对象和范围</w:t>
          </w:r>
          <w:r>
            <w:tab/>
          </w:r>
          <w:r>
            <w:fldChar w:fldCharType="begin"/>
          </w:r>
          <w:r>
            <w:instrText xml:space="preserve"> PAGEREF _Toc22839 \h </w:instrText>
          </w:r>
          <w:r>
            <w:fldChar w:fldCharType="separate"/>
          </w:r>
          <w:r>
            <w:t>4</w:t>
          </w:r>
          <w:r>
            <w:fldChar w:fldCharType="end"/>
          </w:r>
          <w:r>
            <w:rPr>
              <w:rFonts w:hint="eastAsia"/>
              <w:szCs w:val="28"/>
              <w:lang w:val="en-US" w:eastAsia="zh-CN"/>
            </w:rPr>
            <w:fldChar w:fldCharType="end"/>
          </w:r>
        </w:p>
        <w:p w14:paraId="1EA52A5B">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_Toc29785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（二）绩效评价原则、评价指标体系（</w:t>
          </w:r>
          <w:r>
            <w:rPr>
              <w:rFonts w:hint="default" w:ascii="Times New Roman" w:hAnsi="Times New Roman" w:eastAsia="楷体_GB2312" w:cs="Times New Roman"/>
              <w:kern w:val="28"/>
              <w:lang w:val="en-US" w:eastAsia="zh-CN"/>
            </w:rPr>
            <w:t>详情见</w:t>
          </w:r>
          <w:r>
            <w:rPr>
              <w:rFonts w:hint="eastAsia" w:ascii="Times New Roman" w:hAnsi="Times New Roman" w:eastAsia="楷体_GB2312" w:cs="Times New Roman"/>
              <w:kern w:val="28"/>
              <w:lang w:val="en-US" w:eastAsia="zh-CN"/>
            </w:rPr>
            <w:t>附件二）、评价方法、评价标准</w:t>
          </w:r>
          <w:r>
            <w:tab/>
          </w:r>
          <w:r>
            <w:fldChar w:fldCharType="begin"/>
          </w:r>
          <w:r>
            <w:instrText xml:space="preserve"> PAGEREF _Toc29785 \h </w:instrText>
          </w:r>
          <w:r>
            <w:fldChar w:fldCharType="separate"/>
          </w:r>
          <w:r>
            <w:t>8</w:t>
          </w:r>
          <w:r>
            <w:fldChar w:fldCharType="end"/>
          </w:r>
          <w:r>
            <w:rPr>
              <w:rFonts w:hint="eastAsia"/>
              <w:szCs w:val="28"/>
              <w:lang w:val="en-US" w:eastAsia="zh-CN"/>
            </w:rPr>
            <w:fldChar w:fldCharType="end"/>
          </w:r>
        </w:p>
        <w:p w14:paraId="1495CD76">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_Toc21435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（三）绩效评价工作过程</w:t>
          </w:r>
          <w:r>
            <w:tab/>
          </w:r>
          <w:r>
            <w:fldChar w:fldCharType="begin"/>
          </w:r>
          <w:r>
            <w:instrText xml:space="preserve"> PAGEREF _Toc21435 \h </w:instrText>
          </w:r>
          <w:r>
            <w:fldChar w:fldCharType="separate"/>
          </w:r>
          <w:r>
            <w:t>11</w:t>
          </w:r>
          <w:r>
            <w:fldChar w:fldCharType="end"/>
          </w:r>
          <w:r>
            <w:rPr>
              <w:rFonts w:hint="eastAsia"/>
              <w:szCs w:val="28"/>
              <w:lang w:val="en-US" w:eastAsia="zh-CN"/>
            </w:rPr>
            <w:fldChar w:fldCharType="end"/>
          </w:r>
        </w:p>
        <w:p w14:paraId="108BAB91">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_Toc19261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三、</w:t>
          </w:r>
          <w:r>
            <w:rPr>
              <w:rFonts w:hint="eastAsia" w:ascii="黑体" w:hAnsi="黑体" w:eastAsia="黑体" w:cs="黑体"/>
              <w:bCs w:val="0"/>
              <w:highlight w:val="none"/>
              <w:shd w:val="clear" w:color="auto" w:fill="auto"/>
            </w:rPr>
            <w:t>综合评价情况及评价结论</w:t>
          </w:r>
          <w:r>
            <w:tab/>
          </w:r>
          <w:r>
            <w:fldChar w:fldCharType="begin"/>
          </w:r>
          <w:r>
            <w:instrText xml:space="preserve"> PAGEREF _Toc19261 \h </w:instrText>
          </w:r>
          <w:r>
            <w:fldChar w:fldCharType="separate"/>
          </w:r>
          <w:r>
            <w:t>13</w:t>
          </w:r>
          <w:r>
            <w:fldChar w:fldCharType="end"/>
          </w:r>
          <w:r>
            <w:rPr>
              <w:rFonts w:hint="eastAsia"/>
              <w:szCs w:val="28"/>
              <w:lang w:val="en-US" w:eastAsia="zh-CN"/>
            </w:rPr>
            <w:fldChar w:fldCharType="end"/>
          </w:r>
        </w:p>
        <w:p w14:paraId="27837B4C">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_Toc23319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（一）综合评价情况及评价结论</w:t>
          </w:r>
          <w:r>
            <w:tab/>
          </w:r>
          <w:r>
            <w:fldChar w:fldCharType="begin"/>
          </w:r>
          <w:r>
            <w:instrText xml:space="preserve"> PAGEREF _Toc23319 \h </w:instrText>
          </w:r>
          <w:r>
            <w:fldChar w:fldCharType="separate"/>
          </w:r>
          <w:r>
            <w:t>13</w:t>
          </w:r>
          <w:r>
            <w:fldChar w:fldCharType="end"/>
          </w:r>
          <w:r>
            <w:rPr>
              <w:rFonts w:hint="eastAsia"/>
              <w:szCs w:val="28"/>
              <w:lang w:val="en-US" w:eastAsia="zh-CN"/>
            </w:rPr>
            <w:fldChar w:fldCharType="end"/>
          </w:r>
        </w:p>
        <w:p w14:paraId="334134C2">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_Toc11863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（二）相关评分表</w:t>
          </w:r>
          <w:r>
            <w:tab/>
          </w:r>
          <w:r>
            <w:fldChar w:fldCharType="begin"/>
          </w:r>
          <w:r>
            <w:instrText xml:space="preserve"> PAGEREF _Toc11863 \h </w:instrText>
          </w:r>
          <w:r>
            <w:fldChar w:fldCharType="separate"/>
          </w:r>
          <w:r>
            <w:t>14</w:t>
          </w:r>
          <w:r>
            <w:fldChar w:fldCharType="end"/>
          </w:r>
          <w:r>
            <w:rPr>
              <w:rFonts w:hint="eastAsia"/>
              <w:szCs w:val="28"/>
              <w:lang w:val="en-US" w:eastAsia="zh-CN"/>
            </w:rPr>
            <w:fldChar w:fldCharType="end"/>
          </w:r>
        </w:p>
        <w:p w14:paraId="46376DED">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_Toc14941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四、绩效评价指标分析</w:t>
          </w:r>
          <w:r>
            <w:tab/>
          </w:r>
          <w:r>
            <w:fldChar w:fldCharType="begin"/>
          </w:r>
          <w:r>
            <w:instrText xml:space="preserve"> PAGEREF _Toc14941 \h </w:instrText>
          </w:r>
          <w:r>
            <w:fldChar w:fldCharType="separate"/>
          </w:r>
          <w:r>
            <w:t>15</w:t>
          </w:r>
          <w:r>
            <w:fldChar w:fldCharType="end"/>
          </w:r>
          <w:r>
            <w:rPr>
              <w:rFonts w:hint="eastAsia"/>
              <w:szCs w:val="28"/>
              <w:lang w:val="en-US" w:eastAsia="zh-CN"/>
            </w:rPr>
            <w:fldChar w:fldCharType="end"/>
          </w:r>
        </w:p>
        <w:p w14:paraId="35F7DE06">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_Toc6759 </w:instrText>
          </w:r>
          <w:r>
            <w:rPr>
              <w:rFonts w:hint="eastAsia"/>
              <w:szCs w:val="28"/>
              <w:lang w:val="en-US" w:eastAsia="zh-CN"/>
            </w:rPr>
            <w:fldChar w:fldCharType="separate"/>
          </w:r>
          <w:r>
            <w:rPr>
              <w:rFonts w:hint="eastAsia" w:ascii="Times New Roman" w:hAnsi="Times New Roman" w:eastAsia="楷体_GB2312" w:cs="Times New Roman"/>
              <w:kern w:val="28"/>
            </w:rPr>
            <w:t>（一）项目决策情况</w:t>
          </w:r>
          <w:r>
            <w:tab/>
          </w:r>
          <w:r>
            <w:fldChar w:fldCharType="begin"/>
          </w:r>
          <w:r>
            <w:instrText xml:space="preserve"> PAGEREF _Toc6759 \h </w:instrText>
          </w:r>
          <w:r>
            <w:fldChar w:fldCharType="separate"/>
          </w:r>
          <w:r>
            <w:t>15</w:t>
          </w:r>
          <w:r>
            <w:fldChar w:fldCharType="end"/>
          </w:r>
          <w:r>
            <w:rPr>
              <w:rFonts w:hint="eastAsia"/>
              <w:szCs w:val="28"/>
              <w:lang w:val="en-US" w:eastAsia="zh-CN"/>
            </w:rPr>
            <w:fldChar w:fldCharType="end"/>
          </w:r>
        </w:p>
        <w:p w14:paraId="3580B47E">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_Toc10564 </w:instrText>
          </w:r>
          <w:r>
            <w:rPr>
              <w:rFonts w:hint="eastAsia"/>
              <w:szCs w:val="28"/>
              <w:lang w:val="en-US" w:eastAsia="zh-CN"/>
            </w:rPr>
            <w:fldChar w:fldCharType="separate"/>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lang w:val="en-US" w:eastAsia="zh-CN"/>
            </w:rPr>
            <w:t>二</w:t>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rPr>
            <w:t>项目过程情况</w:t>
          </w:r>
          <w:r>
            <w:tab/>
          </w:r>
          <w:r>
            <w:fldChar w:fldCharType="begin"/>
          </w:r>
          <w:r>
            <w:instrText xml:space="preserve"> PAGEREF _Toc10564 \h </w:instrText>
          </w:r>
          <w:r>
            <w:fldChar w:fldCharType="separate"/>
          </w:r>
          <w:r>
            <w:t>18</w:t>
          </w:r>
          <w:r>
            <w:fldChar w:fldCharType="end"/>
          </w:r>
          <w:r>
            <w:rPr>
              <w:rFonts w:hint="eastAsia"/>
              <w:szCs w:val="28"/>
              <w:lang w:val="en-US" w:eastAsia="zh-CN"/>
            </w:rPr>
            <w:fldChar w:fldCharType="end"/>
          </w:r>
        </w:p>
        <w:p w14:paraId="2BEC56C0">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_Toc2441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（三）项目产出情况</w:t>
          </w:r>
          <w:r>
            <w:tab/>
          </w:r>
          <w:r>
            <w:fldChar w:fldCharType="begin"/>
          </w:r>
          <w:r>
            <w:instrText xml:space="preserve"> PAGEREF _Toc2441 \h </w:instrText>
          </w:r>
          <w:r>
            <w:fldChar w:fldCharType="separate"/>
          </w:r>
          <w:r>
            <w:t>21</w:t>
          </w:r>
          <w:r>
            <w:fldChar w:fldCharType="end"/>
          </w:r>
          <w:r>
            <w:rPr>
              <w:rFonts w:hint="eastAsia"/>
              <w:szCs w:val="28"/>
              <w:lang w:val="en-US" w:eastAsia="zh-CN"/>
            </w:rPr>
            <w:fldChar w:fldCharType="end"/>
          </w:r>
        </w:p>
        <w:p w14:paraId="7902B00F">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_Toc19424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（四）项目效益情况</w:t>
          </w:r>
          <w:r>
            <w:tab/>
          </w:r>
          <w:r>
            <w:fldChar w:fldCharType="begin"/>
          </w:r>
          <w:r>
            <w:instrText xml:space="preserve"> PAGEREF _Toc19424 \h </w:instrText>
          </w:r>
          <w:r>
            <w:fldChar w:fldCharType="separate"/>
          </w:r>
          <w:r>
            <w:t>22</w:t>
          </w:r>
          <w:r>
            <w:fldChar w:fldCharType="end"/>
          </w:r>
          <w:r>
            <w:rPr>
              <w:rFonts w:hint="eastAsia"/>
              <w:szCs w:val="28"/>
              <w:lang w:val="en-US" w:eastAsia="zh-CN"/>
            </w:rPr>
            <w:fldChar w:fldCharType="end"/>
          </w:r>
        </w:p>
        <w:p w14:paraId="1912D793">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_Toc23313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（五）满意度指标完成情况分析</w:t>
          </w:r>
          <w:r>
            <w:tab/>
          </w:r>
          <w:r>
            <w:fldChar w:fldCharType="begin"/>
          </w:r>
          <w:r>
            <w:instrText xml:space="preserve"> PAGEREF _Toc23313 \h </w:instrText>
          </w:r>
          <w:r>
            <w:fldChar w:fldCharType="separate"/>
          </w:r>
          <w:r>
            <w:t>23</w:t>
          </w:r>
          <w:r>
            <w:fldChar w:fldCharType="end"/>
          </w:r>
          <w:r>
            <w:rPr>
              <w:rFonts w:hint="eastAsia"/>
              <w:szCs w:val="28"/>
              <w:lang w:val="en-US" w:eastAsia="zh-CN"/>
            </w:rPr>
            <w:fldChar w:fldCharType="end"/>
          </w:r>
        </w:p>
        <w:p w14:paraId="789FE2CD">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_Toc6622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五、主要经验及做法、存在的问题及原因分析</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_Toc6622 \h </w:instrText>
          </w:r>
          <w:r>
            <w:rPr>
              <w:rFonts w:hint="eastAsia" w:ascii="黑体" w:hAnsi="黑体" w:eastAsia="黑体" w:cs="黑体"/>
            </w:rPr>
            <w:fldChar w:fldCharType="separate"/>
          </w:r>
          <w:r>
            <w:rPr>
              <w:rFonts w:hint="eastAsia" w:ascii="黑体" w:hAnsi="黑体" w:eastAsia="黑体" w:cs="黑体"/>
            </w:rPr>
            <w:t>23</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0EEABCC0">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_Toc15449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（一）主要经验及做法</w:t>
          </w:r>
          <w:r>
            <w:tab/>
          </w:r>
          <w:r>
            <w:fldChar w:fldCharType="begin"/>
          </w:r>
          <w:r>
            <w:instrText xml:space="preserve"> PAGEREF _Toc15449 \h </w:instrText>
          </w:r>
          <w:r>
            <w:fldChar w:fldCharType="separate"/>
          </w:r>
          <w:r>
            <w:t>23</w:t>
          </w:r>
          <w:r>
            <w:fldChar w:fldCharType="end"/>
          </w:r>
          <w:r>
            <w:rPr>
              <w:rFonts w:hint="eastAsia"/>
              <w:szCs w:val="28"/>
              <w:lang w:val="en-US" w:eastAsia="zh-CN"/>
            </w:rPr>
            <w:fldChar w:fldCharType="end"/>
          </w:r>
        </w:p>
        <w:p w14:paraId="73A3BE09">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_Toc29168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（二）存在的问题及原因分析</w:t>
          </w:r>
          <w:r>
            <w:tab/>
          </w:r>
          <w:r>
            <w:fldChar w:fldCharType="begin"/>
          </w:r>
          <w:r>
            <w:instrText xml:space="preserve"> PAGEREF _Toc29168 \h </w:instrText>
          </w:r>
          <w:r>
            <w:fldChar w:fldCharType="separate"/>
          </w:r>
          <w:r>
            <w:t>23</w:t>
          </w:r>
          <w:r>
            <w:fldChar w:fldCharType="end"/>
          </w:r>
          <w:r>
            <w:rPr>
              <w:rFonts w:hint="eastAsia"/>
              <w:szCs w:val="28"/>
              <w:lang w:val="en-US" w:eastAsia="zh-CN"/>
            </w:rPr>
            <w:fldChar w:fldCharType="end"/>
          </w:r>
        </w:p>
        <w:p w14:paraId="331C12A0">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_Toc3333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六、有关建议</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_Toc3333 \h </w:instrText>
          </w:r>
          <w:r>
            <w:rPr>
              <w:rFonts w:hint="eastAsia" w:ascii="黑体" w:hAnsi="黑体" w:eastAsia="黑体" w:cs="黑体"/>
            </w:rPr>
            <w:fldChar w:fldCharType="separate"/>
          </w:r>
          <w:r>
            <w:rPr>
              <w:rFonts w:hint="eastAsia" w:ascii="黑体" w:hAnsi="黑体" w:eastAsia="黑体" w:cs="黑体"/>
            </w:rPr>
            <w:t>23</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5011657C">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_Toc14256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七、其他需要说明的问题</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_Toc14256 \h </w:instrText>
          </w:r>
          <w:r>
            <w:rPr>
              <w:rFonts w:hint="eastAsia" w:ascii="黑体" w:hAnsi="黑体" w:eastAsia="黑体" w:cs="黑体"/>
            </w:rPr>
            <w:fldChar w:fldCharType="separate"/>
          </w:r>
          <w:r>
            <w:rPr>
              <w:rFonts w:hint="eastAsia" w:ascii="黑体" w:hAnsi="黑体" w:eastAsia="黑体" w:cs="黑体"/>
            </w:rPr>
            <w:t>24</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7ABA5472">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_Toc28971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附件一、项目支出绩效自评表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_Toc28971 \h </w:instrText>
          </w:r>
          <w:r>
            <w:rPr>
              <w:rFonts w:hint="eastAsia" w:ascii="黑体" w:hAnsi="黑体" w:eastAsia="黑体" w:cs="黑体"/>
            </w:rPr>
            <w:fldChar w:fldCharType="separate"/>
          </w:r>
          <w:r>
            <w:rPr>
              <w:rFonts w:hint="eastAsia" w:ascii="黑体" w:hAnsi="黑体" w:eastAsia="黑体" w:cs="黑体"/>
            </w:rPr>
            <w:t>25</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285014D8">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_Toc11223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附件二、项目支出绩效评价指标体系打分表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_Toc11223 \h </w:instrText>
          </w:r>
          <w:r>
            <w:rPr>
              <w:rFonts w:hint="eastAsia" w:ascii="黑体" w:hAnsi="黑体" w:eastAsia="黑体" w:cs="黑体"/>
            </w:rPr>
            <w:fldChar w:fldCharType="separate"/>
          </w:r>
          <w:r>
            <w:rPr>
              <w:rFonts w:hint="eastAsia" w:ascii="黑体" w:hAnsi="黑体" w:eastAsia="黑体" w:cs="黑体"/>
            </w:rPr>
            <w:t>25</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6E8CD712">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lang w:val="en-US" w:eastAsia="zh-CN"/>
            </w:rPr>
            <w:sectPr>
              <w:pgSz w:w="11906" w:h="16838"/>
              <w:pgMar w:top="1928" w:right="1531" w:bottom="1701" w:left="1531" w:header="737" w:footer="851" w:gutter="0"/>
              <w:cols w:space="720" w:num="1"/>
              <w:docGrid w:type="lines" w:linePitch="408" w:charSpace="0"/>
            </w:sectPr>
          </w:pPr>
          <w:r>
            <w:rPr>
              <w:rFonts w:hint="eastAsia"/>
              <w:szCs w:val="28"/>
              <w:lang w:val="en-US" w:eastAsia="zh-CN"/>
            </w:rPr>
            <w:fldChar w:fldCharType="end"/>
          </w:r>
        </w:p>
      </w:sdtContent>
    </w:sdt>
    <w:p w14:paraId="141EB58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highlight w:val="none"/>
          <w:shd w:val="clear" w:color="auto" w:fill="auto"/>
        </w:rPr>
      </w:pPr>
      <w:bookmarkStart w:id="4" w:name="_Toc22946"/>
      <w:bookmarkStart w:id="5" w:name="_Toc3663"/>
      <w:bookmarkStart w:id="6" w:name="_Toc20432"/>
      <w:bookmarkStart w:id="7" w:name="_Toc1194"/>
      <w:r>
        <w:rPr>
          <w:rFonts w:hint="eastAsia" w:cs="宋体"/>
          <w:b/>
          <w:bCs/>
          <w:color w:val="auto"/>
          <w:sz w:val="36"/>
          <w:szCs w:val="36"/>
          <w:highlight w:val="none"/>
          <w:shd w:val="clear" w:color="auto" w:fill="auto"/>
          <w:lang w:val="en-US" w:eastAsia="zh-CN"/>
        </w:rPr>
        <w:t>厦小昌州财教【2023】90号（保民生）提前下达2024年城乡义务教育补助经费（中央直达资金）公用经费小学</w:t>
      </w:r>
      <w:r>
        <w:rPr>
          <w:rFonts w:hint="eastAsia" w:ascii="宋体" w:hAnsi="宋体" w:eastAsia="宋体" w:cs="宋体"/>
          <w:b/>
          <w:bCs/>
          <w:color w:val="auto"/>
          <w:sz w:val="36"/>
          <w:szCs w:val="36"/>
          <w:highlight w:val="none"/>
          <w:shd w:val="clear" w:color="auto" w:fill="auto"/>
        </w:rPr>
        <w:t>支出绩效评价报告</w:t>
      </w:r>
      <w:bookmarkEnd w:id="4"/>
      <w:bookmarkEnd w:id="5"/>
      <w:bookmarkEnd w:id="6"/>
      <w:bookmarkEnd w:id="7"/>
    </w:p>
    <w:p w14:paraId="1D0412C3">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8" w:name="_Toc18485"/>
      <w:r>
        <w:rPr>
          <w:rFonts w:hint="eastAsia" w:ascii="黑体" w:hAnsi="黑体" w:eastAsia="黑体" w:cs="黑体"/>
          <w:b w:val="0"/>
          <w:bCs w:val="0"/>
          <w:color w:val="auto"/>
          <w:highlight w:val="none"/>
          <w:shd w:val="clear" w:color="auto" w:fill="auto"/>
        </w:rPr>
        <w:t>一、基本情况</w:t>
      </w:r>
      <w:bookmarkEnd w:id="8"/>
    </w:p>
    <w:p w14:paraId="3D2BD06A">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9" w:name="_Toc23184"/>
      <w:r>
        <w:rPr>
          <w:rFonts w:hint="eastAsia" w:ascii="Times New Roman" w:hAnsi="Times New Roman" w:eastAsia="楷体_GB2312" w:cs="Times New Roman"/>
          <w:color w:val="auto"/>
          <w:kern w:val="28"/>
          <w:sz w:val="32"/>
          <w:lang w:val="en-US" w:eastAsia="zh-CN"/>
        </w:rPr>
        <w:t>（一）项目概况</w:t>
      </w:r>
      <w:bookmarkEnd w:id="9"/>
    </w:p>
    <w:p w14:paraId="625E81A0">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bookmarkStart w:id="10" w:name="_Toc10645"/>
      <w:bookmarkStart w:id="11" w:name="_Toc29812"/>
      <w:bookmarkStart w:id="12" w:name="_Toc22346"/>
      <w:bookmarkStart w:id="13" w:name="_Toc5043"/>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项目背景</w:t>
      </w:r>
      <w:bookmarkEnd w:id="10"/>
      <w:bookmarkEnd w:id="11"/>
      <w:bookmarkEnd w:id="12"/>
      <w:bookmarkEnd w:id="13"/>
    </w:p>
    <w:p w14:paraId="6F03ADA8">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 w:val="0"/>
          <w:bCs w:val="0"/>
          <w:kern w:val="2"/>
          <w:sz w:val="32"/>
          <w:szCs w:val="32"/>
          <w:highlight w:val="none"/>
          <w:lang w:val="en-US" w:eastAsia="zh-CN" w:bidi="ar-SA"/>
        </w:rPr>
        <w:t>根据新疆维吾尔自治区关于《自治区义务教育免费教育经费保障机制管理办法》的通知（新财教[ 2021]56号）文件要求，为6-12岁学生提供教育保障，落实好义务教育目标，改善学生的办学条件，保障学生在校教学需求，为学生提供优质的教学环境，提升学生教育质量，保障学生能接受优质、均衡的小学教育。</w:t>
      </w:r>
    </w:p>
    <w:p w14:paraId="65EF7183">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pPr>
      <w:bookmarkStart w:id="14" w:name="_Toc27343"/>
      <w:bookmarkStart w:id="15" w:name="_Toc17880"/>
      <w:bookmarkStart w:id="16" w:name="_Toc1630"/>
      <w:bookmarkStart w:id="17" w:name="_Toc1073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主要内容及实施情况</w:t>
      </w:r>
      <w:bookmarkEnd w:id="14"/>
      <w:bookmarkEnd w:id="15"/>
      <w:bookmarkEnd w:id="16"/>
      <w:bookmarkEnd w:id="17"/>
    </w:p>
    <w:p w14:paraId="63D41C43">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pPr>
      <w:bookmarkStart w:id="18" w:name="_Toc16592"/>
      <w:bookmarkStart w:id="19" w:name="_Toc21898"/>
      <w:bookmarkStart w:id="20" w:name="_Toc27245"/>
      <w:bookmarkStart w:id="21" w:name="_Toc27409"/>
      <w:r>
        <w:rPr>
          <w:rFonts w:hint="eastAsia" w:ascii="仿宋_GB2312" w:hAnsi="仿宋_GB2312" w:eastAsia="仿宋_GB2312" w:cs="仿宋_GB2312"/>
          <w:b/>
          <w:bCs/>
          <w:color w:val="auto"/>
          <w:kern w:val="2"/>
          <w:sz w:val="32"/>
          <w:szCs w:val="32"/>
          <w:highlight w:val="none"/>
          <w:shd w:val="clear" w:color="auto" w:fill="auto"/>
          <w:lang w:val="en-US" w:eastAsia="zh-CN" w:bidi="ar-SA"/>
        </w:rPr>
        <w:t>项目主要内容：</w:t>
      </w:r>
      <w:bookmarkEnd w:id="18"/>
      <w:bookmarkEnd w:id="19"/>
      <w:bookmarkEnd w:id="20"/>
      <w:bookmarkEnd w:id="21"/>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依据学校在校人数，按一定标准核算并下发生均经费。经费主要用于教师工资待遇提升，吸引和留住优秀师资；购置先进的教学设备，如多媒体教学工具、益智玩具等；开发适合幼儿的特色课程，丰富教学内容；完善幼儿园的安全防护设施，包括门禁系统、监控设备等。</w:t>
      </w:r>
    </w:p>
    <w:p w14:paraId="52210E9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auto"/>
          <w:sz w:val="32"/>
          <w:szCs w:val="32"/>
          <w:highlight w:val="none"/>
          <w:shd w:val="clear" w:color="auto" w:fill="auto"/>
          <w:lang w:val="en-US" w:eastAsia="zh-CN"/>
        </w:rPr>
        <w:t>本项目自2024年1月1日经昌州财教【2023】90号文件批复，经阜康市厦门实验小学会议，确定了项目领导小组，明确了责任分工：组长为杨波，副组长为马娟，项目负责人为丁万军,组员为张军文、尤冬生、张卫兵、陈继红，其中：丁万军负责监管工作，陈继红负责项目档案资料，张卫兵负责资金拨付工作。</w:t>
      </w:r>
    </w:p>
    <w:p w14:paraId="593996CF">
      <w:pPr>
        <w:pStyle w:val="6"/>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截至2024年12月31日，本项目涉及学生人数1012人，公用经费享受比例达到100%，教师培训结业率达到100%，公用经费标准以720元/人/年完成，达到学校正常运转率提高，改善教学环境，提供良好的学生成长条件，保障学校正常运转。</w:t>
      </w:r>
    </w:p>
    <w:p w14:paraId="5DC39D96">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22" w:name="_Toc10240"/>
      <w:bookmarkStart w:id="23" w:name="_Toc569"/>
      <w:bookmarkStart w:id="24" w:name="_Toc12348"/>
      <w:bookmarkStart w:id="25" w:name="_Toc1858"/>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3.资金投入和使用情况</w:t>
      </w:r>
      <w:bookmarkEnd w:id="22"/>
      <w:bookmarkEnd w:id="23"/>
      <w:bookmarkEnd w:id="24"/>
      <w:bookmarkEnd w:id="25"/>
    </w:p>
    <w:p w14:paraId="3D843D55">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26" w:name="_Toc26369"/>
      <w:bookmarkStart w:id="27" w:name="_Toc23509"/>
      <w:bookmarkStart w:id="28" w:name="_Toc694"/>
      <w:r>
        <w:rPr>
          <w:rFonts w:hint="eastAsia" w:ascii="仿宋_GB2312" w:hAnsi="仿宋_GB2312" w:eastAsia="仿宋_GB2312" w:cs="仿宋_GB2312"/>
          <w:sz w:val="32"/>
          <w:szCs w:val="32"/>
          <w:highlight w:val="none"/>
          <w:lang w:val="en-US" w:eastAsia="zh-CN"/>
        </w:rPr>
        <w:t>（1）资金投入情况</w:t>
      </w:r>
      <w:bookmarkEnd w:id="26"/>
      <w:bookmarkEnd w:id="27"/>
      <w:bookmarkEnd w:id="28"/>
    </w:p>
    <w:p w14:paraId="21372BE0">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9" w:name="_Toc9464"/>
      <w:bookmarkStart w:id="30" w:name="_Toc29190"/>
      <w:bookmarkStart w:id="31" w:name="_Toc5573"/>
      <w:r>
        <w:rPr>
          <w:rFonts w:hint="eastAsia" w:ascii="仿宋_GB2312" w:hAnsi="仿宋_GB2312" w:eastAsia="仿宋_GB2312" w:cs="仿宋_GB2312"/>
          <w:sz w:val="32"/>
          <w:szCs w:val="32"/>
          <w:highlight w:val="none"/>
          <w:lang w:val="en-US" w:eastAsia="zh-CN"/>
        </w:rPr>
        <w:t>该项目年初预算数</w:t>
      </w:r>
      <w:r>
        <w:rPr>
          <w:rFonts w:hint="eastAsia" w:ascii="仿宋_GB2312" w:hAnsi="仿宋_GB2312" w:eastAsia="仿宋_GB2312" w:cs="仿宋_GB2312"/>
          <w:sz w:val="32"/>
          <w:szCs w:val="32"/>
          <w:lang w:val="en-US" w:eastAsia="zh-CN"/>
        </w:rPr>
        <w:t>73.92</w:t>
      </w:r>
      <w:r>
        <w:rPr>
          <w:rFonts w:hint="eastAsia" w:ascii="仿宋_GB2312" w:hAnsi="仿宋_GB2312" w:eastAsia="仿宋_GB2312" w:cs="仿宋_GB2312"/>
          <w:sz w:val="32"/>
          <w:szCs w:val="32"/>
          <w:highlight w:val="none"/>
          <w:lang w:val="en-US" w:eastAsia="zh-CN"/>
        </w:rPr>
        <w:t>万元，全年预算数</w:t>
      </w:r>
      <w:r>
        <w:rPr>
          <w:rFonts w:hint="eastAsia" w:ascii="仿宋_GB2312" w:hAnsi="仿宋_GB2312" w:eastAsia="仿宋_GB2312" w:cs="仿宋_GB2312"/>
          <w:sz w:val="32"/>
          <w:szCs w:val="32"/>
          <w:lang w:val="en-US" w:eastAsia="zh-CN"/>
        </w:rPr>
        <w:t>73.92</w:t>
      </w:r>
      <w:r>
        <w:rPr>
          <w:rFonts w:hint="eastAsia" w:ascii="仿宋_GB2312" w:hAnsi="仿宋_GB2312" w:eastAsia="仿宋_GB2312" w:cs="仿宋_GB2312"/>
          <w:sz w:val="32"/>
          <w:szCs w:val="32"/>
          <w:highlight w:val="none"/>
          <w:lang w:val="en-US" w:eastAsia="zh-CN"/>
        </w:rPr>
        <w:t>万元，该项目资金已全部落实</w:t>
      </w:r>
      <w:r>
        <w:rPr>
          <w:rFonts w:hint="eastAsia" w:ascii="仿宋_GB2312" w:hAnsi="仿宋_GB2312" w:eastAsia="仿宋_GB2312" w:cs="仿宋_GB2312"/>
          <w:color w:val="auto"/>
          <w:sz w:val="32"/>
          <w:szCs w:val="32"/>
          <w:highlight w:val="none"/>
          <w:lang w:val="en-US" w:eastAsia="zh-CN"/>
        </w:rPr>
        <w:t>到位，资金来源为财政拨款。</w:t>
      </w:r>
      <w:bookmarkEnd w:id="29"/>
      <w:bookmarkEnd w:id="30"/>
      <w:bookmarkEnd w:id="31"/>
      <w:bookmarkStart w:id="32" w:name="_Toc3409"/>
      <w:bookmarkStart w:id="33" w:name="_Toc1166"/>
      <w:bookmarkStart w:id="34" w:name="_Toc28187"/>
    </w:p>
    <w:p w14:paraId="144F80E7">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（2）资金使用情况</w:t>
      </w:r>
      <w:bookmarkEnd w:id="32"/>
      <w:bookmarkEnd w:id="33"/>
      <w:bookmarkEnd w:id="34"/>
    </w:p>
    <w:p w14:paraId="071E0C20">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35" w:name="_Toc29121"/>
      <w:bookmarkStart w:id="36" w:name="_Toc1430"/>
      <w:bookmarkStart w:id="37" w:name="_Toc11647"/>
      <w:r>
        <w:rPr>
          <w:rFonts w:hint="eastAsia" w:ascii="仿宋_GB2312" w:hAnsi="仿宋_GB2312" w:eastAsia="仿宋_GB2312" w:cs="仿宋_GB2312"/>
          <w:color w:val="auto"/>
          <w:sz w:val="32"/>
          <w:szCs w:val="32"/>
          <w:highlight w:val="none"/>
          <w:lang w:val="en-US" w:eastAsia="zh-CN"/>
        </w:rPr>
        <w:t>该项目年初预算数73.92万元，全年预算数73.92万元，，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color w:val="auto"/>
          <w:sz w:val="32"/>
          <w:szCs w:val="32"/>
          <w:highlight w:val="none"/>
          <w:lang w:val="en-US" w:eastAsia="zh-CN"/>
        </w:rPr>
        <w:t>全年执行数73.92万元，预算执行率为100%，主要用于：主要用于主要用于支付日常办公用品采购、卫生用品购置、水费、电费、邮电费、取暖费缴纳、学校设施设备维修等。</w:t>
      </w:r>
      <w:bookmarkEnd w:id="35"/>
      <w:bookmarkEnd w:id="36"/>
      <w:bookmarkEnd w:id="37"/>
    </w:p>
    <w:p w14:paraId="2374422A">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38" w:name="_Toc9109"/>
      <w:r>
        <w:rPr>
          <w:rFonts w:hint="eastAsia" w:ascii="Times New Roman" w:hAnsi="Times New Roman" w:eastAsia="楷体_GB2312" w:cs="Times New Roman"/>
          <w:kern w:val="28"/>
          <w:sz w:val="32"/>
          <w:lang w:val="en-US" w:eastAsia="zh-CN"/>
        </w:rPr>
        <w:t>（二）项目绩效目标</w:t>
      </w:r>
      <w:bookmarkEnd w:id="38"/>
    </w:p>
    <w:p w14:paraId="406E6411">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39" w:name="_Toc2547"/>
      <w:bookmarkStart w:id="40" w:name="_Toc8528"/>
      <w:bookmarkStart w:id="41" w:name="_Toc14758"/>
      <w:bookmarkStart w:id="42" w:name="_Toc10047"/>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1.总体目标</w:t>
      </w:r>
      <w:bookmarkEnd w:id="39"/>
      <w:bookmarkEnd w:id="40"/>
      <w:bookmarkEnd w:id="41"/>
      <w:bookmarkEnd w:id="42"/>
    </w:p>
    <w:p w14:paraId="6064DCA2">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FF0000"/>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 xml:space="preserve">  厦小昌州财教【2023】90号（保民生）提前下达2024年城乡义务教育补助经费（中央直达资金）公用经费小学项目绩效总体目标为：保障学校正常运转，完成教学活动及其他日常业务的正常运转。2024年学校在校学生人数1012人，计划完成每学年以720元/生/学年的标准使用公用经费,公用经费、教师培训结业率达到100%。通过项目实施，将有效改善教学环境，提供良好的学生成长条件，保障学校正常运转,师生满意度预计将达到90%以上。</w:t>
      </w:r>
    </w:p>
    <w:p w14:paraId="0B0FCB08">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43" w:name="_Toc3255"/>
      <w:bookmarkStart w:id="44" w:name="_Toc8990"/>
      <w:bookmarkStart w:id="45" w:name="_Toc4007"/>
      <w:bookmarkStart w:id="46" w:name="_Toc4487"/>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2.阶段性目标</w:t>
      </w:r>
      <w:bookmarkEnd w:id="43"/>
      <w:bookmarkEnd w:id="44"/>
      <w:bookmarkEnd w:id="45"/>
      <w:bookmarkEnd w:id="46"/>
    </w:p>
    <w:p w14:paraId="6AD23940">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根据《预算法》《财政支出绩效评价管理暂行办法》（财预〔20</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20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10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等文件</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的规定，结合项目实施单位的规章制度以及财务相关资料，评价小组对项目绩效目标进行了进一步的完善，完善</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后</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绩效目标如下：</w:t>
      </w:r>
    </w:p>
    <w:p w14:paraId="32BF2AA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项目产出</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目标</w:t>
      </w:r>
    </w:p>
    <w:p w14:paraId="6F573D8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①数量指标</w:t>
      </w:r>
    </w:p>
    <w:p w14:paraId="7F06172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“在校学生人数（人）”指标，预期目标值为=1012人；</w:t>
      </w:r>
    </w:p>
    <w:p w14:paraId="70DD9C8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②质量指标</w:t>
      </w:r>
    </w:p>
    <w:p w14:paraId="5A8C436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“公用经费享受比例”指标，预期目标值为=100%；</w:t>
      </w:r>
    </w:p>
    <w:p w14:paraId="14ABB4F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“教师培训结业率”指标，预期目标值为=100%；</w:t>
      </w:r>
    </w:p>
    <w:p w14:paraId="4D87FA5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③时效指标</w:t>
      </w:r>
    </w:p>
    <w:p w14:paraId="0D12323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“公用经费支出及时率”指标，预期目标值为=100%；</w:t>
      </w:r>
    </w:p>
    <w:p w14:paraId="3B699A8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成本指标</w:t>
      </w:r>
    </w:p>
    <w:p w14:paraId="4B341D0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“公用经费标准”指标，预期目标值为=720元/人/年；</w:t>
      </w:r>
    </w:p>
    <w:p w14:paraId="323EE9A0">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）项目效益</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指标</w:t>
      </w:r>
    </w:p>
    <w:p w14:paraId="1FDB881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①经济效益指标</w:t>
      </w:r>
    </w:p>
    <w:p w14:paraId="7E2EC8AA">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本项目不涉及经济效益指标；</w:t>
      </w:r>
    </w:p>
    <w:p w14:paraId="78E6D18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②社会效益指标</w:t>
      </w:r>
    </w:p>
    <w:p w14:paraId="571BDD6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学校正常运转率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12F80FD1">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改善教学环境，提供良好的学生成长条件</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指标，预期目标值为改善；</w:t>
      </w:r>
    </w:p>
    <w:p w14:paraId="316D4029">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③生态效益指标</w:t>
      </w:r>
    </w:p>
    <w:p w14:paraId="6C1D3539">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本项目不涉及生态效益指标；</w:t>
      </w:r>
    </w:p>
    <w:p w14:paraId="09ACA5CB">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④可持续影响</w:t>
      </w:r>
    </w:p>
    <w:p w14:paraId="6C0FD7C2">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本项目不涉及可持续影响；</w:t>
      </w:r>
    </w:p>
    <w:p w14:paraId="751E7100">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default" w:ascii="仿宋_GB2312" w:hAnsi="仿宋_GB2312" w:eastAsia="仿宋_GB2312" w:cs="仿宋_GB2312"/>
          <w:color w:val="auto"/>
          <w:sz w:val="32"/>
          <w:szCs w:val="32"/>
          <w:highlight w:val="none"/>
          <w:shd w:val="clear" w:color="auto" w:fill="auto"/>
          <w:lang w:val="en-US" w:eastAsia="zh-CN"/>
        </w:rPr>
        <w:t>⑤</w:t>
      </w:r>
      <w:r>
        <w:rPr>
          <w:rFonts w:hint="eastAsia" w:ascii="仿宋_GB2312" w:hAnsi="仿宋_GB2312" w:eastAsia="仿宋_GB2312" w:cs="仿宋_GB2312"/>
          <w:color w:val="auto"/>
          <w:sz w:val="32"/>
          <w:szCs w:val="32"/>
          <w:highlight w:val="none"/>
          <w:shd w:val="clear" w:color="auto" w:fill="auto"/>
          <w:lang w:val="en-US" w:eastAsia="zh-CN"/>
        </w:rPr>
        <w:t>满意度指标</w:t>
      </w:r>
    </w:p>
    <w:p w14:paraId="576DEF39">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师生满意度</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指标，预期目标值为≥90%。</w:t>
      </w:r>
    </w:p>
    <w:p w14:paraId="4B95D140">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47" w:name="_Toc26567"/>
      <w:r>
        <w:rPr>
          <w:rFonts w:hint="eastAsia" w:ascii="宋体" w:hAnsi="宋体" w:eastAsia="宋体" w:cs="宋体"/>
          <w:b/>
          <w:bCs/>
          <w:color w:val="000000" w:themeColor="text1"/>
          <w:highlight w:val="none"/>
          <w:shd w:val="clear" w:color="auto" w:fill="auto"/>
          <w14:textFill>
            <w14:solidFill>
              <w14:schemeClr w14:val="tx1"/>
            </w14:solidFill>
          </w14:textFill>
        </w:rPr>
        <w:t>二、绩效评价工作开展情况</w:t>
      </w:r>
      <w:bookmarkEnd w:id="47"/>
    </w:p>
    <w:p w14:paraId="4B4C1F0F">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48" w:name="_Toc21664"/>
      <w:bookmarkStart w:id="49" w:name="_Toc5258"/>
      <w:bookmarkStart w:id="50" w:name="_Toc480473081"/>
      <w:bookmarkStart w:id="51" w:name="_Toc22169_WPSOffice_Level2"/>
      <w:bookmarkStart w:id="52" w:name="_Toc12868"/>
      <w:bookmarkStart w:id="53" w:name="_Toc5462343"/>
      <w:bookmarkStart w:id="54" w:name="_Toc26632"/>
      <w:bookmarkStart w:id="55" w:name="_Toc22922"/>
      <w:bookmarkStart w:id="56" w:name="_Toc22839"/>
      <w:r>
        <w:rPr>
          <w:rFonts w:hint="eastAsia" w:ascii="Times New Roman" w:hAnsi="Times New Roman" w:eastAsia="楷体_GB2312" w:cs="Times New Roman"/>
          <w:kern w:val="28"/>
          <w:sz w:val="32"/>
          <w:lang w:val="en-US" w:eastAsia="zh-CN"/>
        </w:rPr>
        <w:t>（一）绩效评价的目的</w:t>
      </w:r>
      <w:bookmarkEnd w:id="48"/>
      <w:bookmarkEnd w:id="49"/>
      <w:bookmarkEnd w:id="50"/>
      <w:bookmarkEnd w:id="51"/>
      <w:bookmarkEnd w:id="52"/>
      <w:bookmarkEnd w:id="53"/>
      <w:bookmarkEnd w:id="54"/>
      <w:bookmarkEnd w:id="55"/>
      <w:r>
        <w:rPr>
          <w:rFonts w:hint="eastAsia" w:ascii="Times New Roman" w:hAnsi="Times New Roman" w:eastAsia="楷体_GB2312" w:cs="Times New Roman"/>
          <w:kern w:val="28"/>
          <w:sz w:val="32"/>
          <w:lang w:val="en-US" w:eastAsia="zh-CN"/>
        </w:rPr>
        <w:t>、对象和范围</w:t>
      </w:r>
      <w:bookmarkEnd w:id="56"/>
    </w:p>
    <w:p w14:paraId="2CD39BB3">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kern w:val="2"/>
          <w:sz w:val="32"/>
          <w:szCs w:val="32"/>
          <w:highlight w:val="none"/>
          <w:lang w:val="en-US" w:eastAsia="zh-CN" w:bidi="ar-SA"/>
        </w:rPr>
      </w:pPr>
      <w:bookmarkStart w:id="57" w:name="_Toc15732"/>
      <w:r>
        <w:rPr>
          <w:rFonts w:hint="default" w:ascii="Times New Roman" w:hAnsi="Times New Roman" w:eastAsia="仿宋_GB2312" w:cs="Times New Roman"/>
          <w:b/>
          <w:bCs/>
          <w:kern w:val="2"/>
          <w:sz w:val="32"/>
          <w:szCs w:val="32"/>
          <w:highlight w:val="none"/>
          <w:lang w:val="en-US" w:eastAsia="zh-CN" w:bidi="ar-SA"/>
        </w:rPr>
        <w:t>1.绩效评价完整性</w:t>
      </w:r>
    </w:p>
    <w:p w14:paraId="07DD407C">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6CCAE18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p>
    <w:p w14:paraId="73FDBEF7">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6F9514AF">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1389634C">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08FDBD83">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58" w:name="_Toc417"/>
      <w:bookmarkStart w:id="59" w:name="_Toc21770"/>
      <w:r>
        <w:rPr>
          <w:rFonts w:hint="eastAsia"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绩效评价的目的</w:t>
      </w:r>
      <w:bookmarkEnd w:id="57"/>
      <w:bookmarkEnd w:id="58"/>
      <w:bookmarkEnd w:id="59"/>
    </w:p>
    <w:p w14:paraId="3AA1409D">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为全面了解</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该</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项目预算编制合理性、资金使用合规性、项目管理的规范性、</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目标的实现情况、服务对象的满意度等，通过本次</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部门</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绩效评价来总结经验和教训，促进项目成果转化和应用，为今后类似项目的长效管理，提供可行性参考建议。</w:t>
      </w:r>
    </w:p>
    <w:p w14:paraId="23B6A0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bookmarkStart w:id="60" w:name="_Toc30609"/>
      <w:r>
        <w:rPr>
          <w:rFonts w:hint="default" w:ascii="Times New Roman" w:hAnsi="Times New Roman" w:eastAsia="仿宋_GB2312" w:cs="Times New Roman"/>
          <w:sz w:val="32"/>
          <w:szCs w:val="32"/>
          <w:highlight w:val="none"/>
        </w:rPr>
        <w:t>（1）评估项目实施效果</w:t>
      </w:r>
    </w:p>
    <w:p w14:paraId="38444A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通过对项目预算执行情况及各项绩效目标达成程度的系统性分析，全面、客观地评估项目在预定周期内的实施效果，包括社会效益维度指标，为项目后续的改进与优化提供科学依据。</w:t>
      </w:r>
    </w:p>
    <w:p w14:paraId="2A19BE7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0728C6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1DBD766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48973E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2059931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0F37167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12DC14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270653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20996B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13294895">
      <w:pPr>
        <w:pStyle w:val="5"/>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61" w:name="_Toc31970"/>
      <w:bookmarkStart w:id="62" w:name="_Toc16346"/>
      <w:r>
        <w:rPr>
          <w:rFonts w:hint="eastAsia"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.绩效评价的对象</w:t>
      </w:r>
      <w:bookmarkEnd w:id="60"/>
      <w:bookmarkEnd w:id="61"/>
      <w:bookmarkEnd w:id="62"/>
    </w:p>
    <w:p w14:paraId="6059538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此次我单位根据</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《财政支出绩效评价管理暂行办法》（</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财预〔2020〕10号</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文件要求对2024年度</w:t>
      </w:r>
      <w:r>
        <w:rPr>
          <w:rFonts w:hint="eastAsia" w:ascii="仿宋_GB2312" w:hAnsi="仿宋_GB2312" w:eastAsia="仿宋_GB2312" w:cs="仿宋_GB2312"/>
          <w:color w:val="auto"/>
          <w:sz w:val="32"/>
          <w:szCs w:val="32"/>
          <w:highlight w:val="none"/>
          <w:shd w:val="clear" w:color="auto" w:fill="auto"/>
          <w:lang w:val="en-US" w:eastAsia="zh-CN"/>
        </w:rPr>
        <w:t>我单位实施的  厦小昌州财教【2023】90号（保民生）提前下达2024年城乡义务教育补助经费（中央直达资金）公用经费小学项目</w:t>
      </w:r>
      <w:r>
        <w:rPr>
          <w:rFonts w:hint="default" w:ascii="仿宋_GB2312" w:hAnsi="仿宋_GB2312" w:eastAsia="仿宋_GB2312" w:cs="仿宋_GB2312"/>
          <w:color w:val="auto"/>
          <w:sz w:val="32"/>
          <w:szCs w:val="32"/>
          <w:highlight w:val="none"/>
          <w:shd w:val="clear" w:color="auto" w:fill="auto"/>
        </w:rPr>
        <w:t>及其预算执行情况</w:t>
      </w:r>
      <w:r>
        <w:rPr>
          <w:rFonts w:hint="eastAsia" w:ascii="仿宋_GB2312" w:hAnsi="仿宋_GB2312" w:eastAsia="仿宋_GB2312" w:cs="仿宋_GB2312"/>
          <w:color w:val="auto"/>
          <w:sz w:val="32"/>
          <w:szCs w:val="32"/>
          <w:highlight w:val="none"/>
          <w:shd w:val="clear" w:color="auto" w:fill="auto"/>
          <w:lang w:val="en-US" w:eastAsia="zh-CN"/>
        </w:rPr>
        <w:t>开展部门绩效评价。</w:t>
      </w:r>
    </w:p>
    <w:p w14:paraId="2A2C8AFD">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pP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该项目由</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阜康市厦门实验小学</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负责实施，旨在2024年学校在校学生人数1012人，计划完成每学年以720元/生/学年的标准使用公用经费,公用经费、教师培训结业率达到100%。通过项目实施，将有效改善教学环境，提供良好的学生成长条件，保障学校正常运转。项目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2024年1月1日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2024年12月31日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的全部资金投入与支出，涉及资金总额为</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73.92</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万元。</w:t>
      </w:r>
    </w:p>
    <w:p w14:paraId="2460B83E">
      <w:pPr>
        <w:pStyle w:val="5"/>
        <w:pageBreakBefore w:val="0"/>
        <w:kinsoku/>
        <w:wordWrap/>
        <w:overflowPunct/>
        <w:topLinePunct w:val="0"/>
        <w:autoSpaceDE/>
        <w:autoSpaceDN/>
        <w:bidi w:val="0"/>
        <w:adjustRightInd/>
        <w:spacing w:line="560" w:lineRule="exact"/>
        <w:textAlignment w:val="auto"/>
        <w:rPr>
          <w:rFonts w:hint="default" w:cs="仿宋_GB2312"/>
          <w:color w:val="000000" w:themeColor="text1"/>
          <w:sz w:val="32"/>
          <w:szCs w:val="32"/>
          <w:highlight w:val="none"/>
          <w:shd w:val="clear" w:color="auto" w:fill="auto"/>
          <w:lang w:val="en-US" w:eastAsia="zh-CN"/>
          <w14:textFill>
            <w14:solidFill>
              <w14:schemeClr w14:val="tx1"/>
            </w14:solidFill>
          </w14:textFill>
        </w:rPr>
      </w:pPr>
      <w:bookmarkStart w:id="63" w:name="_Toc21311"/>
      <w:bookmarkStart w:id="64" w:name="_Toc11666"/>
      <w:r>
        <w:rPr>
          <w:rFonts w:hint="default" w:cs="仿宋_GB2312"/>
          <w:color w:val="000000" w:themeColor="text1"/>
          <w:sz w:val="32"/>
          <w:szCs w:val="32"/>
          <w:highlight w:val="none"/>
          <w:shd w:val="clear" w:color="auto" w:fill="auto"/>
          <w:lang w:val="en-US" w:eastAsia="zh-CN"/>
          <w14:textFill>
            <w14:solidFill>
              <w14:schemeClr w14:val="tx1"/>
            </w14:solidFill>
          </w14:textFill>
        </w:rPr>
        <w:t>4.绩效评价的范围</w:t>
      </w:r>
      <w:bookmarkEnd w:id="63"/>
      <w:bookmarkEnd w:id="64"/>
    </w:p>
    <w:p w14:paraId="01DF2AF3">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1A5C35C0">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项目预算编制与执行：全面审视项目预算的编制依据、合理性、科学性以及实际执行情况，包括预算调整的原因和效果。</w:t>
      </w:r>
    </w:p>
    <w:p w14:paraId="0C612A41">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资金管理：深入分析项目资金的分配、使用和监管情况，确保资金使用的合规性、高效性和透明度。</w:t>
      </w:r>
    </w:p>
    <w:p w14:paraId="250E602A">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项目实施进度与产出：评估项目是否按照既定计划顺利推进，各项任务是否按时完成，以及项目产出的数量、质量和时效性是否符合预期。</w:t>
      </w:r>
    </w:p>
    <w:p w14:paraId="267076D0">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green"/>
          <w:lang w:eastAsia="zh-CN"/>
        </w:rPr>
      </w:pP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4</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社会影响：考察项目对社会方面的综合影响。</w:t>
      </w:r>
    </w:p>
    <w:p w14:paraId="003E7BF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65" w:name="_Toc1286"/>
      <w:bookmarkStart w:id="66" w:name="_Toc29785"/>
      <w:r>
        <w:rPr>
          <w:rFonts w:hint="eastAsia" w:ascii="Times New Roman" w:hAnsi="Times New Roman" w:eastAsia="楷体_GB2312" w:cs="Times New Roman"/>
          <w:kern w:val="28"/>
          <w:sz w:val="32"/>
          <w:lang w:val="en-US" w:eastAsia="zh-CN"/>
        </w:rPr>
        <w:t>（二）绩效评价原则、评价指标体系（</w:t>
      </w:r>
      <w:r>
        <w:rPr>
          <w:rFonts w:hint="default" w:ascii="Times New Roman" w:hAnsi="Times New Roman" w:eastAsia="楷体_GB2312" w:cs="Times New Roman"/>
          <w:kern w:val="28"/>
          <w:sz w:val="32"/>
          <w:lang w:val="en-US" w:eastAsia="zh-CN"/>
        </w:rPr>
        <w:t>详情见</w:t>
      </w:r>
      <w:r>
        <w:rPr>
          <w:rFonts w:hint="eastAsia" w:ascii="Times New Roman" w:hAnsi="Times New Roman" w:eastAsia="楷体_GB2312" w:cs="Times New Roman"/>
          <w:kern w:val="28"/>
          <w:sz w:val="32"/>
          <w:lang w:val="en-US" w:eastAsia="zh-CN"/>
        </w:rPr>
        <w:t>附件二）、评价方法、评价标准</w:t>
      </w:r>
      <w:bookmarkEnd w:id="65"/>
      <w:bookmarkEnd w:id="66"/>
    </w:p>
    <w:p w14:paraId="42D1A356">
      <w:pPr>
        <w:pStyle w:val="5"/>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000000"/>
          <w:kern w:val="2"/>
          <w:sz w:val="32"/>
          <w:szCs w:val="32"/>
          <w:lang w:val="en-US" w:eastAsia="zh-CN" w:bidi="ar-SA"/>
        </w:rPr>
      </w:pPr>
      <w:bookmarkStart w:id="67" w:name="_Toc13694"/>
      <w:bookmarkStart w:id="68" w:name="_Toc5354"/>
      <w:bookmarkStart w:id="69" w:name="_Toc24506"/>
      <w:r>
        <w:rPr>
          <w:rFonts w:hint="eastAsia" w:ascii="Times New Roman" w:hAnsi="Times New Roman" w:eastAsia="仿宋_GB2312" w:cs="Times New Roman"/>
          <w:b/>
          <w:bCs/>
          <w:color w:val="000000"/>
          <w:kern w:val="2"/>
          <w:sz w:val="32"/>
          <w:szCs w:val="32"/>
          <w:lang w:val="en-US" w:eastAsia="zh-CN" w:bidi="ar-SA"/>
        </w:rPr>
        <w:t>1.绩效评价原则</w:t>
      </w:r>
      <w:bookmarkEnd w:id="67"/>
      <w:bookmarkEnd w:id="68"/>
      <w:bookmarkEnd w:id="69"/>
    </w:p>
    <w:p w14:paraId="73E84CC8">
      <w:pPr>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依据《财政支出绩效评价管理暂行办法》（财预〔2020〕10号）本次绩效评价秉承科学规范、公正公开、分级分类、绩效相关等原则，按照从投入、过程到产出效果和影响的绩效逻辑路径，结合厦小昌州财教【2023】90号（保民生）提前下达2024年城乡义务教育补助经费（中央直达资金）公用经费小学实际开展情况，运用定量和定性分析相结合的方法，总结经验做法，反思项目实施和管理中的问题，以切实提升财政资金管理的科学化、规范化和精细化水平。</w:t>
      </w:r>
    </w:p>
    <w:p w14:paraId="2EDD4FCB">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根据以上原则，绩效评价应遵循如下要求：</w:t>
      </w:r>
    </w:p>
    <w:p w14:paraId="72B0108D">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1</w:t>
      </w:r>
      <w:r>
        <w:rPr>
          <w:rFonts w:hint="eastAsia" w:ascii="Times New Roman" w:hAnsi="Times New Roman" w:eastAsia="仿宋_GB2312" w:cs="Times New Roman"/>
          <w:color w:val="000000"/>
          <w:sz w:val="32"/>
          <w:szCs w:val="32"/>
          <w:lang w:eastAsia="zh-CN"/>
        </w:rPr>
        <w:t>）科学公正。绩效评价应当运用科学合理的方法，按照规范的程序，对项目绩效进行客观、公正的反映。</w:t>
      </w:r>
    </w:p>
    <w:p w14:paraId="0344FD87">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2</w:t>
      </w:r>
      <w:r>
        <w:rPr>
          <w:rFonts w:hint="eastAsia" w:ascii="Times New Roman" w:hAnsi="Times New Roman" w:eastAsia="仿宋_GB2312" w:cs="Times New Roman"/>
          <w:color w:val="000000"/>
          <w:sz w:val="32"/>
          <w:szCs w:val="32"/>
          <w:lang w:eastAsia="zh-CN"/>
        </w:rPr>
        <w:t>）统筹兼顾。单位自评、部门评价和财政评价应职责明确，各有侧重，相互衔接。单位自评应由项目单位自主实施，即“谁支出、谁自评”。</w:t>
      </w:r>
    </w:p>
    <w:p w14:paraId="2F0E99DA">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3</w:t>
      </w:r>
      <w:r>
        <w:rPr>
          <w:rFonts w:hint="eastAsia" w:ascii="Times New Roman" w:hAnsi="Times New Roman" w:eastAsia="仿宋_GB2312" w:cs="Times New Roman"/>
          <w:color w:val="000000"/>
          <w:sz w:val="32"/>
          <w:szCs w:val="32"/>
          <w:lang w:eastAsia="zh-CN"/>
        </w:rPr>
        <w:t>）激励约束。绩效评价结果应与预算安排、政策调整、改进管理实质性挂钩，体现奖优罚劣和激励相容导向，有效要安排、低效要压减、无效要问责。</w:t>
      </w:r>
    </w:p>
    <w:p w14:paraId="54820CB6">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4</w:t>
      </w:r>
      <w:r>
        <w:rPr>
          <w:rFonts w:hint="eastAsia" w:ascii="Times New Roman" w:hAnsi="Times New Roman" w:eastAsia="仿宋_GB2312" w:cs="Times New Roman"/>
          <w:color w:val="000000"/>
          <w:sz w:val="32"/>
          <w:szCs w:val="32"/>
          <w:lang w:eastAsia="zh-CN"/>
        </w:rPr>
        <w:t>）公开透明。绩效评价结果应依法依规公开，并自觉接受社会监督。</w:t>
      </w:r>
    </w:p>
    <w:p w14:paraId="5255FB19">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sz w:val="32"/>
          <w:szCs w:val="32"/>
          <w:lang w:eastAsia="zh-CN"/>
        </w:rPr>
      </w:pPr>
      <w:bookmarkStart w:id="70" w:name="_Toc428278230"/>
      <w:bookmarkStart w:id="71" w:name="_Toc419984722"/>
      <w:bookmarkStart w:id="72" w:name="_Toc1913"/>
      <w:bookmarkStart w:id="73" w:name="_Toc24396"/>
      <w:bookmarkStart w:id="74" w:name="_Toc26131"/>
      <w:r>
        <w:rPr>
          <w:rFonts w:hint="eastAsia" w:ascii="仿宋_GB2312" w:hAnsi="仿宋_GB2312" w:eastAsia="仿宋_GB2312" w:cs="仿宋_GB2312"/>
          <w:b/>
          <w:bCs/>
          <w:color w:val="000000"/>
          <w:sz w:val="32"/>
          <w:szCs w:val="32"/>
          <w:lang w:val="en-US" w:eastAsia="zh-CN"/>
        </w:rPr>
        <w:t>2.</w:t>
      </w:r>
      <w:r>
        <w:rPr>
          <w:rFonts w:hint="eastAsia" w:ascii="仿宋_GB2312" w:hAnsi="仿宋_GB2312" w:eastAsia="仿宋_GB2312" w:cs="仿宋_GB2312"/>
          <w:b/>
          <w:bCs/>
          <w:color w:val="000000"/>
          <w:sz w:val="32"/>
          <w:szCs w:val="32"/>
          <w:lang w:eastAsia="zh-CN"/>
        </w:rPr>
        <w:t>绩效评价指标体系</w:t>
      </w:r>
      <w:bookmarkEnd w:id="70"/>
      <w:bookmarkEnd w:id="71"/>
      <w:bookmarkEnd w:id="72"/>
      <w:bookmarkEnd w:id="73"/>
      <w:bookmarkEnd w:id="74"/>
    </w:p>
    <w:p w14:paraId="6CEFE64B">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bookmarkStart w:id="75" w:name="_Toc9941"/>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14:paraId="0BCB061A">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14:paraId="6F97D154">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6F04DC75">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14:paraId="38DF744C">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FF0000"/>
          <w:spacing w:val="17"/>
          <w:sz w:val="32"/>
          <w:szCs w:val="32"/>
          <w:lang w:eastAsia="zh-CN"/>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6CE5775E">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14:paraId="304DA11A">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2FC7117B">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绩效评价总分值100分，根据综合评分结果，90（含）-100分为优、80（含）-90分为良、60（含）-80分为中、60分以下为差。</w:t>
      </w:r>
    </w:p>
    <w:p w14:paraId="0EB89A4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我单位</w:t>
      </w:r>
      <w:r>
        <w:rPr>
          <w:rFonts w:hint="eastAsia" w:ascii="仿宋_GB2312" w:hAnsi="仿宋_GB2312" w:eastAsia="仿宋_GB2312" w:cs="仿宋_GB2312"/>
          <w:color w:val="000000"/>
          <w:sz w:val="32"/>
          <w:szCs w:val="32"/>
          <w:lang w:val="zh-TW" w:eastAsia="zh-TW"/>
        </w:rPr>
        <w:t>根据项目的</w:t>
      </w:r>
      <w:r>
        <w:rPr>
          <w:rFonts w:hint="eastAsia" w:ascii="仿宋_GB2312" w:hAnsi="仿宋_GB2312" w:eastAsia="仿宋_GB2312" w:cs="仿宋_GB2312"/>
          <w:color w:val="000000"/>
          <w:sz w:val="32"/>
          <w:szCs w:val="32"/>
          <w:lang w:val="en-US" w:eastAsia="zh-CN"/>
        </w:rPr>
        <w:t>实施</w:t>
      </w:r>
      <w:r>
        <w:rPr>
          <w:rFonts w:hint="eastAsia" w:ascii="仿宋_GB2312" w:hAnsi="仿宋_GB2312" w:eastAsia="仿宋_GB2312" w:cs="仿宋_GB2312"/>
          <w:color w:val="000000"/>
          <w:sz w:val="32"/>
          <w:szCs w:val="32"/>
          <w:lang w:val="zh-TW" w:eastAsia="zh-TW"/>
        </w:rPr>
        <w:t>资料研读及前期调研，结合项目的实际开展情况，最终形成了项目绩效评价指标体系</w:t>
      </w:r>
      <w:r>
        <w:rPr>
          <w:rFonts w:hint="eastAsia" w:ascii="仿宋_GB2312" w:hAnsi="仿宋_GB2312" w:eastAsia="仿宋_GB2312" w:cs="仿宋_GB2312"/>
          <w:color w:val="000000"/>
          <w:sz w:val="32"/>
          <w:szCs w:val="32"/>
          <w:lang w:val="zh-TW" w:eastAsia="zh-CN"/>
        </w:rPr>
        <w:t>，</w:t>
      </w:r>
      <w:r>
        <w:rPr>
          <w:rFonts w:hint="eastAsia" w:ascii="仿宋_GB2312" w:hAnsi="仿宋_GB2312" w:eastAsia="仿宋_GB2312" w:cs="仿宋_GB2312"/>
          <w:color w:val="000000"/>
          <w:sz w:val="32"/>
          <w:szCs w:val="32"/>
          <w:lang w:val="en-US" w:eastAsia="zh-CN"/>
        </w:rPr>
        <w:t>详见上传的附件二。</w:t>
      </w:r>
    </w:p>
    <w:p w14:paraId="0EA745FF">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76" w:name="_Toc5690"/>
      <w:bookmarkStart w:id="77" w:name="_Toc30114"/>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评价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方法</w:t>
      </w:r>
      <w:bookmarkEnd w:id="75"/>
      <w:bookmarkEnd w:id="76"/>
      <w:bookmarkEnd w:id="77"/>
    </w:p>
    <w:p w14:paraId="56E09DD1">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8" w:name="_Toc25391"/>
      <w:r>
        <w:rPr>
          <w:rFonts w:hint="eastAsia" w:ascii="仿宋_GB2312" w:hAnsi="仿宋_GB2312" w:eastAsia="仿宋_GB2312" w:cs="仿宋_GB2312"/>
          <w:color w:val="auto"/>
          <w:spacing w:val="17"/>
          <w:sz w:val="32"/>
          <w:szCs w:val="32"/>
          <w:highlight w:val="none"/>
        </w:rPr>
        <w:t>绩效评价从项目决策、项目过程、项目产出、项目效益四个维度进行评价。评价对象为项目目标实施情况</w:t>
      </w: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rPr>
        <w:t>评价核心为资金的支出完成情况和项目的产出效益。</w:t>
      </w:r>
    </w:p>
    <w:p w14:paraId="3E6314D1">
      <w:pPr>
        <w:numPr>
          <w:ilvl w:val="0"/>
          <w:numId w:val="0"/>
        </w:numPr>
        <w:spacing w:line="560" w:lineRule="exact"/>
        <w:ind w:firstLine="708" w:firstLineChars="200"/>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27007306">
      <w:pPr>
        <w:numPr>
          <w:ilvl w:val="0"/>
          <w:numId w:val="0"/>
        </w:num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lang w:val="en-US" w:eastAsia="zh-CN"/>
        </w:rPr>
        <w:t>1</w:t>
      </w:r>
      <w:r>
        <w:rPr>
          <w:rFonts w:hint="eastAsia" w:ascii="仿宋_GB2312" w:hAnsi="仿宋_GB2312" w:eastAsia="仿宋_GB2312" w:cs="仿宋_GB2312"/>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比较法。是指将实施情况与绩效目标、历史情况、不同部门和地区同类支出情况进行比较的方法。</w:t>
      </w:r>
    </w:p>
    <w:p w14:paraId="43BA06BC">
      <w:pPr>
        <w:numPr>
          <w:ilvl w:val="0"/>
          <w:numId w:val="0"/>
        </w:numPr>
        <w:spacing w:line="560" w:lineRule="exact"/>
        <w:ind w:firstLine="708" w:firstLineChars="200"/>
        <w:rPr>
          <w:rFonts w:hint="default"/>
          <w:color w:val="auto"/>
          <w:highlight w:val="none"/>
        </w:rPr>
      </w:pPr>
      <w:r>
        <w:rPr>
          <w:rFonts w:hint="default" w:ascii="Times New Roman" w:hAnsi="Times New Roman" w:eastAsia="仿宋_GB2312" w:cs="Times New Roman"/>
          <w:b w:val="0"/>
          <w:color w:val="auto"/>
          <w:spacing w:val="17"/>
          <w:kern w:val="2"/>
          <w:sz w:val="32"/>
          <w:szCs w:val="32"/>
          <w:highlight w:val="none"/>
          <w:lang w:val="en-US" w:eastAsia="zh-CN" w:bidi="ar-SA"/>
        </w:rPr>
        <w:t>原因：通过将项目的实际效果与预定目标、历史数据或同类项目进行对比，能直观地反映出项目的绩效情况。</w:t>
      </w:r>
    </w:p>
    <w:p w14:paraId="6813DEA3">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rPr>
        <w:t>）因素分析法。是指综合分析影响绩效目标实现、实施效果的内外部因素的方法。</w:t>
      </w:r>
    </w:p>
    <w:p w14:paraId="56AD754B">
      <w:pPr>
        <w:spacing w:line="560" w:lineRule="exact"/>
        <w:rPr>
          <w:rFonts w:hint="default"/>
          <w:color w:val="auto"/>
          <w:highlight w:val="none"/>
        </w:rPr>
      </w:pPr>
      <w:r>
        <w:rPr>
          <w:rFonts w:hint="default" w:ascii="Times New Roman" w:hAnsi="Times New Roman" w:eastAsia="仿宋_GB2312" w:cs="Times New Roman"/>
          <w:b w:val="0"/>
          <w:color w:val="auto"/>
          <w:spacing w:val="17"/>
          <w:kern w:val="2"/>
          <w:sz w:val="32"/>
          <w:szCs w:val="32"/>
          <w:highlight w:val="none"/>
          <w:lang w:val="en-US" w:eastAsia="zh-CN" w:bidi="ar-SA"/>
        </w:rPr>
        <w:t>原因：项目涉及多个影响因素，如</w:t>
      </w:r>
      <w:r>
        <w:rPr>
          <w:rFonts w:hint="eastAsia" w:ascii="Times New Roman" w:hAnsi="Times New Roman" w:eastAsia="仿宋_GB2312" w:cs="Times New Roman"/>
          <w:b w:val="0"/>
          <w:color w:val="auto"/>
          <w:spacing w:val="17"/>
          <w:kern w:val="2"/>
          <w:sz w:val="32"/>
          <w:szCs w:val="32"/>
          <w:highlight w:val="none"/>
          <w:lang w:val="en-US" w:eastAsia="zh-CN" w:bidi="ar-SA"/>
        </w:rPr>
        <w:t>非常规天然气设备情况，天然气开采利用</w:t>
      </w:r>
      <w:r>
        <w:rPr>
          <w:rFonts w:hint="default" w:ascii="Times New Roman" w:hAnsi="Times New Roman" w:eastAsia="仿宋_GB2312" w:cs="Times New Roman"/>
          <w:b w:val="0"/>
          <w:color w:val="auto"/>
          <w:spacing w:val="17"/>
          <w:kern w:val="2"/>
          <w:sz w:val="32"/>
          <w:szCs w:val="32"/>
          <w:highlight w:val="none"/>
          <w:lang w:val="en-US" w:eastAsia="zh-CN" w:bidi="ar-SA"/>
        </w:rPr>
        <w:t>效率</w:t>
      </w:r>
      <w:r>
        <w:rPr>
          <w:rFonts w:hint="eastAsia" w:ascii="Times New Roman" w:hAnsi="Times New Roman" w:eastAsia="仿宋_GB2312" w:cs="Times New Roman"/>
          <w:b w:val="0"/>
          <w:color w:val="auto"/>
          <w:spacing w:val="17"/>
          <w:kern w:val="2"/>
          <w:sz w:val="32"/>
          <w:szCs w:val="32"/>
          <w:highlight w:val="none"/>
          <w:lang w:val="en-US" w:eastAsia="zh-CN" w:bidi="ar-SA"/>
        </w:rPr>
        <w:t>、</w:t>
      </w:r>
      <w:r>
        <w:rPr>
          <w:rFonts w:hint="default" w:ascii="Times New Roman" w:hAnsi="Times New Roman" w:eastAsia="仿宋_GB2312" w:cs="Times New Roman"/>
          <w:b w:val="0"/>
          <w:color w:val="auto"/>
          <w:spacing w:val="17"/>
          <w:kern w:val="2"/>
          <w:sz w:val="32"/>
          <w:szCs w:val="32"/>
          <w:highlight w:val="none"/>
          <w:lang w:val="en-US" w:eastAsia="zh-CN" w:bidi="ar-SA"/>
        </w:rPr>
        <w:t>政策环境的变化等。因素分析法可以将这些因素进行分解和分析，确定每个因素对项目绩效的影响程度。通过这种方法，能够找出影响项目绩效的关键因素，以便有针对性地采取措施加以改进，提高项目的绩效水平。</w:t>
      </w:r>
    </w:p>
    <w:p w14:paraId="01564669">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3</w:t>
      </w:r>
      <w:r>
        <w:rPr>
          <w:rFonts w:hint="default" w:ascii="Times New Roman" w:hAnsi="Times New Roman" w:eastAsia="仿宋_GB2312" w:cs="Times New Roman"/>
          <w:color w:val="auto"/>
          <w:spacing w:val="17"/>
          <w:sz w:val="32"/>
          <w:szCs w:val="32"/>
          <w:highlight w:val="none"/>
        </w:rPr>
        <w:t>）公众评判法。是指通过专家评估、公众问卷及抽样调查等方式进行评判的方法。</w:t>
      </w:r>
    </w:p>
    <w:p w14:paraId="1A64D8B4">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b w:val="0"/>
          <w:color w:val="auto"/>
          <w:spacing w:val="17"/>
          <w:kern w:val="2"/>
          <w:sz w:val="32"/>
          <w:szCs w:val="32"/>
          <w:highlight w:val="none"/>
          <w:lang w:val="en-US" w:eastAsia="zh-CN" w:bidi="ar-SA"/>
        </w:rPr>
        <w:t>原因：</w:t>
      </w:r>
      <w:r>
        <w:rPr>
          <w:rFonts w:hint="eastAsia" w:ascii="Times New Roman" w:hAnsi="Times New Roman" w:eastAsia="仿宋_GB2312" w:cs="Times New Roman"/>
          <w:b w:val="0"/>
          <w:color w:val="auto"/>
          <w:spacing w:val="17"/>
          <w:kern w:val="2"/>
          <w:sz w:val="32"/>
          <w:szCs w:val="32"/>
          <w:highlight w:val="none"/>
          <w:lang w:val="en-US" w:eastAsia="zh-CN" w:bidi="ar-SA"/>
        </w:rPr>
        <w:t>项目实施情况</w:t>
      </w:r>
      <w:r>
        <w:rPr>
          <w:rFonts w:hint="default" w:ascii="Times New Roman" w:hAnsi="Times New Roman" w:eastAsia="仿宋_GB2312" w:cs="Times New Roman"/>
          <w:b w:val="0"/>
          <w:color w:val="auto"/>
          <w:spacing w:val="17"/>
          <w:kern w:val="2"/>
          <w:sz w:val="32"/>
          <w:szCs w:val="32"/>
          <w:highlight w:val="none"/>
          <w:lang w:val="en-US" w:eastAsia="zh-CN" w:bidi="ar-SA"/>
        </w:rPr>
        <w:t>等相关公众对项目的实施效果有直接或间接的感受。公众评判法可以充分听取他们的意见和建议，从不同角度评价项目的绩效。比如，</w:t>
      </w:r>
      <w:r>
        <w:rPr>
          <w:rFonts w:hint="eastAsia" w:ascii="Times New Roman" w:hAnsi="Times New Roman" w:eastAsia="仿宋_GB2312" w:cs="Times New Roman"/>
          <w:b w:val="0"/>
          <w:color w:val="auto"/>
          <w:spacing w:val="17"/>
          <w:kern w:val="2"/>
          <w:sz w:val="32"/>
          <w:szCs w:val="32"/>
          <w:highlight w:val="none"/>
          <w:lang w:val="en-US" w:eastAsia="zh-CN" w:bidi="ar-SA"/>
        </w:rPr>
        <w:t>项目实施的周边群众的满意度</w:t>
      </w:r>
      <w:r>
        <w:rPr>
          <w:rFonts w:hint="default" w:ascii="Times New Roman" w:hAnsi="Times New Roman" w:eastAsia="仿宋_GB2312" w:cs="Times New Roman"/>
          <w:b w:val="0"/>
          <w:color w:val="auto"/>
          <w:spacing w:val="17"/>
          <w:kern w:val="2"/>
          <w:sz w:val="32"/>
          <w:szCs w:val="32"/>
          <w:highlight w:val="none"/>
          <w:lang w:val="en-US" w:eastAsia="zh-CN" w:bidi="ar-SA"/>
        </w:rPr>
        <w:t>角度进行评价，可以</w:t>
      </w:r>
      <w:r>
        <w:rPr>
          <w:rFonts w:hint="eastAsia" w:ascii="Times New Roman" w:hAnsi="Times New Roman" w:eastAsia="仿宋_GB2312" w:cs="Times New Roman"/>
          <w:b w:val="0"/>
          <w:color w:val="auto"/>
          <w:spacing w:val="17"/>
          <w:kern w:val="2"/>
          <w:sz w:val="32"/>
          <w:szCs w:val="32"/>
          <w:highlight w:val="none"/>
          <w:lang w:val="en-US" w:eastAsia="zh-CN" w:bidi="ar-SA"/>
        </w:rPr>
        <w:t>了解项目运行的效果</w:t>
      </w:r>
      <w:r>
        <w:rPr>
          <w:rFonts w:hint="default" w:ascii="Times New Roman" w:hAnsi="Times New Roman" w:eastAsia="仿宋_GB2312" w:cs="Times New Roman"/>
          <w:b w:val="0"/>
          <w:color w:val="auto"/>
          <w:spacing w:val="17"/>
          <w:kern w:val="2"/>
          <w:sz w:val="32"/>
          <w:szCs w:val="32"/>
          <w:highlight w:val="none"/>
          <w:lang w:val="en-US" w:eastAsia="zh-CN" w:bidi="ar-SA"/>
        </w:rPr>
        <w:t>，使绩效评价更具全面性和客观性，也能增强评价结果的可信度和社会认可度。</w:t>
      </w:r>
    </w:p>
    <w:p w14:paraId="5FD20D43">
      <w:pPr>
        <w:pStyle w:val="5"/>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79" w:name="_Toc25651"/>
      <w:bookmarkStart w:id="80" w:name="_Toc6081"/>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4.评价标准</w:t>
      </w:r>
      <w:bookmarkEnd w:id="78"/>
      <w:bookmarkEnd w:id="79"/>
      <w:bookmarkEnd w:id="80"/>
    </w:p>
    <w:p w14:paraId="626D6F8E">
      <w:pPr>
        <w:spacing w:line="560" w:lineRule="exact"/>
        <w:ind w:firstLine="708" w:firstLineChars="200"/>
        <w:rPr>
          <w:rFonts w:hint="default" w:ascii="Times New Roman" w:hAnsi="Times New Roman" w:eastAsia="仿宋_GB2312" w:cs="Times New Roman"/>
          <w:color w:val="00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绩效评价标准通常包括计划标准、行业标准、历史标准等，用于对绩效指标完成情况进行比较、分析、评价。本次评价主要采用了计划标准</w:t>
      </w:r>
      <w:r>
        <w:rPr>
          <w:rFonts w:hint="eastAsia"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历史标准</w:t>
      </w:r>
      <w:r>
        <w:rPr>
          <w:rFonts w:hint="default" w:ascii="Times New Roman" w:hAnsi="Times New Roman" w:eastAsia="仿宋_GB2312" w:cs="Times New Roman"/>
          <w:color w:val="FF0000"/>
          <w:spacing w:val="17"/>
          <w:sz w:val="32"/>
          <w:szCs w:val="32"/>
          <w:highlight w:val="none"/>
        </w:rPr>
        <w:t>。</w:t>
      </w:r>
    </w:p>
    <w:p w14:paraId="127098A0">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lang w:val="en-US" w:eastAsia="zh-CN"/>
        </w:rPr>
        <w:t>1</w:t>
      </w: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计划标准。指以预先制定的目标、计划、预算、定额等作为评价标准。</w:t>
      </w:r>
    </w:p>
    <w:p w14:paraId="7B3FF584">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lang w:eastAsia="zh-CN"/>
        </w:rPr>
        <w:t>）</w:t>
      </w:r>
      <w:r>
        <w:rPr>
          <w:rFonts w:hint="eastAsia" w:ascii="Times New Roman" w:hAnsi="Times New Roman" w:eastAsia="仿宋_GB2312" w:cs="Times New Roman"/>
          <w:color w:val="000000"/>
          <w:spacing w:val="17"/>
          <w:sz w:val="32"/>
          <w:szCs w:val="32"/>
          <w:highlight w:val="none"/>
          <w:lang w:val="en-US" w:eastAsia="zh-CN"/>
        </w:rPr>
        <w:t>历</w:t>
      </w:r>
      <w:r>
        <w:rPr>
          <w:rFonts w:hint="default" w:ascii="Times New Roman" w:hAnsi="Times New Roman" w:eastAsia="仿宋_GB2312" w:cs="Times New Roman"/>
          <w:color w:val="000000"/>
          <w:spacing w:val="17"/>
          <w:sz w:val="32"/>
          <w:szCs w:val="32"/>
          <w:highlight w:val="none"/>
        </w:rPr>
        <w:t>史标准。指参照历史数据制定的评价标准，为体现绩效改进的原则，在可实现的条件下应当确定相对较高的评价标准。</w:t>
      </w:r>
    </w:p>
    <w:p w14:paraId="50411479">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81" w:name="_Toc21435"/>
      <w:r>
        <w:rPr>
          <w:rFonts w:hint="eastAsia" w:ascii="Times New Roman" w:hAnsi="Times New Roman" w:eastAsia="楷体_GB2312" w:cs="Times New Roman"/>
          <w:kern w:val="28"/>
          <w:sz w:val="32"/>
          <w:lang w:val="en-US" w:eastAsia="zh-CN"/>
        </w:rPr>
        <w:t>（三）绩效评价工作过程</w:t>
      </w:r>
      <w:bookmarkEnd w:id="81"/>
    </w:p>
    <w:p w14:paraId="7FDC3967">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82" w:name="_Toc12862"/>
      <w:r>
        <w:rPr>
          <w:rFonts w:hint="eastAsia" w:ascii="Times New Roman" w:hAnsi="Times New Roman" w:eastAsia="仿宋_GB2312" w:cs="Times New Roman"/>
          <w:b/>
          <w:bCs/>
          <w:color w:val="000000"/>
          <w:spacing w:val="17"/>
          <w:sz w:val="32"/>
          <w:szCs w:val="32"/>
          <w:highlight w:val="none"/>
          <w:lang w:val="en-US" w:eastAsia="zh-CN"/>
        </w:rPr>
        <w:t>1.前期准备</w:t>
      </w:r>
      <w:bookmarkEnd w:id="82"/>
    </w:p>
    <w:p w14:paraId="7BE643BA">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（1）成立绩效评价项目小组</w:t>
      </w:r>
    </w:p>
    <w:p w14:paraId="22BED5A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2DF35AA0">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3" w:name="_Toc31571"/>
      <w:r>
        <w:rPr>
          <w:rFonts w:hint="eastAsia" w:ascii="Times New Roman" w:hAnsi="Times New Roman" w:eastAsia="仿宋_GB2312" w:cs="Times New Roman"/>
          <w:color w:val="000000"/>
          <w:spacing w:val="17"/>
          <w:sz w:val="32"/>
          <w:szCs w:val="32"/>
          <w:highlight w:val="none"/>
          <w:lang w:val="en-US" w:eastAsia="zh-CN"/>
        </w:rPr>
        <w:t>（2）开展前期调研</w:t>
      </w:r>
      <w:bookmarkEnd w:id="83"/>
    </w:p>
    <w:p w14:paraId="4E887B27">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4" w:name="_Toc21240"/>
      <w:r>
        <w:rPr>
          <w:rFonts w:hint="eastAsia" w:ascii="Times New Roman" w:hAnsi="Times New Roman" w:eastAsia="仿宋_GB2312" w:cs="Times New Roman"/>
          <w:color w:val="000000"/>
          <w:spacing w:val="17"/>
          <w:sz w:val="32"/>
          <w:szCs w:val="32"/>
          <w:highlight w:val="none"/>
          <w:lang w:val="en-US" w:eastAsia="zh-CN"/>
        </w:rPr>
        <w:t>绩效评价项目小组依据此次绩效评价受委托内容，对拟评价的项</w:t>
      </w:r>
      <w:r>
        <w:rPr>
          <w:rFonts w:hint="eastAsia" w:ascii="Times New Roman" w:hAnsi="Times New Roman" w:eastAsia="仿宋_GB2312" w:cs="Times New Roman"/>
          <w:color w:val="auto"/>
          <w:spacing w:val="17"/>
          <w:sz w:val="32"/>
          <w:szCs w:val="32"/>
          <w:highlight w:val="none"/>
          <w:lang w:val="en-US" w:eastAsia="zh-CN"/>
        </w:rPr>
        <w:t>目实施前期调研。通过调研对厦小昌州财教【2023】90号（保民生）提前下达2024年城乡义务教育补助经费（中央直达资金）公用经费小学实施内容、目标信息、预算信息以及其他的一些项目</w:t>
      </w:r>
      <w:r>
        <w:rPr>
          <w:rFonts w:hint="eastAsia" w:ascii="Times New Roman" w:hAnsi="Times New Roman" w:eastAsia="仿宋_GB2312" w:cs="Times New Roman"/>
          <w:color w:val="000000"/>
          <w:spacing w:val="17"/>
          <w:sz w:val="32"/>
          <w:szCs w:val="32"/>
          <w:highlight w:val="none"/>
          <w:lang w:val="en-US" w:eastAsia="zh-CN"/>
        </w:rPr>
        <w:t>基本信息，有了初步了解，为制定绩效评价工作方案做好准备。</w:t>
      </w:r>
      <w:bookmarkEnd w:id="84"/>
    </w:p>
    <w:p w14:paraId="00E08839">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5" w:name="_Toc27977"/>
      <w:r>
        <w:rPr>
          <w:rFonts w:hint="eastAsia" w:ascii="Times New Roman" w:hAnsi="Times New Roman" w:eastAsia="仿宋_GB2312" w:cs="Times New Roman"/>
          <w:color w:val="000000"/>
          <w:spacing w:val="17"/>
          <w:sz w:val="32"/>
          <w:szCs w:val="32"/>
          <w:highlight w:val="none"/>
          <w:lang w:val="en-US" w:eastAsia="zh-CN"/>
        </w:rPr>
        <w:t>（3）制订绩效评价工作方案</w:t>
      </w:r>
      <w:bookmarkEnd w:id="85"/>
    </w:p>
    <w:p w14:paraId="65A76AA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6" w:name="_Toc19659"/>
      <w:r>
        <w:rPr>
          <w:rFonts w:hint="eastAsia" w:ascii="Times New Roman" w:hAnsi="Times New Roman" w:eastAsia="仿宋_GB2312" w:cs="Times New Roman"/>
          <w:color w:val="000000"/>
          <w:spacing w:val="17"/>
          <w:sz w:val="32"/>
          <w:szCs w:val="32"/>
          <w:highlight w:val="none"/>
          <w:lang w:val="en-US" w:eastAsia="zh-CN"/>
        </w:rPr>
        <w:t>绩效评价项目小组根据有关规定和评价对象的特点以及前期调研收集的一些信息，拟定详细的绩效评价工作方案。</w:t>
      </w:r>
      <w:bookmarkEnd w:id="86"/>
    </w:p>
    <w:p w14:paraId="068E6497">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87" w:name="_Toc11353"/>
      <w:r>
        <w:rPr>
          <w:rFonts w:hint="eastAsia" w:ascii="Times New Roman" w:hAnsi="Times New Roman" w:eastAsia="仿宋_GB2312" w:cs="Times New Roman"/>
          <w:b/>
          <w:bCs/>
          <w:color w:val="000000"/>
          <w:spacing w:val="17"/>
          <w:sz w:val="32"/>
          <w:szCs w:val="32"/>
          <w:highlight w:val="none"/>
          <w:lang w:val="en-US" w:eastAsia="zh-CN"/>
        </w:rPr>
        <w:t>2.具体实施</w:t>
      </w:r>
      <w:bookmarkEnd w:id="87"/>
    </w:p>
    <w:p w14:paraId="2BEA9651">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8" w:name="_Toc14111"/>
      <w:r>
        <w:rPr>
          <w:rFonts w:hint="eastAsia" w:ascii="Times New Roman" w:hAnsi="Times New Roman" w:eastAsia="仿宋_GB2312" w:cs="Times New Roman"/>
          <w:color w:val="000000"/>
          <w:spacing w:val="17"/>
          <w:sz w:val="32"/>
          <w:szCs w:val="32"/>
          <w:highlight w:val="none"/>
          <w:lang w:val="en-US" w:eastAsia="zh-CN"/>
        </w:rPr>
        <w:t>（1）收集基础资料</w:t>
      </w:r>
      <w:bookmarkEnd w:id="88"/>
    </w:p>
    <w:p w14:paraId="622D586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9" w:name="_Toc28524"/>
      <w:r>
        <w:rPr>
          <w:rFonts w:hint="eastAsia" w:ascii="Times New Roman" w:hAnsi="Times New Roman" w:eastAsia="仿宋_GB2312" w:cs="Times New Roman"/>
          <w:color w:val="000000"/>
          <w:spacing w:val="17"/>
          <w:sz w:val="32"/>
          <w:szCs w:val="32"/>
          <w:highlight w:val="none"/>
          <w:lang w:val="en-US" w:eastAsia="zh-CN"/>
        </w:rPr>
        <w:t>根据评价工作的需要和要求，在前期调研的基础上，通过多种渠道全面收集项目基础信息资料，主要包括：</w:t>
      </w:r>
      <w:bookmarkEnd w:id="89"/>
    </w:p>
    <w:p w14:paraId="78A30EC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0" w:name="_Toc32216"/>
      <w:r>
        <w:rPr>
          <w:rFonts w:hint="eastAsia" w:ascii="Times New Roman" w:hAnsi="Times New Roman" w:eastAsia="仿宋_GB2312" w:cs="Times New Roman"/>
          <w:color w:val="000000"/>
          <w:spacing w:val="17"/>
          <w:sz w:val="32"/>
          <w:szCs w:val="32"/>
          <w:highlight w:val="none"/>
          <w:lang w:val="en-US" w:eastAsia="zh-CN"/>
        </w:rPr>
        <w:t>①被评价单位基本概况，如单位职能、事业发展规划、预决算情况、项目立项依据等；</w:t>
      </w:r>
      <w:bookmarkEnd w:id="90"/>
    </w:p>
    <w:p w14:paraId="173F5A56">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1" w:name="_Toc10505"/>
      <w:r>
        <w:rPr>
          <w:rFonts w:hint="eastAsia" w:ascii="Times New Roman" w:hAnsi="Times New Roman" w:eastAsia="仿宋_GB2312" w:cs="Times New Roman"/>
          <w:color w:val="000000"/>
          <w:spacing w:val="17"/>
          <w:sz w:val="32"/>
          <w:szCs w:val="32"/>
          <w:highlight w:val="none"/>
          <w:lang w:val="en-US" w:eastAsia="zh-CN"/>
        </w:rPr>
        <w:t>②绩效目标及其设立依据和调整情况；</w:t>
      </w:r>
      <w:bookmarkEnd w:id="91"/>
    </w:p>
    <w:p w14:paraId="5EDE4B99">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2" w:name="_Toc28365"/>
      <w:r>
        <w:rPr>
          <w:rFonts w:hint="eastAsia" w:ascii="Times New Roman" w:hAnsi="Times New Roman" w:eastAsia="仿宋_GB2312" w:cs="Times New Roman"/>
          <w:color w:val="000000"/>
          <w:spacing w:val="17"/>
          <w:sz w:val="32"/>
          <w:szCs w:val="32"/>
          <w:highlight w:val="none"/>
          <w:lang w:val="en-US" w:eastAsia="zh-CN"/>
        </w:rPr>
        <w:t>③管理措施及组织实施情况；</w:t>
      </w:r>
      <w:bookmarkEnd w:id="92"/>
    </w:p>
    <w:p w14:paraId="4C64E9D7">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3" w:name="_Toc10091"/>
      <w:r>
        <w:rPr>
          <w:rFonts w:hint="eastAsia" w:ascii="Times New Roman" w:hAnsi="Times New Roman" w:eastAsia="仿宋_GB2312" w:cs="Times New Roman"/>
          <w:color w:val="000000"/>
          <w:spacing w:val="17"/>
          <w:sz w:val="32"/>
          <w:szCs w:val="32"/>
          <w:highlight w:val="none"/>
          <w:lang w:val="en-US" w:eastAsia="zh-CN"/>
        </w:rPr>
        <w:t>④被评价单位总结分析的绩效目标完成情况及绩效报告；</w:t>
      </w:r>
      <w:bookmarkEnd w:id="93"/>
    </w:p>
    <w:p w14:paraId="0D0FE4DF">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4" w:name="_Toc1"/>
      <w:r>
        <w:rPr>
          <w:rFonts w:hint="eastAsia" w:ascii="Times New Roman" w:hAnsi="Times New Roman" w:eastAsia="仿宋_GB2312" w:cs="Times New Roman"/>
          <w:color w:val="000000"/>
          <w:spacing w:val="17"/>
          <w:sz w:val="32"/>
          <w:szCs w:val="32"/>
          <w:highlight w:val="none"/>
          <w:lang w:val="en-US" w:eastAsia="zh-CN"/>
        </w:rPr>
        <w:t>⑤与绩效评价相关的计划标准、行业标准、历史标准等；</w:t>
      </w:r>
      <w:bookmarkEnd w:id="94"/>
    </w:p>
    <w:p w14:paraId="07E176DA">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5" w:name="_Toc20059"/>
      <w:r>
        <w:rPr>
          <w:rFonts w:hint="eastAsia" w:ascii="Times New Roman" w:hAnsi="Times New Roman" w:eastAsia="仿宋_GB2312" w:cs="Times New Roman"/>
          <w:color w:val="000000"/>
          <w:spacing w:val="17"/>
          <w:sz w:val="32"/>
          <w:szCs w:val="32"/>
          <w:highlight w:val="none"/>
          <w:lang w:val="en-US" w:eastAsia="zh-CN"/>
        </w:rPr>
        <w:t>⑥其他必要的相关资料等。</w:t>
      </w:r>
      <w:bookmarkEnd w:id="95"/>
    </w:p>
    <w:p w14:paraId="01E17F6D">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6" w:name="_Toc31911"/>
      <w:r>
        <w:rPr>
          <w:rFonts w:hint="eastAsia" w:ascii="Times New Roman" w:hAnsi="Times New Roman" w:eastAsia="仿宋_GB2312" w:cs="Times New Roman"/>
          <w:color w:val="000000"/>
          <w:spacing w:val="17"/>
          <w:sz w:val="32"/>
          <w:szCs w:val="32"/>
          <w:highlight w:val="none"/>
          <w:lang w:val="en-US" w:eastAsia="zh-CN"/>
        </w:rPr>
        <w:t>（2）整理、研读基础资料</w:t>
      </w:r>
      <w:bookmarkEnd w:id="96"/>
    </w:p>
    <w:p w14:paraId="7DBA044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7" w:name="_Toc167"/>
      <w:r>
        <w:rPr>
          <w:rFonts w:hint="eastAsia" w:ascii="Times New Roman" w:hAnsi="Times New Roman" w:eastAsia="仿宋_GB2312" w:cs="Times New Roman"/>
          <w:color w:val="000000"/>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7"/>
    </w:p>
    <w:p w14:paraId="009152DF">
      <w:pPr>
        <w:spacing w:line="560" w:lineRule="exact"/>
        <w:ind w:firstLine="711" w:firstLineChars="200"/>
        <w:rPr>
          <w:rFonts w:hint="default" w:ascii="Times New Roman" w:hAnsi="Times New Roman" w:eastAsia="仿宋_GB2312" w:cs="Times New Roman"/>
          <w:b/>
          <w:bCs/>
          <w:color w:val="000000"/>
          <w:spacing w:val="17"/>
          <w:sz w:val="32"/>
          <w:szCs w:val="32"/>
          <w:highlight w:val="none"/>
          <w:lang w:val="en-US" w:eastAsia="zh-CN"/>
        </w:rPr>
      </w:pPr>
      <w:bookmarkStart w:id="98" w:name="_Toc30513"/>
      <w:r>
        <w:rPr>
          <w:rFonts w:hint="eastAsia" w:ascii="Times New Roman" w:hAnsi="Times New Roman" w:eastAsia="仿宋_GB2312" w:cs="Times New Roman"/>
          <w:b/>
          <w:bCs/>
          <w:color w:val="000000"/>
          <w:spacing w:val="17"/>
          <w:sz w:val="32"/>
          <w:szCs w:val="32"/>
          <w:highlight w:val="none"/>
          <w:lang w:val="en-US" w:eastAsia="zh-CN"/>
        </w:rPr>
        <w:t>3.分析评价和撰写报告</w:t>
      </w:r>
      <w:bookmarkEnd w:id="98"/>
    </w:p>
    <w:p w14:paraId="462C1DCA">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9" w:name="_Toc15974"/>
      <w:r>
        <w:rPr>
          <w:rFonts w:hint="eastAsia" w:ascii="Times New Roman" w:hAnsi="Times New Roman" w:eastAsia="仿宋_GB2312" w:cs="Times New Roman"/>
          <w:color w:val="000000"/>
          <w:spacing w:val="17"/>
          <w:sz w:val="32"/>
          <w:szCs w:val="32"/>
          <w:highlight w:val="none"/>
          <w:lang w:eastAsia="zh-CN"/>
        </w:rPr>
        <w:t>（</w:t>
      </w:r>
      <w:r>
        <w:rPr>
          <w:rFonts w:hint="eastAsia" w:ascii="Times New Roman" w:hAnsi="Times New Roman" w:eastAsia="仿宋_GB2312" w:cs="Times New Roman"/>
          <w:color w:val="000000"/>
          <w:spacing w:val="17"/>
          <w:sz w:val="32"/>
          <w:szCs w:val="32"/>
          <w:highlight w:val="none"/>
          <w:lang w:val="en-US" w:eastAsia="zh-CN"/>
        </w:rPr>
        <w:t>1）综合分析评价</w:t>
      </w:r>
      <w:bookmarkEnd w:id="99"/>
    </w:p>
    <w:p w14:paraId="366756D9">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0" w:name="_Toc4352"/>
      <w:r>
        <w:rPr>
          <w:rFonts w:hint="eastAsia" w:ascii="Times New Roman" w:hAnsi="Times New Roman" w:eastAsia="仿宋_GB2312" w:cs="Times New Roman"/>
          <w:color w:val="000000"/>
          <w:spacing w:val="17"/>
          <w:sz w:val="32"/>
          <w:szCs w:val="32"/>
          <w:highlight w:val="none"/>
          <w:lang w:val="en-US" w:eastAsia="zh-CN"/>
        </w:rPr>
        <w:t>①根据所收集的基础资料，结合现场核查的有关情况，整理出绩效评价所需的项目材料和基础数据。</w:t>
      </w:r>
      <w:bookmarkEnd w:id="100"/>
    </w:p>
    <w:p w14:paraId="45FC1043">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1" w:name="_Toc26231"/>
      <w:r>
        <w:rPr>
          <w:rFonts w:hint="eastAsia" w:ascii="Times New Roman" w:hAnsi="Times New Roman" w:eastAsia="仿宋_GB2312" w:cs="Times New Roman"/>
          <w:color w:val="000000"/>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1"/>
    </w:p>
    <w:p w14:paraId="4D2898EB">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2" w:name="_Toc27759"/>
      <w:r>
        <w:rPr>
          <w:rFonts w:hint="eastAsia" w:ascii="Times New Roman" w:hAnsi="Times New Roman" w:eastAsia="仿宋_GB2312" w:cs="Times New Roman"/>
          <w:color w:val="000000"/>
          <w:spacing w:val="17"/>
          <w:sz w:val="32"/>
          <w:szCs w:val="32"/>
          <w:highlight w:val="none"/>
          <w:lang w:val="en-US" w:eastAsia="zh-CN"/>
        </w:rPr>
        <w:t>（2）撰写报告</w:t>
      </w:r>
      <w:bookmarkEnd w:id="102"/>
    </w:p>
    <w:p w14:paraId="54508077">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3" w:name="_Toc15579"/>
      <w:r>
        <w:rPr>
          <w:rFonts w:hint="eastAsia" w:ascii="Times New Roman" w:hAnsi="Times New Roman" w:eastAsia="仿宋_GB2312" w:cs="Times New Roman"/>
          <w:color w:val="000000"/>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3"/>
    </w:p>
    <w:p w14:paraId="7E891145">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104" w:name="_Toc1926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三、</w:t>
      </w:r>
      <w:r>
        <w:rPr>
          <w:rFonts w:hint="eastAsia" w:ascii="黑体" w:hAnsi="黑体" w:eastAsia="黑体" w:cs="黑体"/>
          <w:b w:val="0"/>
          <w:bCs w:val="0"/>
          <w:color w:val="000000" w:themeColor="text1"/>
          <w:highlight w:val="none"/>
          <w:shd w:val="clear" w:color="auto" w:fill="auto"/>
          <w14:textFill>
            <w14:solidFill>
              <w14:schemeClr w14:val="tx1"/>
            </w14:solidFill>
          </w14:textFill>
        </w:rPr>
        <w:t>综合评价情况及评价结论</w:t>
      </w:r>
      <w:bookmarkEnd w:id="104"/>
    </w:p>
    <w:p w14:paraId="021F327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05" w:name="_Toc23319"/>
      <w:r>
        <w:rPr>
          <w:rFonts w:hint="eastAsia" w:ascii="Times New Roman" w:hAnsi="Times New Roman" w:eastAsia="楷体_GB2312" w:cs="Times New Roman"/>
          <w:kern w:val="28"/>
          <w:sz w:val="32"/>
          <w:lang w:val="en-US" w:eastAsia="zh-CN"/>
        </w:rPr>
        <w:t>（一）综合评价情况及评价结论</w:t>
      </w:r>
      <w:bookmarkEnd w:id="105"/>
    </w:p>
    <w:p w14:paraId="6DE063D4">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green"/>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w:t>
      </w:r>
      <w:r>
        <w:rPr>
          <w:rFonts w:hint="default" w:ascii="Times New Roman" w:hAnsi="Times New Roman" w:eastAsia="仿宋_GB2312" w:cs="Times New Roman"/>
          <w:color w:val="auto"/>
          <w:sz w:val="32"/>
          <w:szCs w:val="32"/>
          <w:highlight w:val="none"/>
        </w:rPr>
        <w:t>况来看，</w:t>
      </w:r>
      <w:r>
        <w:rPr>
          <w:rFonts w:hint="eastAsia" w:ascii="Times New Roman" w:hAnsi="Times New Roman" w:eastAsia="仿宋_GB2312" w:cs="Times New Roman"/>
          <w:color w:val="auto"/>
          <w:sz w:val="32"/>
          <w:szCs w:val="32"/>
          <w:highlight w:val="none"/>
          <w:lang w:val="en-US" w:eastAsia="zh-CN"/>
        </w:rPr>
        <w:t>厦小昌州财教【2023】90号（保民生）提前下达2024年城乡义务教育补助经费（中央直达资金）公用经费小学</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项目产出方面完成较好</w:t>
      </w:r>
      <w:r>
        <w:rPr>
          <w:rFonts w:hint="default" w:ascii="Times New Roman" w:hAnsi="Times New Roman" w:eastAsia="仿宋_GB2312" w:cs="Times New Roman"/>
          <w:color w:val="auto"/>
          <w:sz w:val="32"/>
          <w:szCs w:val="32"/>
          <w:highlight w:val="none"/>
        </w:rPr>
        <w:t>，达到了预期的标准与要求。</w:t>
      </w:r>
    </w:p>
    <w:p w14:paraId="6FF41CAD">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ascii="Times New Roman" w:hAnsi="Times New Roman" w:eastAsia="仿宋_GB2312" w:cs="Times New Roman"/>
          <w:color w:val="auto"/>
          <w:sz w:val="32"/>
          <w:szCs w:val="32"/>
          <w:highlight w:val="none"/>
          <w:lang w:val="en-US" w:eastAsia="zh-CN"/>
        </w:rPr>
        <w:t>阜康市厦门实验小学</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72B816F4">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从项目效益的角度来看，本项目不仅实现了预期的社会效益等方面产生了积极的影响。具体而言改善教学环境，提供良好的学生成长条件等方面的提升，为项目的利益相关者带来了实实在在的利益。</w:t>
      </w:r>
    </w:p>
    <w:p w14:paraId="76DF2BE5">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w:t>
      </w:r>
      <w:r>
        <w:rPr>
          <w:rFonts w:hint="eastAsia" w:ascii="Times New Roman" w:hAnsi="Times New Roman" w:eastAsia="仿宋_GB2312" w:cs="Times New Roman"/>
          <w:color w:val="auto"/>
          <w:sz w:val="32"/>
          <w:szCs w:val="32"/>
          <w:highlight w:val="none"/>
          <w:lang w:val="en-US" w:eastAsia="zh-CN"/>
        </w:rPr>
        <w:t>厦小昌州财教【2023】90号（保民生）提前下达2024年城乡义务教育补助经费（中央直达资金）公用经费小学</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评价等级为优秀</w:t>
      </w:r>
      <w:r>
        <w:rPr>
          <w:rFonts w:hint="default" w:ascii="Times New Roman" w:hAnsi="Times New Roman" w:eastAsia="仿宋_GB2312" w:cs="Times New Roman"/>
          <w:color w:val="auto"/>
          <w:sz w:val="32"/>
          <w:szCs w:val="32"/>
          <w:highlight w:val="none"/>
        </w:rPr>
        <w:t>。</w:t>
      </w:r>
    </w:p>
    <w:p w14:paraId="2426D7CF">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106" w:name="_Toc11863"/>
      <w:r>
        <w:rPr>
          <w:rFonts w:hint="eastAsia" w:ascii="Times New Roman" w:hAnsi="Times New Roman" w:eastAsia="楷体_GB2312" w:cs="Times New Roman"/>
          <w:color w:val="auto"/>
          <w:kern w:val="28"/>
          <w:sz w:val="32"/>
          <w:lang w:val="en-US" w:eastAsia="zh-CN"/>
        </w:rPr>
        <w:t>（二）相关评分表</w:t>
      </w:r>
      <w:bookmarkEnd w:id="106"/>
    </w:p>
    <w:p w14:paraId="795B9801">
      <w:pPr>
        <w:spacing w:line="560" w:lineRule="exact"/>
        <w:ind w:firstLine="708" w:firstLineChars="200"/>
        <w:rPr>
          <w:rFonts w:hint="eastAsia" w:ascii="Times New Roman" w:hAnsi="Times New Roman" w:eastAsia="仿宋_GB2312" w:cs="Times New Roman"/>
          <w:color w:val="000000"/>
          <w:spacing w:val="17"/>
          <w:sz w:val="32"/>
          <w:szCs w:val="32"/>
          <w:highlight w:val="none"/>
          <w:lang w:val="zh-TW" w:eastAsia="zh-TW"/>
        </w:rPr>
      </w:pPr>
      <w:r>
        <w:rPr>
          <w:rFonts w:hint="eastAsia" w:ascii="Times New Roman" w:hAnsi="Times New Roman" w:eastAsia="仿宋_GB2312" w:cs="Times New Roman"/>
          <w:color w:val="auto"/>
          <w:spacing w:val="17"/>
          <w:sz w:val="32"/>
          <w:szCs w:val="32"/>
          <w:highlight w:val="none"/>
          <w:lang w:val="en-US" w:eastAsia="zh-CN"/>
        </w:rPr>
        <w:t>此次绩效评价</w:t>
      </w:r>
      <w:r>
        <w:rPr>
          <w:rFonts w:hint="eastAsia" w:ascii="Times New Roman" w:hAnsi="Times New Roman" w:eastAsia="仿宋_GB2312" w:cs="Times New Roman"/>
          <w:color w:val="auto"/>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auto"/>
          <w:spacing w:val="17"/>
          <w:sz w:val="32"/>
          <w:szCs w:val="32"/>
          <w:highlight w:val="none"/>
          <w:lang w:val="en-US" w:eastAsia="zh-CN"/>
        </w:rPr>
        <w:t>采用的方法比较法、因素分析法、公众评判法，</w:t>
      </w:r>
      <w:r>
        <w:rPr>
          <w:rFonts w:hint="eastAsia" w:ascii="Times New Roman" w:hAnsi="Times New Roman" w:eastAsia="仿宋_GB2312" w:cs="Times New Roman"/>
          <w:color w:val="auto"/>
          <w:spacing w:val="17"/>
          <w:sz w:val="32"/>
          <w:szCs w:val="32"/>
          <w:highlight w:val="none"/>
          <w:lang w:val="zh-TW" w:eastAsia="zh-TW"/>
        </w:rPr>
        <w:t>对</w:t>
      </w:r>
      <w:r>
        <w:rPr>
          <w:rFonts w:hint="eastAsia" w:ascii="Times New Roman" w:hAnsi="Times New Roman" w:eastAsia="仿宋_GB2312" w:cs="Times New Roman"/>
          <w:color w:val="auto"/>
          <w:sz w:val="32"/>
          <w:szCs w:val="32"/>
          <w:highlight w:val="none"/>
          <w:lang w:val="en-US" w:eastAsia="zh-CN"/>
        </w:rPr>
        <w:t>厦小昌州财教【2023】90号（保民生）提前下达2024年城乡义务教育补助经费（中央直达资金）公用经费小学</w:t>
      </w:r>
      <w:r>
        <w:rPr>
          <w:rFonts w:hint="eastAsia" w:ascii="Times New Roman" w:hAnsi="Times New Roman" w:eastAsia="仿宋_GB2312" w:cs="Times New Roman"/>
          <w:color w:val="auto"/>
          <w:spacing w:val="17"/>
          <w:sz w:val="32"/>
          <w:szCs w:val="32"/>
          <w:highlight w:val="none"/>
          <w:lang w:val="zh-TW" w:eastAsia="zh-TW"/>
        </w:rPr>
        <w:t>绩效进行客观</w:t>
      </w:r>
      <w:r>
        <w:rPr>
          <w:rFonts w:hint="eastAsia" w:ascii="Times New Roman" w:hAnsi="Times New Roman" w:eastAsia="仿宋_GB2312" w:cs="Times New Roman"/>
          <w:color w:val="000000"/>
          <w:spacing w:val="17"/>
          <w:sz w:val="32"/>
          <w:szCs w:val="32"/>
          <w:highlight w:val="none"/>
          <w:lang w:val="zh-TW" w:eastAsia="zh-TW"/>
        </w:rPr>
        <w:t>评价，最终评分结果：</w:t>
      </w:r>
      <w:r>
        <w:rPr>
          <w:rFonts w:hint="default" w:ascii="Times New Roman" w:hAnsi="Times New Roman" w:eastAsia="仿宋_GB2312" w:cs="Times New Roman"/>
          <w:color w:val="000000"/>
          <w:spacing w:val="17"/>
          <w:sz w:val="32"/>
          <w:szCs w:val="32"/>
          <w:highlight w:val="none"/>
          <w:lang w:val="en-US" w:eastAsia="zh-CN"/>
        </w:rPr>
        <w:t>总</w:t>
      </w:r>
      <w:r>
        <w:rPr>
          <w:rFonts w:hint="default" w:ascii="Times New Roman" w:hAnsi="Times New Roman" w:eastAsia="仿宋_GB2312" w:cs="Times New Roman"/>
          <w:color w:val="auto"/>
          <w:spacing w:val="17"/>
          <w:sz w:val="32"/>
          <w:szCs w:val="32"/>
          <w:highlight w:val="none"/>
          <w:lang w:val="en-US" w:eastAsia="zh-CN"/>
        </w:rPr>
        <w:t>得分为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19.2</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96</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40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shd w:val="clear"/>
          <w:lang w:val="en-US" w:eastAsia="zh-CN"/>
        </w:rPr>
        <w:t>20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000000"/>
          <w:spacing w:val="17"/>
          <w:sz w:val="32"/>
          <w:szCs w:val="32"/>
          <w:highlight w:val="none"/>
          <w:lang w:val="en-US" w:eastAsia="zh-CN"/>
        </w:rPr>
        <w:t>汇总</w:t>
      </w:r>
      <w:r>
        <w:rPr>
          <w:rFonts w:hint="eastAsia" w:ascii="Times New Roman" w:hAnsi="Times New Roman" w:eastAsia="仿宋_GB2312" w:cs="Times New Roman"/>
          <w:color w:val="000000"/>
          <w:spacing w:val="17"/>
          <w:sz w:val="32"/>
          <w:szCs w:val="32"/>
          <w:highlight w:val="none"/>
          <w:lang w:val="zh-TW" w:eastAsia="zh-TW"/>
        </w:rPr>
        <w:t>分值如下表</w:t>
      </w:r>
      <w:r>
        <w:rPr>
          <w:rFonts w:hint="eastAsia" w:ascii="Times New Roman" w:hAnsi="Times New Roman" w:eastAsia="仿宋_GB2312" w:cs="Times New Roman"/>
          <w:color w:val="000000"/>
          <w:spacing w:val="17"/>
          <w:sz w:val="32"/>
          <w:szCs w:val="32"/>
          <w:highlight w:val="none"/>
          <w:lang w:val="en-US" w:eastAsia="zh-CN"/>
        </w:rPr>
        <w:t>3-1</w:t>
      </w:r>
      <w:r>
        <w:rPr>
          <w:rFonts w:hint="eastAsia" w:ascii="Times New Roman" w:hAnsi="Times New Roman" w:eastAsia="仿宋_GB2312" w:cs="Times New Roman"/>
          <w:color w:val="000000"/>
          <w:spacing w:val="17"/>
          <w:sz w:val="32"/>
          <w:szCs w:val="32"/>
          <w:highlight w:val="none"/>
          <w:lang w:val="zh-TW" w:eastAsia="zh-TW"/>
        </w:rPr>
        <w:t>所示</w:t>
      </w:r>
      <w:r>
        <w:rPr>
          <w:rFonts w:hint="eastAsia" w:ascii="Times New Roman" w:hAnsi="Times New Roman" w:eastAsia="仿宋_GB2312" w:cs="Times New Roman"/>
          <w:color w:val="000000"/>
          <w:spacing w:val="17"/>
          <w:sz w:val="32"/>
          <w:szCs w:val="32"/>
          <w:highlight w:val="none"/>
          <w:lang w:val="zh-TW" w:eastAsia="zh-CN"/>
        </w:rPr>
        <w:t>（</w:t>
      </w:r>
      <w:r>
        <w:rPr>
          <w:rFonts w:hint="eastAsia" w:ascii="Times New Roman" w:hAnsi="Times New Roman" w:eastAsia="仿宋_GB2312" w:cs="Times New Roman"/>
          <w:color w:val="000000"/>
          <w:spacing w:val="17"/>
          <w:sz w:val="32"/>
          <w:szCs w:val="32"/>
          <w:highlight w:val="none"/>
          <w:lang w:val="en-US" w:eastAsia="zh-CN"/>
        </w:rPr>
        <w:t>详见上传的附件</w:t>
      </w:r>
      <w:r>
        <w:rPr>
          <w:rFonts w:hint="eastAsia" w:ascii="Times New Roman" w:hAnsi="Times New Roman" w:eastAsia="仿宋_GB2312" w:cs="Times New Roman"/>
          <w:color w:val="000000"/>
          <w:spacing w:val="17"/>
          <w:sz w:val="32"/>
          <w:szCs w:val="32"/>
          <w:highlight w:val="none"/>
          <w:lang w:val="zh-TW" w:eastAsia="zh-CN"/>
        </w:rPr>
        <w:t>）</w:t>
      </w:r>
      <w:r>
        <w:rPr>
          <w:rFonts w:hint="eastAsia" w:ascii="Times New Roman" w:hAnsi="Times New Roman" w:eastAsia="仿宋_GB2312" w:cs="Times New Roman"/>
          <w:color w:val="000000"/>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519E4D2E">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7046DCF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w:t>
            </w:r>
            <w:r>
              <w:rPr>
                <w:rFonts w:hint="eastAsia" w:ascii="Times New Roman" w:hAnsi="Times New Roman" w:eastAsia="仿宋_GB2312" w:cs="Times New Roman"/>
                <w:color w:val="auto"/>
                <w:sz w:val="32"/>
                <w:szCs w:val="32"/>
                <w:highlight w:val="none"/>
                <w:lang w:val="en-US" w:eastAsia="zh-CN"/>
              </w:rPr>
              <w:t>厦小昌州财教【2023】90号（保民生）提前下达2024年城乡义务教育补助经费（中央直达资金）公用经费小学</w:t>
            </w:r>
            <w:r>
              <w:rPr>
                <w:rFonts w:hint="eastAsia" w:ascii="宋体" w:hAnsi="宋体" w:eastAsia="宋体" w:cs="宋体"/>
                <w:b/>
                <w:bCs/>
                <w:color w:val="auto"/>
                <w:kern w:val="0"/>
                <w:sz w:val="28"/>
                <w:szCs w:val="28"/>
                <w:highlight w:val="none"/>
                <w:shd w:val="clear" w:color="auto" w:fill="auto"/>
                <w:lang w:val="en-US" w:eastAsia="zh-CN"/>
              </w:rPr>
              <w:t>得分表</w:t>
            </w:r>
          </w:p>
        </w:tc>
      </w:tr>
      <w:tr w14:paraId="0D057C41">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5DCF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2CF95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B1BDD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17CFD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48B8C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9931C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14:paraId="5065458A">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62A2C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254CF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01903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7737F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BF1AD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1C758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20895400">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D7199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DA50A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19.2</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0C7DB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7F0E0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E913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6A594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99.2</w:t>
            </w:r>
          </w:p>
        </w:tc>
      </w:tr>
      <w:tr w14:paraId="2EBF1653">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84385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26305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96</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0D20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A5285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6D0B8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0D561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99.2</w:t>
            </w:r>
            <w:r>
              <w:rPr>
                <w:rFonts w:hint="eastAsia" w:ascii="宋体" w:hAnsi="宋体" w:eastAsia="宋体" w:cs="宋体"/>
                <w:color w:val="auto"/>
                <w:kern w:val="0"/>
                <w:sz w:val="21"/>
                <w:szCs w:val="21"/>
                <w:highlight w:val="none"/>
                <w:shd w:val="clear" w:color="auto" w:fill="auto"/>
                <w:lang w:val="en-US" w:eastAsia="zh-CN"/>
              </w:rPr>
              <w:t>%</w:t>
            </w:r>
          </w:p>
        </w:tc>
      </w:tr>
    </w:tbl>
    <w:p w14:paraId="2091B455">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07" w:name="_Toc1494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四、绩效评价指标分析</w:t>
      </w:r>
      <w:bookmarkEnd w:id="107"/>
    </w:p>
    <w:p w14:paraId="2697883F">
      <w:pPr>
        <w:pStyle w:val="14"/>
        <w:widowControl/>
        <w:spacing w:before="0" w:beforeLines="-2147483648" w:after="0" w:afterLines="-2147483648" w:line="560" w:lineRule="exact"/>
        <w:ind w:firstLine="643" w:firstLineChars="200"/>
        <w:jc w:val="both"/>
        <w:rPr>
          <w:rFonts w:hint="eastAsia" w:ascii="Times New Roman" w:hAnsi="Times New Roman" w:eastAsia="楷体_GB2312" w:cs="Times New Roman"/>
          <w:kern w:val="28"/>
          <w:sz w:val="32"/>
        </w:rPr>
      </w:pPr>
      <w:bookmarkStart w:id="108" w:name="_Toc6759"/>
      <w:r>
        <w:rPr>
          <w:rFonts w:hint="eastAsia" w:ascii="Times New Roman" w:hAnsi="Times New Roman" w:eastAsia="楷体_GB2312" w:cs="Times New Roman"/>
          <w:kern w:val="28"/>
          <w:sz w:val="32"/>
        </w:rPr>
        <w:t>（一）项目决策情况</w:t>
      </w:r>
      <w:bookmarkEnd w:id="108"/>
    </w:p>
    <w:p w14:paraId="193E5B0D">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项目决策由3个二级指标和6个三级指标构成，权重分20分，实际得分19.2分，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72B3BF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表</w:t>
      </w:r>
      <w:r>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t>4-1</w:t>
      </w: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项目决策指标及分值</w:t>
      </w:r>
    </w:p>
    <w:tbl>
      <w:tblPr>
        <w:tblStyle w:val="16"/>
        <w:tblW w:w="84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2AB7B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 w:type="dxa"/>
          <w:trHeight w:val="522" w:hRule="atLeast"/>
          <w:tblHeader/>
          <w:jc w:val="center"/>
        </w:trPr>
        <w:tc>
          <w:tcPr>
            <w:tcW w:w="1077" w:type="dxa"/>
            <w:shd w:val="clear" w:color="auto" w:fill="auto"/>
            <w:tcMar>
              <w:top w:w="12" w:type="dxa"/>
              <w:left w:w="12" w:type="dxa"/>
              <w:right w:w="12" w:type="dxa"/>
            </w:tcMar>
            <w:vAlign w:val="center"/>
          </w:tcPr>
          <w:p w14:paraId="1FABADE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60" w:type="dxa"/>
            <w:shd w:val="clear" w:color="auto" w:fill="auto"/>
            <w:tcMar>
              <w:top w:w="12" w:type="dxa"/>
              <w:left w:w="12" w:type="dxa"/>
              <w:right w:w="12" w:type="dxa"/>
            </w:tcMar>
            <w:vAlign w:val="center"/>
          </w:tcPr>
          <w:p w14:paraId="33C533F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shd w:val="clear" w:color="auto" w:fill="auto"/>
            <w:tcMar>
              <w:top w:w="12" w:type="dxa"/>
              <w:left w:w="12" w:type="dxa"/>
              <w:right w:w="12" w:type="dxa"/>
            </w:tcMar>
            <w:vAlign w:val="center"/>
          </w:tcPr>
          <w:p w14:paraId="0D8A93B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794" w:type="dxa"/>
            <w:shd w:val="clear" w:color="auto" w:fill="auto"/>
            <w:tcMar>
              <w:top w:w="12" w:type="dxa"/>
              <w:left w:w="12" w:type="dxa"/>
              <w:right w:w="12" w:type="dxa"/>
            </w:tcMar>
            <w:vAlign w:val="center"/>
          </w:tcPr>
          <w:p w14:paraId="7C6E78B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71" w:type="dxa"/>
            <w:gridSpan w:val="2"/>
            <w:shd w:val="clear" w:color="auto" w:fill="auto"/>
            <w:tcMar>
              <w:top w:w="12" w:type="dxa"/>
              <w:left w:w="12" w:type="dxa"/>
              <w:right w:w="12" w:type="dxa"/>
            </w:tcMar>
            <w:vAlign w:val="center"/>
          </w:tcPr>
          <w:p w14:paraId="0DE7E83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17" w:type="dxa"/>
            <w:gridSpan w:val="2"/>
            <w:shd w:val="clear" w:color="auto" w:fill="auto"/>
            <w:tcMar>
              <w:top w:w="12" w:type="dxa"/>
              <w:left w:w="12" w:type="dxa"/>
              <w:right w:w="12" w:type="dxa"/>
            </w:tcMar>
            <w:vAlign w:val="center"/>
          </w:tcPr>
          <w:p w14:paraId="10E886C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77" w:type="dxa"/>
            <w:gridSpan w:val="2"/>
            <w:shd w:val="clear" w:color="auto" w:fill="auto"/>
            <w:tcMar>
              <w:top w:w="12" w:type="dxa"/>
              <w:left w:w="12" w:type="dxa"/>
              <w:right w:w="12" w:type="dxa"/>
            </w:tcMar>
            <w:vAlign w:val="center"/>
          </w:tcPr>
          <w:p w14:paraId="4D1A511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774F6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 w:type="dxa"/>
          <w:trHeight w:val="334" w:hRule="atLeast"/>
          <w:tblHeader/>
          <w:jc w:val="center"/>
        </w:trPr>
        <w:tc>
          <w:tcPr>
            <w:tcW w:w="1077" w:type="dxa"/>
            <w:vMerge w:val="restart"/>
            <w:shd w:val="clear" w:color="auto" w:fill="auto"/>
            <w:tcMar>
              <w:top w:w="12" w:type="dxa"/>
              <w:left w:w="12" w:type="dxa"/>
              <w:right w:w="12" w:type="dxa"/>
            </w:tcMar>
            <w:vAlign w:val="center"/>
          </w:tcPr>
          <w:p w14:paraId="3E09E9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项目决策</w:t>
            </w:r>
          </w:p>
        </w:tc>
        <w:tc>
          <w:tcPr>
            <w:tcW w:w="960" w:type="dxa"/>
            <w:vMerge w:val="restart"/>
            <w:shd w:val="clear" w:color="auto" w:fill="auto"/>
            <w:tcMar>
              <w:top w:w="12" w:type="dxa"/>
              <w:left w:w="12" w:type="dxa"/>
              <w:right w:w="12" w:type="dxa"/>
            </w:tcMar>
            <w:vAlign w:val="center"/>
          </w:tcPr>
          <w:p w14:paraId="61D1F42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shd w:val="clear" w:color="auto" w:fill="auto"/>
            <w:tcMar>
              <w:top w:w="12" w:type="dxa"/>
              <w:left w:w="12" w:type="dxa"/>
              <w:right w:w="12" w:type="dxa"/>
            </w:tcMar>
            <w:vAlign w:val="center"/>
          </w:tcPr>
          <w:p w14:paraId="704E519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项目立项</w:t>
            </w:r>
          </w:p>
        </w:tc>
        <w:tc>
          <w:tcPr>
            <w:tcW w:w="794" w:type="dxa"/>
            <w:vMerge w:val="restart"/>
            <w:shd w:val="clear" w:color="auto" w:fill="auto"/>
            <w:tcMar>
              <w:top w:w="12" w:type="dxa"/>
              <w:left w:w="12" w:type="dxa"/>
              <w:right w:w="12" w:type="dxa"/>
            </w:tcMar>
            <w:vAlign w:val="center"/>
          </w:tcPr>
          <w:p w14:paraId="0CBA15A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shd w:val="clear" w:color="auto" w:fill="auto"/>
            <w:tcMar>
              <w:top w:w="12" w:type="dxa"/>
              <w:left w:w="12" w:type="dxa"/>
              <w:right w:w="12" w:type="dxa"/>
            </w:tcMar>
            <w:vAlign w:val="center"/>
          </w:tcPr>
          <w:p w14:paraId="1937C62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立项依据充分性</w:t>
            </w:r>
          </w:p>
        </w:tc>
        <w:tc>
          <w:tcPr>
            <w:tcW w:w="1417" w:type="dxa"/>
            <w:gridSpan w:val="2"/>
            <w:shd w:val="clear" w:color="auto" w:fill="auto"/>
            <w:tcMar>
              <w:top w:w="12" w:type="dxa"/>
              <w:left w:w="12" w:type="dxa"/>
              <w:right w:w="12" w:type="dxa"/>
            </w:tcMar>
            <w:vAlign w:val="center"/>
          </w:tcPr>
          <w:p w14:paraId="3EC015A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shd w:val="clear" w:color="auto" w:fill="auto"/>
            <w:tcMar>
              <w:top w:w="12" w:type="dxa"/>
              <w:left w:w="12" w:type="dxa"/>
              <w:right w:w="12" w:type="dxa"/>
            </w:tcMar>
            <w:vAlign w:val="center"/>
          </w:tcPr>
          <w:p w14:paraId="59CE0E2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5CECC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 w:type="dxa"/>
          <w:trHeight w:val="334" w:hRule="atLeast"/>
          <w:tblHeader/>
          <w:jc w:val="center"/>
        </w:trPr>
        <w:tc>
          <w:tcPr>
            <w:tcW w:w="1077" w:type="dxa"/>
            <w:vMerge w:val="continue"/>
            <w:shd w:val="clear" w:color="auto" w:fill="auto"/>
            <w:tcMar>
              <w:top w:w="12" w:type="dxa"/>
              <w:left w:w="12" w:type="dxa"/>
              <w:right w:w="12" w:type="dxa"/>
            </w:tcMar>
            <w:vAlign w:val="center"/>
          </w:tcPr>
          <w:p w14:paraId="527686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shd w:val="clear" w:color="auto" w:fill="auto"/>
            <w:tcMar>
              <w:top w:w="12" w:type="dxa"/>
              <w:left w:w="12" w:type="dxa"/>
              <w:right w:w="12" w:type="dxa"/>
            </w:tcMar>
            <w:vAlign w:val="center"/>
          </w:tcPr>
          <w:p w14:paraId="156DD5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shd w:val="clear" w:color="auto" w:fill="auto"/>
            <w:tcMar>
              <w:top w:w="12" w:type="dxa"/>
              <w:left w:w="12" w:type="dxa"/>
              <w:right w:w="12" w:type="dxa"/>
            </w:tcMar>
            <w:vAlign w:val="center"/>
          </w:tcPr>
          <w:p w14:paraId="0487FF1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shd w:val="clear" w:color="auto" w:fill="auto"/>
            <w:tcMar>
              <w:top w:w="12" w:type="dxa"/>
              <w:left w:w="12" w:type="dxa"/>
              <w:right w:w="12" w:type="dxa"/>
            </w:tcMar>
            <w:vAlign w:val="center"/>
          </w:tcPr>
          <w:p w14:paraId="0879F9F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shd w:val="clear" w:color="auto" w:fill="auto"/>
            <w:tcMar>
              <w:top w:w="12" w:type="dxa"/>
              <w:left w:w="12" w:type="dxa"/>
              <w:right w:w="12" w:type="dxa"/>
            </w:tcMar>
            <w:vAlign w:val="center"/>
          </w:tcPr>
          <w:p w14:paraId="57184B0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立项程序规范性</w:t>
            </w:r>
          </w:p>
        </w:tc>
        <w:tc>
          <w:tcPr>
            <w:tcW w:w="1417" w:type="dxa"/>
            <w:gridSpan w:val="2"/>
            <w:shd w:val="clear" w:color="auto" w:fill="auto"/>
            <w:tcMar>
              <w:top w:w="12" w:type="dxa"/>
              <w:left w:w="12" w:type="dxa"/>
              <w:right w:w="12" w:type="dxa"/>
            </w:tcMar>
            <w:vAlign w:val="center"/>
          </w:tcPr>
          <w:p w14:paraId="4D727C8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shd w:val="clear" w:color="auto" w:fill="auto"/>
            <w:tcMar>
              <w:top w:w="12" w:type="dxa"/>
              <w:left w:w="12" w:type="dxa"/>
              <w:right w:w="12" w:type="dxa"/>
            </w:tcMar>
            <w:vAlign w:val="center"/>
          </w:tcPr>
          <w:p w14:paraId="235E120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2.2</w:t>
            </w:r>
          </w:p>
        </w:tc>
      </w:tr>
      <w:tr w14:paraId="4A978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 w:type="dxa"/>
          <w:trHeight w:val="334" w:hRule="atLeast"/>
          <w:tblHeader/>
          <w:jc w:val="center"/>
        </w:trPr>
        <w:tc>
          <w:tcPr>
            <w:tcW w:w="1077" w:type="dxa"/>
            <w:vMerge w:val="continue"/>
            <w:shd w:val="clear" w:color="auto" w:fill="auto"/>
            <w:tcMar>
              <w:top w:w="12" w:type="dxa"/>
              <w:left w:w="12" w:type="dxa"/>
              <w:right w:w="12" w:type="dxa"/>
            </w:tcMar>
            <w:vAlign w:val="center"/>
          </w:tcPr>
          <w:p w14:paraId="52D422F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shd w:val="clear" w:color="auto" w:fill="auto"/>
            <w:tcMar>
              <w:top w:w="12" w:type="dxa"/>
              <w:left w:w="12" w:type="dxa"/>
              <w:right w:w="12" w:type="dxa"/>
            </w:tcMar>
            <w:vAlign w:val="center"/>
          </w:tcPr>
          <w:p w14:paraId="5A69DF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shd w:val="clear" w:color="auto" w:fill="auto"/>
            <w:tcMar>
              <w:top w:w="12" w:type="dxa"/>
              <w:left w:w="12" w:type="dxa"/>
              <w:right w:w="12" w:type="dxa"/>
            </w:tcMar>
            <w:vAlign w:val="center"/>
          </w:tcPr>
          <w:p w14:paraId="198FFD3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w:t>
            </w:r>
          </w:p>
        </w:tc>
        <w:tc>
          <w:tcPr>
            <w:tcW w:w="794" w:type="dxa"/>
            <w:vMerge w:val="restart"/>
            <w:shd w:val="clear" w:color="auto" w:fill="auto"/>
            <w:tcMar>
              <w:top w:w="12" w:type="dxa"/>
              <w:left w:w="12" w:type="dxa"/>
              <w:right w:w="12" w:type="dxa"/>
            </w:tcMar>
            <w:vAlign w:val="center"/>
          </w:tcPr>
          <w:p w14:paraId="63E344A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871" w:type="dxa"/>
            <w:gridSpan w:val="2"/>
            <w:shd w:val="clear" w:color="auto" w:fill="auto"/>
            <w:tcMar>
              <w:top w:w="12" w:type="dxa"/>
              <w:left w:w="12" w:type="dxa"/>
              <w:right w:w="12" w:type="dxa"/>
            </w:tcMar>
            <w:vAlign w:val="center"/>
          </w:tcPr>
          <w:p w14:paraId="41641F6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绩效目标合理性</w:t>
            </w:r>
          </w:p>
        </w:tc>
        <w:tc>
          <w:tcPr>
            <w:tcW w:w="1417" w:type="dxa"/>
            <w:gridSpan w:val="2"/>
            <w:shd w:val="clear" w:color="auto" w:fill="auto"/>
            <w:tcMar>
              <w:top w:w="12" w:type="dxa"/>
              <w:left w:w="12" w:type="dxa"/>
              <w:right w:w="12" w:type="dxa"/>
            </w:tcMar>
            <w:vAlign w:val="center"/>
          </w:tcPr>
          <w:p w14:paraId="067DE9F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shd w:val="clear" w:color="auto" w:fill="auto"/>
            <w:tcMar>
              <w:top w:w="12" w:type="dxa"/>
              <w:left w:w="12" w:type="dxa"/>
              <w:right w:w="12" w:type="dxa"/>
            </w:tcMar>
            <w:vAlign w:val="center"/>
          </w:tcPr>
          <w:p w14:paraId="68EE558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416E7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 w:type="dxa"/>
          <w:trHeight w:val="334" w:hRule="atLeast"/>
          <w:tblHeader/>
          <w:jc w:val="center"/>
        </w:trPr>
        <w:tc>
          <w:tcPr>
            <w:tcW w:w="1077" w:type="dxa"/>
            <w:vMerge w:val="continue"/>
            <w:shd w:val="clear" w:color="auto" w:fill="auto"/>
            <w:tcMar>
              <w:top w:w="12" w:type="dxa"/>
              <w:left w:w="12" w:type="dxa"/>
              <w:right w:w="12" w:type="dxa"/>
            </w:tcMar>
            <w:vAlign w:val="center"/>
          </w:tcPr>
          <w:p w14:paraId="1C9F2E0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shd w:val="clear" w:color="auto" w:fill="auto"/>
            <w:tcMar>
              <w:top w:w="12" w:type="dxa"/>
              <w:left w:w="12" w:type="dxa"/>
              <w:right w:w="12" w:type="dxa"/>
            </w:tcMar>
            <w:vAlign w:val="center"/>
          </w:tcPr>
          <w:p w14:paraId="345FDAE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shd w:val="clear" w:color="auto" w:fill="auto"/>
            <w:tcMar>
              <w:top w:w="12" w:type="dxa"/>
              <w:left w:w="12" w:type="dxa"/>
              <w:right w:w="12" w:type="dxa"/>
            </w:tcMar>
            <w:vAlign w:val="center"/>
          </w:tcPr>
          <w:p w14:paraId="1A39F4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shd w:val="clear" w:color="auto" w:fill="auto"/>
            <w:tcMar>
              <w:top w:w="12" w:type="dxa"/>
              <w:left w:w="12" w:type="dxa"/>
              <w:right w:w="12" w:type="dxa"/>
            </w:tcMar>
            <w:vAlign w:val="center"/>
          </w:tcPr>
          <w:p w14:paraId="108FBAF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shd w:val="clear" w:color="auto" w:fill="auto"/>
            <w:tcMar>
              <w:top w:w="12" w:type="dxa"/>
              <w:left w:w="12" w:type="dxa"/>
              <w:right w:w="12" w:type="dxa"/>
            </w:tcMar>
            <w:vAlign w:val="center"/>
          </w:tcPr>
          <w:p w14:paraId="6F98F11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绩效指标明确性</w:t>
            </w:r>
          </w:p>
        </w:tc>
        <w:tc>
          <w:tcPr>
            <w:tcW w:w="1417" w:type="dxa"/>
            <w:gridSpan w:val="2"/>
            <w:shd w:val="clear" w:color="auto" w:fill="auto"/>
            <w:tcMar>
              <w:top w:w="12" w:type="dxa"/>
              <w:left w:w="12" w:type="dxa"/>
              <w:right w:w="12" w:type="dxa"/>
            </w:tcMar>
            <w:vAlign w:val="center"/>
          </w:tcPr>
          <w:p w14:paraId="595EB5D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shd w:val="clear" w:color="auto" w:fill="auto"/>
            <w:tcMar>
              <w:top w:w="12" w:type="dxa"/>
              <w:left w:w="12" w:type="dxa"/>
              <w:right w:w="12" w:type="dxa"/>
            </w:tcMar>
            <w:vAlign w:val="center"/>
          </w:tcPr>
          <w:p w14:paraId="4C2975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053E3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 w:type="dxa"/>
          <w:trHeight w:val="334" w:hRule="atLeast"/>
          <w:tblHeader/>
          <w:jc w:val="center"/>
        </w:trPr>
        <w:tc>
          <w:tcPr>
            <w:tcW w:w="1077" w:type="dxa"/>
            <w:vMerge w:val="continue"/>
            <w:shd w:val="clear" w:color="auto" w:fill="auto"/>
            <w:tcMar>
              <w:top w:w="12" w:type="dxa"/>
              <w:left w:w="12" w:type="dxa"/>
              <w:right w:w="12" w:type="dxa"/>
            </w:tcMar>
            <w:vAlign w:val="center"/>
          </w:tcPr>
          <w:p w14:paraId="44F7C4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shd w:val="clear" w:color="auto" w:fill="auto"/>
            <w:tcMar>
              <w:top w:w="12" w:type="dxa"/>
              <w:left w:w="12" w:type="dxa"/>
              <w:right w:w="12" w:type="dxa"/>
            </w:tcMar>
            <w:vAlign w:val="center"/>
          </w:tcPr>
          <w:p w14:paraId="306ADD6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shd w:val="clear" w:color="auto" w:fill="auto"/>
            <w:tcMar>
              <w:top w:w="12" w:type="dxa"/>
              <w:left w:w="12" w:type="dxa"/>
              <w:right w:w="12" w:type="dxa"/>
            </w:tcMar>
            <w:vAlign w:val="center"/>
          </w:tcPr>
          <w:p w14:paraId="08B4AD1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资金投入</w:t>
            </w:r>
          </w:p>
        </w:tc>
        <w:tc>
          <w:tcPr>
            <w:tcW w:w="794" w:type="dxa"/>
            <w:vMerge w:val="restart"/>
            <w:shd w:val="clear" w:color="auto" w:fill="auto"/>
            <w:tcMar>
              <w:top w:w="12" w:type="dxa"/>
              <w:left w:w="12" w:type="dxa"/>
              <w:right w:w="12" w:type="dxa"/>
            </w:tcMar>
            <w:vAlign w:val="center"/>
          </w:tcPr>
          <w:p w14:paraId="080F4B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shd w:val="clear" w:color="auto" w:fill="auto"/>
            <w:tcMar>
              <w:top w:w="12" w:type="dxa"/>
              <w:left w:w="12" w:type="dxa"/>
              <w:right w:w="12" w:type="dxa"/>
            </w:tcMar>
            <w:vAlign w:val="center"/>
          </w:tcPr>
          <w:p w14:paraId="092DB31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预算编制科学性</w:t>
            </w:r>
          </w:p>
        </w:tc>
        <w:tc>
          <w:tcPr>
            <w:tcW w:w="1417" w:type="dxa"/>
            <w:gridSpan w:val="2"/>
            <w:shd w:val="clear" w:color="auto" w:fill="auto"/>
            <w:tcMar>
              <w:top w:w="12" w:type="dxa"/>
              <w:left w:w="12" w:type="dxa"/>
              <w:right w:w="12" w:type="dxa"/>
            </w:tcMar>
            <w:vAlign w:val="center"/>
          </w:tcPr>
          <w:p w14:paraId="77134F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shd w:val="clear" w:color="auto" w:fill="auto"/>
            <w:tcMar>
              <w:top w:w="12" w:type="dxa"/>
              <w:left w:w="12" w:type="dxa"/>
              <w:right w:w="12" w:type="dxa"/>
            </w:tcMar>
            <w:vAlign w:val="center"/>
          </w:tcPr>
          <w:p w14:paraId="72C765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6E4A1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 w:type="dxa"/>
          <w:trHeight w:val="334" w:hRule="atLeast"/>
          <w:tblHeader/>
          <w:jc w:val="center"/>
        </w:trPr>
        <w:tc>
          <w:tcPr>
            <w:tcW w:w="1077" w:type="dxa"/>
            <w:vMerge w:val="continue"/>
            <w:shd w:val="clear" w:color="auto" w:fill="auto"/>
            <w:tcMar>
              <w:top w:w="12" w:type="dxa"/>
              <w:left w:w="12" w:type="dxa"/>
              <w:right w:w="12" w:type="dxa"/>
            </w:tcMar>
            <w:vAlign w:val="center"/>
          </w:tcPr>
          <w:p w14:paraId="2C0362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shd w:val="clear" w:color="auto" w:fill="auto"/>
            <w:tcMar>
              <w:top w:w="12" w:type="dxa"/>
              <w:left w:w="12" w:type="dxa"/>
              <w:right w:w="12" w:type="dxa"/>
            </w:tcMar>
            <w:vAlign w:val="center"/>
          </w:tcPr>
          <w:p w14:paraId="745819B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shd w:val="clear" w:color="auto" w:fill="auto"/>
            <w:tcMar>
              <w:top w:w="12" w:type="dxa"/>
              <w:left w:w="12" w:type="dxa"/>
              <w:right w:w="12" w:type="dxa"/>
            </w:tcMar>
            <w:vAlign w:val="center"/>
          </w:tcPr>
          <w:p w14:paraId="3803234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shd w:val="clear" w:color="auto" w:fill="auto"/>
            <w:tcMar>
              <w:top w:w="12" w:type="dxa"/>
              <w:left w:w="12" w:type="dxa"/>
              <w:right w:w="12" w:type="dxa"/>
            </w:tcMar>
            <w:vAlign w:val="center"/>
          </w:tcPr>
          <w:p w14:paraId="1259810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shd w:val="clear" w:color="auto" w:fill="auto"/>
            <w:tcMar>
              <w:top w:w="12" w:type="dxa"/>
              <w:left w:w="12" w:type="dxa"/>
              <w:right w:w="12" w:type="dxa"/>
            </w:tcMar>
            <w:vAlign w:val="center"/>
          </w:tcPr>
          <w:p w14:paraId="4E233FC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资金分配合理性</w:t>
            </w:r>
          </w:p>
        </w:tc>
        <w:tc>
          <w:tcPr>
            <w:tcW w:w="1417" w:type="dxa"/>
            <w:gridSpan w:val="2"/>
            <w:shd w:val="clear" w:color="auto" w:fill="auto"/>
            <w:tcMar>
              <w:top w:w="12" w:type="dxa"/>
              <w:left w:w="12" w:type="dxa"/>
              <w:right w:w="12" w:type="dxa"/>
            </w:tcMar>
            <w:vAlign w:val="center"/>
          </w:tcPr>
          <w:p w14:paraId="35CBCF6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shd w:val="clear" w:color="auto" w:fill="auto"/>
            <w:tcMar>
              <w:top w:w="12" w:type="dxa"/>
              <w:left w:w="12" w:type="dxa"/>
              <w:right w:w="12" w:type="dxa"/>
            </w:tcMar>
            <w:vAlign w:val="center"/>
          </w:tcPr>
          <w:p w14:paraId="3CD5338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012CE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4" w:hRule="atLeast"/>
          <w:tblHeader/>
          <w:jc w:val="center"/>
        </w:trPr>
        <w:tc>
          <w:tcPr>
            <w:tcW w:w="3285" w:type="dxa"/>
            <w:gridSpan w:val="3"/>
            <w:shd w:val="clear" w:color="auto" w:fill="auto"/>
            <w:tcMar>
              <w:top w:w="12" w:type="dxa"/>
              <w:left w:w="12" w:type="dxa"/>
              <w:right w:w="12" w:type="dxa"/>
            </w:tcMar>
            <w:vAlign w:val="center"/>
          </w:tcPr>
          <w:p w14:paraId="7621F2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797" w:type="dxa"/>
            <w:gridSpan w:val="2"/>
            <w:shd w:val="clear" w:color="auto" w:fill="auto"/>
            <w:tcMar>
              <w:top w:w="12" w:type="dxa"/>
              <w:left w:w="12" w:type="dxa"/>
              <w:right w:w="12" w:type="dxa"/>
            </w:tcMar>
            <w:vAlign w:val="center"/>
          </w:tcPr>
          <w:p w14:paraId="7E6E285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71" w:type="dxa"/>
            <w:gridSpan w:val="2"/>
            <w:shd w:val="clear" w:color="auto" w:fill="auto"/>
            <w:tcMar>
              <w:top w:w="12" w:type="dxa"/>
              <w:left w:w="12" w:type="dxa"/>
              <w:right w:w="12" w:type="dxa"/>
            </w:tcMar>
            <w:vAlign w:val="center"/>
          </w:tcPr>
          <w:p w14:paraId="13D5390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417" w:type="dxa"/>
            <w:gridSpan w:val="2"/>
            <w:shd w:val="clear" w:color="auto" w:fill="auto"/>
            <w:tcMar>
              <w:top w:w="12" w:type="dxa"/>
              <w:left w:w="12" w:type="dxa"/>
              <w:right w:w="12" w:type="dxa"/>
            </w:tcMar>
            <w:vAlign w:val="center"/>
          </w:tcPr>
          <w:p w14:paraId="5CCF73D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shd w:val="clear" w:color="auto" w:fill="auto"/>
            <w:tcMar>
              <w:top w:w="12" w:type="dxa"/>
              <w:left w:w="12" w:type="dxa"/>
              <w:right w:w="12" w:type="dxa"/>
            </w:tcMar>
            <w:vAlign w:val="center"/>
          </w:tcPr>
          <w:p w14:paraId="5F308CD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19.2</w:t>
            </w:r>
          </w:p>
        </w:tc>
      </w:tr>
    </w:tbl>
    <w:p w14:paraId="3641586C">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09" w:name="_Toc28069"/>
      <w:bookmarkStart w:id="110" w:name="_Toc13522"/>
      <w:r>
        <w:rPr>
          <w:rFonts w:hint="eastAsia" w:ascii="仿宋_GB2312" w:hAnsi="仿宋_GB2312" w:eastAsia="仿宋_GB2312" w:cs="仿宋_GB2312"/>
          <w:b/>
          <w:bCs/>
          <w:sz w:val="32"/>
          <w:szCs w:val="32"/>
          <w:lang w:val="en-US" w:eastAsia="zh-CN"/>
        </w:rPr>
        <w:t>1.立项依据充分性</w:t>
      </w:r>
      <w:bookmarkEnd w:id="109"/>
      <w:bookmarkEnd w:id="110"/>
    </w:p>
    <w:p w14:paraId="0F827C4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①项目立项符合</w:t>
      </w:r>
      <w:r>
        <w:rPr>
          <w:rFonts w:hint="eastAsia" w:ascii="仿宋_GB2312" w:hAnsi="仿宋_GB2312" w:eastAsia="仿宋_GB2312" w:cs="仿宋_GB2312"/>
          <w:sz w:val="32"/>
          <w:szCs w:val="32"/>
          <w:lang w:val="en-US" w:eastAsia="zh-CN"/>
        </w:rPr>
        <w:t>财教【2023】64号关于下达2024年城乡义务教育补助经费预算的通知；</w:t>
      </w:r>
    </w:p>
    <w:p w14:paraId="680D4049">
      <w:pPr>
        <w:pageBreakBefore w:val="0"/>
        <w:kinsoku/>
        <w:wordWrap/>
        <w:overflowPunct/>
        <w:topLinePunct w:val="0"/>
        <w:autoSpaceDE/>
        <w:autoSpaceDN/>
        <w:bidi w:val="0"/>
        <w:spacing w:line="560" w:lineRule="exact"/>
        <w:textAlignment w:val="auto"/>
        <w:rPr>
          <w:rFonts w:hint="eastAsia"/>
          <w:color w:val="auto"/>
          <w:highlight w:val="none"/>
          <w:lang w:eastAsia="zh-CN"/>
        </w:rPr>
      </w:pPr>
      <w:r>
        <w:rPr>
          <w:rFonts w:hint="eastAsia" w:ascii="仿宋_GB2312" w:hAnsi="仿宋_GB2312" w:eastAsia="仿宋_GB2312" w:cs="仿宋_GB2312"/>
          <w:sz w:val="32"/>
          <w:szCs w:val="32"/>
          <w:lang w:eastAsia="zh-CN"/>
        </w:rPr>
        <w:t>②项目立项符合项目立项符合《</w:t>
      </w:r>
      <w:r>
        <w:rPr>
          <w:rFonts w:hint="eastAsia" w:ascii="仿宋_GB2312" w:hAnsi="仿宋_GB2312" w:eastAsia="仿宋_GB2312" w:cs="仿宋_GB2312"/>
          <w:sz w:val="32"/>
          <w:szCs w:val="32"/>
          <w:lang w:val="en-US" w:eastAsia="zh-CN"/>
        </w:rPr>
        <w:t>阜康市教育扶贫惠民政策宣传手册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相关</w:t>
      </w:r>
      <w:r>
        <w:rPr>
          <w:rFonts w:hint="eastAsia" w:ascii="仿宋_GB2312" w:hAnsi="仿宋_GB2312" w:eastAsia="仿宋_GB2312" w:cs="仿宋_GB2312"/>
          <w:sz w:val="32"/>
          <w:szCs w:val="32"/>
          <w:lang w:eastAsia="zh-CN"/>
        </w:rPr>
        <w:t>政策要求；</w:t>
      </w:r>
    </w:p>
    <w:p w14:paraId="6F89AAA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③项目立项</w:t>
      </w:r>
      <w:r>
        <w:rPr>
          <w:rFonts w:hint="eastAsia" w:ascii="仿宋_GB2312" w:hAnsi="仿宋_GB2312" w:eastAsia="仿宋_GB2312" w:cs="仿宋_GB2312"/>
          <w:sz w:val="32"/>
          <w:szCs w:val="32"/>
          <w:lang w:val="en-US" w:eastAsia="zh-CN"/>
        </w:rPr>
        <w:t>与宣传贯彻党和国家的教育方针、教育政策、教育法律法规、贯彻执行上级教育行政部门的各项规章制度的</w:t>
      </w:r>
      <w:r>
        <w:rPr>
          <w:rFonts w:hint="eastAsia" w:ascii="仿宋_GB2312" w:hAnsi="仿宋_GB2312" w:eastAsia="仿宋_GB2312" w:cs="仿宋_GB2312"/>
          <w:sz w:val="32"/>
          <w:szCs w:val="32"/>
          <w:lang w:eastAsia="zh-CN"/>
        </w:rPr>
        <w:t>部门职责范围相符，属于部门履职所需；</w:t>
      </w:r>
    </w:p>
    <w:p w14:paraId="7886300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④项目属于公共财政支持范围，符合中央、地方事权支出责任划分原则；</w:t>
      </w:r>
    </w:p>
    <w:p w14:paraId="5E03464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⑤项目与相关部门同类项目、部门内部相关项目</w:t>
      </w:r>
      <w:r>
        <w:rPr>
          <w:rFonts w:hint="eastAsia" w:ascii="仿宋_GB2312" w:hAnsi="仿宋_GB2312" w:eastAsia="仿宋_GB2312" w:cs="仿宋_GB2312"/>
          <w:sz w:val="32"/>
          <w:szCs w:val="32"/>
          <w:lang w:val="en-US" w:eastAsia="zh-CN"/>
        </w:rPr>
        <w:t>不</w:t>
      </w:r>
      <w:r>
        <w:rPr>
          <w:rFonts w:hint="eastAsia" w:ascii="仿宋_GB2312" w:hAnsi="仿宋_GB2312" w:eastAsia="仿宋_GB2312" w:cs="仿宋_GB2312"/>
          <w:sz w:val="32"/>
          <w:szCs w:val="32"/>
          <w:lang w:eastAsia="zh-CN"/>
        </w:rPr>
        <w:t>重复。</w:t>
      </w:r>
    </w:p>
    <w:p w14:paraId="40DE9E0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z w:val="32"/>
          <w:szCs w:val="32"/>
          <w:lang w:val="en-US" w:eastAsia="zh-CN"/>
        </w:rPr>
        <w:t>综上，该项指标满</w:t>
      </w:r>
      <w:r>
        <w:rPr>
          <w:rFonts w:hint="eastAsia" w:ascii="仿宋_GB2312" w:hAnsi="仿宋_GB2312" w:eastAsia="仿宋_GB2312" w:cs="仿宋_GB2312"/>
          <w:b/>
          <w:bCs/>
          <w:color w:val="auto"/>
          <w:sz w:val="32"/>
          <w:szCs w:val="32"/>
          <w:lang w:val="en-US" w:eastAsia="zh-CN"/>
        </w:rPr>
        <w:t>分2分，得分2分。</w:t>
      </w:r>
    </w:p>
    <w:p w14:paraId="19A46459">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1" w:name="_Toc23240"/>
      <w:bookmarkStart w:id="112" w:name="_Toc21976"/>
      <w:r>
        <w:rPr>
          <w:rFonts w:hint="eastAsia" w:ascii="仿宋_GB2312" w:hAnsi="仿宋_GB2312" w:eastAsia="仿宋_GB2312" w:cs="仿宋_GB2312"/>
          <w:b/>
          <w:bCs/>
          <w:color w:val="auto"/>
          <w:sz w:val="32"/>
          <w:szCs w:val="32"/>
          <w:lang w:val="en-US" w:eastAsia="zh-CN"/>
        </w:rPr>
        <w:t>2.立项程序规范性</w:t>
      </w:r>
      <w:bookmarkEnd w:id="111"/>
      <w:bookmarkEnd w:id="112"/>
    </w:p>
    <w:p w14:paraId="0881C14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①项目按照规定的程序申请设立；</w:t>
      </w:r>
    </w:p>
    <w:p w14:paraId="1E6D68A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②审批文件、材料符合相关要求；</w:t>
      </w:r>
    </w:p>
    <w:p w14:paraId="09995D2A">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③事前经过必要的集体决策，</w:t>
      </w:r>
      <w:r>
        <w:rPr>
          <w:rFonts w:hint="eastAsia" w:ascii="仿宋_GB2312" w:hAnsi="仿宋_GB2312" w:eastAsia="仿宋_GB2312" w:cs="仿宋_GB2312"/>
          <w:color w:val="auto"/>
          <w:sz w:val="32"/>
          <w:szCs w:val="32"/>
          <w:highlight w:val="none"/>
          <w:lang w:val="en-US" w:eastAsia="zh-CN"/>
        </w:rPr>
        <w:t>未经过</w:t>
      </w:r>
      <w:r>
        <w:rPr>
          <w:rFonts w:hint="eastAsia" w:ascii="仿宋_GB2312" w:hAnsi="仿宋_GB2312" w:eastAsia="仿宋_GB2312" w:cs="仿宋_GB2312"/>
          <w:color w:val="auto"/>
          <w:sz w:val="32"/>
          <w:szCs w:val="32"/>
          <w:highlight w:val="none"/>
          <w:lang w:eastAsia="zh-CN"/>
        </w:rPr>
        <w:t>可行性研究、专家论证、风险评估、绩效评估，</w:t>
      </w:r>
      <w:r>
        <w:rPr>
          <w:rFonts w:hint="eastAsia" w:ascii="仿宋_GB2312" w:hAnsi="仿宋_GB2312" w:eastAsia="仿宋_GB2312" w:cs="仿宋_GB2312"/>
          <w:color w:val="auto"/>
          <w:sz w:val="32"/>
          <w:szCs w:val="32"/>
          <w:highlight w:val="none"/>
          <w:lang w:val="en-US" w:eastAsia="zh-CN"/>
        </w:rPr>
        <w:t>扣0.8分。</w:t>
      </w:r>
    </w:p>
    <w:p w14:paraId="5F64C8A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综上，该项指标满分3分，得分2.2分。</w:t>
      </w:r>
    </w:p>
    <w:p w14:paraId="25BF1EC7">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3" w:name="_Toc15382"/>
      <w:bookmarkStart w:id="114" w:name="_Toc23542"/>
      <w:r>
        <w:rPr>
          <w:rFonts w:hint="eastAsia" w:ascii="仿宋_GB2312" w:hAnsi="仿宋_GB2312" w:eastAsia="仿宋_GB2312" w:cs="仿宋_GB2312"/>
          <w:b/>
          <w:bCs/>
          <w:color w:val="auto"/>
          <w:sz w:val="32"/>
          <w:szCs w:val="32"/>
          <w:lang w:val="en-US" w:eastAsia="zh-CN"/>
        </w:rPr>
        <w:t>3.绩效目标合理性</w:t>
      </w:r>
      <w:bookmarkEnd w:id="113"/>
      <w:bookmarkEnd w:id="114"/>
    </w:p>
    <w:p w14:paraId="72A943E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①该项目已设置年度绩效目标。</w:t>
      </w:r>
    </w:p>
    <w:p w14:paraId="627D38A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sz w:val="32"/>
          <w:szCs w:val="32"/>
          <w:highlight w:val="none"/>
          <w:lang w:eastAsia="zh-CN"/>
        </w:rPr>
        <w:t>②该项目实际工</w:t>
      </w:r>
      <w:r>
        <w:rPr>
          <w:rFonts w:hint="eastAsia" w:ascii="仿宋_GB2312" w:hAnsi="仿宋_GB2312" w:eastAsia="仿宋_GB2312" w:cs="仿宋_GB2312"/>
          <w:color w:val="auto"/>
          <w:sz w:val="32"/>
          <w:szCs w:val="32"/>
          <w:highlight w:val="none"/>
          <w:lang w:eastAsia="zh-CN"/>
        </w:rPr>
        <w:t>作内容为：保障学校正常运转，完成教学活动及其他日常业务的正常运转。2024年学校在校学生人数1012人，计划完成每学年以720元/生/学年的标准使用公用经费,公用经费、教师培训结业率达到100%。通过项目实施，将有效改善教学环境，提供良好的学生成长条件，保障学校正常运转。绩效目标与实际工作内容一致，两者具有相关性。</w:t>
      </w:r>
    </w:p>
    <w:p w14:paraId="6DA6BDE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③该项目按照绩效目标完成数量指标、质量指标、时效指标、成本指标，项目的完成达到改善教学环境，提供良好的学生成长条件</w:t>
      </w:r>
      <w:r>
        <w:rPr>
          <w:rFonts w:hint="eastAsia" w:ascii="仿宋_GB2312" w:hAnsi="仿宋_GB2312" w:eastAsia="仿宋_GB2312" w:cs="仿宋_GB2312"/>
          <w:sz w:val="32"/>
          <w:szCs w:val="32"/>
          <w:highlight w:val="none"/>
          <w:lang w:val="en-US" w:eastAsia="zh-CN"/>
        </w:rPr>
        <w:t>的</w:t>
      </w:r>
      <w:r>
        <w:rPr>
          <w:rFonts w:hint="eastAsia" w:ascii="仿宋_GB2312" w:hAnsi="仿宋_GB2312" w:eastAsia="仿宋_GB2312" w:cs="仿宋_GB2312"/>
          <w:sz w:val="32"/>
          <w:szCs w:val="32"/>
          <w:highlight w:val="none"/>
          <w:lang w:eastAsia="zh-CN"/>
        </w:rPr>
        <w:t>效益，预期产出效益和效果符合正常的业绩水平。</w:t>
      </w:r>
    </w:p>
    <w:p w14:paraId="3DDB3D7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④《项目支出绩效目标表</w:t>
      </w:r>
      <w:r>
        <w:rPr>
          <w:rFonts w:hint="eastAsia" w:ascii="仿宋_GB2312" w:hAnsi="仿宋_GB2312" w:eastAsia="仿宋_GB2312" w:cs="仿宋_GB2312"/>
          <w:color w:val="auto"/>
          <w:sz w:val="32"/>
          <w:szCs w:val="32"/>
          <w:highlight w:val="none"/>
          <w:lang w:eastAsia="zh-CN"/>
        </w:rPr>
        <w:t>》中预算金额为</w:t>
      </w:r>
      <w:r>
        <w:rPr>
          <w:rFonts w:hint="eastAsia" w:ascii="仿宋_GB2312" w:hAnsi="仿宋_GB2312" w:eastAsia="仿宋_GB2312" w:cs="仿宋_GB2312"/>
          <w:color w:val="auto"/>
          <w:sz w:val="32"/>
          <w:szCs w:val="32"/>
          <w:highlight w:val="none"/>
          <w:lang w:val="en-US" w:eastAsia="zh-CN"/>
        </w:rPr>
        <w:t>73.92</w:t>
      </w:r>
      <w:r>
        <w:rPr>
          <w:rFonts w:hint="eastAsia" w:ascii="仿宋_GB2312" w:hAnsi="仿宋_GB2312" w:eastAsia="仿宋_GB2312" w:cs="仿宋_GB2312"/>
          <w:color w:val="auto"/>
          <w:sz w:val="32"/>
          <w:szCs w:val="32"/>
          <w:highlight w:val="none"/>
          <w:lang w:eastAsia="zh-CN"/>
        </w:rPr>
        <w:t>万元，预算确定的项目资金与预算确定的项目投资额相匹配</w:t>
      </w:r>
      <w:r>
        <w:rPr>
          <w:rFonts w:hint="eastAsia" w:ascii="仿宋_GB2312" w:hAnsi="仿宋_GB2312" w:eastAsia="仿宋_GB2312" w:cs="仿宋_GB2312"/>
          <w:sz w:val="32"/>
          <w:szCs w:val="32"/>
          <w:highlight w:val="none"/>
          <w:lang w:eastAsia="zh-CN"/>
        </w:rPr>
        <w:t>。</w:t>
      </w:r>
    </w:p>
    <w:p w14:paraId="475CFBB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综上，该项指标</w:t>
      </w:r>
      <w:r>
        <w:rPr>
          <w:rFonts w:hint="eastAsia" w:ascii="仿宋_GB2312" w:hAnsi="仿宋_GB2312" w:eastAsia="仿宋_GB2312" w:cs="仿宋_GB2312"/>
          <w:b/>
          <w:bCs/>
          <w:color w:val="auto"/>
          <w:sz w:val="32"/>
          <w:szCs w:val="32"/>
          <w:lang w:val="en-US" w:eastAsia="zh-CN"/>
        </w:rPr>
        <w:t>满分5分，得分5分。</w:t>
      </w:r>
    </w:p>
    <w:p w14:paraId="41BCD7B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5" w:name="_Toc10650"/>
      <w:bookmarkStart w:id="116" w:name="_Toc18198"/>
      <w:r>
        <w:rPr>
          <w:rFonts w:hint="eastAsia" w:ascii="仿宋_GB2312" w:hAnsi="仿宋_GB2312" w:eastAsia="仿宋_GB2312" w:cs="仿宋_GB2312"/>
          <w:b/>
          <w:bCs/>
          <w:color w:val="auto"/>
          <w:sz w:val="32"/>
          <w:szCs w:val="32"/>
          <w:lang w:val="en-US" w:eastAsia="zh-CN"/>
        </w:rPr>
        <w:t>4.绩效指标明确性</w:t>
      </w:r>
      <w:bookmarkEnd w:id="115"/>
      <w:bookmarkEnd w:id="116"/>
    </w:p>
    <w:p w14:paraId="24BB91E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①将项目绩效目标细化分解为具体的绩效指标，</w:t>
      </w:r>
      <w:r>
        <w:rPr>
          <w:rFonts w:hint="eastAsia" w:ascii="仿宋_GB2312" w:hAnsi="仿宋_GB2312" w:eastAsia="仿宋_GB2312" w:cs="仿宋_GB2312"/>
          <w:color w:val="auto"/>
          <w:sz w:val="32"/>
          <w:szCs w:val="32"/>
          <w:lang w:val="en-US" w:eastAsia="zh-CN"/>
        </w:rPr>
        <w:t>其中三级指标共计8个</w:t>
      </w:r>
      <w:r>
        <w:rPr>
          <w:rFonts w:hint="eastAsia" w:ascii="仿宋_GB2312" w:hAnsi="仿宋_GB2312" w:eastAsia="仿宋_GB2312" w:cs="仿宋_GB2312"/>
          <w:color w:val="auto"/>
          <w:sz w:val="32"/>
          <w:szCs w:val="32"/>
          <w:lang w:eastAsia="zh-CN"/>
        </w:rPr>
        <w:t>；</w:t>
      </w:r>
    </w:p>
    <w:p w14:paraId="265A4AB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②通过清晰、可衡量的指标值予以体现，</w:t>
      </w:r>
      <w:r>
        <w:rPr>
          <w:rFonts w:hint="eastAsia" w:ascii="仿宋_GB2312" w:hAnsi="仿宋_GB2312" w:eastAsia="仿宋_GB2312" w:cs="仿宋_GB2312"/>
          <w:color w:val="auto"/>
          <w:sz w:val="32"/>
          <w:szCs w:val="32"/>
          <w:lang w:val="en-US" w:eastAsia="zh-CN"/>
        </w:rPr>
        <w:t>量化率达到87.5%</w:t>
      </w:r>
      <w:r>
        <w:rPr>
          <w:rFonts w:hint="eastAsia" w:ascii="仿宋_GB2312" w:hAnsi="仿宋_GB2312" w:eastAsia="仿宋_GB2312" w:cs="仿宋_GB2312"/>
          <w:color w:val="auto"/>
          <w:sz w:val="32"/>
          <w:szCs w:val="32"/>
          <w:lang w:eastAsia="zh-CN"/>
        </w:rPr>
        <w:t>；</w:t>
      </w:r>
    </w:p>
    <w:p w14:paraId="4EBD540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③《项目绩效目标申报表》中，三级指标的年度指标值与年度绩效目标中任务数一致。</w:t>
      </w:r>
    </w:p>
    <w:p w14:paraId="7729B6B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lang w:eastAsia="zh-CN"/>
        </w:rPr>
        <w:t>已设置的绩效目标具备明确性、可衡量性、可实</w:t>
      </w:r>
      <w:r>
        <w:rPr>
          <w:rFonts w:hint="eastAsia" w:ascii="仿宋_GB2312" w:hAnsi="仿宋_GB2312" w:eastAsia="仿宋_GB2312" w:cs="仿宋_GB2312"/>
          <w:sz w:val="32"/>
          <w:szCs w:val="32"/>
          <w:lang w:eastAsia="zh-CN"/>
        </w:rPr>
        <w:t>现性、相关性、时限性。</w:t>
      </w:r>
    </w:p>
    <w:p w14:paraId="0631D41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综上，该项指标</w:t>
      </w:r>
      <w:r>
        <w:rPr>
          <w:rFonts w:hint="eastAsia" w:ascii="仿宋_GB2312" w:hAnsi="仿宋_GB2312" w:eastAsia="仿宋_GB2312" w:cs="仿宋_GB2312"/>
          <w:b/>
          <w:bCs/>
          <w:color w:val="auto"/>
          <w:sz w:val="32"/>
          <w:szCs w:val="32"/>
          <w:lang w:val="en-US" w:eastAsia="zh-CN"/>
        </w:rPr>
        <w:t>满分5分，得分5分。</w:t>
      </w:r>
    </w:p>
    <w:p w14:paraId="66FD53B8">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7" w:name="_Toc19401"/>
      <w:bookmarkStart w:id="118" w:name="_Toc8296"/>
      <w:r>
        <w:rPr>
          <w:rFonts w:hint="eastAsia" w:ascii="仿宋_GB2312" w:hAnsi="仿宋_GB2312" w:eastAsia="仿宋_GB2312" w:cs="仿宋_GB2312"/>
          <w:b/>
          <w:bCs/>
          <w:color w:val="auto"/>
          <w:sz w:val="32"/>
          <w:szCs w:val="32"/>
          <w:lang w:val="en-US" w:eastAsia="zh-CN"/>
        </w:rPr>
        <w:t>5.预算编制科学性</w:t>
      </w:r>
      <w:bookmarkEnd w:id="117"/>
      <w:bookmarkEnd w:id="118"/>
    </w:p>
    <w:p w14:paraId="373F519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w:t>
      </w:r>
      <w:r>
        <w:rPr>
          <w:rFonts w:hint="eastAsia" w:ascii="仿宋_GB2312" w:hAnsi="仿宋_GB2312" w:eastAsia="仿宋_GB2312" w:cs="仿宋_GB2312"/>
          <w:color w:val="auto"/>
          <w:sz w:val="32"/>
          <w:szCs w:val="32"/>
          <w:lang w:val="en-US" w:eastAsia="zh-CN"/>
        </w:rPr>
        <w:t>根据项目预算批复，项目的</w:t>
      </w:r>
      <w:r>
        <w:rPr>
          <w:rFonts w:hint="eastAsia" w:ascii="仿宋_GB2312" w:hAnsi="仿宋_GB2312" w:eastAsia="仿宋_GB2312" w:cs="仿宋_GB2312"/>
          <w:color w:val="auto"/>
          <w:sz w:val="32"/>
          <w:szCs w:val="32"/>
          <w:lang w:eastAsia="zh-CN"/>
        </w:rPr>
        <w:t>预算编制经过科学论证；</w:t>
      </w:r>
    </w:p>
    <w:p w14:paraId="079F730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②</w:t>
      </w:r>
      <w:r>
        <w:rPr>
          <w:rFonts w:hint="eastAsia" w:ascii="仿宋_GB2312" w:hAnsi="仿宋_GB2312" w:eastAsia="仿宋_GB2312" w:cs="仿宋_GB2312"/>
          <w:color w:val="auto"/>
          <w:sz w:val="32"/>
          <w:szCs w:val="32"/>
          <w:lang w:eastAsia="zh-CN"/>
        </w:rPr>
        <w:t>预算申请内容为</w:t>
      </w:r>
      <w:r>
        <w:rPr>
          <w:rFonts w:hint="eastAsia" w:ascii="仿宋_GB2312" w:hAnsi="仿宋_GB2312" w:eastAsia="仿宋_GB2312" w:cs="仿宋_GB2312"/>
          <w:color w:val="auto"/>
          <w:sz w:val="32"/>
          <w:szCs w:val="32"/>
          <w:lang w:val="en-US" w:eastAsia="zh-CN"/>
        </w:rPr>
        <w:t>有</w:t>
      </w:r>
      <w:r>
        <w:rPr>
          <w:rFonts w:hint="eastAsia" w:ascii="仿宋_GB2312" w:hAnsi="仿宋_GB2312" w:eastAsia="仿宋_GB2312" w:cs="仿宋_GB2312"/>
          <w:color w:val="auto"/>
          <w:sz w:val="32"/>
          <w:szCs w:val="32"/>
          <w:lang w:eastAsia="zh-CN"/>
        </w:rPr>
        <w:t>效改善教学环境，提供良好的学生成长条件，保障学校正常运转,项目实际内容为</w:t>
      </w:r>
      <w:r>
        <w:rPr>
          <w:rFonts w:hint="eastAsia" w:ascii="仿宋_GB2312" w:hAnsi="仿宋_GB2312" w:eastAsia="仿宋_GB2312" w:cs="仿宋_GB2312"/>
          <w:color w:val="auto"/>
          <w:sz w:val="32"/>
          <w:szCs w:val="32"/>
          <w:lang w:val="en-US" w:eastAsia="zh-CN"/>
        </w:rPr>
        <w:t>有</w:t>
      </w:r>
      <w:r>
        <w:rPr>
          <w:rFonts w:hint="eastAsia" w:ascii="仿宋_GB2312" w:hAnsi="仿宋_GB2312" w:eastAsia="仿宋_GB2312" w:cs="仿宋_GB2312"/>
          <w:color w:val="auto"/>
          <w:sz w:val="32"/>
          <w:szCs w:val="32"/>
          <w:lang w:eastAsia="zh-CN"/>
        </w:rPr>
        <w:t>有效改善教学环境，提供良好的学生成长条件，保障学校正常运转,预算申请与项目内容匹配；</w:t>
      </w:r>
    </w:p>
    <w:p w14:paraId="4AF0311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auto"/>
          <w:sz w:val="32"/>
          <w:szCs w:val="32"/>
          <w:lang w:val="en-US" w:eastAsia="zh-CN"/>
        </w:rPr>
        <w:t>③</w:t>
      </w:r>
      <w:r>
        <w:rPr>
          <w:rFonts w:hint="eastAsia" w:ascii="仿宋_GB2312" w:hAnsi="仿宋_GB2312" w:eastAsia="仿宋_GB2312" w:cs="仿宋_GB2312"/>
          <w:color w:val="auto"/>
          <w:sz w:val="32"/>
          <w:szCs w:val="32"/>
          <w:lang w:eastAsia="zh-CN"/>
        </w:rPr>
        <w:t>项目预算申请资金</w:t>
      </w:r>
      <w:r>
        <w:rPr>
          <w:rFonts w:hint="eastAsia" w:ascii="仿宋_GB2312" w:hAnsi="仿宋_GB2312" w:eastAsia="仿宋_GB2312" w:cs="仿宋_GB2312"/>
          <w:color w:val="auto"/>
          <w:sz w:val="32"/>
          <w:szCs w:val="32"/>
          <w:lang w:val="en-US" w:eastAsia="zh-CN"/>
        </w:rPr>
        <w:t>73.92万</w:t>
      </w:r>
      <w:r>
        <w:rPr>
          <w:rFonts w:hint="eastAsia" w:ascii="仿宋_GB2312" w:hAnsi="仿宋_GB2312" w:eastAsia="仿宋_GB2312" w:cs="仿宋_GB2312"/>
          <w:color w:val="auto"/>
          <w:sz w:val="32"/>
          <w:szCs w:val="32"/>
          <w:lang w:eastAsia="zh-CN"/>
        </w:rPr>
        <w:t>元，我单</w:t>
      </w:r>
      <w:r>
        <w:rPr>
          <w:rFonts w:hint="eastAsia" w:ascii="仿宋_GB2312" w:hAnsi="仿宋_GB2312" w:eastAsia="仿宋_GB2312" w:cs="仿宋_GB2312"/>
          <w:sz w:val="32"/>
          <w:szCs w:val="32"/>
          <w:lang w:eastAsia="zh-CN"/>
        </w:rPr>
        <w:t>位在预算申请中严格按照项目实施内容及测算标准进行核算，其中</w:t>
      </w:r>
      <w:r>
        <w:rPr>
          <w:rFonts w:hint="eastAsia" w:ascii="仿宋_GB2312" w:hAnsi="仿宋_GB2312" w:eastAsia="仿宋_GB2312" w:cs="仿宋_GB2312"/>
          <w:color w:val="auto"/>
          <w:sz w:val="32"/>
          <w:szCs w:val="32"/>
          <w:lang w:eastAsia="zh-CN"/>
        </w:rPr>
        <w:t>办公费用</w:t>
      </w:r>
      <w:r>
        <w:rPr>
          <w:rFonts w:hint="eastAsia" w:ascii="仿宋_GB2312" w:hAnsi="仿宋_GB2312" w:eastAsia="仿宋_GB2312" w:cs="仿宋_GB2312"/>
          <w:color w:val="auto"/>
          <w:sz w:val="32"/>
          <w:szCs w:val="32"/>
          <w:lang w:val="en-US" w:eastAsia="zh-CN"/>
        </w:rPr>
        <w:t>12.11</w:t>
      </w:r>
      <w:r>
        <w:rPr>
          <w:rFonts w:hint="eastAsia" w:ascii="仿宋_GB2312" w:hAnsi="仿宋_GB2312" w:eastAsia="仿宋_GB2312" w:cs="仿宋_GB2312"/>
          <w:color w:val="auto"/>
          <w:sz w:val="32"/>
          <w:szCs w:val="32"/>
          <w:lang w:eastAsia="zh-CN"/>
        </w:rPr>
        <w:t>万元、印刷费用</w:t>
      </w:r>
      <w:r>
        <w:rPr>
          <w:rFonts w:hint="eastAsia" w:ascii="仿宋_GB2312" w:hAnsi="仿宋_GB2312" w:eastAsia="仿宋_GB2312" w:cs="仿宋_GB2312"/>
          <w:color w:val="auto"/>
          <w:sz w:val="32"/>
          <w:szCs w:val="32"/>
          <w:lang w:val="en-US" w:eastAsia="zh-CN"/>
        </w:rPr>
        <w:t>8.92</w:t>
      </w:r>
      <w:r>
        <w:rPr>
          <w:rFonts w:hint="eastAsia" w:ascii="仿宋_GB2312" w:hAnsi="仿宋_GB2312" w:eastAsia="仿宋_GB2312" w:cs="仿宋_GB2312"/>
          <w:color w:val="auto"/>
          <w:sz w:val="32"/>
          <w:szCs w:val="32"/>
          <w:lang w:eastAsia="zh-CN"/>
        </w:rPr>
        <w:t>万元、水费</w:t>
      </w:r>
      <w:r>
        <w:rPr>
          <w:rFonts w:hint="eastAsia" w:ascii="仿宋_GB2312" w:hAnsi="仿宋_GB2312" w:eastAsia="仿宋_GB2312" w:cs="仿宋_GB2312"/>
          <w:color w:val="auto"/>
          <w:sz w:val="32"/>
          <w:szCs w:val="32"/>
          <w:lang w:val="en-US" w:eastAsia="zh-CN"/>
        </w:rPr>
        <w:t>2.64</w:t>
      </w:r>
      <w:r>
        <w:rPr>
          <w:rFonts w:hint="eastAsia" w:ascii="仿宋_GB2312" w:hAnsi="仿宋_GB2312" w:eastAsia="仿宋_GB2312" w:cs="仿宋_GB2312"/>
          <w:color w:val="auto"/>
          <w:sz w:val="32"/>
          <w:szCs w:val="32"/>
          <w:lang w:eastAsia="zh-CN"/>
        </w:rPr>
        <w:t>万元、电费</w:t>
      </w:r>
      <w:r>
        <w:rPr>
          <w:rFonts w:hint="eastAsia" w:ascii="仿宋_GB2312" w:hAnsi="仿宋_GB2312" w:eastAsia="仿宋_GB2312" w:cs="仿宋_GB2312"/>
          <w:color w:val="auto"/>
          <w:sz w:val="32"/>
          <w:szCs w:val="32"/>
          <w:lang w:val="en-US" w:eastAsia="zh-CN"/>
        </w:rPr>
        <w:t>3.56</w:t>
      </w:r>
      <w:r>
        <w:rPr>
          <w:rFonts w:hint="eastAsia" w:ascii="仿宋_GB2312" w:hAnsi="仿宋_GB2312" w:eastAsia="仿宋_GB2312" w:cs="仿宋_GB2312"/>
          <w:color w:val="auto"/>
          <w:sz w:val="32"/>
          <w:szCs w:val="32"/>
          <w:lang w:eastAsia="zh-CN"/>
        </w:rPr>
        <w:t>万元、取暖费</w:t>
      </w:r>
      <w:r>
        <w:rPr>
          <w:rFonts w:hint="eastAsia" w:ascii="仿宋_GB2312" w:hAnsi="仿宋_GB2312" w:eastAsia="仿宋_GB2312" w:cs="仿宋_GB2312"/>
          <w:color w:val="auto"/>
          <w:sz w:val="32"/>
          <w:szCs w:val="32"/>
          <w:lang w:val="en-US" w:eastAsia="zh-CN"/>
        </w:rPr>
        <w:t>17.20万元、物业管理费4.67万元、邮电费8.45万元；维修（护）费8.68万元；培训费3.56万元、专用材料费4.13万元</w:t>
      </w:r>
      <w:r>
        <w:rPr>
          <w:rFonts w:hint="eastAsia" w:ascii="仿宋_GB2312" w:hAnsi="仿宋_GB2312" w:eastAsia="仿宋_GB2312" w:cs="仿宋_GB2312"/>
          <w:color w:val="auto"/>
          <w:sz w:val="32"/>
          <w:szCs w:val="32"/>
          <w:lang w:eastAsia="zh-CN"/>
        </w:rPr>
        <w:t>。</w:t>
      </w:r>
    </w:p>
    <w:p w14:paraId="7341D2B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④</w:t>
      </w:r>
      <w:r>
        <w:rPr>
          <w:rFonts w:hint="eastAsia" w:ascii="仿宋_GB2312" w:hAnsi="仿宋_GB2312" w:eastAsia="仿宋_GB2312" w:cs="仿宋_GB2312"/>
          <w:sz w:val="32"/>
          <w:szCs w:val="32"/>
          <w:lang w:eastAsia="zh-CN"/>
        </w:rPr>
        <w:t>预算确定资金量与实际工作任务相匹配。项目预算额度测算依据充分，严格按照标准编制，项目资金量与</w:t>
      </w:r>
      <w:r>
        <w:rPr>
          <w:rFonts w:hint="eastAsia" w:ascii="仿宋_GB2312" w:hAnsi="仿宋_GB2312" w:eastAsia="仿宋_GB2312" w:cs="仿宋_GB2312"/>
          <w:sz w:val="32"/>
          <w:szCs w:val="32"/>
          <w:lang w:val="en-US" w:eastAsia="zh-CN"/>
        </w:rPr>
        <w:t>项目实施内容</w:t>
      </w:r>
      <w:r>
        <w:rPr>
          <w:rFonts w:hint="eastAsia" w:ascii="仿宋_GB2312" w:hAnsi="仿宋_GB2312" w:eastAsia="仿宋_GB2312" w:cs="仿宋_GB2312"/>
          <w:sz w:val="32"/>
          <w:szCs w:val="32"/>
          <w:lang w:eastAsia="zh-CN"/>
        </w:rPr>
        <w:t>相匹配。</w:t>
      </w:r>
    </w:p>
    <w:p w14:paraId="3A05288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w:t>
      </w:r>
      <w:r>
        <w:rPr>
          <w:rFonts w:hint="eastAsia" w:ascii="仿宋_GB2312" w:hAnsi="仿宋_GB2312" w:eastAsia="仿宋_GB2312" w:cs="仿宋_GB2312"/>
          <w:b/>
          <w:bCs/>
          <w:color w:val="auto"/>
          <w:sz w:val="32"/>
          <w:szCs w:val="32"/>
          <w:lang w:val="en-US" w:eastAsia="zh-CN"/>
        </w:rPr>
        <w:t>指标满分2分，得分2分。</w:t>
      </w:r>
    </w:p>
    <w:p w14:paraId="6F53B3B8">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9" w:name="_Toc20556"/>
      <w:bookmarkStart w:id="120" w:name="_Toc697"/>
      <w:r>
        <w:rPr>
          <w:rFonts w:hint="eastAsia" w:ascii="仿宋_GB2312" w:hAnsi="仿宋_GB2312" w:eastAsia="仿宋_GB2312" w:cs="仿宋_GB2312"/>
          <w:b/>
          <w:bCs/>
          <w:color w:val="auto"/>
          <w:sz w:val="32"/>
          <w:szCs w:val="32"/>
          <w:lang w:val="en-US" w:eastAsia="zh-CN"/>
        </w:rPr>
        <w:t>6.资金分配合理性</w:t>
      </w:r>
      <w:bookmarkEnd w:id="119"/>
      <w:bookmarkEnd w:id="120"/>
    </w:p>
    <w:p w14:paraId="5BA9C28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①项目实际分配资金以《财政支出预算管理办法》</w:t>
      </w:r>
      <w:r>
        <w:rPr>
          <w:rFonts w:hint="eastAsia" w:ascii="仿宋_GB2312" w:hAnsi="仿宋_GB2312" w:eastAsia="仿宋_GB2312" w:cs="仿宋_GB2312"/>
          <w:color w:val="auto"/>
          <w:sz w:val="32"/>
          <w:szCs w:val="32"/>
          <w:lang w:eastAsia="zh-Hans"/>
        </w:rPr>
        <w:t>《202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eastAsia="zh-Hans"/>
        </w:rPr>
        <w:t>年公用经费收支预算表》为依据进行资金分配，预算资金分配依据充分</w:t>
      </w:r>
      <w:r>
        <w:rPr>
          <w:rFonts w:hint="eastAsia" w:ascii="仿宋_GB2312" w:hAnsi="仿宋_GB2312" w:eastAsia="仿宋_GB2312" w:cs="仿宋_GB2312"/>
          <w:color w:val="auto"/>
          <w:sz w:val="32"/>
          <w:szCs w:val="32"/>
          <w:lang w:eastAsia="zh-CN"/>
        </w:rPr>
        <w:t>。</w:t>
      </w:r>
    </w:p>
    <w:p w14:paraId="4A1CAA5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②项目实际到位资金</w:t>
      </w:r>
      <w:r>
        <w:rPr>
          <w:rFonts w:hint="eastAsia" w:ascii="仿宋_GB2312" w:hAnsi="仿宋_GB2312" w:eastAsia="仿宋_GB2312" w:cs="仿宋_GB2312"/>
          <w:color w:val="auto"/>
          <w:sz w:val="32"/>
          <w:szCs w:val="32"/>
          <w:lang w:val="en-US" w:eastAsia="zh-CN"/>
        </w:rPr>
        <w:t>73.92</w:t>
      </w:r>
      <w:r>
        <w:rPr>
          <w:rFonts w:hint="eastAsia" w:ascii="仿宋_GB2312" w:hAnsi="仿宋_GB2312" w:eastAsia="仿宋_GB2312" w:cs="仿宋_GB2312"/>
          <w:color w:val="auto"/>
          <w:sz w:val="32"/>
          <w:szCs w:val="32"/>
          <w:lang w:eastAsia="zh-CN"/>
        </w:rPr>
        <w:t>万元，资金分配</w:t>
      </w:r>
      <w:r>
        <w:rPr>
          <w:rFonts w:hint="eastAsia" w:ascii="仿宋_GB2312" w:hAnsi="仿宋_GB2312" w:eastAsia="仿宋_GB2312" w:cs="仿宋_GB2312"/>
          <w:sz w:val="32"/>
          <w:szCs w:val="32"/>
          <w:lang w:eastAsia="zh-CN"/>
        </w:rPr>
        <w:t>额度合理，与项目单位</w:t>
      </w:r>
      <w:r>
        <w:rPr>
          <w:rFonts w:hint="eastAsia" w:ascii="仿宋_GB2312" w:hAnsi="仿宋_GB2312" w:eastAsia="仿宋_GB2312" w:cs="仿宋_GB2312"/>
          <w:sz w:val="32"/>
          <w:szCs w:val="32"/>
          <w:lang w:val="en-US" w:eastAsia="zh-CN"/>
        </w:rPr>
        <w:t>及项目</w:t>
      </w:r>
      <w:r>
        <w:rPr>
          <w:rFonts w:hint="eastAsia" w:ascii="仿宋_GB2312" w:hAnsi="仿宋_GB2312" w:eastAsia="仿宋_GB2312" w:cs="仿宋_GB2312"/>
          <w:color w:val="auto"/>
          <w:sz w:val="32"/>
          <w:szCs w:val="32"/>
          <w:lang w:val="en-US" w:eastAsia="zh-CN"/>
        </w:rPr>
        <w:t>实际实施情况相</w:t>
      </w:r>
      <w:r>
        <w:rPr>
          <w:rFonts w:hint="eastAsia" w:ascii="仿宋_GB2312" w:hAnsi="仿宋_GB2312" w:eastAsia="仿宋_GB2312" w:cs="仿宋_GB2312"/>
          <w:color w:val="auto"/>
          <w:sz w:val="32"/>
          <w:szCs w:val="32"/>
          <w:lang w:eastAsia="zh-CN"/>
        </w:rPr>
        <w:t>适应。</w:t>
      </w:r>
    </w:p>
    <w:p w14:paraId="54A57AD6">
      <w:pPr>
        <w:pageBreakBefore w:val="0"/>
        <w:kinsoku/>
        <w:wordWrap/>
        <w:overflowPunct/>
        <w:topLinePunct w:val="0"/>
        <w:autoSpaceDE/>
        <w:autoSpaceDN/>
        <w:bidi w:val="0"/>
        <w:spacing w:line="560" w:lineRule="exact"/>
        <w:textAlignment w:val="auto"/>
        <w:rPr>
          <w:rFonts w:hint="eastAsia"/>
          <w:color w:val="auto"/>
          <w:lang w:eastAsia="zh-CN"/>
        </w:rPr>
      </w:pPr>
      <w:r>
        <w:rPr>
          <w:rFonts w:hint="eastAsia" w:ascii="仿宋_GB2312" w:hAnsi="仿宋_GB2312" w:eastAsia="仿宋_GB2312" w:cs="仿宋_GB2312"/>
          <w:b/>
          <w:bCs/>
          <w:color w:val="auto"/>
          <w:sz w:val="32"/>
          <w:szCs w:val="32"/>
          <w:lang w:val="en-US" w:eastAsia="zh-CN"/>
        </w:rPr>
        <w:t>综上，该项指标满分3分，得分3分。</w:t>
      </w:r>
    </w:p>
    <w:p w14:paraId="4A4C16C3">
      <w:pPr>
        <w:pStyle w:val="14"/>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color w:val="auto"/>
          <w:kern w:val="28"/>
          <w:sz w:val="32"/>
        </w:rPr>
      </w:pPr>
      <w:bookmarkStart w:id="121" w:name="_Toc10564"/>
      <w:r>
        <w:rPr>
          <w:rFonts w:hint="eastAsia" w:ascii="Times New Roman" w:hAnsi="Times New Roman" w:eastAsia="楷体" w:cs="Times New Roman"/>
          <w:color w:val="auto"/>
          <w:kern w:val="28"/>
          <w:sz w:val="32"/>
          <w:lang w:eastAsia="zh-CN"/>
        </w:rPr>
        <w:t>（</w:t>
      </w:r>
      <w:r>
        <w:rPr>
          <w:rFonts w:hint="eastAsia" w:ascii="Times New Roman" w:hAnsi="Times New Roman" w:eastAsia="楷体" w:cs="Times New Roman"/>
          <w:color w:val="auto"/>
          <w:kern w:val="28"/>
          <w:sz w:val="32"/>
          <w:lang w:val="en-US" w:eastAsia="zh-CN"/>
        </w:rPr>
        <w:t>二</w:t>
      </w:r>
      <w:r>
        <w:rPr>
          <w:rFonts w:hint="eastAsia" w:ascii="Times New Roman" w:hAnsi="Times New Roman" w:eastAsia="楷体" w:cs="Times New Roman"/>
          <w:color w:val="auto"/>
          <w:kern w:val="28"/>
          <w:sz w:val="32"/>
          <w:lang w:eastAsia="zh-CN"/>
        </w:rPr>
        <w:t>）</w:t>
      </w:r>
      <w:r>
        <w:rPr>
          <w:rFonts w:hint="eastAsia" w:ascii="Times New Roman" w:hAnsi="Times New Roman" w:eastAsia="楷体" w:cs="Times New Roman"/>
          <w:color w:val="auto"/>
          <w:kern w:val="28"/>
          <w:sz w:val="32"/>
        </w:rPr>
        <w:t>项目过程情况</w:t>
      </w:r>
      <w:bookmarkEnd w:id="121"/>
    </w:p>
    <w:p w14:paraId="74BD19CE">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1957529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cs="宋体"/>
          <w:b/>
          <w:bCs/>
          <w:color w:val="auto"/>
          <w:kern w:val="0"/>
          <w:sz w:val="28"/>
          <w:szCs w:val="28"/>
          <w:highlight w:val="none"/>
          <w:shd w:val="clear" w:color="auto" w:fill="auto"/>
          <w:lang w:val="en-US" w:eastAsia="zh-CN"/>
        </w:rPr>
        <w:t>过程</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4E9F06C9">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32DB7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46E07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7EECA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3151B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3550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1458F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AA03C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26AD16AE">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7663A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724E1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AA996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3F90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4EBC7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FEF3A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8D6C3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15C28ABB">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1AC18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B6A2E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EC53C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5DA37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05BFF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69A17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7BCDD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242EAEB6">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E5DE2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A16FB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28334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9320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E425A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2AD8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775C9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23F04C94">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7022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36AB9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F3C8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C9B0D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00915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D5C54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2383A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4BC13178">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FAFDE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DB3B7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90F8F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46D72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13EBE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51893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796AD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089FF49D">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F04A7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37EC4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31732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B0403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5D2FE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61E2D6E3">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FF0000"/>
          <w:sz w:val="32"/>
          <w:szCs w:val="32"/>
          <w:lang w:val="en-US" w:eastAsia="zh-CN"/>
        </w:rPr>
      </w:pPr>
      <w:bookmarkStart w:id="122" w:name="_Toc20449"/>
      <w:bookmarkStart w:id="123" w:name="_Toc3886"/>
      <w:r>
        <w:rPr>
          <w:rFonts w:hint="eastAsia" w:ascii="仿宋_GB2312" w:hAnsi="仿宋_GB2312" w:eastAsia="仿宋_GB2312" w:cs="仿宋_GB2312"/>
          <w:b/>
          <w:bCs/>
          <w:sz w:val="32"/>
          <w:szCs w:val="32"/>
          <w:lang w:val="en-US" w:eastAsia="zh-CN"/>
        </w:rPr>
        <w:t>1.资金到位率</w:t>
      </w:r>
      <w:bookmarkEnd w:id="122"/>
      <w:bookmarkEnd w:id="123"/>
    </w:p>
    <w:p w14:paraId="21DA2AE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项目预算资金为</w:t>
      </w:r>
      <w:r>
        <w:rPr>
          <w:rFonts w:hint="eastAsia" w:ascii="仿宋_GB2312" w:hAnsi="仿宋_GB2312" w:eastAsia="仿宋_GB2312" w:cs="仿宋_GB2312"/>
          <w:b w:val="0"/>
          <w:bCs w:val="0"/>
          <w:color w:val="auto"/>
          <w:sz w:val="32"/>
          <w:szCs w:val="32"/>
          <w:highlight w:val="none"/>
          <w:lang w:val="en-US" w:eastAsia="zh-CN"/>
        </w:rPr>
        <w:t>73.92</w:t>
      </w:r>
      <w:r>
        <w:rPr>
          <w:rFonts w:hint="eastAsia" w:ascii="仿宋_GB2312" w:hAnsi="仿宋_GB2312" w:eastAsia="仿宋_GB2312" w:cs="仿宋_GB2312"/>
          <w:b w:val="0"/>
          <w:bCs w:val="0"/>
          <w:color w:val="auto"/>
          <w:sz w:val="32"/>
          <w:szCs w:val="32"/>
          <w:highlight w:val="none"/>
        </w:rPr>
        <w:t>万元，其中：财政安排资金</w:t>
      </w:r>
      <w:r>
        <w:rPr>
          <w:rFonts w:hint="eastAsia" w:ascii="仿宋_GB2312" w:hAnsi="仿宋_GB2312" w:eastAsia="仿宋_GB2312" w:cs="仿宋_GB2312"/>
          <w:b w:val="0"/>
          <w:bCs w:val="0"/>
          <w:color w:val="auto"/>
          <w:sz w:val="32"/>
          <w:szCs w:val="32"/>
          <w:highlight w:val="none"/>
          <w:lang w:val="en-US" w:eastAsia="zh-CN"/>
        </w:rPr>
        <w:t>73.92</w:t>
      </w:r>
      <w:r>
        <w:rPr>
          <w:rFonts w:hint="eastAsia" w:ascii="仿宋_GB2312" w:hAnsi="仿宋_GB2312" w:eastAsia="仿宋_GB2312" w:cs="仿宋_GB2312"/>
          <w:b w:val="0"/>
          <w:bCs w:val="0"/>
          <w:color w:val="auto"/>
          <w:sz w:val="32"/>
          <w:szCs w:val="32"/>
          <w:highlight w:val="none"/>
        </w:rPr>
        <w:t>万元，其他资金</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eastAsia="zh-CN"/>
        </w:rPr>
        <w:t>。</w:t>
      </w:r>
    </w:p>
    <w:p w14:paraId="6FA8E6B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资金到位率=（</w:t>
      </w:r>
      <w:r>
        <w:rPr>
          <w:rFonts w:hint="eastAsia" w:ascii="仿宋_GB2312" w:hAnsi="仿宋_GB2312" w:eastAsia="仿宋_GB2312" w:cs="仿宋_GB2312"/>
          <w:color w:val="auto"/>
          <w:sz w:val="32"/>
          <w:szCs w:val="32"/>
          <w:highlight w:val="none"/>
          <w:lang w:val="en-US" w:eastAsia="zh-CN"/>
        </w:rPr>
        <w:t>73.92万元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73.92万元</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eastAsia="zh-CN"/>
        </w:rPr>
        <w:t>100%</w:t>
      </w:r>
    </w:p>
    <w:p w14:paraId="201AA60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16917369">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4" w:name="_Toc9705"/>
      <w:bookmarkStart w:id="125" w:name="_Toc17709"/>
      <w:r>
        <w:rPr>
          <w:rFonts w:hint="eastAsia" w:ascii="仿宋_GB2312" w:hAnsi="仿宋_GB2312" w:eastAsia="仿宋_GB2312" w:cs="仿宋_GB2312"/>
          <w:b/>
          <w:bCs/>
          <w:color w:val="auto"/>
          <w:sz w:val="32"/>
          <w:szCs w:val="32"/>
          <w:highlight w:val="none"/>
          <w:lang w:val="en-US" w:eastAsia="zh-CN"/>
        </w:rPr>
        <w:t>2.预算执行率</w:t>
      </w:r>
      <w:bookmarkEnd w:id="124"/>
      <w:bookmarkEnd w:id="125"/>
    </w:p>
    <w:p w14:paraId="7CBB7D97">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截至2024年12月31日，项目实际支出</w:t>
      </w:r>
      <w:r>
        <w:rPr>
          <w:rFonts w:hint="eastAsia" w:ascii="仿宋_GB2312" w:hAnsi="仿宋_GB2312" w:eastAsia="仿宋_GB2312" w:cs="仿宋_GB2312"/>
          <w:b w:val="0"/>
          <w:bCs w:val="0"/>
          <w:color w:val="auto"/>
          <w:sz w:val="32"/>
          <w:szCs w:val="32"/>
          <w:highlight w:val="none"/>
          <w:lang w:val="en-US" w:eastAsia="zh-CN"/>
        </w:rPr>
        <w:t>73.92</w:t>
      </w:r>
      <w:r>
        <w:rPr>
          <w:rFonts w:hint="eastAsia" w:ascii="仿宋_GB2312" w:hAnsi="仿宋_GB2312" w:eastAsia="仿宋_GB2312" w:cs="仿宋_GB2312"/>
          <w:color w:val="auto"/>
          <w:sz w:val="32"/>
          <w:szCs w:val="32"/>
          <w:highlight w:val="none"/>
          <w:lang w:val="en-US" w:eastAsia="zh-CN"/>
        </w:rPr>
        <w:t>万元。</w:t>
      </w:r>
    </w:p>
    <w:p w14:paraId="2FB735D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预算执行率=（</w:t>
      </w:r>
      <w:r>
        <w:rPr>
          <w:rFonts w:hint="eastAsia" w:ascii="仿宋_GB2312" w:hAnsi="仿宋_GB2312" w:eastAsia="仿宋_GB2312" w:cs="仿宋_GB2312"/>
          <w:b w:val="0"/>
          <w:bCs w:val="0"/>
          <w:color w:val="auto"/>
          <w:sz w:val="32"/>
          <w:szCs w:val="32"/>
          <w:highlight w:val="none"/>
          <w:lang w:val="en-US" w:eastAsia="zh-CN"/>
        </w:rPr>
        <w:t>73.92</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73.92</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综上，该项指标满分4分，得分4分。</w:t>
      </w:r>
    </w:p>
    <w:p w14:paraId="118894A3">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6" w:name="_Toc28875"/>
      <w:bookmarkStart w:id="127" w:name="_Toc18691"/>
      <w:r>
        <w:rPr>
          <w:rFonts w:hint="eastAsia" w:ascii="仿宋_GB2312" w:hAnsi="仿宋_GB2312" w:eastAsia="仿宋_GB2312" w:cs="仿宋_GB2312"/>
          <w:b/>
          <w:bCs/>
          <w:color w:val="auto"/>
          <w:sz w:val="32"/>
          <w:szCs w:val="32"/>
          <w:highlight w:val="none"/>
          <w:lang w:val="en-US" w:eastAsia="zh-CN"/>
        </w:rPr>
        <w:t>3.资金使用合规性</w:t>
      </w:r>
      <w:bookmarkEnd w:id="126"/>
      <w:bookmarkEnd w:id="127"/>
    </w:p>
    <w:p w14:paraId="113AF844">
      <w:pPr>
        <w:pageBreakBefore w:val="0"/>
        <w:kinsoku/>
        <w:wordWrap/>
        <w:overflowPunct/>
        <w:topLinePunct w:val="0"/>
        <w:autoSpaceDE/>
        <w:autoSpaceDN/>
        <w:bidi w:val="0"/>
        <w:spacing w:line="560" w:lineRule="exact"/>
        <w:textAlignment w:val="auto"/>
        <w:rPr>
          <w:rFonts w:hint="eastAsia" w:ascii="方正仿宋_GBK" w:hAnsi="方正仿宋_GBK" w:eastAsia="方正仿宋_GBK" w:cs="方正仿宋_GBK"/>
          <w:color w:val="auto"/>
          <w:sz w:val="32"/>
          <w:szCs w:val="32"/>
        </w:rPr>
      </w:pPr>
      <w:r>
        <w:rPr>
          <w:rFonts w:hint="eastAsia" w:ascii="仿宋_GB2312" w:hAnsi="仿宋_GB2312" w:eastAsia="仿宋_GB2312" w:cs="仿宋_GB2312"/>
          <w:sz w:val="32"/>
          <w:szCs w:val="32"/>
          <w:lang w:eastAsia="zh-CN"/>
        </w:rPr>
        <w:t>①本项目资金支出符合国家财经法规、《政府会计制度》《</w:t>
      </w:r>
      <w:r>
        <w:rPr>
          <w:rFonts w:hint="eastAsia" w:ascii="仿宋_GB2312" w:hAnsi="仿宋_GB2312" w:eastAsia="仿宋_GB2312" w:cs="仿宋_GB2312"/>
          <w:sz w:val="32"/>
          <w:szCs w:val="32"/>
          <w:lang w:val="en-US" w:eastAsia="zh-CN"/>
        </w:rPr>
        <w:t>阜康市厦门实验小学</w:t>
      </w:r>
      <w:r>
        <w:rPr>
          <w:rFonts w:hint="eastAsia" w:ascii="仿宋_GB2312" w:hAnsi="仿宋_GB2312" w:eastAsia="仿宋_GB2312" w:cs="仿宋_GB2312"/>
          <w:sz w:val="32"/>
          <w:szCs w:val="32"/>
          <w:lang w:eastAsia="zh-CN"/>
        </w:rPr>
        <w:t>单位资金管理办法</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阜康市厦门实验小学</w:t>
      </w:r>
      <w:r>
        <w:rPr>
          <w:rFonts w:hint="eastAsia" w:ascii="仿宋_GB2312" w:hAnsi="仿宋_GB2312" w:eastAsia="仿宋_GB2312" w:cs="仿宋_GB2312"/>
          <w:color w:val="auto"/>
          <w:sz w:val="32"/>
          <w:szCs w:val="32"/>
          <w:lang w:eastAsia="zh-CN"/>
        </w:rPr>
        <w:t>专项资金管理办法》；</w:t>
      </w:r>
    </w:p>
    <w:p w14:paraId="5A2DB9A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②资金的拨付有完整的审批程序和手续；</w:t>
      </w:r>
    </w:p>
    <w:p w14:paraId="287C4DD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③符合项目预算批复或合同规定的用途；</w:t>
      </w:r>
    </w:p>
    <w:p w14:paraId="64D71C8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④</w:t>
      </w:r>
      <w:r>
        <w:rPr>
          <w:rFonts w:hint="eastAsia" w:ascii="仿宋_GB2312" w:hAnsi="仿宋_GB2312" w:eastAsia="仿宋_GB2312" w:cs="仿宋_GB2312"/>
          <w:sz w:val="32"/>
          <w:szCs w:val="32"/>
          <w:lang w:val="en-US" w:eastAsia="zh-CN"/>
        </w:rPr>
        <w:t>不</w:t>
      </w:r>
      <w:r>
        <w:rPr>
          <w:rFonts w:hint="eastAsia" w:ascii="仿宋_GB2312" w:hAnsi="仿宋_GB2312" w:eastAsia="仿宋_GB2312" w:cs="仿宋_GB2312"/>
          <w:sz w:val="32"/>
          <w:szCs w:val="32"/>
          <w:lang w:eastAsia="zh-CN"/>
        </w:rPr>
        <w:t>存在截留、挤占、挪用、虚列支出等情况。</w:t>
      </w:r>
    </w:p>
    <w:p w14:paraId="646261C0">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lang w:val="en-US" w:eastAsia="zh-CN"/>
        </w:rPr>
      </w:pPr>
      <w:r>
        <w:rPr>
          <w:rFonts w:hint="default" w:ascii="Times New Roman" w:hAnsi="Times New Roman" w:eastAsia="仿宋_GB2312" w:cs="Times New Roman"/>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w:t>
      </w:r>
      <w:r>
        <w:rPr>
          <w:rFonts w:hint="default" w:ascii="Times New Roman" w:hAnsi="Times New Roman" w:eastAsia="仿宋_GB2312" w:cs="Times New Roman"/>
          <w:color w:val="auto"/>
          <w:sz w:val="32"/>
          <w:szCs w:val="32"/>
          <w:highlight w:val="none"/>
          <w:lang w:eastAsia="zh-CN"/>
        </w:rPr>
        <w:t>评价奠定了坚实的基础。</w:t>
      </w:r>
      <w:r>
        <w:rPr>
          <w:rFonts w:hint="eastAsia" w:ascii="Times New Roman" w:hAnsi="Times New Roman" w:eastAsia="仿宋_GB2312" w:cs="Times New Roman"/>
          <w:color w:val="auto"/>
          <w:sz w:val="32"/>
          <w:szCs w:val="32"/>
          <w:highlight w:val="none"/>
          <w:lang w:val="en-US" w:eastAsia="zh-CN"/>
        </w:rPr>
        <w:t xml:space="preserve"> </w:t>
      </w:r>
    </w:p>
    <w:p w14:paraId="2A631C3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63EA6E7F">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kern w:val="2"/>
          <w:sz w:val="32"/>
          <w:szCs w:val="32"/>
          <w:lang w:val="en-US" w:eastAsia="zh-CN" w:bidi="ar-SA"/>
        </w:rPr>
        <w:t>4.</w:t>
      </w:r>
      <w:r>
        <w:rPr>
          <w:rFonts w:hint="eastAsia" w:ascii="仿宋_GB2312" w:hAnsi="仿宋_GB2312" w:eastAsia="仿宋_GB2312" w:cs="仿宋_GB2312"/>
          <w:b/>
          <w:bCs/>
          <w:color w:val="auto"/>
          <w:sz w:val="32"/>
          <w:szCs w:val="32"/>
          <w:lang w:val="en-US" w:eastAsia="zh-CN"/>
        </w:rPr>
        <w:t>管理制度健全性</w:t>
      </w:r>
    </w:p>
    <w:p w14:paraId="7CD99FC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①</w:t>
      </w:r>
      <w:r>
        <w:rPr>
          <w:rFonts w:hint="eastAsia" w:ascii="仿宋_GB2312" w:hAnsi="仿宋_GB2312" w:eastAsia="仿宋_GB2312" w:cs="仿宋_GB2312"/>
          <w:color w:val="auto"/>
          <w:sz w:val="32"/>
          <w:szCs w:val="32"/>
          <w:lang w:eastAsia="zh-CN"/>
        </w:rPr>
        <w:t>我单位已制定《</w:t>
      </w:r>
      <w:r>
        <w:rPr>
          <w:rFonts w:hint="eastAsia" w:ascii="仿宋_GB2312" w:hAnsi="仿宋_GB2312" w:eastAsia="仿宋_GB2312" w:cs="仿宋_GB2312"/>
          <w:color w:val="auto"/>
          <w:sz w:val="32"/>
          <w:szCs w:val="32"/>
          <w:lang w:val="en-US" w:eastAsia="zh-CN"/>
        </w:rPr>
        <w:t>阜康市厦门实验小学</w:t>
      </w:r>
      <w:r>
        <w:rPr>
          <w:rFonts w:hint="eastAsia" w:ascii="仿宋_GB2312" w:hAnsi="仿宋_GB2312" w:eastAsia="仿宋_GB2312" w:cs="仿宋_GB2312"/>
          <w:color w:val="auto"/>
          <w:sz w:val="32"/>
          <w:szCs w:val="32"/>
          <w:lang w:eastAsia="zh-CN"/>
        </w:rPr>
        <w:t>资金管理办法》《</w:t>
      </w:r>
      <w:r>
        <w:rPr>
          <w:rFonts w:hint="eastAsia" w:ascii="仿宋_GB2312" w:hAnsi="仿宋_GB2312" w:eastAsia="仿宋_GB2312" w:cs="仿宋_GB2312"/>
          <w:color w:val="auto"/>
          <w:sz w:val="32"/>
          <w:szCs w:val="32"/>
          <w:lang w:val="en-US" w:eastAsia="zh-CN"/>
        </w:rPr>
        <w:t>阜康市厦门实验小学</w:t>
      </w:r>
      <w:r>
        <w:rPr>
          <w:rFonts w:hint="eastAsia" w:ascii="仿宋_GB2312" w:hAnsi="仿宋_GB2312" w:eastAsia="仿宋_GB2312" w:cs="仿宋_GB2312"/>
          <w:color w:val="auto"/>
          <w:sz w:val="32"/>
          <w:szCs w:val="32"/>
          <w:lang w:eastAsia="zh-CN"/>
        </w:rPr>
        <w:t>收支业务管理制度》《</w:t>
      </w:r>
      <w:r>
        <w:rPr>
          <w:rFonts w:hint="eastAsia" w:ascii="仿宋_GB2312" w:hAnsi="仿宋_GB2312" w:eastAsia="仿宋_GB2312" w:cs="仿宋_GB2312"/>
          <w:color w:val="auto"/>
          <w:sz w:val="32"/>
          <w:szCs w:val="32"/>
          <w:lang w:val="en-US" w:eastAsia="zh-CN"/>
        </w:rPr>
        <w:t>阜康市厦门实验小学</w:t>
      </w:r>
      <w:r>
        <w:rPr>
          <w:rFonts w:hint="eastAsia" w:ascii="仿宋_GB2312" w:hAnsi="仿宋_GB2312" w:eastAsia="仿宋_GB2312" w:cs="仿宋_GB2312"/>
          <w:color w:val="auto"/>
          <w:sz w:val="32"/>
          <w:szCs w:val="32"/>
          <w:lang w:eastAsia="zh-CN"/>
        </w:rPr>
        <w:t>政府采购业务管理制度》《</w:t>
      </w:r>
      <w:r>
        <w:rPr>
          <w:rFonts w:hint="eastAsia" w:ascii="仿宋_GB2312" w:hAnsi="仿宋_GB2312" w:eastAsia="仿宋_GB2312" w:cs="仿宋_GB2312"/>
          <w:color w:val="auto"/>
          <w:sz w:val="32"/>
          <w:szCs w:val="32"/>
          <w:lang w:val="en-US" w:eastAsia="zh-CN"/>
        </w:rPr>
        <w:t>阜康市厦门实验小学</w:t>
      </w:r>
      <w:r>
        <w:rPr>
          <w:rFonts w:hint="eastAsia" w:ascii="仿宋_GB2312" w:hAnsi="仿宋_GB2312" w:eastAsia="仿宋_GB2312" w:cs="仿宋_GB2312"/>
          <w:color w:val="auto"/>
          <w:sz w:val="32"/>
          <w:szCs w:val="32"/>
          <w:lang w:eastAsia="zh-CN"/>
        </w:rPr>
        <w:t>合同管理制度》，</w:t>
      </w:r>
      <w:r>
        <w:rPr>
          <w:rFonts w:hint="eastAsia" w:ascii="仿宋_GB2312" w:hAnsi="仿宋_GB2312" w:eastAsia="仿宋_GB2312" w:cs="仿宋_GB2312"/>
          <w:color w:val="auto"/>
          <w:sz w:val="32"/>
          <w:szCs w:val="32"/>
          <w:lang w:val="en-US" w:eastAsia="zh-CN"/>
        </w:rPr>
        <w:t>相关</w:t>
      </w:r>
      <w:r>
        <w:rPr>
          <w:rFonts w:hint="eastAsia" w:ascii="仿宋_GB2312" w:hAnsi="仿宋_GB2312" w:eastAsia="仿宋_GB2312" w:cs="仿宋_GB2312"/>
          <w:color w:val="auto"/>
          <w:sz w:val="32"/>
          <w:szCs w:val="32"/>
          <w:lang w:eastAsia="zh-CN"/>
        </w:rPr>
        <w:t>制度均符合行政事业单位内控管理要求；</w:t>
      </w:r>
    </w:p>
    <w:p w14:paraId="6E83F53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②已制定的</w:t>
      </w:r>
      <w:r>
        <w:rPr>
          <w:rFonts w:hint="eastAsia" w:ascii="仿宋_GB2312" w:hAnsi="仿宋_GB2312" w:eastAsia="仿宋_GB2312" w:cs="仿宋_GB2312"/>
          <w:color w:val="auto"/>
          <w:sz w:val="32"/>
          <w:szCs w:val="32"/>
          <w:lang w:eastAsia="zh-CN"/>
        </w:rPr>
        <w:t>财务和业务管理制度合法、合规、</w:t>
      </w:r>
      <w:r>
        <w:rPr>
          <w:rFonts w:hint="eastAsia" w:ascii="仿宋_GB2312" w:hAnsi="仿宋_GB2312" w:eastAsia="仿宋_GB2312" w:cs="仿宋_GB2312"/>
          <w:sz w:val="32"/>
          <w:szCs w:val="32"/>
          <w:lang w:eastAsia="zh-CN"/>
        </w:rPr>
        <w:t>完整，本项目执行符合上述制</w:t>
      </w:r>
      <w:r>
        <w:rPr>
          <w:rFonts w:hint="eastAsia" w:ascii="仿宋_GB2312" w:hAnsi="仿宋_GB2312" w:eastAsia="仿宋_GB2312" w:cs="仿宋_GB2312"/>
          <w:color w:val="auto"/>
          <w:sz w:val="32"/>
          <w:szCs w:val="32"/>
          <w:lang w:eastAsia="zh-CN"/>
        </w:rPr>
        <w:t>度规定。</w:t>
      </w:r>
    </w:p>
    <w:p w14:paraId="49C7F97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6F89234E">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color w:val="auto"/>
          <w:sz w:val="32"/>
          <w:szCs w:val="32"/>
          <w:lang w:val="en-US" w:eastAsia="zh-CN"/>
        </w:rPr>
      </w:pPr>
      <w:bookmarkStart w:id="128" w:name="_Toc13984"/>
      <w:bookmarkStart w:id="129" w:name="_Toc31684"/>
      <w:r>
        <w:rPr>
          <w:rFonts w:hint="eastAsia" w:ascii="仿宋_GB2312" w:hAnsi="仿宋_GB2312" w:eastAsia="仿宋_GB2312" w:cs="仿宋_GB2312"/>
          <w:b/>
          <w:bCs/>
          <w:color w:val="auto"/>
          <w:sz w:val="32"/>
          <w:szCs w:val="32"/>
          <w:lang w:val="en-US" w:eastAsia="zh-CN"/>
        </w:rPr>
        <w:t>5.制度执行有效性</w:t>
      </w:r>
      <w:bookmarkEnd w:id="128"/>
      <w:bookmarkEnd w:id="129"/>
    </w:p>
    <w:p w14:paraId="2A3C503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w:t>
      </w:r>
      <w:r>
        <w:rPr>
          <w:rFonts w:hint="eastAsia" w:ascii="仿宋_GB2312" w:hAnsi="仿宋_GB2312" w:eastAsia="仿宋_GB2312" w:cs="仿宋_GB2312"/>
          <w:color w:val="auto"/>
          <w:sz w:val="32"/>
          <w:szCs w:val="32"/>
        </w:rPr>
        <w:t>项目的实施</w:t>
      </w:r>
      <w:r>
        <w:rPr>
          <w:rFonts w:hint="eastAsia" w:ascii="仿宋_GB2312" w:hAnsi="仿宋_GB2312" w:eastAsia="仿宋_GB2312" w:cs="仿宋_GB2312"/>
          <w:color w:val="auto"/>
          <w:sz w:val="32"/>
          <w:szCs w:val="32"/>
          <w:lang w:eastAsia="zh-CN"/>
        </w:rPr>
        <w:t>遵守相关法律法规</w:t>
      </w:r>
      <w:r>
        <w:rPr>
          <w:rFonts w:hint="eastAsia" w:ascii="仿宋_GB2312" w:hAnsi="仿宋_GB2312" w:eastAsia="仿宋_GB2312" w:cs="仿宋_GB2312"/>
          <w:color w:val="auto"/>
          <w:sz w:val="32"/>
          <w:szCs w:val="32"/>
          <w:lang w:val="en-US" w:eastAsia="zh-CN"/>
        </w:rPr>
        <w:t>及</w:t>
      </w:r>
      <w:r>
        <w:rPr>
          <w:rFonts w:hint="eastAsia" w:ascii="仿宋_GB2312" w:hAnsi="仿宋_GB2312" w:eastAsia="仿宋_GB2312" w:cs="仿宋_GB2312"/>
          <w:color w:val="auto"/>
          <w:sz w:val="32"/>
          <w:szCs w:val="32"/>
          <w:lang w:eastAsia="zh-CN"/>
        </w:rPr>
        <w:t>相关管理规定，</w:t>
      </w:r>
      <w:r>
        <w:rPr>
          <w:rFonts w:hint="eastAsia" w:ascii="仿宋_GB2312" w:hAnsi="仿宋_GB2312" w:eastAsia="仿宋_GB2312" w:cs="仿宋_GB2312"/>
          <w:color w:val="auto"/>
          <w:sz w:val="32"/>
          <w:szCs w:val="32"/>
        </w:rPr>
        <w:t>符合《</w:t>
      </w:r>
      <w:r>
        <w:rPr>
          <w:rFonts w:hint="eastAsia" w:ascii="仿宋_GB2312" w:hAnsi="仿宋_GB2312" w:eastAsia="仿宋_GB2312" w:cs="仿宋_GB2312"/>
          <w:color w:val="auto"/>
          <w:sz w:val="32"/>
          <w:szCs w:val="32"/>
          <w:lang w:val="en-US" w:eastAsia="zh-CN"/>
        </w:rPr>
        <w:t>阜康市厦门实验小学</w:t>
      </w:r>
      <w:r>
        <w:rPr>
          <w:rFonts w:hint="eastAsia" w:ascii="仿宋_GB2312" w:hAnsi="仿宋_GB2312" w:eastAsia="仿宋_GB2312" w:cs="仿宋_GB2312"/>
          <w:color w:val="auto"/>
          <w:sz w:val="32"/>
          <w:szCs w:val="32"/>
        </w:rPr>
        <w:t>办法》《</w:t>
      </w:r>
      <w:r>
        <w:rPr>
          <w:rFonts w:hint="eastAsia" w:ascii="仿宋_GB2312" w:hAnsi="仿宋_GB2312" w:eastAsia="仿宋_GB2312" w:cs="仿宋_GB2312"/>
          <w:color w:val="auto"/>
          <w:sz w:val="32"/>
          <w:szCs w:val="32"/>
          <w:lang w:val="en-US" w:eastAsia="zh-CN"/>
        </w:rPr>
        <w:t>阜康市厦门实验小学</w:t>
      </w:r>
      <w:r>
        <w:rPr>
          <w:rFonts w:hint="eastAsia" w:ascii="仿宋_GB2312" w:hAnsi="仿宋_GB2312" w:eastAsia="仿宋_GB2312" w:cs="仿宋_GB2312"/>
          <w:color w:val="auto"/>
          <w:sz w:val="32"/>
          <w:szCs w:val="32"/>
        </w:rPr>
        <w:t>管理制度》《</w:t>
      </w:r>
      <w:r>
        <w:rPr>
          <w:rFonts w:hint="eastAsia" w:ascii="仿宋_GB2312" w:hAnsi="仿宋_GB2312" w:eastAsia="仿宋_GB2312" w:cs="仿宋_GB2312"/>
          <w:color w:val="auto"/>
          <w:sz w:val="32"/>
          <w:szCs w:val="32"/>
          <w:lang w:val="en-US" w:eastAsia="zh-CN"/>
        </w:rPr>
        <w:t>阜康市厦门实验小学</w:t>
      </w:r>
      <w:r>
        <w:rPr>
          <w:rFonts w:hint="eastAsia" w:ascii="仿宋_GB2312" w:hAnsi="仿宋_GB2312" w:eastAsia="仿宋_GB2312" w:cs="仿宋_GB2312"/>
          <w:color w:val="auto"/>
          <w:sz w:val="32"/>
          <w:szCs w:val="32"/>
        </w:rPr>
        <w:t>采购业务管理制度》《</w:t>
      </w:r>
      <w:r>
        <w:rPr>
          <w:rFonts w:hint="eastAsia" w:ascii="仿宋_GB2312" w:hAnsi="仿宋_GB2312" w:eastAsia="仿宋_GB2312" w:cs="仿宋_GB2312"/>
          <w:color w:val="auto"/>
          <w:sz w:val="32"/>
          <w:szCs w:val="32"/>
          <w:lang w:val="en-US" w:eastAsia="zh-CN"/>
        </w:rPr>
        <w:t>阜康市厦门实验小学</w:t>
      </w:r>
      <w:r>
        <w:rPr>
          <w:rFonts w:hint="eastAsia" w:ascii="仿宋_GB2312" w:hAnsi="仿宋_GB2312" w:eastAsia="仿宋_GB2312" w:cs="仿宋_GB2312"/>
          <w:color w:val="auto"/>
          <w:sz w:val="32"/>
          <w:szCs w:val="32"/>
        </w:rPr>
        <w:t>合同管理制度》等管理规定</w:t>
      </w:r>
      <w:r>
        <w:rPr>
          <w:rFonts w:hint="eastAsia" w:ascii="仿宋_GB2312" w:hAnsi="仿宋_GB2312" w:eastAsia="仿宋_GB2312" w:cs="仿宋_GB2312"/>
          <w:color w:val="auto"/>
          <w:sz w:val="32"/>
          <w:szCs w:val="32"/>
          <w:lang w:eastAsia="zh-CN"/>
        </w:rPr>
        <w:t>；</w:t>
      </w:r>
    </w:p>
    <w:p w14:paraId="5C4DE3E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w:t>
      </w:r>
      <w:r>
        <w:rPr>
          <w:rFonts w:hint="eastAsia" w:ascii="仿宋_GB2312" w:hAnsi="仿宋_GB2312" w:eastAsia="仿宋_GB2312" w:cs="仿宋_GB2312"/>
          <w:color w:val="auto"/>
          <w:sz w:val="32"/>
          <w:szCs w:val="32"/>
        </w:rPr>
        <w:t>项目</w:t>
      </w:r>
      <w:r>
        <w:rPr>
          <w:rFonts w:hint="eastAsia" w:ascii="仿宋_GB2312" w:hAnsi="仿宋_GB2312" w:eastAsia="仿宋_GB2312" w:cs="仿宋_GB2312"/>
          <w:color w:val="auto"/>
          <w:sz w:val="32"/>
          <w:szCs w:val="32"/>
          <w:lang w:val="en-US" w:eastAsia="zh-CN"/>
        </w:rPr>
        <w:t>不</w:t>
      </w:r>
      <w:r>
        <w:rPr>
          <w:rFonts w:hint="eastAsia" w:ascii="仿宋_GB2312" w:hAnsi="仿宋_GB2312" w:eastAsia="仿宋_GB2312" w:cs="仿宋_GB2312"/>
          <w:color w:val="auto"/>
          <w:sz w:val="32"/>
          <w:szCs w:val="32"/>
        </w:rPr>
        <w:t>存在调整</w:t>
      </w:r>
      <w:r>
        <w:rPr>
          <w:rFonts w:hint="eastAsia" w:ascii="仿宋_GB2312" w:hAnsi="仿宋_GB2312" w:eastAsia="仿宋_GB2312" w:cs="仿宋_GB2312"/>
          <w:color w:val="auto"/>
          <w:sz w:val="32"/>
          <w:szCs w:val="32"/>
          <w:lang w:eastAsia="zh-CN"/>
        </w:rPr>
        <w:t>。</w:t>
      </w:r>
    </w:p>
    <w:p w14:paraId="5A9F50B0">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③</w:t>
      </w:r>
      <w:r>
        <w:rPr>
          <w:rFonts w:hint="eastAsia" w:ascii="仿宋_GB2312" w:hAnsi="仿宋_GB2312" w:eastAsia="仿宋_GB2312" w:cs="仿宋_GB2312"/>
          <w:color w:val="auto"/>
          <w:sz w:val="32"/>
          <w:szCs w:val="32"/>
        </w:rPr>
        <w:t>项目合同书、验收评审表、财务支付凭证等资料齐全并及时归档。</w:t>
      </w:r>
    </w:p>
    <w:p w14:paraId="3199BFE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lang w:eastAsia="zh-CN"/>
        </w:rPr>
        <w:t>④</w:t>
      </w:r>
      <w:r>
        <w:rPr>
          <w:rFonts w:hint="eastAsia" w:ascii="仿宋_GB2312" w:hAnsi="仿宋_GB2312" w:eastAsia="仿宋_GB2312" w:cs="仿宋_GB2312"/>
          <w:color w:val="auto"/>
          <w:sz w:val="32"/>
          <w:szCs w:val="32"/>
          <w:lang w:eastAsia="zh-CN"/>
        </w:rPr>
        <w:t>项目实施所需要的项目人员和场地设备均已落实到位，具体涉及内容包括：项目资金支出严格按照自治区、地区以及本单位资金管理办法执行，项目启动实施后，为了加快本项目的实施，成立了厦小昌州财教【2023】90号（保民生）提前下达2024年城乡义务教育补助经费（中央直达资金）公用经费小学项目工作领导小组，由</w:t>
      </w:r>
      <w:r>
        <w:rPr>
          <w:rFonts w:hint="eastAsia" w:ascii="仿宋_GB2312" w:hAnsi="仿宋_GB2312" w:eastAsia="仿宋_GB2312" w:cs="仿宋_GB2312"/>
          <w:color w:val="auto"/>
          <w:sz w:val="32"/>
          <w:szCs w:val="32"/>
          <w:lang w:val="en-US" w:eastAsia="zh-CN"/>
        </w:rPr>
        <w:t>杨波</w:t>
      </w:r>
      <w:r>
        <w:rPr>
          <w:rFonts w:hint="eastAsia" w:ascii="仿宋_GB2312" w:hAnsi="仿宋_GB2312" w:eastAsia="仿宋_GB2312" w:cs="仿宋_GB2312"/>
          <w:color w:val="auto"/>
          <w:sz w:val="32"/>
          <w:szCs w:val="32"/>
          <w:lang w:eastAsia="zh-CN"/>
        </w:rPr>
        <w:t>任组长，负责项目的组织工作；马娟任副组长，负责项目的实施工作；组员包括：张军文</w:t>
      </w:r>
      <w:r>
        <w:rPr>
          <w:rFonts w:hint="eastAsia" w:ascii="仿宋_GB2312" w:hAnsi="仿宋_GB2312" w:eastAsia="仿宋_GB2312" w:cs="仿宋_GB2312"/>
          <w:color w:val="auto"/>
          <w:sz w:val="32"/>
          <w:szCs w:val="32"/>
          <w:highlight w:val="none"/>
          <w:shd w:val="clear" w:color="auto" w:fill="auto"/>
          <w:lang w:val="en-US" w:eastAsia="zh-CN"/>
        </w:rPr>
        <w:t>、张卫兵、陈继红，</w:t>
      </w:r>
      <w:r>
        <w:rPr>
          <w:rFonts w:hint="eastAsia" w:ascii="仿宋_GB2312" w:hAnsi="仿宋_GB2312" w:eastAsia="仿宋_GB2312" w:cs="仿宋_GB2312"/>
          <w:color w:val="auto"/>
          <w:sz w:val="32"/>
          <w:szCs w:val="32"/>
          <w:lang w:eastAsia="zh-CN"/>
        </w:rPr>
        <w:t>主要负责项目监督管理、验收以及资金核拨等工作。</w:t>
      </w:r>
    </w:p>
    <w:p w14:paraId="7B0D012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6D57AE62">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130" w:name="_Toc2441"/>
      <w:r>
        <w:rPr>
          <w:rFonts w:hint="eastAsia" w:ascii="Times New Roman" w:hAnsi="Times New Roman" w:eastAsia="楷体_GB2312" w:cs="Times New Roman"/>
          <w:color w:val="auto"/>
          <w:kern w:val="28"/>
          <w:sz w:val="32"/>
          <w:lang w:val="en-US" w:eastAsia="zh-CN"/>
        </w:rPr>
        <w:t>（三）项目产出情况</w:t>
      </w:r>
      <w:bookmarkEnd w:id="130"/>
    </w:p>
    <w:p w14:paraId="088A6075">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sz w:val="32"/>
          <w:szCs w:val="32"/>
          <w:lang w:val="en-US" w:eastAsia="zh-CN"/>
        </w:rPr>
        <w:t>包括产出数量、产出质量、产出时效、产出成本四方面的</w:t>
      </w:r>
      <w:r>
        <w:rPr>
          <w:rFonts w:hint="default" w:ascii="Times New Roman" w:hAnsi="Times New Roman" w:eastAsia="仿宋_GB2312" w:cs="Times New Roman"/>
          <w:color w:val="auto"/>
          <w:sz w:val="32"/>
          <w:szCs w:val="32"/>
          <w:lang w:val="en-US" w:eastAsia="zh-CN"/>
        </w:rPr>
        <w:t>内容，</w:t>
      </w:r>
      <w:r>
        <w:rPr>
          <w:rFonts w:hint="eastAsia" w:ascii="Times New Roman" w:hAnsi="Times New Roman" w:eastAsia="仿宋_GB2312" w:cs="Times New Roman"/>
          <w:color w:val="auto"/>
          <w:sz w:val="32"/>
          <w:szCs w:val="32"/>
          <w:lang w:val="en-US" w:eastAsia="zh-CN"/>
        </w:rPr>
        <w:t>共</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77B520B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0D306AC7">
        <w:tblPrEx>
          <w:shd w:val="clear" w:color="auto" w:fill="auto"/>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4F22F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DE2BA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09407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91FBF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2067D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4868F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72EF5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14:paraId="65948F58">
        <w:tblPrEx>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AC6A9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2E80D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87814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在校学生人数（人）</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00688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w:t>
            </w:r>
            <w:r>
              <w:rPr>
                <w:rFonts w:hint="eastAsia" w:cs="宋体"/>
                <w:color w:val="auto"/>
                <w:kern w:val="0"/>
                <w:sz w:val="20"/>
                <w:szCs w:val="20"/>
                <w:highlight w:val="none"/>
                <w:shd w:val="clear" w:color="auto" w:fill="auto"/>
                <w:lang w:val="en-US" w:eastAsia="zh-CN"/>
              </w:rPr>
              <w:t>1012</w:t>
            </w:r>
            <w:r>
              <w:rPr>
                <w:rFonts w:hint="eastAsia" w:ascii="宋体" w:hAnsi="宋体" w:eastAsia="宋体" w:cs="宋体"/>
                <w:color w:val="auto"/>
                <w:kern w:val="0"/>
                <w:sz w:val="20"/>
                <w:szCs w:val="20"/>
                <w:highlight w:val="none"/>
                <w:shd w:val="clear" w:color="auto" w:fill="auto"/>
                <w:lang w:val="en-US" w:eastAsia="zh-CN"/>
              </w:rPr>
              <w:t>人</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0349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F040A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1012</w:t>
            </w:r>
            <w:r>
              <w:rPr>
                <w:rFonts w:hint="eastAsia" w:ascii="宋体" w:hAnsi="宋体" w:eastAsia="宋体" w:cs="宋体"/>
                <w:color w:val="auto"/>
                <w:kern w:val="0"/>
                <w:sz w:val="20"/>
                <w:szCs w:val="20"/>
                <w:highlight w:val="none"/>
                <w:shd w:val="clear" w:color="auto" w:fill="auto"/>
                <w:lang w:val="en-US" w:eastAsia="zh-CN"/>
              </w:rPr>
              <w:t>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3FE31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1F715FEE">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46513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64E443D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5AF81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公用经费享受比例</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8425F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299CF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0862E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AC48C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0FEB9507">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EB31B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ED0B9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CD892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教师培训结业率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BC1B9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F78FC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FE6E7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D24BE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34A51AC1">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3A5B3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22D9E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19B5A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公用经费支出及时率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850E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8D263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DAC21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814DC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71AF18DC">
        <w:tblPrEx>
          <w:shd w:val="clear" w:color="auto" w:fill="auto"/>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F9E04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D9673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2FE9F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公用经费标准</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F34FB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r>
              <w:rPr>
                <w:rFonts w:hint="eastAsia" w:ascii="宋体" w:hAnsi="宋体" w:eastAsia="宋体" w:cs="宋体"/>
                <w:color w:val="auto"/>
                <w:kern w:val="0"/>
                <w:sz w:val="20"/>
                <w:szCs w:val="20"/>
                <w:highlight w:val="none"/>
                <w:shd w:val="clear" w:color="auto" w:fill="auto"/>
                <w:lang w:val="en-US" w:eastAsia="zh-CN"/>
              </w:rPr>
              <w:t>720元/人/年</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7EDE5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6539C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color w:val="auto"/>
              </w:rPr>
            </w:pPr>
            <w:r>
              <w:rPr>
                <w:rFonts w:hint="eastAsia" w:ascii="宋体" w:hAnsi="宋体" w:eastAsia="宋体" w:cs="宋体"/>
                <w:color w:val="auto"/>
                <w:kern w:val="0"/>
                <w:sz w:val="20"/>
                <w:szCs w:val="20"/>
                <w:highlight w:val="none"/>
                <w:shd w:val="clear" w:color="auto" w:fill="auto"/>
                <w:lang w:val="en-US" w:eastAsia="zh-CN"/>
              </w:rPr>
              <w:t>720元/人/年</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2320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55E7350B">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1D14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7A5EB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DEF24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C7605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r>
    </w:tbl>
    <w:p w14:paraId="3D0759FA">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FF0000"/>
          <w:sz w:val="32"/>
          <w:szCs w:val="32"/>
          <w:lang w:val="en-US" w:eastAsia="zh-CN"/>
        </w:rPr>
      </w:pPr>
      <w:bookmarkStart w:id="131" w:name="_Toc11067"/>
      <w:bookmarkStart w:id="132" w:name="_Toc26689"/>
      <w:r>
        <w:rPr>
          <w:rFonts w:hint="eastAsia" w:ascii="仿宋_GB2312" w:hAnsi="仿宋_GB2312" w:eastAsia="仿宋_GB2312" w:cs="仿宋_GB2312"/>
          <w:b/>
          <w:bCs/>
          <w:color w:val="auto"/>
          <w:kern w:val="2"/>
          <w:sz w:val="32"/>
          <w:szCs w:val="32"/>
          <w:lang w:val="en-US" w:eastAsia="zh-CN" w:bidi="ar-SA"/>
        </w:rPr>
        <w:t>1.</w:t>
      </w:r>
      <w:r>
        <w:rPr>
          <w:rFonts w:hint="eastAsia" w:ascii="仿宋_GB2312" w:hAnsi="仿宋_GB2312" w:eastAsia="仿宋_GB2312" w:cs="仿宋_GB2312"/>
          <w:b/>
          <w:bCs/>
          <w:color w:val="auto"/>
          <w:sz w:val="32"/>
          <w:szCs w:val="32"/>
          <w:lang w:val="en-US" w:eastAsia="zh-CN"/>
        </w:rPr>
        <w:t>数</w:t>
      </w:r>
      <w:r>
        <w:rPr>
          <w:rFonts w:hint="eastAsia" w:ascii="仿宋_GB2312" w:hAnsi="仿宋_GB2312" w:eastAsia="仿宋_GB2312" w:cs="仿宋_GB2312"/>
          <w:b/>
          <w:bCs/>
          <w:sz w:val="32"/>
          <w:szCs w:val="32"/>
          <w:lang w:val="en-US" w:eastAsia="zh-CN"/>
        </w:rPr>
        <w:t>量指标完成情况</w:t>
      </w:r>
      <w:bookmarkEnd w:id="131"/>
      <w:bookmarkEnd w:id="132"/>
    </w:p>
    <w:p w14:paraId="3CBA07C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“在校学生人数（人）”指标，预期目标值为=1012人，实际完成为1012人。实际完成率=（1012/1012）×100%=100%，无偏差。</w:t>
      </w:r>
    </w:p>
    <w:p w14:paraId="3F4E3B5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综上，该项指标满分10分，得分10分。</w:t>
      </w:r>
    </w:p>
    <w:p w14:paraId="0D8A242D">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sz w:val="32"/>
          <w:szCs w:val="32"/>
          <w:lang w:val="en-US" w:eastAsia="zh-CN"/>
        </w:rPr>
      </w:pPr>
      <w:bookmarkStart w:id="133" w:name="_Toc31739"/>
      <w:bookmarkStart w:id="134" w:name="_Toc14255"/>
      <w:r>
        <w:rPr>
          <w:rFonts w:hint="eastAsia" w:ascii="仿宋_GB2312" w:hAnsi="仿宋_GB2312" w:eastAsia="仿宋_GB2312" w:cs="仿宋_GB2312"/>
          <w:b/>
          <w:bCs/>
          <w:sz w:val="32"/>
          <w:szCs w:val="32"/>
          <w:lang w:val="en-US" w:eastAsia="zh-CN"/>
        </w:rPr>
        <w:t>2.</w:t>
      </w:r>
      <w:bookmarkEnd w:id="133"/>
      <w:r>
        <w:rPr>
          <w:rFonts w:hint="eastAsia" w:ascii="仿宋_GB2312" w:hAnsi="仿宋_GB2312" w:eastAsia="仿宋_GB2312" w:cs="仿宋_GB2312"/>
          <w:b/>
          <w:bCs/>
          <w:sz w:val="32"/>
          <w:szCs w:val="32"/>
          <w:lang w:val="en-US" w:eastAsia="zh-CN"/>
        </w:rPr>
        <w:t>质量指标完成情况</w:t>
      </w:r>
      <w:bookmarkEnd w:id="134"/>
    </w:p>
    <w:p w14:paraId="1E8DBFA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公用经费享受比例”指标，预期目标值=100%，实际完成为100%。实际完成率100%。</w:t>
      </w:r>
    </w:p>
    <w:p w14:paraId="32A19FC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（2）“教师培训结业率”指标，预期目标值=100%，实际完成为100%。实际完成率100%</w:t>
      </w:r>
      <w:r>
        <w:rPr>
          <w:rFonts w:hint="eastAsia" w:ascii="仿宋_GB2312" w:hAnsi="仿宋_GB2312" w:eastAsia="仿宋_GB2312" w:cs="仿宋_GB2312"/>
          <w:color w:val="auto"/>
          <w:sz w:val="32"/>
          <w:szCs w:val="32"/>
          <w:highlight w:val="none"/>
          <w:lang w:eastAsia="zh-CN"/>
        </w:rPr>
        <w:t>。</w:t>
      </w:r>
    </w:p>
    <w:p w14:paraId="5C5D9BA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综上，该项指标满分10分，得分10分。</w:t>
      </w:r>
    </w:p>
    <w:p w14:paraId="297DC82D">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sz w:val="32"/>
          <w:szCs w:val="32"/>
          <w:lang w:val="en-US" w:eastAsia="zh-CN"/>
        </w:rPr>
      </w:pPr>
      <w:bookmarkStart w:id="135" w:name="_Toc18307"/>
      <w:bookmarkStart w:id="136" w:name="_Toc28885"/>
      <w:r>
        <w:rPr>
          <w:rFonts w:hint="eastAsia" w:ascii="仿宋_GB2312" w:hAnsi="仿宋_GB2312" w:eastAsia="仿宋_GB2312" w:cs="仿宋_GB2312"/>
          <w:b/>
          <w:bCs/>
          <w:sz w:val="32"/>
          <w:szCs w:val="32"/>
          <w:lang w:val="en-US" w:eastAsia="zh-CN"/>
        </w:rPr>
        <w:t>3.</w:t>
      </w:r>
      <w:bookmarkEnd w:id="135"/>
      <w:r>
        <w:rPr>
          <w:rFonts w:hint="eastAsia" w:ascii="仿宋_GB2312" w:hAnsi="仿宋_GB2312" w:eastAsia="仿宋_GB2312" w:cs="仿宋_GB2312"/>
          <w:b/>
          <w:bCs/>
          <w:sz w:val="32"/>
          <w:szCs w:val="32"/>
          <w:lang w:val="en-US" w:eastAsia="zh-CN"/>
        </w:rPr>
        <w:t>时效指标完成情况</w:t>
      </w:r>
      <w:bookmarkEnd w:id="136"/>
    </w:p>
    <w:p w14:paraId="1BA7E1B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资金支出及时率”指标，预期目标值=100%，实际完成为100%。实际完成率100%。</w:t>
      </w:r>
    </w:p>
    <w:p w14:paraId="70AEEB9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综上，该项指标满分10分，得分10分。</w:t>
      </w:r>
    </w:p>
    <w:p w14:paraId="5142DFEF">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sz w:val="32"/>
          <w:szCs w:val="32"/>
          <w:lang w:val="en-US" w:eastAsia="zh-CN"/>
        </w:rPr>
      </w:pPr>
      <w:bookmarkStart w:id="137" w:name="_Toc32765"/>
      <w:bookmarkStart w:id="138" w:name="_Toc20607"/>
      <w:r>
        <w:rPr>
          <w:rFonts w:hint="eastAsia" w:ascii="仿宋_GB2312" w:hAnsi="仿宋_GB2312" w:eastAsia="仿宋_GB2312" w:cs="仿宋_GB2312"/>
          <w:b/>
          <w:bCs/>
          <w:sz w:val="32"/>
          <w:szCs w:val="32"/>
          <w:lang w:val="en-US" w:eastAsia="zh-CN"/>
        </w:rPr>
        <w:t>4.项目</w:t>
      </w:r>
      <w:bookmarkEnd w:id="137"/>
      <w:r>
        <w:rPr>
          <w:rFonts w:hint="eastAsia" w:ascii="仿宋_GB2312" w:hAnsi="仿宋_GB2312" w:eastAsia="仿宋_GB2312" w:cs="仿宋_GB2312"/>
          <w:b/>
          <w:bCs/>
          <w:sz w:val="32"/>
          <w:szCs w:val="32"/>
          <w:lang w:val="en-US" w:eastAsia="zh-CN"/>
        </w:rPr>
        <w:t>成本情况</w:t>
      </w:r>
      <w:bookmarkEnd w:id="138"/>
    </w:p>
    <w:p w14:paraId="441BB98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经济</w:t>
      </w:r>
      <w:r>
        <w:rPr>
          <w:rFonts w:hint="eastAsia" w:ascii="仿宋_GB2312" w:hAnsi="仿宋_GB2312" w:eastAsia="仿宋_GB2312" w:cs="仿宋_GB2312"/>
          <w:b/>
          <w:bCs/>
          <w:sz w:val="32"/>
          <w:szCs w:val="32"/>
          <w:lang w:eastAsia="zh-CN"/>
        </w:rPr>
        <w:t>成本指标完成情况</w:t>
      </w:r>
    </w:p>
    <w:p w14:paraId="55D5958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公用经费标准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指标，预期目标值为≤720元/人/年，实际完成为720元/人/年。实际完成率100%。</w:t>
      </w:r>
    </w:p>
    <w:p w14:paraId="3BBD52E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综上，该项指标满分10分，得分10分。</w:t>
      </w:r>
    </w:p>
    <w:p w14:paraId="514F2B32">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39" w:name="_Toc19424"/>
      <w:r>
        <w:rPr>
          <w:rFonts w:hint="eastAsia" w:ascii="Times New Roman" w:hAnsi="Times New Roman" w:eastAsia="楷体_GB2312" w:cs="Times New Roman"/>
          <w:kern w:val="28"/>
          <w:sz w:val="32"/>
          <w:lang w:val="en-US" w:eastAsia="zh-CN"/>
        </w:rPr>
        <w:t>（四）项目效益情况</w:t>
      </w:r>
      <w:bookmarkEnd w:id="139"/>
    </w:p>
    <w:p w14:paraId="72F371D4">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sz w:val="32"/>
          <w:szCs w:val="32"/>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6539CC54">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4-4项目效益</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2052E1C7">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3C4DF80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w:t>
            </w:r>
          </w:p>
          <w:p w14:paraId="46647D7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2BF8395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C921A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C1879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w:t>
            </w:r>
          </w:p>
          <w:p w14:paraId="73CE11E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90433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w:t>
            </w:r>
          </w:p>
          <w:p w14:paraId="67CD72E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E4346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w:t>
            </w:r>
          </w:p>
          <w:p w14:paraId="323B770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1E6C7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p w14:paraId="1F3A568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3DFB40C3">
        <w:tblPrEx>
          <w:shd w:val="clear" w:color="auto" w:fill="auto"/>
          <w:tblCellMar>
            <w:top w:w="0" w:type="dxa"/>
            <w:left w:w="0" w:type="dxa"/>
            <w:bottom w:w="0" w:type="dxa"/>
            <w:right w:w="0" w:type="dxa"/>
          </w:tblCellMar>
        </w:tblPrEx>
        <w:trPr>
          <w:trHeight w:val="436" w:hRule="atLeast"/>
          <w:jc w:val="center"/>
        </w:trPr>
        <w:tc>
          <w:tcPr>
            <w:tcW w:w="685" w:type="dxa"/>
            <w:vMerge w:val="restart"/>
            <w:tcBorders>
              <w:left w:val="single" w:color="auto" w:sz="4" w:space="0"/>
              <w:right w:val="single" w:color="000000" w:sz="4" w:space="0"/>
            </w:tcBorders>
            <w:shd w:val="clear" w:color="auto" w:fill="auto"/>
            <w:tcMar>
              <w:top w:w="15" w:type="dxa"/>
              <w:left w:w="15" w:type="dxa"/>
              <w:right w:w="15" w:type="dxa"/>
            </w:tcMar>
            <w:vAlign w:val="center"/>
          </w:tcPr>
          <w:p w14:paraId="74BD96C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效益</w:t>
            </w:r>
          </w:p>
        </w:tc>
        <w:tc>
          <w:tcPr>
            <w:tcW w:w="1725" w:type="dxa"/>
            <w:vMerge w:val="restart"/>
            <w:tcBorders>
              <w:top w:val="single" w:color="000000" w:sz="4" w:space="0"/>
              <w:left w:val="single" w:color="000000" w:sz="4" w:space="0"/>
              <w:right w:val="single" w:color="auto" w:sz="4" w:space="0"/>
            </w:tcBorders>
            <w:shd w:val="clear" w:color="auto" w:fill="auto"/>
            <w:tcMar>
              <w:top w:w="15" w:type="dxa"/>
              <w:left w:w="15" w:type="dxa"/>
              <w:right w:w="15" w:type="dxa"/>
            </w:tcMar>
            <w:vAlign w:val="center"/>
          </w:tcPr>
          <w:p w14:paraId="21AD8E9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01E601C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学校正常运转率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911CD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AE521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9EB7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C89DC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3B1B5574">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3F4EA08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vMerge w:val="continue"/>
            <w:tcBorders>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35019F4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21202C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改善教学环境，提供良好的学生成长条件</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9634F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改善</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F38FE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F651C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达到预期目标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0B928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r>
      <w:tr w14:paraId="3A793A59">
        <w:tblPrEx>
          <w:shd w:val="clear" w:color="auto" w:fill="auto"/>
          <w:tblCellMar>
            <w:top w:w="0" w:type="dxa"/>
            <w:left w:w="0" w:type="dxa"/>
            <w:bottom w:w="0" w:type="dxa"/>
            <w:right w:w="0" w:type="dxa"/>
          </w:tblCellMar>
        </w:tblPrEx>
        <w:trPr>
          <w:trHeight w:val="436" w:hRule="atLeast"/>
          <w:jc w:val="center"/>
        </w:trPr>
        <w:tc>
          <w:tcPr>
            <w:tcW w:w="685" w:type="dxa"/>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3643A41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tcBorders>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5EA0E04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ADC3B9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师生满意度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71972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≥90%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8F7CA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8</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D425A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90%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78D83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8</w:t>
            </w:r>
          </w:p>
        </w:tc>
      </w:tr>
      <w:tr w14:paraId="30DB9C9D">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36EA8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5363F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13BD4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71DC4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0ED8C1AA">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40" w:name="_Toc8010"/>
      <w:bookmarkStart w:id="141" w:name="_Toc5170"/>
      <w:r>
        <w:rPr>
          <w:rFonts w:hint="eastAsia" w:ascii="仿宋_GB2312" w:hAnsi="仿宋_GB2312" w:eastAsia="仿宋_GB2312" w:cs="仿宋_GB2312"/>
          <w:b/>
          <w:bCs/>
          <w:sz w:val="32"/>
          <w:szCs w:val="32"/>
          <w:lang w:val="en-US" w:eastAsia="zh-CN"/>
        </w:rPr>
        <w:t>1.</w:t>
      </w:r>
      <w:bookmarkEnd w:id="140"/>
      <w:bookmarkEnd w:id="141"/>
      <w:bookmarkStart w:id="142" w:name="_Toc27006"/>
      <w:bookmarkStart w:id="143" w:name="_Toc29606"/>
      <w:r>
        <w:rPr>
          <w:rFonts w:hint="eastAsia" w:ascii="仿宋_GB2312" w:hAnsi="仿宋_GB2312" w:eastAsia="仿宋_GB2312" w:cs="仿宋_GB2312"/>
          <w:b/>
          <w:bCs/>
          <w:sz w:val="32"/>
          <w:szCs w:val="32"/>
          <w:lang w:val="en-US" w:eastAsia="zh-CN"/>
        </w:rPr>
        <w:t>社会效益指标</w:t>
      </w:r>
      <w:bookmarkEnd w:id="142"/>
      <w:r>
        <w:rPr>
          <w:rFonts w:hint="eastAsia" w:ascii="仿宋_GB2312" w:hAnsi="仿宋_GB2312" w:eastAsia="仿宋_GB2312" w:cs="仿宋_GB2312"/>
          <w:b/>
          <w:bCs/>
          <w:sz w:val="32"/>
          <w:szCs w:val="32"/>
          <w:lang w:val="en-US" w:eastAsia="zh-CN"/>
        </w:rPr>
        <w:t>完成情况</w:t>
      </w:r>
      <w:bookmarkEnd w:id="143"/>
    </w:p>
    <w:p w14:paraId="5F19E9C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（1）“学校正常运转率”指标，预期目标值为=100%，，实际完成为100%。</w:t>
      </w:r>
    </w:p>
    <w:p w14:paraId="475E4EC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通过项目的实施，学校正常运转率得到了提高。</w:t>
      </w:r>
    </w:p>
    <w:p w14:paraId="5CBF8867">
      <w:pPr>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lang w:val="en-US" w:eastAsia="zh-CN" w:bidi="ar-SA"/>
        </w:rPr>
        <w:t>（2）</w:t>
      </w:r>
      <w:r>
        <w:rPr>
          <w:rFonts w:hint="eastAsia" w:ascii="仿宋_GB2312" w:hAnsi="仿宋_GB2312" w:eastAsia="仿宋_GB2312" w:cs="仿宋_GB2312"/>
          <w:sz w:val="32"/>
          <w:szCs w:val="32"/>
          <w:lang w:val="en-US" w:eastAsia="zh-CN"/>
        </w:rPr>
        <w:t>“改善教学环境，提供良好的学生成长条件”指标，预期目标值为改善，实际完成为达到预期目标。</w:t>
      </w:r>
    </w:p>
    <w:p w14:paraId="25A8F9D9">
      <w:pPr>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通过项目的实施，改善了教学环境，提供良好的学生成长条件。</w:t>
      </w:r>
    </w:p>
    <w:p w14:paraId="34CA8D1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z w:val="32"/>
          <w:szCs w:val="32"/>
          <w:lang w:val="en-US" w:eastAsia="zh-CN"/>
        </w:rPr>
        <w:t>综上，该项指标</w:t>
      </w:r>
      <w:r>
        <w:rPr>
          <w:rFonts w:hint="eastAsia" w:ascii="仿宋_GB2312" w:hAnsi="仿宋_GB2312" w:eastAsia="仿宋_GB2312" w:cs="仿宋_GB2312"/>
          <w:b/>
          <w:bCs/>
          <w:color w:val="auto"/>
          <w:sz w:val="32"/>
          <w:szCs w:val="32"/>
          <w:lang w:val="en-US" w:eastAsia="zh-CN"/>
        </w:rPr>
        <w:t>满分12分，得分12分。</w:t>
      </w:r>
    </w:p>
    <w:p w14:paraId="7C4EA726">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bookmarkStart w:id="144" w:name="_Toc23313"/>
      <w:r>
        <w:rPr>
          <w:rFonts w:hint="eastAsia" w:ascii="Times New Roman" w:hAnsi="Times New Roman" w:eastAsia="楷体_GB2312" w:cs="Times New Roman"/>
          <w:b/>
          <w:bCs/>
          <w:color w:val="auto"/>
          <w:kern w:val="28"/>
          <w:sz w:val="32"/>
          <w:highlight w:val="none"/>
          <w:lang w:val="en-US" w:eastAsia="zh-CN"/>
        </w:rPr>
        <w:t>（五）满意度指标完成情况分析</w:t>
      </w:r>
      <w:bookmarkEnd w:id="144"/>
    </w:p>
    <w:p w14:paraId="685D697B">
      <w:pPr>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“师生满意度”指标，预期目标值为≥90%，实际完成为90%。</w:t>
      </w:r>
    </w:p>
    <w:p w14:paraId="321D886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综上，该项指标满分8分，得分8分。</w:t>
      </w:r>
    </w:p>
    <w:p w14:paraId="4CD2FD06">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45" w:name="_Toc6622"/>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五</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、主要经验及做法、存在的问题及原因分析</w:t>
      </w:r>
      <w:bookmarkEnd w:id="145"/>
    </w:p>
    <w:p w14:paraId="10B2DDA6">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46" w:name="_Toc15449"/>
      <w:bookmarkStart w:id="147" w:name="_Toc28290"/>
      <w:bookmarkStart w:id="148" w:name="_Toc1921"/>
      <w:r>
        <w:rPr>
          <w:rFonts w:hint="eastAsia" w:ascii="Times New Roman" w:hAnsi="Times New Roman" w:eastAsia="楷体_GB2312" w:cs="Times New Roman"/>
          <w:b/>
          <w:bCs/>
          <w:kern w:val="28"/>
          <w:sz w:val="32"/>
          <w:highlight w:val="none"/>
          <w:lang w:val="en-US" w:eastAsia="zh-CN"/>
        </w:rPr>
        <w:t>（一）主要经验及做法</w:t>
      </w:r>
      <w:bookmarkEnd w:id="146"/>
    </w:p>
    <w:p w14:paraId="557B988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厦小昌州财教【2023】90号（保民生）提前下达2024年城乡义务教育补助经费（中央直达资金）公用经费小学</w:t>
      </w:r>
      <w:r>
        <w:rPr>
          <w:rFonts w:hint="eastAsia" w:ascii="仿宋_GB2312" w:hAnsi="仿宋_GB2312" w:eastAsia="仿宋_GB2312" w:cs="仿宋_GB2312"/>
          <w:color w:val="auto"/>
          <w:sz w:val="32"/>
          <w:szCs w:val="32"/>
          <w:lang w:eastAsia="zh-CN"/>
        </w:rPr>
        <w:t>20</w:t>
      </w:r>
      <w:r>
        <w:rPr>
          <w:rFonts w:hint="eastAsia" w:ascii="仿宋_GB2312" w:hAnsi="仿宋_GB2312" w:eastAsia="仿宋_GB2312" w:cs="仿宋_GB2312"/>
          <w:color w:val="auto"/>
          <w:sz w:val="32"/>
          <w:szCs w:val="32"/>
          <w:lang w:val="en-US" w:eastAsia="zh-CN"/>
        </w:rPr>
        <w:t>24</w:t>
      </w:r>
      <w:r>
        <w:rPr>
          <w:rFonts w:hint="eastAsia" w:ascii="仿宋_GB2312" w:hAnsi="仿宋_GB2312" w:eastAsia="仿宋_GB2312" w:cs="仿宋_GB2312"/>
          <w:color w:val="auto"/>
          <w:sz w:val="32"/>
          <w:szCs w:val="32"/>
          <w:lang w:eastAsia="zh-CN"/>
        </w:rPr>
        <w:t>年预算</w:t>
      </w:r>
      <w:r>
        <w:rPr>
          <w:rFonts w:hint="eastAsia" w:ascii="仿宋_GB2312" w:hAnsi="仿宋_GB2312" w:eastAsia="仿宋_GB2312" w:cs="仿宋_GB2312"/>
          <w:color w:val="auto"/>
          <w:sz w:val="32"/>
          <w:szCs w:val="32"/>
          <w:lang w:val="en-US" w:eastAsia="zh-CN"/>
        </w:rPr>
        <w:t>数</w:t>
      </w:r>
      <w:r>
        <w:rPr>
          <w:rFonts w:hint="eastAsia" w:ascii="仿宋_GB2312" w:hAnsi="仿宋_GB2312" w:eastAsia="仿宋_GB2312" w:cs="仿宋_GB2312"/>
          <w:color w:val="auto"/>
          <w:sz w:val="32"/>
          <w:szCs w:val="32"/>
          <w:lang w:eastAsia="zh-CN"/>
        </w:rPr>
        <w:t>为</w:t>
      </w:r>
      <w:r>
        <w:rPr>
          <w:rFonts w:hint="eastAsia" w:ascii="仿宋_GB2312" w:hAnsi="仿宋_GB2312" w:eastAsia="仿宋_GB2312" w:cs="仿宋_GB2312"/>
          <w:color w:val="auto"/>
          <w:sz w:val="32"/>
          <w:szCs w:val="32"/>
          <w:lang w:val="en-US" w:eastAsia="zh-CN"/>
        </w:rPr>
        <w:t>73.92</w:t>
      </w:r>
      <w:r>
        <w:rPr>
          <w:rFonts w:hint="eastAsia" w:ascii="仿宋_GB2312" w:hAnsi="仿宋_GB2312" w:eastAsia="仿宋_GB2312" w:cs="仿宋_GB2312"/>
          <w:color w:val="auto"/>
          <w:sz w:val="32"/>
          <w:szCs w:val="32"/>
          <w:lang w:eastAsia="zh-CN"/>
        </w:rPr>
        <w:t>万元，</w:t>
      </w:r>
      <w:r>
        <w:rPr>
          <w:rFonts w:hint="eastAsia" w:ascii="仿宋_GB2312" w:hAnsi="仿宋_GB2312" w:eastAsia="仿宋_GB2312" w:cs="仿宋_GB2312"/>
          <w:color w:val="auto"/>
          <w:sz w:val="32"/>
          <w:szCs w:val="32"/>
          <w:lang w:val="en-US" w:eastAsia="zh-CN"/>
        </w:rPr>
        <w:t>截至2024年12月31日共</w:t>
      </w:r>
      <w:r>
        <w:rPr>
          <w:rFonts w:hint="eastAsia" w:ascii="仿宋_GB2312" w:hAnsi="仿宋_GB2312" w:eastAsia="仿宋_GB2312" w:cs="仿宋_GB2312"/>
          <w:color w:val="auto"/>
          <w:sz w:val="32"/>
          <w:szCs w:val="32"/>
          <w:lang w:eastAsia="zh-CN"/>
        </w:rPr>
        <w:t>支出</w:t>
      </w:r>
      <w:r>
        <w:rPr>
          <w:rFonts w:hint="eastAsia" w:ascii="仿宋_GB2312" w:hAnsi="仿宋_GB2312" w:eastAsia="仿宋_GB2312" w:cs="仿宋_GB2312"/>
          <w:color w:val="auto"/>
          <w:sz w:val="32"/>
          <w:szCs w:val="32"/>
          <w:lang w:val="en-US" w:eastAsia="zh-CN"/>
        </w:rPr>
        <w:t>73.92</w:t>
      </w:r>
      <w:r>
        <w:rPr>
          <w:rFonts w:hint="eastAsia" w:ascii="仿宋_GB2312" w:hAnsi="仿宋_GB2312" w:eastAsia="仿宋_GB2312" w:cs="仿宋_GB2312"/>
          <w:color w:val="auto"/>
          <w:sz w:val="32"/>
          <w:szCs w:val="32"/>
          <w:lang w:eastAsia="zh-CN"/>
        </w:rPr>
        <w:t>万元，预算</w:t>
      </w:r>
      <w:r>
        <w:rPr>
          <w:rFonts w:hint="eastAsia" w:ascii="仿宋_GB2312" w:hAnsi="仿宋_GB2312" w:eastAsia="仿宋_GB2312" w:cs="仿宋_GB2312"/>
          <w:color w:val="auto"/>
          <w:sz w:val="32"/>
          <w:szCs w:val="32"/>
          <w:lang w:val="en-US" w:eastAsia="zh-CN"/>
        </w:rPr>
        <w:t>执行</w:t>
      </w:r>
      <w:r>
        <w:rPr>
          <w:rFonts w:hint="eastAsia" w:ascii="仿宋_GB2312" w:hAnsi="仿宋_GB2312" w:eastAsia="仿宋_GB2312" w:cs="仿宋_GB2312"/>
          <w:color w:val="auto"/>
          <w:sz w:val="32"/>
          <w:szCs w:val="32"/>
          <w:lang w:eastAsia="zh-CN"/>
        </w:rPr>
        <w:t>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lang w:eastAsia="zh-CN"/>
        </w:rPr>
        <w:t>%。</w:t>
      </w:r>
    </w:p>
    <w:p w14:paraId="79ECEF7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auto"/>
          <w:sz w:val="32"/>
          <w:szCs w:val="32"/>
          <w:lang w:val="en-US" w:eastAsia="zh-CN"/>
        </w:rPr>
        <w:t>阜康市厦门实验小学</w:t>
      </w:r>
      <w:r>
        <w:rPr>
          <w:rFonts w:hint="eastAsia" w:ascii="仿宋_GB2312" w:hAnsi="仿宋_GB2312" w:eastAsia="仿宋_GB2312" w:cs="仿宋_GB2312"/>
          <w:color w:val="auto"/>
          <w:sz w:val="32"/>
          <w:szCs w:val="32"/>
          <w:lang w:eastAsia="zh-CN"/>
        </w:rPr>
        <w:t>建立健全了预算管理规章制度，各部门严格按照预算编制的原则和要求做好当年预算编制工作，在预算绩效管理工作中，做到合理安排各项资金</w:t>
      </w:r>
      <w:r>
        <w:rPr>
          <w:rFonts w:hint="eastAsia" w:ascii="仿宋_GB2312" w:hAnsi="仿宋_GB2312" w:eastAsia="仿宋_GB2312" w:cs="仿宋_GB2312"/>
          <w:sz w:val="32"/>
          <w:szCs w:val="32"/>
          <w:lang w:eastAsia="zh-CN"/>
        </w:rPr>
        <w:t>，重点保障基本支出，按轻重缓急顺序原则，优先</w:t>
      </w:r>
      <w:r>
        <w:rPr>
          <w:rFonts w:hint="eastAsia" w:ascii="仿宋_GB2312" w:hAnsi="仿宋_GB2312" w:eastAsia="仿宋_GB2312" w:cs="仿宋_GB2312"/>
          <w:color w:val="auto"/>
          <w:sz w:val="32"/>
          <w:szCs w:val="32"/>
          <w:lang w:eastAsia="zh-CN"/>
        </w:rPr>
        <w:t>安排了</w:t>
      </w:r>
      <w:r>
        <w:rPr>
          <w:rFonts w:hint="eastAsia" w:ascii="仿宋_GB2312" w:hAnsi="仿宋_GB2312" w:eastAsia="仿宋_GB2312" w:cs="仿宋_GB2312"/>
          <w:color w:val="auto"/>
          <w:sz w:val="32"/>
          <w:szCs w:val="32"/>
          <w:lang w:val="en-US" w:eastAsia="zh-CN"/>
        </w:rPr>
        <w:t>阜康市厦门实验小学</w:t>
      </w:r>
      <w:r>
        <w:rPr>
          <w:rFonts w:hint="eastAsia" w:ascii="仿宋_GB2312" w:hAnsi="仿宋_GB2312" w:eastAsia="仿宋_GB2312" w:cs="仿宋_GB2312"/>
          <w:color w:val="auto"/>
          <w:sz w:val="32"/>
          <w:szCs w:val="32"/>
          <w:lang w:eastAsia="zh-CN"/>
        </w:rPr>
        <w:t>事业发展中关系民生与稳定的项目，切实优</w:t>
      </w:r>
      <w:r>
        <w:rPr>
          <w:rFonts w:hint="eastAsia" w:ascii="仿宋_GB2312" w:hAnsi="仿宋_GB2312" w:eastAsia="仿宋_GB2312" w:cs="仿宋_GB2312"/>
          <w:sz w:val="32"/>
          <w:szCs w:val="32"/>
          <w:lang w:eastAsia="zh-CN"/>
        </w:rPr>
        <w:t>化资源配置，提高了资金使用的效率和效果。</w:t>
      </w:r>
    </w:p>
    <w:bookmarkEnd w:id="147"/>
    <w:bookmarkEnd w:id="148"/>
    <w:p w14:paraId="7AF593E8">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49" w:name="_Toc29168"/>
      <w:r>
        <w:rPr>
          <w:rFonts w:hint="eastAsia" w:ascii="Times New Roman" w:hAnsi="Times New Roman" w:eastAsia="楷体_GB2312" w:cs="Times New Roman"/>
          <w:b/>
          <w:bCs/>
          <w:kern w:val="28"/>
          <w:sz w:val="32"/>
          <w:highlight w:val="none"/>
          <w:lang w:val="en-US" w:eastAsia="zh-CN"/>
        </w:rPr>
        <w:t>（二）存在的问题及原因分析</w:t>
      </w:r>
      <w:bookmarkEnd w:id="149"/>
    </w:p>
    <w:p w14:paraId="4AE0B36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bookmarkStart w:id="150" w:name="_Toc3333"/>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在项目实施期间</w:t>
      </w:r>
      <w:r>
        <w:rPr>
          <w:rFonts w:hint="eastAsia" w:ascii="仿宋_GB2312" w:hAnsi="仿宋_GB2312" w:eastAsia="仿宋_GB2312" w:cs="仿宋_GB2312"/>
          <w:sz w:val="32"/>
          <w:szCs w:val="32"/>
          <w:lang w:eastAsia="zh-CN"/>
        </w:rPr>
        <w:t>部分业务人员未能全面深入认识理解</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lang w:eastAsia="zh-CN"/>
        </w:rPr>
        <w:t>管理工作的意义。</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lang w:eastAsia="zh-CN"/>
        </w:rPr>
        <w:t>管理经验不足，</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lang w:eastAsia="zh-CN"/>
        </w:rPr>
        <w:t>管理工作有待进一步落实。</w:t>
      </w:r>
    </w:p>
    <w:p w14:paraId="72A6A8B6">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2.因年初预算数据不够清晰明确到明细科目，使得整个年度财务核算及审核流程不准确清晰。</w:t>
      </w:r>
    </w:p>
    <w:p w14:paraId="072C765F">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六</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、有关建议</w:t>
      </w:r>
      <w:bookmarkEnd w:id="150"/>
    </w:p>
    <w:p w14:paraId="326F447E">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sz w:val="32"/>
          <w:szCs w:val="32"/>
          <w:lang w:val="en-US" w:eastAsia="zh-CN"/>
        </w:rPr>
      </w:pPr>
      <w:bookmarkStart w:id="151" w:name="_Toc3948"/>
      <w:bookmarkStart w:id="152" w:name="_Toc20454"/>
      <w:bookmarkStart w:id="153" w:name="_Toc14256"/>
      <w:r>
        <w:rPr>
          <w:rFonts w:hint="eastAsia" w:ascii="仿宋_GB2312" w:hAnsi="仿宋_GB2312" w:eastAsia="仿宋_GB2312" w:cs="仿宋_GB2312"/>
          <w:sz w:val="32"/>
          <w:szCs w:val="32"/>
          <w:lang w:val="en-US" w:eastAsia="zh-CN"/>
        </w:rPr>
        <w:t>（一）加强项目管理，健全单位项目管理制度体系。 加大项目管理人员的业务培训，确保项目能够顺利实施。</w:t>
      </w:r>
    </w:p>
    <w:p w14:paraId="001D357A">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（二）加强财务人员业务培训，在年初预算时及时与各科室联系，将年初预算数据填写清晰，确保财务支付审核程序顺利进行。</w:t>
      </w:r>
    </w:p>
    <w:bookmarkEnd w:id="151"/>
    <w:bookmarkEnd w:id="152"/>
    <w:p w14:paraId="090A589F">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七</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、其他需要说明的问题</w:t>
      </w:r>
      <w:bookmarkEnd w:id="153"/>
    </w:p>
    <w:p w14:paraId="7C92A4F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无其他需要说明的问题。</w:t>
      </w:r>
    </w:p>
    <w:p w14:paraId="7959333B">
      <w:pPr>
        <w:pageBreakBefore w:val="0"/>
        <w:kinsoku/>
        <w:wordWrap/>
        <w:overflowPunct/>
        <w:topLinePunct w:val="0"/>
        <w:autoSpaceDE/>
        <w:autoSpaceDN/>
        <w:bidi w:val="0"/>
        <w:adjustRightInd/>
        <w:spacing w:line="560" w:lineRule="exact"/>
        <w:textAlignment w:val="auto"/>
        <w:rPr>
          <w:rFonts w:hint="eastAsia" w:cs="宋体"/>
          <w:color w:val="000000" w:themeColor="text1"/>
          <w:highlight w:val="none"/>
          <w:shd w:val="clear" w:color="auto" w:fill="auto"/>
          <w:lang w:val="en-US" w:eastAsia="zh-CN"/>
          <w14:textFill>
            <w14:solidFill>
              <w14:schemeClr w14:val="tx1"/>
            </w14:solidFill>
          </w14:textFill>
        </w:rPr>
        <w:sectPr>
          <w:footerReference r:id="rId5" w:type="default"/>
          <w:pgSz w:w="11906" w:h="16838"/>
          <w:pgMar w:top="1440" w:right="1800" w:bottom="1440" w:left="1800" w:header="737" w:footer="851" w:gutter="0"/>
          <w:pgNumType w:fmt="decimal" w:start="1"/>
          <w:cols w:space="720" w:num="1"/>
          <w:docGrid w:type="lines" w:linePitch="408" w:charSpace="0"/>
        </w:sectPr>
      </w:pPr>
    </w:p>
    <w:p w14:paraId="2D8601DD">
      <w:pPr>
        <w:pStyle w:val="3"/>
        <w:pageBreakBefore w:val="0"/>
        <w:numPr>
          <w:ilvl w:val="0"/>
          <w:numId w:val="0"/>
        </w:numPr>
        <w:kinsoku/>
        <w:wordWrap/>
        <w:overflowPunct/>
        <w:topLinePunct w:val="0"/>
        <w:autoSpaceDE/>
        <w:autoSpaceDN/>
        <w:bidi w:val="0"/>
        <w:adjustRightInd/>
        <w:spacing w:beforeLines="0" w:afterLines="0" w:line="560" w:lineRule="exact"/>
        <w:textAlignment w:val="auto"/>
      </w:pPr>
      <w:bookmarkStart w:id="154" w:name="_Toc11349"/>
      <w:bookmarkStart w:id="155" w:name="_Toc28971"/>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附件一、项目支出绩效自评表</w:t>
      </w:r>
      <w:bookmarkEnd w:id="154"/>
      <w:bookmarkEnd w:id="155"/>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05"/>
        <w:gridCol w:w="905"/>
        <w:gridCol w:w="905"/>
        <w:gridCol w:w="905"/>
        <w:gridCol w:w="1155"/>
        <w:gridCol w:w="1155"/>
        <w:gridCol w:w="1155"/>
        <w:gridCol w:w="1072"/>
        <w:gridCol w:w="1239"/>
        <w:gridCol w:w="905"/>
        <w:gridCol w:w="905"/>
        <w:gridCol w:w="906"/>
        <w:gridCol w:w="906"/>
        <w:gridCol w:w="1156"/>
      </w:tblGrid>
      <w:tr w14:paraId="4ECAD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1932EC1D">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bookmarkStart w:id="156" w:name="_Toc15067"/>
            <w:bookmarkStart w:id="157" w:name="_Toc11223"/>
            <w:r>
              <w:rPr>
                <w:rFonts w:hint="eastAsia" w:ascii="宋体" w:hAnsi="宋体" w:eastAsia="宋体" w:cs="宋体"/>
                <w:b/>
                <w:bCs/>
                <w:i w:val="0"/>
                <w:iCs w:val="0"/>
                <w:color w:val="000000"/>
                <w:kern w:val="0"/>
                <w:sz w:val="32"/>
                <w:szCs w:val="32"/>
                <w:u w:val="none"/>
                <w:lang w:val="en-US" w:eastAsia="zh-CN" w:bidi="ar"/>
              </w:rPr>
              <w:t>项目支出绩效自评表</w:t>
            </w:r>
          </w:p>
        </w:tc>
      </w:tr>
      <w:tr w14:paraId="234237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36321E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4C8F10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8"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50E4113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91"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02E403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厦小昌州财教【2023】90号（保民生）提前下达2024年城乡义务教育补助经费（中央直达资金）公用经费小学</w:t>
            </w:r>
          </w:p>
        </w:tc>
      </w:tr>
      <w:tr w14:paraId="57F0DA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B07F8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4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45F69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阜康市教育局</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B04E0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19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D671E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阜康市厦门实验小学</w:t>
            </w:r>
          </w:p>
        </w:tc>
      </w:tr>
      <w:tr w14:paraId="7DA1EF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0D94C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46EE63">
            <w:pPr>
              <w:jc w:val="center"/>
              <w:rPr>
                <w:rFonts w:hint="eastAsia" w:ascii="宋体" w:hAnsi="宋体" w:eastAsia="宋体" w:cs="宋体"/>
                <w:b/>
                <w:bCs/>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6C57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395E0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0EFF0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19FE3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CA9FF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CAE2B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4C4E4D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2E85AE">
            <w:pPr>
              <w:jc w:val="center"/>
              <w:rPr>
                <w:rFonts w:hint="eastAsia" w:ascii="宋体" w:hAnsi="宋体" w:eastAsia="宋体" w:cs="宋体"/>
                <w:b/>
                <w:bCs/>
                <w:i w:val="0"/>
                <w:iCs w:val="0"/>
                <w:color w:val="000000"/>
                <w:sz w:val="18"/>
                <w:szCs w:val="18"/>
                <w:u w:val="none"/>
              </w:rPr>
            </w:pPr>
          </w:p>
        </w:tc>
        <w:tc>
          <w:tcPr>
            <w:tcW w:w="7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38497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C69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73.92</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04A7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73.92</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3064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73.92</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181A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2EAD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050D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454729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BBF237">
            <w:pPr>
              <w:jc w:val="center"/>
              <w:rPr>
                <w:rFonts w:hint="eastAsia" w:ascii="宋体" w:hAnsi="宋体" w:eastAsia="宋体" w:cs="宋体"/>
                <w:b/>
                <w:bCs/>
                <w:i w:val="0"/>
                <w:iCs w:val="0"/>
                <w:color w:val="000000"/>
                <w:sz w:val="18"/>
                <w:szCs w:val="18"/>
                <w:u w:val="none"/>
              </w:rPr>
            </w:pPr>
          </w:p>
        </w:tc>
        <w:tc>
          <w:tcPr>
            <w:tcW w:w="7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50B5A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792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73.92</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CC94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73.92</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BCCD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73.92</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2770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C845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8D9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294AE2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181E4B">
            <w:pPr>
              <w:jc w:val="center"/>
              <w:rPr>
                <w:rFonts w:hint="eastAsia" w:ascii="宋体" w:hAnsi="宋体" w:eastAsia="宋体" w:cs="宋体"/>
                <w:b/>
                <w:bCs/>
                <w:i w:val="0"/>
                <w:iCs w:val="0"/>
                <w:color w:val="000000"/>
                <w:sz w:val="18"/>
                <w:szCs w:val="18"/>
                <w:u w:val="none"/>
              </w:rPr>
            </w:pPr>
          </w:p>
        </w:tc>
        <w:tc>
          <w:tcPr>
            <w:tcW w:w="76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1310A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AF4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26AB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1DAD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4F07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A1C7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ACA0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74962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A5BF3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4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84CE06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48"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95C353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51E1ED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E04B51">
            <w:pPr>
              <w:jc w:val="center"/>
              <w:rPr>
                <w:rFonts w:hint="eastAsia" w:ascii="宋体" w:hAnsi="宋体" w:eastAsia="宋体" w:cs="宋体"/>
                <w:b/>
                <w:bCs/>
                <w:i w:val="0"/>
                <w:iCs w:val="0"/>
                <w:color w:val="000000"/>
                <w:sz w:val="18"/>
                <w:szCs w:val="18"/>
                <w:u w:val="none"/>
              </w:rPr>
            </w:pPr>
          </w:p>
        </w:tc>
        <w:tc>
          <w:tcPr>
            <w:tcW w:w="194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FA772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学校正常运转，完成教学活动及其他日常业务的正常运转。2024年学校在校学生人数1012人，计划完成每学年以720元/生/学年的标准使用公用经费，公用经费、教师培训结业率达到100%。通过项目实施，将有效改善教学环境，提供良好的学生成长条件，保障学校正常运转,师生满意度预计将达到90%以上。</w:t>
            </w:r>
          </w:p>
        </w:tc>
        <w:tc>
          <w:tcPr>
            <w:tcW w:w="2848"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FBDC1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本项目完成每学年以720元/生/学年标准的公用经费的支付。公用经费享受比例达到100%，教师培训结业率达到100%。学校正常运转率达到100%，项目的完成有效改善教学环境，提供良好的学生成长条件，师生满意度达到90%。</w:t>
            </w:r>
          </w:p>
        </w:tc>
      </w:tr>
      <w:tr w14:paraId="6E9251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1B675F">
            <w:pPr>
              <w:jc w:val="center"/>
              <w:rPr>
                <w:rFonts w:hint="eastAsia" w:ascii="宋体" w:hAnsi="宋体" w:eastAsia="宋体" w:cs="宋体"/>
                <w:i w:val="0"/>
                <w:iCs w:val="0"/>
                <w:color w:val="000000"/>
                <w:sz w:val="18"/>
                <w:szCs w:val="18"/>
                <w:u w:val="none"/>
              </w:rPr>
            </w:pP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8F2A6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3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E82F1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546B7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18511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45856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A9FE7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0F49D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55E30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88930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2DD25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B805A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C8886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63DCE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2D536A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4D0DC5">
            <w:pPr>
              <w:jc w:val="center"/>
              <w:rPr>
                <w:rFonts w:hint="eastAsia" w:ascii="宋体" w:hAnsi="宋体" w:eastAsia="宋体" w:cs="宋体"/>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D73152">
            <w:pPr>
              <w:jc w:val="center"/>
              <w:rPr>
                <w:rFonts w:hint="eastAsia" w:ascii="宋体" w:hAnsi="宋体" w:eastAsia="宋体" w:cs="宋体"/>
                <w:b/>
                <w:bCs/>
                <w:i w:val="0"/>
                <w:iCs w:val="0"/>
                <w:color w:val="000000"/>
                <w:sz w:val="18"/>
                <w:szCs w:val="18"/>
                <w:u w:val="none"/>
              </w:rPr>
            </w:pPr>
          </w:p>
        </w:tc>
        <w:tc>
          <w:tcPr>
            <w:tcW w:w="3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8B8EFA">
            <w:pPr>
              <w:jc w:val="center"/>
              <w:rPr>
                <w:rFonts w:hint="eastAsia" w:ascii="宋体" w:hAnsi="宋体" w:eastAsia="宋体" w:cs="宋体"/>
                <w:b/>
                <w:bCs/>
                <w:i w:val="0"/>
                <w:iCs w:val="0"/>
                <w:color w:val="000000"/>
                <w:sz w:val="18"/>
                <w:szCs w:val="18"/>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C28E86">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D2B3BA">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E12E69">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454111">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2662E3">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7F2AA5">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E06049">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C7A56C">
            <w:pPr>
              <w:jc w:val="center"/>
              <w:rPr>
                <w:rFonts w:hint="eastAsia" w:ascii="宋体" w:hAnsi="宋体" w:eastAsia="宋体" w:cs="宋体"/>
                <w:b/>
                <w:bCs/>
                <w:i w:val="0"/>
                <w:iCs w:val="0"/>
                <w:color w:val="000000"/>
                <w:sz w:val="18"/>
                <w:szCs w:val="18"/>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CCE58E">
            <w:pPr>
              <w:jc w:val="center"/>
              <w:rPr>
                <w:rFonts w:hint="eastAsia" w:ascii="宋体" w:hAnsi="宋体" w:eastAsia="宋体" w:cs="宋体"/>
                <w:b/>
                <w:bCs/>
                <w:i w:val="0"/>
                <w:iCs w:val="0"/>
                <w:color w:val="000000"/>
                <w:sz w:val="18"/>
                <w:szCs w:val="18"/>
                <w:u w:val="none"/>
              </w:rPr>
            </w:pPr>
          </w:p>
        </w:tc>
        <w:tc>
          <w:tcPr>
            <w:tcW w:w="3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E1F872">
            <w:pPr>
              <w:jc w:val="center"/>
              <w:rPr>
                <w:rFonts w:hint="eastAsia" w:ascii="宋体" w:hAnsi="宋体" w:eastAsia="宋体" w:cs="宋体"/>
                <w:b/>
                <w:bCs/>
                <w:i w:val="0"/>
                <w:iCs w:val="0"/>
                <w:color w:val="000000"/>
                <w:sz w:val="18"/>
                <w:szCs w:val="18"/>
                <w:u w:val="none"/>
              </w:rPr>
            </w:pPr>
          </w:p>
        </w:tc>
        <w:tc>
          <w:tcPr>
            <w:tcW w:w="8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FD7EE4">
            <w:pPr>
              <w:jc w:val="center"/>
              <w:rPr>
                <w:rFonts w:hint="eastAsia" w:ascii="宋体" w:hAnsi="宋体" w:eastAsia="宋体" w:cs="宋体"/>
                <w:b/>
                <w:bCs/>
                <w:i w:val="0"/>
                <w:iCs w:val="0"/>
                <w:color w:val="000000"/>
                <w:sz w:val="18"/>
                <w:szCs w:val="18"/>
                <w:u w:val="none"/>
              </w:rPr>
            </w:pPr>
          </w:p>
        </w:tc>
      </w:tr>
      <w:tr w14:paraId="771913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7E189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CCF2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6BA1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DCB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在校学生人数（人）</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549A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826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=1012人</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2A13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=1012人</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37640">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30DC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085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B0E18D">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8777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8E6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9A4B1">
            <w:pPr>
              <w:jc w:val="center"/>
              <w:rPr>
                <w:rFonts w:hint="eastAsia" w:ascii="宋体" w:hAnsi="宋体" w:eastAsia="宋体" w:cs="宋体"/>
                <w:i w:val="0"/>
                <w:iCs w:val="0"/>
                <w:color w:val="000000"/>
                <w:sz w:val="18"/>
                <w:szCs w:val="18"/>
                <w:u w:val="none"/>
              </w:rPr>
            </w:pPr>
          </w:p>
        </w:tc>
      </w:tr>
      <w:tr w14:paraId="114FE5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F88221">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36846D">
            <w:pPr>
              <w:jc w:val="center"/>
              <w:rPr>
                <w:rFonts w:hint="eastAsia" w:ascii="宋体" w:hAnsi="宋体" w:eastAsia="宋体" w:cs="宋体"/>
                <w:i w:val="0"/>
                <w:iCs w:val="0"/>
                <w:color w:val="000000"/>
                <w:sz w:val="18"/>
                <w:szCs w:val="18"/>
                <w:u w:val="none"/>
              </w:rPr>
            </w:pP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8E3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5CF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公用经费享受比例</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356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B9A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F7E3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5DFDB">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DB6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DB95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DA4C0">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8107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31E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90697">
            <w:pPr>
              <w:jc w:val="center"/>
              <w:rPr>
                <w:rFonts w:hint="eastAsia" w:ascii="宋体" w:hAnsi="宋体" w:eastAsia="宋体" w:cs="宋体"/>
                <w:i w:val="0"/>
                <w:iCs w:val="0"/>
                <w:color w:val="000000"/>
                <w:sz w:val="18"/>
                <w:szCs w:val="18"/>
                <w:u w:val="none"/>
              </w:rPr>
            </w:pPr>
          </w:p>
        </w:tc>
      </w:tr>
      <w:tr w14:paraId="59CFA1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317C2B">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8FC491">
            <w:pPr>
              <w:jc w:val="center"/>
              <w:rPr>
                <w:rFonts w:hint="eastAsia" w:ascii="宋体" w:hAnsi="宋体" w:eastAsia="宋体" w:cs="宋体"/>
                <w:i w:val="0"/>
                <w:iCs w:val="0"/>
                <w:color w:val="000000"/>
                <w:sz w:val="18"/>
                <w:szCs w:val="18"/>
                <w:u w:val="none"/>
              </w:rPr>
            </w:pP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3E50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6C8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教师培训结业率</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0C48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CFA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7AB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99853">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B6EC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12E0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E5E928">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D25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1533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B5C06E">
            <w:pPr>
              <w:jc w:val="center"/>
              <w:rPr>
                <w:rFonts w:hint="eastAsia" w:ascii="宋体" w:hAnsi="宋体" w:eastAsia="宋体" w:cs="宋体"/>
                <w:i w:val="0"/>
                <w:iCs w:val="0"/>
                <w:color w:val="000000"/>
                <w:sz w:val="18"/>
                <w:szCs w:val="18"/>
                <w:u w:val="none"/>
              </w:rPr>
            </w:pPr>
          </w:p>
        </w:tc>
      </w:tr>
      <w:tr w14:paraId="10B631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27DBA7">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978476">
            <w:pPr>
              <w:jc w:val="center"/>
              <w:rPr>
                <w:rFonts w:hint="eastAsia" w:ascii="宋体" w:hAnsi="宋体" w:eastAsia="宋体" w:cs="宋体"/>
                <w:i w:val="0"/>
                <w:iCs w:val="0"/>
                <w:color w:val="000000"/>
                <w:sz w:val="18"/>
                <w:szCs w:val="18"/>
                <w:u w:val="none"/>
              </w:rPr>
            </w:pP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D08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3939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公用经费支出及时率</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9CD5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488A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DC1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E0EBD">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50FE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1F3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DCFA9">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1106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310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D376C6">
            <w:pPr>
              <w:jc w:val="center"/>
              <w:rPr>
                <w:rFonts w:hint="eastAsia" w:ascii="宋体" w:hAnsi="宋体" w:eastAsia="宋体" w:cs="宋体"/>
                <w:i w:val="0"/>
                <w:iCs w:val="0"/>
                <w:color w:val="000000"/>
                <w:sz w:val="18"/>
                <w:szCs w:val="18"/>
                <w:u w:val="none"/>
              </w:rPr>
            </w:pPr>
          </w:p>
        </w:tc>
      </w:tr>
      <w:tr w14:paraId="67105C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8F3314">
            <w:pPr>
              <w:jc w:val="center"/>
              <w:rPr>
                <w:rFonts w:hint="eastAsia" w:ascii="宋体" w:hAnsi="宋体" w:eastAsia="宋体" w:cs="宋体"/>
                <w:b/>
                <w:bCs/>
                <w:i w:val="0"/>
                <w:iCs w:val="0"/>
                <w:color w:val="000000"/>
                <w:sz w:val="18"/>
                <w:szCs w:val="18"/>
                <w:u w:val="none"/>
              </w:rPr>
            </w:pP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8B04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D83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39F3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1B1B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FD42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=720元/人/年</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5F26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=720元/人/年</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4A03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0E5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2F0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EAB26D">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11F7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581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工作资料,原始凭证</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48BD13">
            <w:pPr>
              <w:jc w:val="center"/>
              <w:rPr>
                <w:rFonts w:hint="eastAsia" w:ascii="宋体" w:hAnsi="宋体" w:eastAsia="宋体" w:cs="宋体"/>
                <w:i w:val="0"/>
                <w:iCs w:val="0"/>
                <w:color w:val="000000"/>
                <w:sz w:val="18"/>
                <w:szCs w:val="18"/>
                <w:u w:val="none"/>
              </w:rPr>
            </w:pPr>
          </w:p>
        </w:tc>
      </w:tr>
      <w:tr w14:paraId="6350FA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C235E1">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C8AD9F">
            <w:pPr>
              <w:jc w:val="center"/>
              <w:rPr>
                <w:rFonts w:hint="eastAsia" w:ascii="宋体" w:hAnsi="宋体" w:eastAsia="宋体" w:cs="宋体"/>
                <w:i w:val="0"/>
                <w:iCs w:val="0"/>
                <w:color w:val="000000"/>
                <w:sz w:val="18"/>
                <w:szCs w:val="18"/>
                <w:u w:val="none"/>
              </w:rPr>
            </w:pP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8E0B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5E0CCF">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8F1861">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E7B93">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C1640D">
            <w:pPr>
              <w:jc w:val="center"/>
              <w:rPr>
                <w:rFonts w:hint="eastAsia" w:ascii="宋体" w:hAnsi="宋体" w:eastAsia="宋体" w:cs="宋体"/>
                <w:i w:val="0"/>
                <w:iCs w:val="0"/>
                <w:color w:val="000000"/>
                <w:sz w:val="18"/>
                <w:szCs w:val="18"/>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7C639">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41C5DB">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59366">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385C04">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8BE6F7">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9F3A5D">
            <w:pPr>
              <w:jc w:val="center"/>
              <w:rPr>
                <w:rFonts w:hint="eastAsia" w:ascii="宋体" w:hAnsi="宋体" w:eastAsia="宋体" w:cs="宋体"/>
                <w:i w:val="0"/>
                <w:iCs w:val="0"/>
                <w:color w:val="000000"/>
                <w:sz w:val="18"/>
                <w:szCs w:val="18"/>
                <w:u w:val="none"/>
              </w:rPr>
            </w:pP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66BAA">
            <w:pPr>
              <w:jc w:val="center"/>
              <w:rPr>
                <w:rFonts w:hint="eastAsia" w:ascii="宋体" w:hAnsi="宋体" w:eastAsia="宋体" w:cs="宋体"/>
                <w:i w:val="0"/>
                <w:iCs w:val="0"/>
                <w:color w:val="000000"/>
                <w:sz w:val="18"/>
                <w:szCs w:val="18"/>
                <w:u w:val="none"/>
              </w:rPr>
            </w:pPr>
          </w:p>
        </w:tc>
      </w:tr>
      <w:tr w14:paraId="7CD595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191F4E">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B7188D">
            <w:pPr>
              <w:jc w:val="center"/>
              <w:rPr>
                <w:rFonts w:hint="eastAsia" w:ascii="宋体" w:hAnsi="宋体" w:eastAsia="宋体" w:cs="宋体"/>
                <w:i w:val="0"/>
                <w:iCs w:val="0"/>
                <w:color w:val="000000"/>
                <w:sz w:val="18"/>
                <w:szCs w:val="18"/>
                <w:u w:val="none"/>
              </w:rPr>
            </w:pP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0DF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00D08">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08E6E">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E53AD">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E7E34A">
            <w:pPr>
              <w:jc w:val="center"/>
              <w:rPr>
                <w:rFonts w:hint="eastAsia" w:ascii="宋体" w:hAnsi="宋体" w:eastAsia="宋体" w:cs="宋体"/>
                <w:i w:val="0"/>
                <w:iCs w:val="0"/>
                <w:color w:val="000000"/>
                <w:sz w:val="18"/>
                <w:szCs w:val="18"/>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D19CE">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6E5B64">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7EA2F1">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433145">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D2E95">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BE3B7">
            <w:pPr>
              <w:jc w:val="center"/>
              <w:rPr>
                <w:rFonts w:hint="eastAsia" w:ascii="宋体" w:hAnsi="宋体" w:eastAsia="宋体" w:cs="宋体"/>
                <w:i w:val="0"/>
                <w:iCs w:val="0"/>
                <w:color w:val="000000"/>
                <w:sz w:val="18"/>
                <w:szCs w:val="18"/>
                <w:u w:val="none"/>
              </w:rPr>
            </w:pP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C2758B">
            <w:pPr>
              <w:jc w:val="center"/>
              <w:rPr>
                <w:rFonts w:hint="eastAsia" w:ascii="宋体" w:hAnsi="宋体" w:eastAsia="宋体" w:cs="宋体"/>
                <w:i w:val="0"/>
                <w:iCs w:val="0"/>
                <w:color w:val="000000"/>
                <w:sz w:val="18"/>
                <w:szCs w:val="18"/>
                <w:u w:val="none"/>
              </w:rPr>
            </w:pPr>
          </w:p>
        </w:tc>
      </w:tr>
      <w:tr w14:paraId="74FDAB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572C66">
            <w:pPr>
              <w:jc w:val="center"/>
              <w:rPr>
                <w:rFonts w:hint="eastAsia" w:ascii="宋体" w:hAnsi="宋体" w:eastAsia="宋体" w:cs="宋体"/>
                <w:b/>
                <w:bCs/>
                <w:i w:val="0"/>
                <w:iCs w:val="0"/>
                <w:color w:val="000000"/>
                <w:sz w:val="18"/>
                <w:szCs w:val="18"/>
                <w:u w:val="none"/>
              </w:rPr>
            </w:pP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210D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91A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D1511">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2030E9">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49A2E9">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38EF5">
            <w:pPr>
              <w:jc w:val="center"/>
              <w:rPr>
                <w:rFonts w:hint="eastAsia" w:ascii="宋体" w:hAnsi="宋体" w:eastAsia="宋体" w:cs="宋体"/>
                <w:i w:val="0"/>
                <w:iCs w:val="0"/>
                <w:color w:val="000000"/>
                <w:sz w:val="18"/>
                <w:szCs w:val="18"/>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F64B9">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95D51">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3A17EE">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2403E">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C596C">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42AB4">
            <w:pPr>
              <w:jc w:val="center"/>
              <w:rPr>
                <w:rFonts w:hint="eastAsia" w:ascii="宋体" w:hAnsi="宋体" w:eastAsia="宋体" w:cs="宋体"/>
                <w:i w:val="0"/>
                <w:iCs w:val="0"/>
                <w:color w:val="000000"/>
                <w:sz w:val="18"/>
                <w:szCs w:val="18"/>
                <w:u w:val="none"/>
              </w:rPr>
            </w:pP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0322D">
            <w:pPr>
              <w:jc w:val="center"/>
              <w:rPr>
                <w:rFonts w:hint="eastAsia" w:ascii="宋体" w:hAnsi="宋体" w:eastAsia="宋体" w:cs="宋体"/>
                <w:i w:val="0"/>
                <w:iCs w:val="0"/>
                <w:color w:val="000000"/>
                <w:sz w:val="18"/>
                <w:szCs w:val="18"/>
                <w:u w:val="none"/>
              </w:rPr>
            </w:pPr>
          </w:p>
        </w:tc>
      </w:tr>
      <w:tr w14:paraId="450B04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7B4EEE">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1D5A16">
            <w:pPr>
              <w:jc w:val="center"/>
              <w:rPr>
                <w:rFonts w:hint="eastAsia" w:ascii="宋体" w:hAnsi="宋体" w:eastAsia="宋体" w:cs="宋体"/>
                <w:i w:val="0"/>
                <w:iCs w:val="0"/>
                <w:color w:val="000000"/>
                <w:sz w:val="18"/>
                <w:szCs w:val="18"/>
                <w:u w:val="none"/>
              </w:rPr>
            </w:pP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7149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436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学校正常运转率</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180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BCFD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5E2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3231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3078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574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B9E8B0">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FE1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8153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说明材料,工作资料</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BE56DD">
            <w:pPr>
              <w:jc w:val="center"/>
              <w:rPr>
                <w:rFonts w:hint="eastAsia" w:ascii="宋体" w:hAnsi="宋体" w:eastAsia="宋体" w:cs="宋体"/>
                <w:i w:val="0"/>
                <w:iCs w:val="0"/>
                <w:color w:val="000000"/>
                <w:sz w:val="18"/>
                <w:szCs w:val="18"/>
                <w:u w:val="none"/>
              </w:rPr>
            </w:pPr>
          </w:p>
        </w:tc>
      </w:tr>
      <w:tr w14:paraId="50A963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F5C66E">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FC27EE">
            <w:pPr>
              <w:jc w:val="center"/>
              <w:rPr>
                <w:rFonts w:hint="eastAsia" w:ascii="宋体" w:hAnsi="宋体" w:eastAsia="宋体" w:cs="宋体"/>
                <w:i w:val="0"/>
                <w:iCs w:val="0"/>
                <w:color w:val="000000"/>
                <w:sz w:val="18"/>
                <w:szCs w:val="18"/>
                <w:u w:val="none"/>
              </w:rPr>
            </w:pP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C70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E87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改善教学环境，提供良好的学生成长条件</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BAC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0A8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01A8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56D7B">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42FB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CEC3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61E264">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F7A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98F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EED343">
            <w:pPr>
              <w:jc w:val="center"/>
              <w:rPr>
                <w:rFonts w:hint="eastAsia" w:ascii="宋体" w:hAnsi="宋体" w:eastAsia="宋体" w:cs="宋体"/>
                <w:i w:val="0"/>
                <w:iCs w:val="0"/>
                <w:color w:val="000000"/>
                <w:sz w:val="18"/>
                <w:szCs w:val="18"/>
                <w:u w:val="none"/>
              </w:rPr>
            </w:pPr>
          </w:p>
        </w:tc>
      </w:tr>
      <w:tr w14:paraId="3FF1ED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90C14E">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A3EE2A">
            <w:pPr>
              <w:jc w:val="center"/>
              <w:rPr>
                <w:rFonts w:hint="eastAsia" w:ascii="宋体" w:hAnsi="宋体" w:eastAsia="宋体" w:cs="宋体"/>
                <w:i w:val="0"/>
                <w:iCs w:val="0"/>
                <w:color w:val="000000"/>
                <w:sz w:val="18"/>
                <w:szCs w:val="18"/>
                <w:u w:val="none"/>
              </w:rPr>
            </w:pP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0B5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A6F2B">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66C772">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42FF0">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287B1">
            <w:pPr>
              <w:jc w:val="center"/>
              <w:rPr>
                <w:rFonts w:hint="eastAsia" w:ascii="宋体" w:hAnsi="宋体" w:eastAsia="宋体" w:cs="宋体"/>
                <w:i w:val="0"/>
                <w:iCs w:val="0"/>
                <w:color w:val="000000"/>
                <w:sz w:val="18"/>
                <w:szCs w:val="18"/>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F3FCC">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3B23D">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2FC9F">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5E1C36">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DE56C8">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3AC1BB">
            <w:pPr>
              <w:jc w:val="center"/>
              <w:rPr>
                <w:rFonts w:hint="eastAsia" w:ascii="宋体" w:hAnsi="宋体" w:eastAsia="宋体" w:cs="宋体"/>
                <w:i w:val="0"/>
                <w:iCs w:val="0"/>
                <w:color w:val="000000"/>
                <w:sz w:val="18"/>
                <w:szCs w:val="18"/>
                <w:u w:val="none"/>
              </w:rPr>
            </w:pP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F90EA">
            <w:pPr>
              <w:jc w:val="center"/>
              <w:rPr>
                <w:rFonts w:hint="eastAsia" w:ascii="宋体" w:hAnsi="宋体" w:eastAsia="宋体" w:cs="宋体"/>
                <w:i w:val="0"/>
                <w:iCs w:val="0"/>
                <w:color w:val="000000"/>
                <w:sz w:val="18"/>
                <w:szCs w:val="18"/>
                <w:u w:val="none"/>
              </w:rPr>
            </w:pPr>
          </w:p>
        </w:tc>
      </w:tr>
      <w:tr w14:paraId="38B9F5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34A292">
            <w:pPr>
              <w:jc w:val="center"/>
              <w:rPr>
                <w:rFonts w:hint="eastAsia" w:ascii="宋体" w:hAnsi="宋体" w:eastAsia="宋体" w:cs="宋体"/>
                <w:b/>
                <w:bCs/>
                <w:i w:val="0"/>
                <w:iCs w:val="0"/>
                <w:color w:val="000000"/>
                <w:sz w:val="18"/>
                <w:szCs w:val="18"/>
                <w:u w:val="none"/>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F50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AE1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FF0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师生满意度</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CF4D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7A41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5B1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878E2">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FA9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0F17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1792C">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BF56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A65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FF3C0">
            <w:pPr>
              <w:jc w:val="center"/>
              <w:rPr>
                <w:rFonts w:hint="eastAsia" w:ascii="宋体" w:hAnsi="宋体" w:eastAsia="宋体" w:cs="宋体"/>
                <w:i w:val="0"/>
                <w:iCs w:val="0"/>
                <w:color w:val="000000"/>
                <w:sz w:val="18"/>
                <w:szCs w:val="18"/>
                <w:u w:val="none"/>
              </w:rPr>
            </w:pPr>
          </w:p>
        </w:tc>
      </w:tr>
      <w:tr w14:paraId="0792B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75" w:type="pct"/>
            <w:gridSpan w:val="4"/>
            <w:tcBorders>
              <w:top w:val="single" w:color="000000" w:sz="4" w:space="0"/>
              <w:left w:val="single" w:color="000000" w:sz="4" w:space="0"/>
              <w:bottom w:val="single" w:color="000000" w:sz="4" w:space="0"/>
              <w:right w:val="nil"/>
            </w:tcBorders>
            <w:shd w:val="clear" w:color="auto" w:fill="auto"/>
            <w:vAlign w:val="center"/>
          </w:tcPr>
          <w:p w14:paraId="7BD583C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310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nil"/>
              <w:bottom w:val="single" w:color="000000" w:sz="4" w:space="0"/>
              <w:right w:val="single" w:color="000000" w:sz="4" w:space="0"/>
            </w:tcBorders>
            <w:shd w:val="clear" w:color="auto" w:fill="auto"/>
            <w:vAlign w:val="center"/>
          </w:tcPr>
          <w:p w14:paraId="1D5BD1C3">
            <w:pPr>
              <w:rPr>
                <w:rFonts w:hint="eastAsia" w:ascii="宋体" w:hAnsi="宋体" w:eastAsia="宋体" w:cs="宋体"/>
                <w:b/>
                <w:bCs/>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96292">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6C97E">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C8B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bookmarkStart w:id="158" w:name="_GoBack"/>
            <w:bookmarkEnd w:id="158"/>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8B33A">
            <w:pP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ADCB52">
            <w:pP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60D858">
            <w:pP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875677">
            <w:pPr>
              <w:rPr>
                <w:rFonts w:hint="eastAsia" w:ascii="宋体" w:hAnsi="宋体" w:eastAsia="宋体" w:cs="宋体"/>
                <w:i w:val="0"/>
                <w:iCs w:val="0"/>
                <w:color w:val="000000"/>
                <w:sz w:val="18"/>
                <w:szCs w:val="18"/>
                <w:u w:val="none"/>
              </w:rPr>
            </w:pP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27EF7">
            <w:pPr>
              <w:rPr>
                <w:rFonts w:hint="eastAsia" w:ascii="宋体" w:hAnsi="宋体" w:eastAsia="宋体" w:cs="宋体"/>
                <w:i w:val="0"/>
                <w:iCs w:val="0"/>
                <w:color w:val="000000"/>
                <w:sz w:val="18"/>
                <w:szCs w:val="18"/>
                <w:u w:val="none"/>
              </w:rPr>
            </w:pPr>
          </w:p>
        </w:tc>
      </w:tr>
    </w:tbl>
    <w:p w14:paraId="5B2894E4">
      <w:pPr>
        <w:bidi w:val="0"/>
        <w:jc w:val="left"/>
        <w:rPr>
          <w:rFonts w:hint="eastAsia"/>
          <w:lang w:val="en-US" w:eastAsia="zh-CN"/>
        </w:rPr>
        <w:sectPr>
          <w:pgSz w:w="16838" w:h="11906" w:orient="landscape"/>
          <w:pgMar w:top="1800" w:right="1440" w:bottom="1800" w:left="1440" w:header="737" w:footer="851" w:gutter="0"/>
          <w:pgNumType w:fmt="decimal"/>
          <w:cols w:space="720" w:num="1"/>
          <w:docGrid w:type="lines" w:linePitch="408" w:charSpace="0"/>
        </w:sectPr>
      </w:pPr>
    </w:p>
    <w:p w14:paraId="0732C27B">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附件二、项目支出绩效评价指标体系打分表</w:t>
      </w:r>
      <w:bookmarkEnd w:id="156"/>
      <w:bookmarkEnd w:id="157"/>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6A477B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3A09DF4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27" w:type="dxa"/>
            <w:shd w:val="clear" w:color="auto" w:fill="auto"/>
            <w:noWrap w:val="0"/>
            <w:vAlign w:val="center"/>
          </w:tcPr>
          <w:p w14:paraId="0EB850F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20" w:type="dxa"/>
            <w:shd w:val="clear" w:color="auto" w:fill="auto"/>
            <w:noWrap w:val="0"/>
            <w:vAlign w:val="center"/>
          </w:tcPr>
          <w:p w14:paraId="6FD0D98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141" w:type="dxa"/>
            <w:shd w:val="clear" w:color="auto" w:fill="auto"/>
            <w:noWrap w:val="0"/>
            <w:vAlign w:val="center"/>
          </w:tcPr>
          <w:p w14:paraId="339EFD8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7821" w:type="dxa"/>
            <w:shd w:val="clear" w:color="auto" w:fill="auto"/>
            <w:noWrap w:val="0"/>
            <w:vAlign w:val="center"/>
          </w:tcPr>
          <w:p w14:paraId="476A16C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785" w:type="dxa"/>
            <w:shd w:val="clear" w:color="auto" w:fill="auto"/>
            <w:noWrap w:val="0"/>
            <w:vAlign w:val="center"/>
          </w:tcPr>
          <w:p w14:paraId="2894FF6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分值</w:t>
            </w:r>
          </w:p>
        </w:tc>
        <w:tc>
          <w:tcPr>
            <w:tcW w:w="769" w:type="dxa"/>
            <w:shd w:val="clear" w:color="auto" w:fill="auto"/>
            <w:noWrap w:val="0"/>
            <w:vAlign w:val="center"/>
          </w:tcPr>
          <w:p w14:paraId="366952F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得分</w:t>
            </w:r>
          </w:p>
        </w:tc>
      </w:tr>
      <w:tr w14:paraId="5F8B64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75A3DE5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14:paraId="37E9925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14:paraId="63DFB7B5">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27" w:type="dxa"/>
            <w:vMerge w:val="restart"/>
            <w:shd w:val="clear" w:color="auto" w:fill="auto"/>
            <w:noWrap w:val="0"/>
            <w:vAlign w:val="center"/>
          </w:tcPr>
          <w:p w14:paraId="4F204A2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820" w:type="dxa"/>
            <w:shd w:val="clear" w:color="auto" w:fill="auto"/>
            <w:noWrap w:val="0"/>
            <w:vAlign w:val="center"/>
          </w:tcPr>
          <w:p w14:paraId="6FC7C01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14:paraId="110EEF9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141" w:type="dxa"/>
            <w:shd w:val="clear" w:color="auto" w:fill="auto"/>
            <w:noWrap w:val="0"/>
            <w:vAlign w:val="center"/>
          </w:tcPr>
          <w:p w14:paraId="7D40876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7821" w:type="dxa"/>
            <w:shd w:val="clear" w:color="auto" w:fill="auto"/>
            <w:noWrap w:val="0"/>
            <w:vAlign w:val="center"/>
          </w:tcPr>
          <w:p w14:paraId="0FEDDD1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2E299AD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①项目立项是否符合国家法律法规、国民经济发展规划和相关政策；</w:t>
            </w:r>
          </w:p>
          <w:p w14:paraId="10CB708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②项目立项是否符合行业发展规划和政策要求；</w:t>
            </w:r>
          </w:p>
          <w:p w14:paraId="3427F40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③项目立项是否与部门职责范围相符，属于部门履职所需；</w:t>
            </w:r>
          </w:p>
          <w:p w14:paraId="06FCB7E7">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④项目是否属于公共财政支持范围，是否符合中央、地方事权支出责任划分原则；</w:t>
            </w:r>
          </w:p>
          <w:p w14:paraId="7D83D0CC">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⑤项目是否与相关部门同类项目或部门内部相关项目重复。</w:t>
            </w:r>
          </w:p>
        </w:tc>
        <w:tc>
          <w:tcPr>
            <w:tcW w:w="785" w:type="dxa"/>
            <w:shd w:val="clear" w:color="auto" w:fill="auto"/>
            <w:noWrap w:val="0"/>
            <w:vAlign w:val="center"/>
          </w:tcPr>
          <w:p w14:paraId="028F071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58D37A5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222F5A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3684349E">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19A39CE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3C2629B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14:paraId="50424A9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141" w:type="dxa"/>
            <w:shd w:val="clear" w:color="auto" w:fill="auto"/>
            <w:noWrap w:val="0"/>
            <w:vAlign w:val="center"/>
          </w:tcPr>
          <w:p w14:paraId="1994920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7821" w:type="dxa"/>
            <w:shd w:val="clear" w:color="auto" w:fill="auto"/>
            <w:noWrap w:val="0"/>
            <w:vAlign w:val="center"/>
          </w:tcPr>
          <w:p w14:paraId="65E23A0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1B159E9F">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①项目是否按照规定的程序申请设立；</w:t>
            </w:r>
          </w:p>
          <w:p w14:paraId="315F5BCE">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②审批文件、材料是否符合相关要求；</w:t>
            </w:r>
          </w:p>
          <w:p w14:paraId="296166A0">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③事前是否已经过必要的可行性研究、专家论证、风险评估、绩效评估、集体决策。</w:t>
            </w:r>
          </w:p>
        </w:tc>
        <w:tc>
          <w:tcPr>
            <w:tcW w:w="785" w:type="dxa"/>
            <w:shd w:val="clear" w:color="auto" w:fill="auto"/>
            <w:noWrap w:val="0"/>
            <w:vAlign w:val="center"/>
          </w:tcPr>
          <w:p w14:paraId="5E0656B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1CB0D71A">
            <w:pPr>
              <w:pageBreakBefore w:val="0"/>
              <w:widowControl/>
              <w:kinsoku/>
              <w:wordWrap/>
              <w:overflowPunct/>
              <w:topLinePunct w:val="0"/>
              <w:autoSpaceDE/>
              <w:autoSpaceDN/>
              <w:bidi w:val="0"/>
              <w:spacing w:line="240" w:lineRule="auto"/>
              <w:ind w:firstLine="0" w:firstLineChars="0"/>
              <w:jc w:val="left"/>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2.2</w:t>
            </w:r>
          </w:p>
        </w:tc>
      </w:tr>
      <w:tr w14:paraId="7D37A1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197A93F1">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shd w:val="clear" w:color="auto" w:fill="auto"/>
            <w:noWrap w:val="0"/>
            <w:vAlign w:val="center"/>
          </w:tcPr>
          <w:p w14:paraId="035BA4E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820" w:type="dxa"/>
            <w:shd w:val="clear" w:color="auto" w:fill="auto"/>
            <w:noWrap w:val="0"/>
            <w:vAlign w:val="center"/>
          </w:tcPr>
          <w:p w14:paraId="5E29AC4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14:paraId="266CA7D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auto"/>
            <w:noWrap w:val="0"/>
            <w:vAlign w:val="center"/>
          </w:tcPr>
          <w:p w14:paraId="20C84AA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21CFB1E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047494E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（如未设定预算绩效目标，也可考核其他工作任务目标）</w:t>
            </w:r>
          </w:p>
          <w:p w14:paraId="3123AC67">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①项目是否有绩效目标；</w:t>
            </w:r>
          </w:p>
          <w:p w14:paraId="4675B435">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②项目绩效目标与实际工作内容是否具有相关性；</w:t>
            </w:r>
          </w:p>
          <w:p w14:paraId="66622877">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③项目预期产出效益和效果是否符合正常的业绩水平；</w:t>
            </w:r>
          </w:p>
          <w:p w14:paraId="0FEE6A15">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785" w:type="dxa"/>
            <w:shd w:val="clear" w:color="auto" w:fill="auto"/>
            <w:noWrap w:val="0"/>
            <w:vAlign w:val="center"/>
          </w:tcPr>
          <w:p w14:paraId="17E91B8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78E31CE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02AB89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6ECE2AB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27" w:type="dxa"/>
            <w:shd w:val="clear" w:color="auto" w:fill="auto"/>
            <w:noWrap w:val="0"/>
            <w:vAlign w:val="center"/>
          </w:tcPr>
          <w:p w14:paraId="340F6B0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820" w:type="dxa"/>
            <w:shd w:val="clear" w:color="auto" w:fill="auto"/>
            <w:noWrap w:val="0"/>
            <w:vAlign w:val="center"/>
          </w:tcPr>
          <w:p w14:paraId="1803C1D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14:paraId="1A6A1F6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141" w:type="dxa"/>
            <w:shd w:val="clear" w:color="auto" w:fill="auto"/>
            <w:noWrap w:val="0"/>
            <w:vAlign w:val="center"/>
          </w:tcPr>
          <w:p w14:paraId="51BA01C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7821" w:type="dxa"/>
            <w:shd w:val="clear" w:color="auto" w:fill="auto"/>
            <w:noWrap w:val="0"/>
            <w:vAlign w:val="center"/>
          </w:tcPr>
          <w:p w14:paraId="608FB29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75C5A23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①是否将项目绩效目标细化分解为具体的绩效指标；</w:t>
            </w:r>
          </w:p>
          <w:p w14:paraId="141755D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②是否通过清晰、可衡量的指标值予以体现；</w:t>
            </w:r>
          </w:p>
          <w:p w14:paraId="27622EC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③是否与项目目标任务数或计划数相对应。</w:t>
            </w:r>
          </w:p>
          <w:p w14:paraId="21ABB0C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p>
        </w:tc>
        <w:tc>
          <w:tcPr>
            <w:tcW w:w="785" w:type="dxa"/>
            <w:shd w:val="clear" w:color="auto" w:fill="auto"/>
            <w:noWrap w:val="0"/>
            <w:vAlign w:val="center"/>
          </w:tcPr>
          <w:p w14:paraId="064CE64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3E20583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16521A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5C37FAD8">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restart"/>
            <w:shd w:val="clear" w:color="auto" w:fill="auto"/>
            <w:noWrap w:val="0"/>
            <w:vAlign w:val="center"/>
          </w:tcPr>
          <w:p w14:paraId="6B33E97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14:paraId="1712EAF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auto"/>
            <w:noWrap w:val="0"/>
            <w:vAlign w:val="center"/>
          </w:tcPr>
          <w:p w14:paraId="60DFC76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14:paraId="37CB99D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141" w:type="dxa"/>
            <w:shd w:val="clear" w:color="auto" w:fill="auto"/>
            <w:noWrap w:val="0"/>
            <w:vAlign w:val="center"/>
          </w:tcPr>
          <w:p w14:paraId="34DEB0C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07D9D56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6EBF476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①预算编制是否经过科学论证；</w:t>
            </w:r>
          </w:p>
          <w:p w14:paraId="12EA060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②预算内容与项目内容是否匹配；</w:t>
            </w:r>
          </w:p>
          <w:p w14:paraId="69F962F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③预算额度测算依据是否充分，是否按照标准编制；</w:t>
            </w:r>
          </w:p>
          <w:p w14:paraId="0AC6D15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④预算确定的项目投资额或资金量是否与工作任务相匹配。</w:t>
            </w:r>
          </w:p>
        </w:tc>
        <w:tc>
          <w:tcPr>
            <w:tcW w:w="785" w:type="dxa"/>
            <w:shd w:val="clear" w:color="auto" w:fill="auto"/>
            <w:noWrap w:val="0"/>
            <w:vAlign w:val="center"/>
          </w:tcPr>
          <w:p w14:paraId="78915F9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0A8CE08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61CBE8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3877BB1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1C80E5F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339C7B5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14:paraId="67CF402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auto"/>
            <w:noWrap w:val="0"/>
            <w:vAlign w:val="center"/>
          </w:tcPr>
          <w:p w14:paraId="1C4740D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0248840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35B8C40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①预算资金分配依据是否充分；</w:t>
            </w:r>
          </w:p>
          <w:p w14:paraId="7AA556E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②资金分配额度是否合理，与项目单位或地方实际是否相适应。</w:t>
            </w:r>
          </w:p>
        </w:tc>
        <w:tc>
          <w:tcPr>
            <w:tcW w:w="785" w:type="dxa"/>
            <w:shd w:val="clear" w:color="auto" w:fill="auto"/>
            <w:noWrap w:val="0"/>
            <w:vAlign w:val="center"/>
          </w:tcPr>
          <w:p w14:paraId="7589F71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4765CD7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r>
      <w:tr w14:paraId="51B2F6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53E683CE">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27" w:type="dxa"/>
            <w:vMerge w:val="restart"/>
            <w:shd w:val="clear" w:color="auto" w:fill="auto"/>
            <w:noWrap w:val="0"/>
            <w:vAlign w:val="center"/>
          </w:tcPr>
          <w:p w14:paraId="6AE52EF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auto"/>
            <w:noWrap w:val="0"/>
            <w:vAlign w:val="center"/>
          </w:tcPr>
          <w:p w14:paraId="148AB71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141" w:type="dxa"/>
            <w:shd w:val="clear" w:color="auto" w:fill="auto"/>
            <w:noWrap w:val="0"/>
            <w:vAlign w:val="center"/>
          </w:tcPr>
          <w:p w14:paraId="7EBEC6F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7821" w:type="dxa"/>
            <w:shd w:val="clear" w:color="auto" w:fill="auto"/>
            <w:noWrap w:val="0"/>
            <w:vAlign w:val="center"/>
          </w:tcPr>
          <w:p w14:paraId="74F86D0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p w14:paraId="066A258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实际到位资金/预算资金）×100%。</w:t>
            </w:r>
          </w:p>
          <w:p w14:paraId="575DAD7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14:paraId="0856913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785" w:type="dxa"/>
            <w:shd w:val="clear" w:color="auto" w:fill="auto"/>
            <w:noWrap w:val="0"/>
            <w:vAlign w:val="center"/>
          </w:tcPr>
          <w:p w14:paraId="6E2758C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7452FA9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427608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55B35688">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p>
        </w:tc>
        <w:tc>
          <w:tcPr>
            <w:tcW w:w="727" w:type="dxa"/>
            <w:vMerge w:val="continue"/>
            <w:shd w:val="clear" w:color="auto" w:fill="auto"/>
            <w:noWrap w:val="0"/>
            <w:vAlign w:val="center"/>
          </w:tcPr>
          <w:p w14:paraId="16C6B3FE">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p>
        </w:tc>
        <w:tc>
          <w:tcPr>
            <w:tcW w:w="820" w:type="dxa"/>
            <w:shd w:val="clear" w:color="auto" w:fill="auto"/>
            <w:noWrap w:val="0"/>
            <w:vAlign w:val="center"/>
          </w:tcPr>
          <w:p w14:paraId="6AA1200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141" w:type="dxa"/>
            <w:shd w:val="clear" w:color="auto" w:fill="auto"/>
            <w:noWrap w:val="0"/>
            <w:vAlign w:val="center"/>
          </w:tcPr>
          <w:p w14:paraId="4D28B92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7821" w:type="dxa"/>
            <w:shd w:val="clear" w:color="auto" w:fill="auto"/>
            <w:noWrap w:val="0"/>
            <w:vAlign w:val="center"/>
          </w:tcPr>
          <w:p w14:paraId="4790093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预算执行率=（实际支出资金/实际到位资金）×100%。</w:t>
            </w:r>
          </w:p>
          <w:p w14:paraId="5CCBC28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实际支出资金：一定时期（本年度或项目期）内项目实际拨付的资金。</w:t>
            </w:r>
          </w:p>
        </w:tc>
        <w:tc>
          <w:tcPr>
            <w:tcW w:w="785" w:type="dxa"/>
            <w:shd w:val="clear" w:color="auto" w:fill="auto"/>
            <w:noWrap w:val="0"/>
            <w:vAlign w:val="center"/>
          </w:tcPr>
          <w:p w14:paraId="5A74022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917E4F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692DA9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4D46C67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14:paraId="12427E3E">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727" w:type="dxa"/>
            <w:shd w:val="clear" w:color="auto" w:fill="auto"/>
            <w:noWrap w:val="0"/>
            <w:vAlign w:val="center"/>
          </w:tcPr>
          <w:p w14:paraId="321873B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auto"/>
            <w:noWrap w:val="0"/>
            <w:vAlign w:val="center"/>
          </w:tcPr>
          <w:p w14:paraId="4027ED0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14:paraId="05FE8E1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2141" w:type="dxa"/>
            <w:shd w:val="clear" w:color="auto" w:fill="auto"/>
            <w:noWrap w:val="0"/>
            <w:vAlign w:val="center"/>
          </w:tcPr>
          <w:p w14:paraId="74E5F95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7821" w:type="dxa"/>
            <w:shd w:val="clear" w:color="auto" w:fill="auto"/>
            <w:noWrap w:val="0"/>
            <w:vAlign w:val="center"/>
          </w:tcPr>
          <w:p w14:paraId="4743FAD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751FDAE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①是否符合国家财经法规和财务管理制度以及有关专项资金管理办法的规定；</w:t>
            </w:r>
          </w:p>
          <w:p w14:paraId="34BD569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②资金的拨付是否有完整的审批程序和手续；</w:t>
            </w:r>
          </w:p>
          <w:p w14:paraId="4F204B9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③是否符合项目预算批复或合同规定的用途；</w:t>
            </w:r>
          </w:p>
          <w:p w14:paraId="679DF1A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④是否存在截留、挤占、挪用、虚列支出等情况。</w:t>
            </w:r>
          </w:p>
        </w:tc>
        <w:tc>
          <w:tcPr>
            <w:tcW w:w="785" w:type="dxa"/>
            <w:shd w:val="clear" w:color="auto" w:fill="auto"/>
            <w:noWrap w:val="0"/>
            <w:vAlign w:val="center"/>
          </w:tcPr>
          <w:p w14:paraId="6C02893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391CF6C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299645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66809479">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restart"/>
            <w:shd w:val="clear" w:color="auto" w:fill="auto"/>
            <w:noWrap w:val="0"/>
            <w:vAlign w:val="center"/>
          </w:tcPr>
          <w:p w14:paraId="1DFCCAC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14:paraId="60275D5D">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auto"/>
            <w:noWrap w:val="0"/>
            <w:vAlign w:val="center"/>
          </w:tcPr>
          <w:p w14:paraId="18B390A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14:paraId="71D9E7F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2141" w:type="dxa"/>
            <w:shd w:val="clear" w:color="auto" w:fill="auto"/>
            <w:noWrap w:val="0"/>
            <w:vAlign w:val="center"/>
          </w:tcPr>
          <w:p w14:paraId="712039C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6EF4F55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5F9DF89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①是否已制定或具有相应的财务和业务管理制度；</w:t>
            </w:r>
          </w:p>
          <w:p w14:paraId="7E9ABED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②财务和业务管理制度是否合法、合规、完整。</w:t>
            </w:r>
          </w:p>
        </w:tc>
        <w:tc>
          <w:tcPr>
            <w:tcW w:w="785" w:type="dxa"/>
            <w:shd w:val="clear" w:color="auto" w:fill="auto"/>
            <w:noWrap w:val="0"/>
            <w:vAlign w:val="center"/>
          </w:tcPr>
          <w:p w14:paraId="3093028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0D42DEE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39D400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87" w:hRule="atLeast"/>
          <w:jc w:val="center"/>
        </w:trPr>
        <w:tc>
          <w:tcPr>
            <w:tcW w:w="861" w:type="dxa"/>
            <w:vMerge w:val="continue"/>
            <w:shd w:val="clear" w:color="auto" w:fill="auto"/>
            <w:noWrap w:val="0"/>
            <w:vAlign w:val="center"/>
          </w:tcPr>
          <w:p w14:paraId="0699F87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49134D1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37D08BE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14:paraId="5F1EEAD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2141" w:type="dxa"/>
            <w:shd w:val="clear" w:color="auto" w:fill="auto"/>
            <w:noWrap w:val="0"/>
            <w:vAlign w:val="center"/>
          </w:tcPr>
          <w:p w14:paraId="481588A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7821" w:type="dxa"/>
            <w:shd w:val="clear" w:color="auto" w:fill="auto"/>
            <w:noWrap w:val="0"/>
            <w:vAlign w:val="center"/>
          </w:tcPr>
          <w:p w14:paraId="5B71A56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6294C0A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①是否遵守相关法律法规和相关管理规定；</w:t>
            </w:r>
          </w:p>
          <w:p w14:paraId="054C1F5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②项目调整及支出调整手续是否完备；</w:t>
            </w:r>
          </w:p>
          <w:p w14:paraId="6E53DA9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③项目合同书、验收报告、技术鉴定等资料是否齐全并及时归档；</w:t>
            </w:r>
          </w:p>
          <w:p w14:paraId="2C05FC8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④项目实施的人员条件、场地设备、信息支撑等是否落实到位。</w:t>
            </w:r>
          </w:p>
        </w:tc>
        <w:tc>
          <w:tcPr>
            <w:tcW w:w="785" w:type="dxa"/>
            <w:shd w:val="clear" w:color="auto" w:fill="auto"/>
            <w:noWrap w:val="0"/>
            <w:vAlign w:val="center"/>
          </w:tcPr>
          <w:p w14:paraId="401BAB4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0677073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11BC9B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51042D2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2E36FE5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tc>
        <w:tc>
          <w:tcPr>
            <w:tcW w:w="820" w:type="dxa"/>
            <w:shd w:val="clear" w:color="auto" w:fill="auto"/>
            <w:noWrap w:val="0"/>
            <w:vAlign w:val="center"/>
          </w:tcPr>
          <w:p w14:paraId="7136754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在校学生人数</w:t>
            </w:r>
          </w:p>
        </w:tc>
        <w:tc>
          <w:tcPr>
            <w:tcW w:w="2141" w:type="dxa"/>
            <w:shd w:val="clear" w:color="auto" w:fill="auto"/>
            <w:noWrap w:val="0"/>
            <w:vAlign w:val="center"/>
          </w:tcPr>
          <w:p w14:paraId="1291E2F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5D7BC7F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0BA878F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1D6306F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31DFEED0">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25FC2D1E">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507E1F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vMerge w:val="restart"/>
            <w:shd w:val="clear" w:color="auto" w:fill="auto"/>
            <w:noWrap w:val="0"/>
            <w:vAlign w:val="center"/>
          </w:tcPr>
          <w:p w14:paraId="1622408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vMerge w:val="restart"/>
            <w:shd w:val="clear" w:color="auto" w:fill="auto"/>
            <w:noWrap w:val="0"/>
            <w:vAlign w:val="center"/>
          </w:tcPr>
          <w:p w14:paraId="3C3F4A9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产出质量</w:t>
            </w:r>
          </w:p>
        </w:tc>
        <w:tc>
          <w:tcPr>
            <w:tcW w:w="820" w:type="dxa"/>
            <w:shd w:val="clear" w:color="auto" w:fill="auto"/>
            <w:noWrap w:val="0"/>
            <w:vAlign w:val="center"/>
          </w:tcPr>
          <w:p w14:paraId="02E8A12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公用经费享受比例</w:t>
            </w:r>
          </w:p>
        </w:tc>
        <w:tc>
          <w:tcPr>
            <w:tcW w:w="2141" w:type="dxa"/>
            <w:shd w:val="clear" w:color="auto" w:fill="auto"/>
            <w:noWrap w:val="0"/>
            <w:vAlign w:val="center"/>
          </w:tcPr>
          <w:p w14:paraId="0A36628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7795854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47C57F5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7E1EAF2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77486AA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5</w:t>
            </w:r>
          </w:p>
        </w:tc>
      </w:tr>
      <w:tr w14:paraId="639A27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vMerge w:val="continue"/>
            <w:shd w:val="clear" w:color="auto" w:fill="auto"/>
            <w:noWrap w:val="0"/>
            <w:vAlign w:val="center"/>
          </w:tcPr>
          <w:p w14:paraId="11391F2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5AF39F1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16A8755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教师培训结业率</w:t>
            </w:r>
          </w:p>
        </w:tc>
        <w:tc>
          <w:tcPr>
            <w:tcW w:w="2141" w:type="dxa"/>
            <w:shd w:val="clear" w:color="auto" w:fill="auto"/>
            <w:noWrap w:val="0"/>
            <w:vAlign w:val="center"/>
          </w:tcPr>
          <w:p w14:paraId="3261DD8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636D605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647479A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1144425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11CF0C6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cs="宋体"/>
                <w:color w:val="auto"/>
                <w:kern w:val="0"/>
                <w:sz w:val="22"/>
                <w:szCs w:val="22"/>
                <w:highlight w:val="none"/>
                <w:lang w:val="en-US" w:eastAsia="zh-CN"/>
              </w:rPr>
              <w:t>5</w:t>
            </w:r>
          </w:p>
        </w:tc>
      </w:tr>
      <w:tr w14:paraId="3FBD74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79C932A0">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3082D19D">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产出时效</w:t>
            </w:r>
          </w:p>
        </w:tc>
        <w:tc>
          <w:tcPr>
            <w:tcW w:w="820" w:type="dxa"/>
            <w:shd w:val="clear" w:color="auto" w:fill="auto"/>
            <w:noWrap w:val="0"/>
            <w:vAlign w:val="center"/>
          </w:tcPr>
          <w:p w14:paraId="65A8BE8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公用经费支出及时率</w:t>
            </w:r>
          </w:p>
        </w:tc>
        <w:tc>
          <w:tcPr>
            <w:tcW w:w="2141" w:type="dxa"/>
            <w:shd w:val="clear" w:color="auto" w:fill="auto"/>
            <w:noWrap w:val="0"/>
            <w:vAlign w:val="center"/>
          </w:tcPr>
          <w:p w14:paraId="145CE5C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4D8F42C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42D7055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6566AA5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4DCA26C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10</w:t>
            </w:r>
          </w:p>
        </w:tc>
      </w:tr>
      <w:tr w14:paraId="24AFF1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6EFC3F7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6CB3B9B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产出成本</w:t>
            </w:r>
          </w:p>
        </w:tc>
        <w:tc>
          <w:tcPr>
            <w:tcW w:w="820" w:type="dxa"/>
            <w:shd w:val="clear" w:color="auto" w:fill="auto"/>
            <w:noWrap w:val="0"/>
            <w:vAlign w:val="center"/>
          </w:tcPr>
          <w:p w14:paraId="7333DFB1">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公用经费标准</w:t>
            </w:r>
          </w:p>
        </w:tc>
        <w:tc>
          <w:tcPr>
            <w:tcW w:w="2141" w:type="dxa"/>
            <w:shd w:val="clear" w:color="auto" w:fill="auto"/>
            <w:noWrap w:val="0"/>
            <w:vAlign w:val="center"/>
          </w:tcPr>
          <w:p w14:paraId="6F41B30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725F55B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2652C75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28C58F8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715B05C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55CCD7F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13BE1FE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10</w:t>
            </w:r>
          </w:p>
        </w:tc>
      </w:tr>
      <w:tr w14:paraId="008CE7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03" w:hRule="atLeast"/>
          <w:jc w:val="center"/>
        </w:trPr>
        <w:tc>
          <w:tcPr>
            <w:tcW w:w="861" w:type="dxa"/>
            <w:vMerge w:val="restart"/>
            <w:shd w:val="clear" w:color="auto" w:fill="auto"/>
            <w:noWrap w:val="0"/>
            <w:vAlign w:val="center"/>
          </w:tcPr>
          <w:p w14:paraId="0AF0E7D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效益　</w:t>
            </w:r>
          </w:p>
        </w:tc>
        <w:tc>
          <w:tcPr>
            <w:tcW w:w="727" w:type="dxa"/>
            <w:vMerge w:val="restart"/>
            <w:shd w:val="clear" w:color="auto" w:fill="auto"/>
            <w:noWrap w:val="0"/>
            <w:vAlign w:val="center"/>
          </w:tcPr>
          <w:p w14:paraId="03B1C37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项目效益　</w:t>
            </w:r>
          </w:p>
        </w:tc>
        <w:tc>
          <w:tcPr>
            <w:tcW w:w="820" w:type="dxa"/>
            <w:shd w:val="clear" w:color="auto" w:fill="auto"/>
            <w:noWrap w:val="0"/>
            <w:vAlign w:val="center"/>
          </w:tcPr>
          <w:p w14:paraId="6952A3D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正常运转率</w:t>
            </w:r>
          </w:p>
        </w:tc>
        <w:tc>
          <w:tcPr>
            <w:tcW w:w="2141" w:type="dxa"/>
            <w:shd w:val="clear" w:color="auto" w:fill="auto"/>
            <w:noWrap w:val="0"/>
            <w:vAlign w:val="center"/>
          </w:tcPr>
          <w:p w14:paraId="368CB357">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5AEB5A1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646D744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05D502D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5</w:t>
            </w:r>
          </w:p>
        </w:tc>
      </w:tr>
      <w:tr w14:paraId="7C16B3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7790B91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448C687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7419A0BD">
            <w:pPr>
              <w:pageBreakBefore w:val="0"/>
              <w:widowControl/>
              <w:kinsoku/>
              <w:wordWrap/>
              <w:overflowPunct/>
              <w:topLinePunct w:val="0"/>
              <w:autoSpaceDE/>
              <w:autoSpaceDN/>
              <w:bidi w:val="0"/>
              <w:spacing w:line="240" w:lineRule="auto"/>
              <w:ind w:firstLine="0" w:firstLineChars="0"/>
              <w:jc w:val="center"/>
              <w:textAlignment w:val="auto"/>
              <w:rPr>
                <w:rFonts w:hint="eastAsia" w:cs="宋体"/>
                <w:color w:val="auto"/>
                <w:kern w:val="0"/>
                <w:sz w:val="22"/>
                <w:szCs w:val="22"/>
                <w:highlight w:val="none"/>
                <w:lang w:val="en-US" w:eastAsia="zh-CN"/>
              </w:rPr>
            </w:pPr>
            <w:r>
              <w:rPr>
                <w:rFonts w:hint="eastAsia" w:ascii="宋体" w:hAnsi="宋体" w:eastAsia="宋体" w:cs="宋体"/>
                <w:color w:val="auto"/>
                <w:kern w:val="0"/>
                <w:sz w:val="22"/>
                <w:szCs w:val="22"/>
                <w:highlight w:val="none"/>
              </w:rPr>
              <w:t>改善教学环境，提供良好的学生成长条件</w:t>
            </w:r>
          </w:p>
        </w:tc>
        <w:tc>
          <w:tcPr>
            <w:tcW w:w="2141" w:type="dxa"/>
            <w:shd w:val="clear" w:color="auto" w:fill="auto"/>
            <w:noWrap w:val="0"/>
            <w:vAlign w:val="center"/>
          </w:tcPr>
          <w:p w14:paraId="0E71436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7C8C28B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201E04B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7</w:t>
            </w:r>
          </w:p>
        </w:tc>
        <w:tc>
          <w:tcPr>
            <w:tcW w:w="769" w:type="dxa"/>
            <w:shd w:val="clear" w:color="auto" w:fill="auto"/>
            <w:noWrap w:val="0"/>
            <w:vAlign w:val="center"/>
          </w:tcPr>
          <w:p w14:paraId="6505613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7</w:t>
            </w:r>
          </w:p>
        </w:tc>
      </w:tr>
      <w:tr w14:paraId="453AD8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2455017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1A86128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6ACAB15D">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师生满意度</w:t>
            </w:r>
          </w:p>
        </w:tc>
        <w:tc>
          <w:tcPr>
            <w:tcW w:w="2141" w:type="dxa"/>
            <w:shd w:val="clear" w:color="auto" w:fill="auto"/>
            <w:noWrap w:val="0"/>
            <w:vAlign w:val="center"/>
          </w:tcPr>
          <w:p w14:paraId="3208877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社会公众或服务对象对项目实施效果的满意程度。</w:t>
            </w:r>
          </w:p>
        </w:tc>
        <w:tc>
          <w:tcPr>
            <w:tcW w:w="7821" w:type="dxa"/>
            <w:shd w:val="clear" w:color="auto" w:fill="auto"/>
            <w:noWrap w:val="0"/>
            <w:vAlign w:val="center"/>
          </w:tcPr>
          <w:p w14:paraId="3BA1410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社会公众或服务对象是指因该项目实施而受到影响的部门（单位）、群体或个人。一般采取社会调查的方式。</w:t>
            </w:r>
          </w:p>
        </w:tc>
        <w:tc>
          <w:tcPr>
            <w:tcW w:w="785" w:type="dxa"/>
            <w:shd w:val="clear" w:color="auto" w:fill="auto"/>
            <w:noWrap w:val="0"/>
            <w:vAlign w:val="center"/>
          </w:tcPr>
          <w:p w14:paraId="3E2A17F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8</w:t>
            </w:r>
          </w:p>
        </w:tc>
        <w:tc>
          <w:tcPr>
            <w:tcW w:w="769" w:type="dxa"/>
            <w:shd w:val="clear" w:color="auto" w:fill="auto"/>
            <w:noWrap w:val="0"/>
            <w:vAlign w:val="center"/>
          </w:tcPr>
          <w:p w14:paraId="68F1500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8</w:t>
            </w:r>
          </w:p>
        </w:tc>
      </w:tr>
      <w:tr w14:paraId="37C2A4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17" w:hRule="atLeast"/>
          <w:jc w:val="center"/>
        </w:trPr>
        <w:tc>
          <w:tcPr>
            <w:tcW w:w="4549" w:type="dxa"/>
            <w:gridSpan w:val="4"/>
            <w:shd w:val="clear" w:color="auto" w:fill="auto"/>
            <w:noWrap w:val="0"/>
            <w:vAlign w:val="center"/>
          </w:tcPr>
          <w:p w14:paraId="2320FAB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lang w:val="en-US" w:eastAsia="zh-CN"/>
              </w:rPr>
            </w:pPr>
            <w:r>
              <w:rPr>
                <w:rFonts w:hint="eastAsia" w:ascii="宋体" w:hAnsi="宋体" w:eastAsia="宋体" w:cs="宋体"/>
                <w:color w:val="auto"/>
                <w:kern w:val="0"/>
                <w:sz w:val="22"/>
                <w:szCs w:val="22"/>
                <w:lang w:val="en-US" w:eastAsia="zh-CN"/>
              </w:rPr>
              <w:t>合计</w:t>
            </w:r>
          </w:p>
        </w:tc>
        <w:tc>
          <w:tcPr>
            <w:tcW w:w="7821" w:type="dxa"/>
            <w:shd w:val="clear" w:color="auto" w:fill="auto"/>
            <w:noWrap w:val="0"/>
            <w:vAlign w:val="center"/>
          </w:tcPr>
          <w:p w14:paraId="460ABA5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rPr>
            </w:pPr>
          </w:p>
        </w:tc>
        <w:tc>
          <w:tcPr>
            <w:tcW w:w="785" w:type="dxa"/>
            <w:shd w:val="clear" w:color="auto" w:fill="auto"/>
            <w:noWrap w:val="0"/>
            <w:vAlign w:val="center"/>
          </w:tcPr>
          <w:p w14:paraId="5ABFC94A">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100</w:t>
            </w:r>
          </w:p>
        </w:tc>
        <w:tc>
          <w:tcPr>
            <w:tcW w:w="769" w:type="dxa"/>
            <w:shd w:val="clear" w:color="auto" w:fill="auto"/>
            <w:noWrap w:val="0"/>
            <w:vAlign w:val="center"/>
          </w:tcPr>
          <w:p w14:paraId="23DECDDD">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99.2</w:t>
            </w:r>
          </w:p>
        </w:tc>
      </w:tr>
    </w:tbl>
    <w:p w14:paraId="155282F1">
      <w:pPr>
        <w:pageBreakBefore w:val="0"/>
        <w:kinsoku/>
        <w:wordWrap/>
        <w:overflowPunct/>
        <w:topLinePunct w:val="0"/>
        <w:autoSpaceDE/>
        <w:autoSpaceDN/>
        <w:bidi w:val="0"/>
        <w:spacing w:line="560" w:lineRule="exact"/>
        <w:ind w:firstLine="0" w:firstLineChars="0"/>
        <w:textAlignment w:val="auto"/>
        <w:rPr>
          <w:rFonts w:ascii="Times New Roman" w:hAnsi="Times New Roman" w:eastAsia="仿宋_GB2312" w:cs="Times New Roman"/>
          <w:sz w:val="30"/>
          <w:szCs w:val="24"/>
        </w:rPr>
      </w:pPr>
    </w:p>
    <w:p w14:paraId="1E8388A0">
      <w:pPr>
        <w:pageBreakBefore w:val="0"/>
        <w:kinsoku/>
        <w:wordWrap/>
        <w:overflowPunct/>
        <w:topLinePunct w:val="0"/>
        <w:autoSpaceDE/>
        <w:autoSpaceDN/>
        <w:bidi w:val="0"/>
        <w:spacing w:line="560" w:lineRule="exact"/>
        <w:textAlignment w:val="auto"/>
        <w:rPr>
          <w:rFonts w:hint="default"/>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0000000000000000000"/>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E6B2">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2B2F57">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82B2F57">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7D6A04"/>
    <w:rsid w:val="00E23C81"/>
    <w:rsid w:val="01253350"/>
    <w:rsid w:val="01282E62"/>
    <w:rsid w:val="014029CF"/>
    <w:rsid w:val="01470C4C"/>
    <w:rsid w:val="01E75F14"/>
    <w:rsid w:val="01EF2669"/>
    <w:rsid w:val="01F62F61"/>
    <w:rsid w:val="02200440"/>
    <w:rsid w:val="02284B43"/>
    <w:rsid w:val="028C3E62"/>
    <w:rsid w:val="02B015E2"/>
    <w:rsid w:val="02DC08FA"/>
    <w:rsid w:val="033B569D"/>
    <w:rsid w:val="039C3BA0"/>
    <w:rsid w:val="03A845BB"/>
    <w:rsid w:val="03B45AD1"/>
    <w:rsid w:val="04D12EE4"/>
    <w:rsid w:val="04D63993"/>
    <w:rsid w:val="063F6102"/>
    <w:rsid w:val="07890F4F"/>
    <w:rsid w:val="08892439"/>
    <w:rsid w:val="08EB30F3"/>
    <w:rsid w:val="09237408"/>
    <w:rsid w:val="09781BD6"/>
    <w:rsid w:val="09F359DF"/>
    <w:rsid w:val="0A575E65"/>
    <w:rsid w:val="0ACA0AB6"/>
    <w:rsid w:val="0B8271BF"/>
    <w:rsid w:val="0C032502"/>
    <w:rsid w:val="0C27698C"/>
    <w:rsid w:val="0CE353ED"/>
    <w:rsid w:val="0D4452F3"/>
    <w:rsid w:val="0F5E5042"/>
    <w:rsid w:val="0FE95707"/>
    <w:rsid w:val="10510571"/>
    <w:rsid w:val="10787A20"/>
    <w:rsid w:val="108672DE"/>
    <w:rsid w:val="10EC685A"/>
    <w:rsid w:val="11B00D0A"/>
    <w:rsid w:val="11F34C9C"/>
    <w:rsid w:val="11FA6155"/>
    <w:rsid w:val="12CF0947"/>
    <w:rsid w:val="12F1313F"/>
    <w:rsid w:val="136C678E"/>
    <w:rsid w:val="13EB2FF5"/>
    <w:rsid w:val="14CD188B"/>
    <w:rsid w:val="14ED4CAC"/>
    <w:rsid w:val="15725168"/>
    <w:rsid w:val="15A46B04"/>
    <w:rsid w:val="165825BC"/>
    <w:rsid w:val="16BC5D73"/>
    <w:rsid w:val="176F36D7"/>
    <w:rsid w:val="1795226D"/>
    <w:rsid w:val="18456B1E"/>
    <w:rsid w:val="18910440"/>
    <w:rsid w:val="18D21BDA"/>
    <w:rsid w:val="18DC1E7D"/>
    <w:rsid w:val="1A142DF4"/>
    <w:rsid w:val="1C1171C5"/>
    <w:rsid w:val="1D265138"/>
    <w:rsid w:val="1D7B6BCA"/>
    <w:rsid w:val="1DA41A79"/>
    <w:rsid w:val="1DF53469"/>
    <w:rsid w:val="1E2F24F2"/>
    <w:rsid w:val="1E58492F"/>
    <w:rsid w:val="1E5B6757"/>
    <w:rsid w:val="1ED10AC6"/>
    <w:rsid w:val="1EE0059B"/>
    <w:rsid w:val="1F89225F"/>
    <w:rsid w:val="1F900A1F"/>
    <w:rsid w:val="1FB07E05"/>
    <w:rsid w:val="1FC0575D"/>
    <w:rsid w:val="20480745"/>
    <w:rsid w:val="206132C7"/>
    <w:rsid w:val="21081155"/>
    <w:rsid w:val="21B00C1D"/>
    <w:rsid w:val="21F3518C"/>
    <w:rsid w:val="23031BEB"/>
    <w:rsid w:val="23917691"/>
    <w:rsid w:val="244D65B8"/>
    <w:rsid w:val="245E1E24"/>
    <w:rsid w:val="25AD5E5D"/>
    <w:rsid w:val="26AA1ACC"/>
    <w:rsid w:val="2732478D"/>
    <w:rsid w:val="27661469"/>
    <w:rsid w:val="27900EAD"/>
    <w:rsid w:val="279B538A"/>
    <w:rsid w:val="286F545C"/>
    <w:rsid w:val="29314FBC"/>
    <w:rsid w:val="2AA2081A"/>
    <w:rsid w:val="2C024B86"/>
    <w:rsid w:val="2C927671"/>
    <w:rsid w:val="2CC6306F"/>
    <w:rsid w:val="2D355E3C"/>
    <w:rsid w:val="2D7C5CD6"/>
    <w:rsid w:val="2E102C98"/>
    <w:rsid w:val="2E483E7E"/>
    <w:rsid w:val="2E690493"/>
    <w:rsid w:val="2E9854BD"/>
    <w:rsid w:val="2F0D407F"/>
    <w:rsid w:val="2F454B19"/>
    <w:rsid w:val="2F83466B"/>
    <w:rsid w:val="310224D9"/>
    <w:rsid w:val="31B4621C"/>
    <w:rsid w:val="31E3230A"/>
    <w:rsid w:val="330957E0"/>
    <w:rsid w:val="33356F64"/>
    <w:rsid w:val="33944516"/>
    <w:rsid w:val="34B62907"/>
    <w:rsid w:val="34FD01C1"/>
    <w:rsid w:val="36BD137C"/>
    <w:rsid w:val="38053EDF"/>
    <w:rsid w:val="380812A4"/>
    <w:rsid w:val="385D37E7"/>
    <w:rsid w:val="38782EDD"/>
    <w:rsid w:val="3B42664A"/>
    <w:rsid w:val="3CAD1E92"/>
    <w:rsid w:val="3D836A4E"/>
    <w:rsid w:val="3EA37E97"/>
    <w:rsid w:val="3FBE0BC5"/>
    <w:rsid w:val="4048103A"/>
    <w:rsid w:val="40736643"/>
    <w:rsid w:val="40965852"/>
    <w:rsid w:val="40D24A7A"/>
    <w:rsid w:val="42621029"/>
    <w:rsid w:val="433B259C"/>
    <w:rsid w:val="43424558"/>
    <w:rsid w:val="435241E2"/>
    <w:rsid w:val="43914D28"/>
    <w:rsid w:val="43975C51"/>
    <w:rsid w:val="439E3FA7"/>
    <w:rsid w:val="44B32266"/>
    <w:rsid w:val="44FC64F4"/>
    <w:rsid w:val="467F4585"/>
    <w:rsid w:val="470628CB"/>
    <w:rsid w:val="4729480B"/>
    <w:rsid w:val="47555BD4"/>
    <w:rsid w:val="47BC2DB1"/>
    <w:rsid w:val="47E96399"/>
    <w:rsid w:val="47F76025"/>
    <w:rsid w:val="486E33F5"/>
    <w:rsid w:val="48E12B50"/>
    <w:rsid w:val="497D63FE"/>
    <w:rsid w:val="499441BE"/>
    <w:rsid w:val="499A6C1C"/>
    <w:rsid w:val="4A195607"/>
    <w:rsid w:val="4A2138F0"/>
    <w:rsid w:val="4A583887"/>
    <w:rsid w:val="4B9F6E02"/>
    <w:rsid w:val="4BAA2775"/>
    <w:rsid w:val="4BEB7DBE"/>
    <w:rsid w:val="4C89637B"/>
    <w:rsid w:val="4D3C634C"/>
    <w:rsid w:val="4E6E48A8"/>
    <w:rsid w:val="4EEC036B"/>
    <w:rsid w:val="4F714FA1"/>
    <w:rsid w:val="4F9654F7"/>
    <w:rsid w:val="4FA72D82"/>
    <w:rsid w:val="501D2673"/>
    <w:rsid w:val="50C80BF1"/>
    <w:rsid w:val="51852833"/>
    <w:rsid w:val="52F11AC8"/>
    <w:rsid w:val="534F49D9"/>
    <w:rsid w:val="53555F0F"/>
    <w:rsid w:val="535D23D5"/>
    <w:rsid w:val="53D21C30"/>
    <w:rsid w:val="55A93FD1"/>
    <w:rsid w:val="56F4341A"/>
    <w:rsid w:val="575A7321"/>
    <w:rsid w:val="57686C8A"/>
    <w:rsid w:val="580C3AB9"/>
    <w:rsid w:val="583C7AE0"/>
    <w:rsid w:val="586C1E9A"/>
    <w:rsid w:val="586E0800"/>
    <w:rsid w:val="59216F96"/>
    <w:rsid w:val="598C4145"/>
    <w:rsid w:val="59957D1B"/>
    <w:rsid w:val="59D4294E"/>
    <w:rsid w:val="5B634312"/>
    <w:rsid w:val="5B9D2CCD"/>
    <w:rsid w:val="5B9E71EA"/>
    <w:rsid w:val="5E226FBC"/>
    <w:rsid w:val="5FE72BD2"/>
    <w:rsid w:val="60120613"/>
    <w:rsid w:val="618D5292"/>
    <w:rsid w:val="619A35BC"/>
    <w:rsid w:val="61A02FD6"/>
    <w:rsid w:val="62143C96"/>
    <w:rsid w:val="622E78FA"/>
    <w:rsid w:val="63343F70"/>
    <w:rsid w:val="6377272F"/>
    <w:rsid w:val="63C139AA"/>
    <w:rsid w:val="64296E1C"/>
    <w:rsid w:val="64386FCC"/>
    <w:rsid w:val="649E64A2"/>
    <w:rsid w:val="65E5270A"/>
    <w:rsid w:val="663D3C54"/>
    <w:rsid w:val="667A6962"/>
    <w:rsid w:val="66862C89"/>
    <w:rsid w:val="66BB486D"/>
    <w:rsid w:val="67394C7D"/>
    <w:rsid w:val="67ED0AA0"/>
    <w:rsid w:val="68126B38"/>
    <w:rsid w:val="68291A1A"/>
    <w:rsid w:val="68352BB8"/>
    <w:rsid w:val="68F10304"/>
    <w:rsid w:val="691327EB"/>
    <w:rsid w:val="691B1594"/>
    <w:rsid w:val="693A016B"/>
    <w:rsid w:val="695F0DB8"/>
    <w:rsid w:val="6A17429C"/>
    <w:rsid w:val="6A287499"/>
    <w:rsid w:val="6A567EA3"/>
    <w:rsid w:val="6B4B4368"/>
    <w:rsid w:val="6B79100E"/>
    <w:rsid w:val="6BF53920"/>
    <w:rsid w:val="6C3759AC"/>
    <w:rsid w:val="6C844C00"/>
    <w:rsid w:val="6E10212C"/>
    <w:rsid w:val="6E121369"/>
    <w:rsid w:val="6E43561A"/>
    <w:rsid w:val="6E557973"/>
    <w:rsid w:val="6E9568DB"/>
    <w:rsid w:val="6E9B3C50"/>
    <w:rsid w:val="6F0D6C22"/>
    <w:rsid w:val="6F47657F"/>
    <w:rsid w:val="6F9603E0"/>
    <w:rsid w:val="6FAF23D9"/>
    <w:rsid w:val="70635CF6"/>
    <w:rsid w:val="70670707"/>
    <w:rsid w:val="71FD64F5"/>
    <w:rsid w:val="720E3691"/>
    <w:rsid w:val="7249173A"/>
    <w:rsid w:val="724E244C"/>
    <w:rsid w:val="72DA6946"/>
    <w:rsid w:val="732764B3"/>
    <w:rsid w:val="74026044"/>
    <w:rsid w:val="74325A77"/>
    <w:rsid w:val="74746410"/>
    <w:rsid w:val="75C8506C"/>
    <w:rsid w:val="75E5007C"/>
    <w:rsid w:val="77636B63"/>
    <w:rsid w:val="77813724"/>
    <w:rsid w:val="77861774"/>
    <w:rsid w:val="781D0DC8"/>
    <w:rsid w:val="78786918"/>
    <w:rsid w:val="78F31435"/>
    <w:rsid w:val="79300B45"/>
    <w:rsid w:val="794D3E18"/>
    <w:rsid w:val="79F3729A"/>
    <w:rsid w:val="7A880722"/>
    <w:rsid w:val="7ABE6120"/>
    <w:rsid w:val="7ACB0498"/>
    <w:rsid w:val="7AD93EE7"/>
    <w:rsid w:val="7AED0B4D"/>
    <w:rsid w:val="7C1E4487"/>
    <w:rsid w:val="7C215E02"/>
    <w:rsid w:val="7C5F44CE"/>
    <w:rsid w:val="7CF23764"/>
    <w:rsid w:val="7CF33C29"/>
    <w:rsid w:val="7D1A5354"/>
    <w:rsid w:val="7D851A94"/>
    <w:rsid w:val="7DB15FB3"/>
    <w:rsid w:val="7E797F74"/>
    <w:rsid w:val="7F687BD7"/>
    <w:rsid w:val="7F924011"/>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20"/>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before="240" w:after="240" w:line="360" w:lineRule="auto"/>
      <w:jc w:val="center"/>
    </w:pPr>
    <w:rPr>
      <w:b/>
      <w:sz w:val="44"/>
    </w:rPr>
  </w:style>
  <w:style w:type="paragraph" w:styleId="6">
    <w:name w:val="annotation text"/>
    <w:basedOn w:val="1"/>
    <w:qFormat/>
    <w:uiPriority w:val="0"/>
    <w:pPr>
      <w:jc w:val="left"/>
    </w:p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2"/>
    <w:qFormat/>
    <w:uiPriority w:val="0"/>
    <w:pPr>
      <w:spacing w:after="0"/>
      <w:ind w:firstLine="200" w:firstLineChars="200"/>
    </w:pPr>
  </w:style>
  <w:style w:type="character" w:styleId="18">
    <w:name w:val="Strong"/>
    <w:basedOn w:val="17"/>
    <w:qFormat/>
    <w:uiPriority w:val="0"/>
    <w:rPr>
      <w:b/>
      <w:bCs/>
    </w:rPr>
  </w:style>
  <w:style w:type="paragraph" w:customStyle="1" w:styleId="19">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20">
    <w:name w:val="标题 2 Char"/>
    <w:link w:val="4"/>
    <w:qFormat/>
    <w:uiPriority w:val="0"/>
    <w:rPr>
      <w:rFonts w:ascii="Arial" w:hAnsi="Arial" w:eastAsia="楷体"/>
      <w:b/>
      <w:sz w:val="32"/>
    </w:rPr>
  </w:style>
  <w:style w:type="paragraph" w:customStyle="1" w:styleId="21">
    <w:name w:val="WPSOffice手动目录 1"/>
    <w:qFormat/>
    <w:uiPriority w:val="0"/>
    <w:pPr>
      <w:ind w:leftChars="0"/>
    </w:pPr>
    <w:rPr>
      <w:rFonts w:ascii="Times New Roman" w:hAnsi="Times New Roman" w:eastAsia="宋体" w:cs="Times New Roman"/>
      <w:sz w:val="20"/>
      <w:szCs w:val="20"/>
    </w:rPr>
  </w:style>
  <w:style w:type="paragraph" w:customStyle="1" w:styleId="22">
    <w:name w:val="WPSOffice手动目录 2"/>
    <w:qFormat/>
    <w:uiPriority w:val="0"/>
    <w:pPr>
      <w:ind w:leftChars="200"/>
    </w:pPr>
    <w:rPr>
      <w:rFonts w:ascii="Times New Roman" w:hAnsi="Times New Roman" w:eastAsia="宋体" w:cs="Times New Roman"/>
      <w:sz w:val="20"/>
      <w:szCs w:val="20"/>
    </w:rPr>
  </w:style>
  <w:style w:type="paragraph" w:customStyle="1" w:styleId="23">
    <w:name w:val="WPSOffice手动目录 3"/>
    <w:qFormat/>
    <w:uiPriority w:val="0"/>
    <w:pPr>
      <w:ind w:leftChars="400"/>
    </w:pPr>
    <w:rPr>
      <w:rFonts w:ascii="Times New Roman" w:hAnsi="Times New Roman" w:eastAsia="宋体" w:cs="Times New Roman"/>
      <w:sz w:val="20"/>
      <w:szCs w:val="20"/>
    </w:rPr>
  </w:style>
  <w:style w:type="character" w:customStyle="1" w:styleId="24">
    <w:name w:val="font61"/>
    <w:basedOn w:val="17"/>
    <w:qFormat/>
    <w:uiPriority w:val="0"/>
    <w:rPr>
      <w:rFonts w:ascii="宋体" w:hAnsi="宋体" w:eastAsia="宋体" w:cs="宋体"/>
      <w:color w:val="000000"/>
      <w:sz w:val="20"/>
      <w:szCs w:val="20"/>
      <w:u w:val="none"/>
    </w:rPr>
  </w:style>
  <w:style w:type="character" w:customStyle="1" w:styleId="25">
    <w:name w:val="font41"/>
    <w:basedOn w:val="17"/>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11088</Words>
  <Characters>11769</Characters>
  <Lines>0</Lines>
  <Paragraphs>0</Paragraphs>
  <TotalTime>1</TotalTime>
  <ScaleCrop>false</ScaleCrop>
  <LinksUpToDate>false</LinksUpToDate>
  <CharactersWithSpaces>11845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2025-10-23T09:14:16Z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1D17C581B7B649E79D2BCA767FA9A472_13</vt:lpwstr>
  </property>
  <property fmtid="{D5CDD505-2E9C-101B-9397-08002B2CF9AE}" pid="4" name="KSOTemplateDocerSaveRecord">
    <vt:lpwstr>eyJoZGlkIjoiNTY3MmI4ODZmMjljZWZhNGFkN2U2N2Y4ODgwYjM5ZGIiLCJ1c2VySWQiOiIzNjI1MzY3NzcifQ==</vt:lpwstr>
  </property>
</Properties>
</file>