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142DBA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6741"/>
      <w:bookmarkStart w:id="1" w:name="_Toc15679"/>
      <w:bookmarkStart w:id="2" w:name="_Toc25575"/>
      <w:bookmarkStart w:id="3" w:name="_Toc1949"/>
      <w:bookmarkStart w:id="4" w:name="_Toc29123"/>
      <w:r>
        <w:rPr>
          <w:rFonts w:hint="eastAsia" w:ascii="宋体" w:hAnsi="宋体" w:eastAsia="宋体" w:cs="宋体"/>
          <w:b/>
          <w:bCs/>
          <w:color w:val="auto"/>
          <w:sz w:val="40"/>
          <w:szCs w:val="40"/>
          <w:highlight w:val="none"/>
          <w:shd w:val="clear" w:color="auto" w:fill="auto"/>
          <w:lang w:val="en-US" w:eastAsia="zh-CN"/>
        </w:rPr>
        <w:t>2024年选聘教师工资补助经费项目</w:t>
      </w:r>
      <w:r>
        <w:rPr>
          <w:rFonts w:hint="eastAsia" w:ascii="宋体" w:hAnsi="宋体" w:eastAsia="宋体" w:cs="宋体"/>
          <w:b/>
          <w:bCs/>
          <w:color w:val="auto"/>
          <w:sz w:val="40"/>
          <w:szCs w:val="40"/>
          <w:highlight w:val="none"/>
          <w:shd w:val="clear" w:color="auto" w:fill="auto"/>
        </w:rPr>
        <w:t>支出</w:t>
      </w:r>
      <w:bookmarkEnd w:id="0"/>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5" w:name="_Toc6547"/>
      <w:r>
        <w:rPr>
          <w:rFonts w:hint="eastAsia" w:ascii="宋体" w:hAnsi="宋体" w:eastAsia="宋体" w:cs="宋体"/>
          <w:b/>
          <w:bCs/>
          <w:color w:val="auto"/>
          <w:sz w:val="40"/>
          <w:szCs w:val="40"/>
          <w:highlight w:val="none"/>
          <w:shd w:val="clear" w:color="auto" w:fill="auto"/>
        </w:rPr>
        <w:t>绩效评价报告</w:t>
      </w:r>
      <w:bookmarkEnd w:id="1"/>
      <w:bookmarkEnd w:id="2"/>
      <w:bookmarkEnd w:id="3"/>
      <w:bookmarkEnd w:id="4"/>
      <w:bookmarkEnd w:id="5"/>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471E2FDA">
      <w:pPr>
        <w:spacing w:line="360" w:lineRule="auto"/>
        <w:ind w:firstLine="0" w:firstLineChars="0"/>
        <w:jc w:val="left"/>
        <w:rPr>
          <w:rFonts w:hint="eastAsia" w:ascii="黑体" w:hAnsi="Times New Roman" w:eastAsia="黑体"/>
          <w:b w:val="0"/>
          <w:bCs/>
          <w:color w:val="auto"/>
          <w:sz w:val="30"/>
          <w:szCs w:val="30"/>
          <w:lang w:eastAsia="zh-CN"/>
        </w:rPr>
      </w:pPr>
      <w:r>
        <w:rPr>
          <w:rFonts w:hint="eastAsia" w:ascii="黑体" w:hAnsi="Times New Roman" w:eastAsia="黑体"/>
          <w:b w:val="0"/>
          <w:bCs/>
          <w:color w:val="auto"/>
          <w:sz w:val="30"/>
          <w:szCs w:val="30"/>
        </w:rPr>
        <w:t>项目名称：</w:t>
      </w:r>
      <w:r>
        <w:rPr>
          <w:rFonts w:hint="eastAsia" w:ascii="黑体" w:hAnsi="Times New Roman" w:eastAsia="黑体"/>
          <w:b w:val="0"/>
          <w:bCs/>
          <w:color w:val="auto"/>
          <w:sz w:val="30"/>
          <w:szCs w:val="30"/>
          <w:lang w:eastAsia="zh-CN"/>
        </w:rPr>
        <w:t>2024年选聘教师工资补助经费</w:t>
      </w:r>
    </w:p>
    <w:p w14:paraId="7CB8A243">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rPr>
        <w:t>实施单位：</w:t>
      </w:r>
      <w:r>
        <w:rPr>
          <w:rFonts w:hint="eastAsia" w:ascii="黑体" w:hAnsi="Times New Roman" w:eastAsia="黑体"/>
          <w:b w:val="0"/>
          <w:bCs/>
          <w:color w:val="auto"/>
          <w:sz w:val="30"/>
          <w:szCs w:val="30"/>
          <w:lang w:val="en-US" w:eastAsia="zh-CN"/>
        </w:rPr>
        <w:t>阜康市九运街镇中心幼儿园</w:t>
      </w:r>
    </w:p>
    <w:p w14:paraId="1CD13478">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rPr>
        <w:t>主管部门：</w:t>
      </w:r>
      <w:r>
        <w:rPr>
          <w:rFonts w:hint="eastAsia" w:ascii="黑体" w:hAnsi="Times New Roman" w:eastAsia="黑体"/>
          <w:b w:val="0"/>
          <w:bCs/>
          <w:color w:val="auto"/>
          <w:sz w:val="30"/>
          <w:szCs w:val="30"/>
          <w:lang w:val="en-US" w:eastAsia="zh-CN"/>
        </w:rPr>
        <w:t>阜康市教育局</w:t>
      </w:r>
    </w:p>
    <w:p w14:paraId="065BEE39">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项目负责</w:t>
      </w:r>
      <w:r>
        <w:rPr>
          <w:rFonts w:hint="eastAsia" w:ascii="黑体" w:hAnsi="Times New Roman" w:eastAsia="黑体"/>
          <w:b w:val="0"/>
          <w:bCs/>
          <w:color w:val="auto"/>
          <w:sz w:val="30"/>
          <w:szCs w:val="30"/>
          <w:lang w:val="en-US" w:eastAsia="zh-CN"/>
        </w:rPr>
        <w:t>人：吴佳琪</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color w:val="auto"/>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lang w:val="en-US" w:eastAsia="zh-CN"/>
        </w:rPr>
      </w:pPr>
    </w:p>
    <w:sdt>
      <w:sdtPr>
        <w:rPr>
          <w:rFonts w:ascii="宋体" w:hAnsi="宋体" w:eastAsia="宋体" w:cs="宋体"/>
          <w:b/>
          <w:bCs/>
          <w:color w:val="auto"/>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rPr>
          </w:pPr>
          <w:r>
            <w:rPr>
              <w:rFonts w:ascii="宋体" w:hAnsi="宋体" w:eastAsia="宋体"/>
              <w:b/>
              <w:bCs/>
              <w:color w:val="auto"/>
              <w:sz w:val="40"/>
              <w:szCs w:val="40"/>
            </w:rPr>
            <w:t>目录</w:t>
          </w:r>
        </w:p>
        <w:p w14:paraId="51C6002A">
          <w:pPr>
            <w:pStyle w:val="10"/>
            <w:tabs>
              <w:tab w:val="right" w:leader="dot" w:pos="8844"/>
            </w:tabs>
          </w:pPr>
          <w:r>
            <w:rPr>
              <w:rFonts w:hint="eastAsia"/>
              <w:color w:val="auto"/>
              <w:sz w:val="28"/>
              <w:szCs w:val="28"/>
              <w:lang w:val="en-US" w:eastAsia="zh-CN"/>
            </w:rPr>
            <w:fldChar w:fldCharType="begin"/>
          </w:r>
          <w:r>
            <w:rPr>
              <w:rFonts w:hint="eastAsia"/>
              <w:color w:val="auto"/>
              <w:sz w:val="28"/>
              <w:szCs w:val="28"/>
              <w:lang w:val="en-US" w:eastAsia="zh-CN"/>
            </w:rPr>
            <w:instrText xml:space="preserve">TOC \o "1-3" \h \u </w:instrText>
          </w:r>
          <w:r>
            <w:rPr>
              <w:rFonts w:hint="eastAsia"/>
              <w:color w:val="auto"/>
              <w:sz w:val="28"/>
              <w:szCs w:val="28"/>
              <w:lang w:val="en-US" w:eastAsia="zh-CN"/>
            </w:rPr>
            <w:fldChar w:fldCharType="separate"/>
          </w:r>
        </w:p>
        <w:p w14:paraId="34BA29D2">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_Toc13715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_Toc13715 \h </w:instrText>
          </w:r>
          <w:r>
            <w:fldChar w:fldCharType="separate"/>
          </w:r>
          <w:r>
            <w:t>4</w:t>
          </w:r>
          <w:r>
            <w:fldChar w:fldCharType="end"/>
          </w:r>
          <w:r>
            <w:rPr>
              <w:rFonts w:hint="eastAsia"/>
              <w:color w:val="auto"/>
              <w:szCs w:val="28"/>
              <w:lang w:val="en-US" w:eastAsia="zh-CN"/>
            </w:rPr>
            <w:fldChar w:fldCharType="end"/>
          </w:r>
        </w:p>
        <w:p w14:paraId="67256546">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_Toc18422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_Toc18422 \h </w:instrText>
          </w:r>
          <w:r>
            <w:fldChar w:fldCharType="separate"/>
          </w:r>
          <w:r>
            <w:t>4</w:t>
          </w:r>
          <w:r>
            <w:fldChar w:fldCharType="end"/>
          </w:r>
          <w:r>
            <w:rPr>
              <w:rFonts w:hint="eastAsia"/>
              <w:color w:val="auto"/>
              <w:szCs w:val="28"/>
              <w:lang w:val="en-US" w:eastAsia="zh-CN"/>
            </w:rPr>
            <w:fldChar w:fldCharType="end"/>
          </w:r>
        </w:p>
        <w:p w14:paraId="6AC22BD0">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_Toc31836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_Toc31836 \h </w:instrText>
          </w:r>
          <w:r>
            <w:fldChar w:fldCharType="separate"/>
          </w:r>
          <w:r>
            <w:t>6</w:t>
          </w:r>
          <w:r>
            <w:fldChar w:fldCharType="end"/>
          </w:r>
          <w:r>
            <w:rPr>
              <w:rFonts w:hint="eastAsia"/>
              <w:color w:val="auto"/>
              <w:szCs w:val="28"/>
              <w:lang w:val="en-US" w:eastAsia="zh-CN"/>
            </w:rPr>
            <w:fldChar w:fldCharType="end"/>
          </w:r>
        </w:p>
        <w:p w14:paraId="2B6CAD0F">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_Toc23327 </w:instrText>
          </w:r>
          <w:r>
            <w:rPr>
              <w:rFonts w:hint="eastAsia"/>
              <w:szCs w:val="28"/>
              <w:lang w:val="en-US" w:eastAsia="zh-CN"/>
            </w:rPr>
            <w:fldChar w:fldCharType="separate"/>
          </w:r>
          <w:r>
            <w:rPr>
              <w:rFonts w:hint="eastAsia" w:ascii="宋体" w:hAnsi="宋体" w:eastAsia="宋体" w:cs="宋体"/>
              <w:bCs/>
              <w:highlight w:val="none"/>
              <w:shd w:val="clear" w:color="auto" w:fill="auto"/>
            </w:rPr>
            <w:t>二、绩效评价工作开展情况</w:t>
          </w:r>
          <w:r>
            <w:tab/>
          </w:r>
          <w:r>
            <w:fldChar w:fldCharType="begin"/>
          </w:r>
          <w:r>
            <w:instrText xml:space="preserve"> PAGEREF _Toc23327 \h </w:instrText>
          </w:r>
          <w:r>
            <w:fldChar w:fldCharType="separate"/>
          </w:r>
          <w:r>
            <w:t>7</w:t>
          </w:r>
          <w:r>
            <w:fldChar w:fldCharType="end"/>
          </w:r>
          <w:r>
            <w:rPr>
              <w:rFonts w:hint="eastAsia"/>
              <w:color w:val="auto"/>
              <w:szCs w:val="28"/>
              <w:lang w:val="en-US" w:eastAsia="zh-CN"/>
            </w:rPr>
            <w:fldChar w:fldCharType="end"/>
          </w:r>
        </w:p>
        <w:p w14:paraId="660BA084">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_Toc27866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_Toc27866 \h </w:instrText>
          </w:r>
          <w:r>
            <w:fldChar w:fldCharType="separate"/>
          </w:r>
          <w:r>
            <w:t>7</w:t>
          </w:r>
          <w:r>
            <w:fldChar w:fldCharType="end"/>
          </w:r>
          <w:r>
            <w:rPr>
              <w:rFonts w:hint="eastAsia"/>
              <w:color w:val="auto"/>
              <w:szCs w:val="28"/>
              <w:lang w:val="en-US" w:eastAsia="zh-CN"/>
            </w:rPr>
            <w:fldChar w:fldCharType="end"/>
          </w:r>
        </w:p>
        <w:p w14:paraId="4AA2A399">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_Toc5698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_Toc5698 \h </w:instrText>
          </w:r>
          <w:r>
            <w:fldChar w:fldCharType="separate"/>
          </w:r>
          <w:r>
            <w:t>14</w:t>
          </w:r>
          <w:r>
            <w:fldChar w:fldCharType="end"/>
          </w:r>
          <w:r>
            <w:rPr>
              <w:rFonts w:hint="eastAsia"/>
              <w:color w:val="auto"/>
              <w:szCs w:val="28"/>
              <w:lang w:val="en-US" w:eastAsia="zh-CN"/>
            </w:rPr>
            <w:fldChar w:fldCharType="end"/>
          </w:r>
        </w:p>
        <w:p w14:paraId="72BE6AB7">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_Toc1545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_Toc1545 \h </w:instrText>
          </w:r>
          <w:r>
            <w:fldChar w:fldCharType="separate"/>
          </w:r>
          <w:r>
            <w:t>16</w:t>
          </w:r>
          <w:r>
            <w:fldChar w:fldCharType="end"/>
          </w:r>
          <w:r>
            <w:rPr>
              <w:rFonts w:hint="eastAsia"/>
              <w:color w:val="auto"/>
              <w:szCs w:val="28"/>
              <w:lang w:val="en-US" w:eastAsia="zh-CN"/>
            </w:rPr>
            <w:fldChar w:fldCharType="end"/>
          </w:r>
        </w:p>
        <w:p w14:paraId="2D802938">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_Toc12479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_Toc12479 \h </w:instrText>
          </w:r>
          <w:r>
            <w:fldChar w:fldCharType="separate"/>
          </w:r>
          <w:r>
            <w:t>16</w:t>
          </w:r>
          <w:r>
            <w:fldChar w:fldCharType="end"/>
          </w:r>
          <w:r>
            <w:rPr>
              <w:rFonts w:hint="eastAsia"/>
              <w:color w:val="auto"/>
              <w:szCs w:val="28"/>
              <w:lang w:val="en-US" w:eastAsia="zh-CN"/>
            </w:rPr>
            <w:fldChar w:fldCharType="end"/>
          </w:r>
        </w:p>
        <w:p w14:paraId="04307A11">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_Toc13231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_Toc13231 \h </w:instrText>
          </w:r>
          <w:r>
            <w:fldChar w:fldCharType="separate"/>
          </w:r>
          <w:r>
            <w:t>16</w:t>
          </w:r>
          <w:r>
            <w:fldChar w:fldCharType="end"/>
          </w:r>
          <w:r>
            <w:rPr>
              <w:rFonts w:hint="eastAsia"/>
              <w:color w:val="auto"/>
              <w:szCs w:val="28"/>
              <w:lang w:val="en-US" w:eastAsia="zh-CN"/>
            </w:rPr>
            <w:fldChar w:fldCharType="end"/>
          </w:r>
        </w:p>
        <w:p w14:paraId="001E402D">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_Toc3613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_Toc3613 \h </w:instrText>
          </w:r>
          <w:r>
            <w:fldChar w:fldCharType="separate"/>
          </w:r>
          <w:r>
            <w:t>17</w:t>
          </w:r>
          <w:r>
            <w:fldChar w:fldCharType="end"/>
          </w:r>
          <w:r>
            <w:rPr>
              <w:rFonts w:hint="eastAsia"/>
              <w:color w:val="auto"/>
              <w:szCs w:val="28"/>
              <w:lang w:val="en-US" w:eastAsia="zh-CN"/>
            </w:rPr>
            <w:fldChar w:fldCharType="end"/>
          </w:r>
        </w:p>
        <w:p w14:paraId="7E50D7BD">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_Toc20420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_Toc20420 \h </w:instrText>
          </w:r>
          <w:r>
            <w:fldChar w:fldCharType="separate"/>
          </w:r>
          <w:r>
            <w:t>17</w:t>
          </w:r>
          <w:r>
            <w:fldChar w:fldCharType="end"/>
          </w:r>
          <w:r>
            <w:rPr>
              <w:rFonts w:hint="eastAsia"/>
              <w:color w:val="auto"/>
              <w:szCs w:val="28"/>
              <w:lang w:val="en-US" w:eastAsia="zh-CN"/>
            </w:rPr>
            <w:fldChar w:fldCharType="end"/>
          </w:r>
        </w:p>
        <w:p w14:paraId="0D65581A">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_Toc23423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_Toc23423 \h </w:instrText>
          </w:r>
          <w:r>
            <w:fldChar w:fldCharType="separate"/>
          </w:r>
          <w:r>
            <w:t>20</w:t>
          </w:r>
          <w:r>
            <w:fldChar w:fldCharType="end"/>
          </w:r>
          <w:r>
            <w:rPr>
              <w:rFonts w:hint="eastAsia"/>
              <w:color w:val="auto"/>
              <w:szCs w:val="28"/>
              <w:lang w:val="en-US" w:eastAsia="zh-CN"/>
            </w:rPr>
            <w:fldChar w:fldCharType="end"/>
          </w:r>
        </w:p>
        <w:p w14:paraId="670CD9D5">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_Toc10625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_Toc10625 \h </w:instrText>
          </w:r>
          <w:r>
            <w:fldChar w:fldCharType="separate"/>
          </w:r>
          <w:r>
            <w:t>23</w:t>
          </w:r>
          <w:r>
            <w:fldChar w:fldCharType="end"/>
          </w:r>
          <w:r>
            <w:rPr>
              <w:rFonts w:hint="eastAsia"/>
              <w:color w:val="auto"/>
              <w:szCs w:val="28"/>
              <w:lang w:val="en-US" w:eastAsia="zh-CN"/>
            </w:rPr>
            <w:fldChar w:fldCharType="end"/>
          </w:r>
        </w:p>
        <w:p w14:paraId="528EF2D7">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_Toc24768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_Toc24768 \h </w:instrText>
          </w:r>
          <w:r>
            <w:fldChar w:fldCharType="separate"/>
          </w:r>
          <w:r>
            <w:t>24</w:t>
          </w:r>
          <w:r>
            <w:fldChar w:fldCharType="end"/>
          </w:r>
          <w:r>
            <w:rPr>
              <w:rFonts w:hint="eastAsia"/>
              <w:color w:val="auto"/>
              <w:szCs w:val="28"/>
              <w:lang w:val="en-US" w:eastAsia="zh-CN"/>
            </w:rPr>
            <w:fldChar w:fldCharType="end"/>
          </w:r>
        </w:p>
        <w:p w14:paraId="5136A0A6">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_Toc16664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（五）满意度指标完成情况分析</w:t>
          </w:r>
          <w:r>
            <w:tab/>
          </w:r>
          <w:r>
            <w:fldChar w:fldCharType="begin"/>
          </w:r>
          <w:r>
            <w:instrText xml:space="preserve"> PAGEREF _Toc16664 \h </w:instrText>
          </w:r>
          <w:r>
            <w:fldChar w:fldCharType="separate"/>
          </w:r>
          <w:r>
            <w:t>25</w:t>
          </w:r>
          <w:r>
            <w:fldChar w:fldCharType="end"/>
          </w:r>
          <w:r>
            <w:rPr>
              <w:rFonts w:hint="eastAsia"/>
              <w:color w:val="auto"/>
              <w:szCs w:val="28"/>
              <w:lang w:val="en-US" w:eastAsia="zh-CN"/>
            </w:rPr>
            <w:fldChar w:fldCharType="end"/>
          </w:r>
        </w:p>
        <w:p w14:paraId="2AE30118">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_Toc8719 </w:instrText>
          </w:r>
          <w:r>
            <w:rPr>
              <w:rFonts w:hint="eastAsia"/>
              <w:szCs w:val="28"/>
              <w:lang w:val="en-US" w:eastAsia="zh-CN"/>
            </w:rPr>
            <w:fldChar w:fldCharType="separate"/>
          </w:r>
          <w:r>
            <w:rPr>
              <w:rFonts w:hint="eastAsia" w:ascii="黑体" w:hAnsi="黑体" w:cs="黑体"/>
              <w:bCs w:val="0"/>
              <w:highlight w:val="none"/>
              <w:shd w:val="clear" w:color="auto" w:fill="auto"/>
              <w:lang w:val="en-US" w:eastAsia="zh-CN"/>
            </w:rPr>
            <w:t>五</w:t>
          </w:r>
          <w:r>
            <w:rPr>
              <w:rFonts w:hint="eastAsia" w:ascii="黑体" w:hAnsi="黑体" w:eastAsia="黑体" w:cs="黑体"/>
              <w:bCs w:val="0"/>
              <w:highlight w:val="none"/>
              <w:shd w:val="clear" w:color="auto" w:fill="auto"/>
              <w:lang w:val="en-US" w:eastAsia="zh-CN"/>
            </w:rPr>
            <w:t>、主要经验及做法、存在的问题及原因分析</w:t>
          </w:r>
          <w:r>
            <w:tab/>
          </w:r>
          <w:r>
            <w:fldChar w:fldCharType="begin"/>
          </w:r>
          <w:r>
            <w:instrText xml:space="preserve"> PAGEREF _Toc8719 \h </w:instrText>
          </w:r>
          <w:r>
            <w:fldChar w:fldCharType="separate"/>
          </w:r>
          <w:r>
            <w:t>26</w:t>
          </w:r>
          <w:r>
            <w:fldChar w:fldCharType="end"/>
          </w:r>
          <w:r>
            <w:rPr>
              <w:rFonts w:hint="eastAsia"/>
              <w:color w:val="auto"/>
              <w:szCs w:val="28"/>
              <w:lang w:val="en-US" w:eastAsia="zh-CN"/>
            </w:rPr>
            <w:fldChar w:fldCharType="end"/>
          </w:r>
        </w:p>
        <w:p w14:paraId="745D5602">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_Toc29523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_Toc29523 \h </w:instrText>
          </w:r>
          <w:r>
            <w:fldChar w:fldCharType="separate"/>
          </w:r>
          <w:r>
            <w:t>26</w:t>
          </w:r>
          <w:r>
            <w:fldChar w:fldCharType="end"/>
          </w:r>
          <w:r>
            <w:rPr>
              <w:rFonts w:hint="eastAsia"/>
              <w:color w:val="auto"/>
              <w:szCs w:val="28"/>
              <w:lang w:val="en-US" w:eastAsia="zh-CN"/>
            </w:rPr>
            <w:fldChar w:fldCharType="end"/>
          </w:r>
        </w:p>
        <w:p w14:paraId="1CD1172A">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_Toc7668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_Toc7668 \h </w:instrText>
          </w:r>
          <w:r>
            <w:fldChar w:fldCharType="separate"/>
          </w:r>
          <w:r>
            <w:t>26</w:t>
          </w:r>
          <w:r>
            <w:fldChar w:fldCharType="end"/>
          </w:r>
          <w:r>
            <w:rPr>
              <w:rFonts w:hint="eastAsia"/>
              <w:color w:val="auto"/>
              <w:szCs w:val="28"/>
              <w:lang w:val="en-US" w:eastAsia="zh-CN"/>
            </w:rPr>
            <w:fldChar w:fldCharType="end"/>
          </w:r>
        </w:p>
        <w:p w14:paraId="4E1AABF7">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_Toc6008 </w:instrText>
          </w:r>
          <w:r>
            <w:rPr>
              <w:rFonts w:hint="eastAsia"/>
              <w:szCs w:val="28"/>
              <w:lang w:val="en-US" w:eastAsia="zh-CN"/>
            </w:rPr>
            <w:fldChar w:fldCharType="separate"/>
          </w:r>
          <w:r>
            <w:rPr>
              <w:rFonts w:hint="eastAsia" w:ascii="黑体" w:hAnsi="黑体" w:cs="黑体"/>
              <w:bCs w:val="0"/>
              <w:highlight w:val="none"/>
              <w:shd w:val="clear" w:color="auto" w:fill="auto"/>
              <w:lang w:val="en-US" w:eastAsia="zh-CN"/>
            </w:rPr>
            <w:t>六</w:t>
          </w:r>
          <w:r>
            <w:rPr>
              <w:rFonts w:hint="eastAsia" w:ascii="黑体" w:hAnsi="黑体" w:eastAsia="黑体" w:cs="黑体"/>
              <w:bCs w:val="0"/>
              <w:highlight w:val="none"/>
              <w:shd w:val="clear" w:color="auto" w:fill="auto"/>
              <w:lang w:val="en-US" w:eastAsia="zh-CN"/>
            </w:rPr>
            <w:t>、有关建议</w:t>
          </w:r>
          <w:r>
            <w:tab/>
          </w:r>
          <w:r>
            <w:fldChar w:fldCharType="begin"/>
          </w:r>
          <w:r>
            <w:instrText xml:space="preserve"> PAGEREF _Toc6008 \h </w:instrText>
          </w:r>
          <w:r>
            <w:fldChar w:fldCharType="separate"/>
          </w:r>
          <w:r>
            <w:t>26</w:t>
          </w:r>
          <w:r>
            <w:fldChar w:fldCharType="end"/>
          </w:r>
          <w:r>
            <w:rPr>
              <w:rFonts w:hint="eastAsia"/>
              <w:color w:val="auto"/>
              <w:szCs w:val="28"/>
              <w:lang w:val="en-US" w:eastAsia="zh-CN"/>
            </w:rPr>
            <w:fldChar w:fldCharType="end"/>
          </w:r>
        </w:p>
        <w:p w14:paraId="2C4D23EC">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_Toc166 </w:instrText>
          </w:r>
          <w:r>
            <w:rPr>
              <w:rFonts w:hint="eastAsia"/>
              <w:szCs w:val="28"/>
              <w:lang w:val="en-US" w:eastAsia="zh-CN"/>
            </w:rPr>
            <w:fldChar w:fldCharType="separate"/>
          </w:r>
          <w:r>
            <w:rPr>
              <w:rFonts w:hint="eastAsia" w:ascii="黑体" w:hAnsi="黑体" w:cs="黑体"/>
              <w:bCs w:val="0"/>
              <w:highlight w:val="none"/>
              <w:shd w:val="clear" w:color="auto" w:fill="auto"/>
              <w:lang w:val="en-US" w:eastAsia="zh-CN"/>
            </w:rPr>
            <w:t>七</w:t>
          </w:r>
          <w:r>
            <w:rPr>
              <w:rFonts w:hint="eastAsia" w:ascii="黑体" w:hAnsi="黑体" w:eastAsia="黑体" w:cs="黑体"/>
              <w:bCs w:val="0"/>
              <w:highlight w:val="none"/>
              <w:shd w:val="clear" w:color="auto" w:fill="auto"/>
              <w:lang w:val="en-US" w:eastAsia="zh-CN"/>
            </w:rPr>
            <w:t>、其他需要说明的问题</w:t>
          </w:r>
          <w:r>
            <w:tab/>
          </w:r>
          <w:r>
            <w:fldChar w:fldCharType="begin"/>
          </w:r>
          <w:r>
            <w:instrText xml:space="preserve"> PAGEREF _Toc166 \h </w:instrText>
          </w:r>
          <w:r>
            <w:fldChar w:fldCharType="separate"/>
          </w:r>
          <w:r>
            <w:t>27</w:t>
          </w:r>
          <w:r>
            <w:fldChar w:fldCharType="end"/>
          </w:r>
          <w:r>
            <w:rPr>
              <w:rFonts w:hint="eastAsia"/>
              <w:color w:val="auto"/>
              <w:szCs w:val="28"/>
              <w:lang w:val="en-US" w:eastAsia="zh-CN"/>
            </w:rPr>
            <w:fldChar w:fldCharType="end"/>
          </w:r>
        </w:p>
        <w:p w14:paraId="206929DD">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_Toc15905 </w:instrText>
          </w:r>
          <w:r>
            <w:rPr>
              <w:rFonts w:hint="eastAsia"/>
              <w:szCs w:val="28"/>
              <w:lang w:val="en-US" w:eastAsia="zh-CN"/>
            </w:rPr>
            <w:fldChar w:fldCharType="separate"/>
          </w:r>
          <w:r>
            <w:rPr>
              <w:rFonts w:hint="eastAsia" w:ascii="宋体" w:hAnsi="宋体" w:eastAsia="宋体" w:cs="宋体"/>
              <w:bCs/>
              <w:highlight w:val="none"/>
              <w:shd w:val="clear" w:color="auto" w:fill="auto"/>
              <w:lang w:val="en-US" w:eastAsia="zh-CN"/>
            </w:rPr>
            <w:t>附件一、项目支出绩效自评表</w:t>
          </w:r>
          <w:r>
            <w:tab/>
          </w:r>
          <w:r>
            <w:fldChar w:fldCharType="begin"/>
          </w:r>
          <w:r>
            <w:instrText xml:space="preserve"> PAGEREF _Toc15905 \h </w:instrText>
          </w:r>
          <w:r>
            <w:fldChar w:fldCharType="separate"/>
          </w:r>
          <w:r>
            <w:t>28</w:t>
          </w:r>
          <w:r>
            <w:fldChar w:fldCharType="end"/>
          </w:r>
          <w:r>
            <w:rPr>
              <w:rFonts w:hint="eastAsia"/>
              <w:color w:val="auto"/>
              <w:szCs w:val="28"/>
              <w:lang w:val="en-US" w:eastAsia="zh-CN"/>
            </w:rPr>
            <w:fldChar w:fldCharType="end"/>
          </w:r>
        </w:p>
        <w:p w14:paraId="28B8D183">
          <w:pPr>
            <w:pStyle w:val="10"/>
            <w:tabs>
              <w:tab w:val="right" w:leader="dot" w:pos="8844"/>
            </w:tabs>
          </w:pPr>
          <w:r>
            <w:rPr>
              <w:rFonts w:hint="eastAsia"/>
              <w:color w:val="auto"/>
              <w:szCs w:val="28"/>
              <w:lang w:val="en-US" w:eastAsia="zh-CN"/>
            </w:rPr>
            <w:fldChar w:fldCharType="begin"/>
          </w:r>
          <w:r>
            <w:rPr>
              <w:rFonts w:hint="eastAsia"/>
              <w:szCs w:val="28"/>
              <w:lang w:val="en-US" w:eastAsia="zh-CN"/>
            </w:rPr>
            <w:instrText xml:space="preserve"> HYPERLINK \l _Toc27661 </w:instrText>
          </w:r>
          <w:r>
            <w:rPr>
              <w:rFonts w:hint="eastAsia"/>
              <w:szCs w:val="28"/>
              <w:lang w:val="en-US" w:eastAsia="zh-CN"/>
            </w:rPr>
            <w:fldChar w:fldCharType="separate"/>
          </w:r>
          <w:r>
            <w:rPr>
              <w:rFonts w:hint="eastAsia" w:ascii="宋体" w:hAnsi="宋体" w:eastAsia="宋体" w:cs="宋体"/>
              <w:bCs/>
              <w:highlight w:val="none"/>
              <w:shd w:val="clear" w:color="auto" w:fill="auto"/>
              <w:lang w:val="en-US" w:eastAsia="zh-CN"/>
            </w:rPr>
            <w:t>附件二、项目支出绩效评价指标体系打分表</w:t>
          </w:r>
          <w:r>
            <w:tab/>
          </w:r>
          <w:r>
            <w:fldChar w:fldCharType="begin"/>
          </w:r>
          <w:r>
            <w:instrText xml:space="preserve"> PAGEREF _Toc27661 \h </w:instrText>
          </w:r>
          <w:r>
            <w:fldChar w:fldCharType="separate"/>
          </w:r>
          <w:r>
            <w:t>31</w:t>
          </w:r>
          <w:r>
            <w:fldChar w:fldCharType="end"/>
          </w:r>
          <w:r>
            <w:rPr>
              <w:rFonts w:hint="eastAsia"/>
              <w:color w:val="auto"/>
              <w:szCs w:val="28"/>
              <w:lang w:val="en-US" w:eastAsia="zh-CN"/>
            </w:rPr>
            <w:fldChar w:fldCharType="end"/>
          </w:r>
        </w:p>
        <w:p w14:paraId="64AB7861">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highlight w:val="none"/>
          <w:shd w:val="clear" w:color="auto" w:fill="auto"/>
        </w:rPr>
      </w:pPr>
      <w:bookmarkStart w:id="6" w:name="_Toc1194"/>
      <w:bookmarkStart w:id="7" w:name="_Toc22946"/>
      <w:bookmarkStart w:id="8" w:name="_Toc20432"/>
      <w:bookmarkStart w:id="9" w:name="_Toc3663"/>
      <w:bookmarkStart w:id="10" w:name="_Toc2519"/>
      <w:r>
        <w:rPr>
          <w:rFonts w:hint="eastAsia" w:cs="宋体"/>
          <w:b/>
          <w:bCs/>
          <w:color w:val="auto"/>
          <w:sz w:val="36"/>
          <w:szCs w:val="36"/>
          <w:highlight w:val="none"/>
          <w:shd w:val="clear" w:color="auto" w:fill="auto"/>
          <w:lang w:eastAsia="zh-CN"/>
        </w:rPr>
        <w:t>2024年选聘教师工资补助经费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6"/>
      <w:bookmarkEnd w:id="7"/>
      <w:bookmarkEnd w:id="8"/>
      <w:bookmarkEnd w:id="9"/>
      <w:bookmarkEnd w:id="10"/>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1" w:name="_Toc13715"/>
      <w:r>
        <w:rPr>
          <w:rFonts w:hint="eastAsia" w:ascii="黑体" w:hAnsi="黑体" w:eastAsia="黑体" w:cs="黑体"/>
          <w:b w:val="0"/>
          <w:bCs w:val="0"/>
          <w:color w:val="auto"/>
          <w:highlight w:val="none"/>
          <w:shd w:val="clear" w:color="auto" w:fill="auto"/>
        </w:rPr>
        <w:t>一、基本情况</w:t>
      </w:r>
      <w:bookmarkEnd w:id="11"/>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2" w:name="_Toc18422"/>
      <w:r>
        <w:rPr>
          <w:rFonts w:hint="eastAsia" w:ascii="Times New Roman" w:hAnsi="Times New Roman" w:eastAsia="楷体_GB2312" w:cs="Times New Roman"/>
          <w:color w:val="auto"/>
          <w:kern w:val="28"/>
          <w:sz w:val="32"/>
          <w:lang w:val="en-US" w:eastAsia="zh-CN"/>
        </w:rPr>
        <w:t>（一）项目概况</w:t>
      </w:r>
      <w:bookmarkEnd w:id="12"/>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3" w:name="_Toc29812"/>
      <w:bookmarkStart w:id="14" w:name="_Toc5043"/>
      <w:bookmarkStart w:id="15" w:name="_Toc10645"/>
      <w:bookmarkStart w:id="16" w:name="_Toc22346"/>
      <w:bookmarkStart w:id="17" w:name="_Toc2828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3"/>
      <w:bookmarkEnd w:id="14"/>
      <w:bookmarkEnd w:id="15"/>
      <w:bookmarkEnd w:id="16"/>
      <w:bookmarkEnd w:id="17"/>
    </w:p>
    <w:p w14:paraId="33D1C29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在学前教育蓬勃发展的当下，社会对优质学前教育的需求日益增长。为响应《中华人民共和国学前教育法》中推进普及学前教育，构建公益普惠、安全优质的学前教育公共服务体系，保障幼儿园教师工资福利、依法缴纳社会保险 、实行同工同酬的号召，本地区积极推动学前教育事业发展。然而，随着公办幼儿园在园幼儿数量持续上升，现有编制内教师难以满足教学需求，师资力量不足的问题愈发突出。同时，周边幼儿园调研显示，教师工资待</w:t>
      </w:r>
      <w:r>
        <w:rPr>
          <w:rFonts w:hint="eastAsia" w:ascii="仿宋_GB2312" w:hAnsi="仿宋_GB2312" w:eastAsia="仿宋_GB2312" w:cs="仿宋_GB2312"/>
          <w:color w:val="auto"/>
          <w:sz w:val="32"/>
          <w:szCs w:val="32"/>
          <w:highlight w:val="none"/>
          <w:lang w:val="en-US" w:eastAsia="zh-CN"/>
        </w:rPr>
        <w:t>遇较低是导致教师流动性大的关键因素，严重影响教学稳定性和教育质量。为解决这些问题，特设立 2024 年选聘教师工资补助经费。</w:t>
      </w:r>
      <w:r>
        <w:rPr>
          <w:rFonts w:hint="eastAsia" w:ascii="仿宋_GB2312" w:eastAsia="仿宋_GB2312"/>
          <w:color w:val="auto"/>
          <w:sz w:val="32"/>
          <w:szCs w:val="32"/>
          <w:highlight w:val="none"/>
          <w:lang w:eastAsia="zh-CN"/>
        </w:rPr>
        <w:t xml:space="preserve">   </w:t>
      </w:r>
    </w:p>
    <w:p w14:paraId="4F5AE66B">
      <w:pPr>
        <w:pStyle w:val="5"/>
        <w:pageBreakBefore w:val="0"/>
        <w:numPr>
          <w:ilvl w:val="0"/>
          <w:numId w:val="1"/>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8" w:name="_Toc27343"/>
      <w:bookmarkStart w:id="19" w:name="_Toc17880"/>
      <w:bookmarkStart w:id="20" w:name="_Toc10730"/>
      <w:bookmarkStart w:id="21" w:name="_Toc18049"/>
      <w:bookmarkStart w:id="22" w:name="_Toc1630"/>
      <w:r>
        <w:rPr>
          <w:rFonts w:hint="eastAsia" w:ascii="仿宋_GB2312" w:hAnsi="仿宋_GB2312" w:eastAsia="仿宋_GB2312" w:cs="仿宋_GB2312"/>
          <w:color w:val="auto"/>
          <w:sz w:val="32"/>
          <w:szCs w:val="32"/>
          <w:highlight w:val="none"/>
          <w:shd w:val="clear" w:color="auto" w:fill="auto"/>
        </w:rPr>
        <w:t>主要内容及实施情况</w:t>
      </w:r>
      <w:bookmarkEnd w:id="18"/>
      <w:bookmarkEnd w:id="19"/>
      <w:bookmarkEnd w:id="20"/>
      <w:bookmarkEnd w:id="21"/>
      <w:bookmarkEnd w:id="22"/>
    </w:p>
    <w:p w14:paraId="089B02AF">
      <w:pPr>
        <w:pStyle w:val="5"/>
        <w:pageBreakBefore w:val="0"/>
        <w:kinsoku/>
        <w:wordWrap/>
        <w:overflowPunct/>
        <w:topLinePunct w:val="0"/>
        <w:autoSpaceDE/>
        <w:autoSpaceDN/>
        <w:bidi w:val="0"/>
        <w:adjustRightInd/>
        <w:snapToGrid/>
        <w:spacing w:line="560" w:lineRule="exact"/>
        <w:textAlignment w:val="auto"/>
        <w:rPr>
          <w:rFonts w:hint="eastAsia"/>
          <w:color w:val="auto"/>
          <w:highlight w:val="none"/>
        </w:rPr>
      </w:pPr>
      <w:bookmarkStart w:id="23" w:name="_Toc16592"/>
      <w:bookmarkStart w:id="24" w:name="_Toc27409"/>
      <w:bookmarkStart w:id="25" w:name="_Toc27245"/>
      <w:bookmarkStart w:id="26" w:name="_Toc21898"/>
      <w:bookmarkStart w:id="27" w:name="_Toc28053"/>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23"/>
      <w:bookmarkEnd w:id="24"/>
      <w:bookmarkEnd w:id="25"/>
      <w:bookmarkEnd w:id="26"/>
      <w:bookmarkEnd w:id="27"/>
    </w:p>
    <w:p w14:paraId="24317D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①资金筹集：</w:t>
      </w:r>
      <w:r>
        <w:rPr>
          <w:rFonts w:hint="eastAsia" w:ascii="仿宋_GB2312" w:hAnsi="仿宋_GB2312" w:eastAsia="仿宋_GB2312" w:cs="仿宋_GB2312"/>
          <w:color w:val="auto"/>
          <w:sz w:val="32"/>
          <w:szCs w:val="32"/>
          <w:highlight w:val="none"/>
          <w:lang w:val="en-US" w:eastAsia="zh-CN"/>
        </w:rPr>
        <w:t>通过财政拨款等渠道，筹集选聘教师工资补助经费61.84万元，确保资金充足。</w:t>
      </w:r>
    </w:p>
    <w:p w14:paraId="0AB9DA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highlight w:val="none"/>
          <w:lang w:val="en-US" w:eastAsia="zh-CN"/>
        </w:rPr>
        <w:t>②教师选聘：</w:t>
      </w:r>
      <w:r>
        <w:rPr>
          <w:rFonts w:hint="eastAsia" w:ascii="仿宋_GB2312" w:hAnsi="仿宋_GB2312" w:eastAsia="仿宋_GB2312" w:cs="仿宋_GB2312"/>
          <w:color w:val="auto"/>
          <w:sz w:val="32"/>
          <w:szCs w:val="32"/>
          <w:highlight w:val="none"/>
          <w:lang w:val="en-US" w:eastAsia="zh-CN"/>
        </w:rPr>
        <w:t>依据严格的招聘流程，面向社会公开选聘优秀幼儿园教师。明确招聘条件，要求应聘者具备学前教育专业背景、相应教师资格</w:t>
      </w:r>
      <w:r>
        <w:rPr>
          <w:rFonts w:hint="eastAsia" w:ascii="仿宋_GB2312" w:hAnsi="仿宋_GB2312" w:eastAsia="仿宋_GB2312" w:cs="仿宋_GB2312"/>
          <w:color w:val="auto"/>
          <w:sz w:val="32"/>
          <w:szCs w:val="32"/>
          <w:lang w:val="en-US" w:eastAsia="zh-CN"/>
        </w:rPr>
        <w:t>证书，且有一定教学经验或突出教学能力。</w:t>
      </w:r>
    </w:p>
    <w:p w14:paraId="5EFDB4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③工资发放：</w:t>
      </w:r>
      <w:r>
        <w:rPr>
          <w:rFonts w:hint="eastAsia" w:ascii="仿宋_GB2312" w:hAnsi="仿宋_GB2312" w:eastAsia="仿宋_GB2312" w:cs="仿宋_GB2312"/>
          <w:color w:val="auto"/>
          <w:sz w:val="32"/>
          <w:szCs w:val="32"/>
          <w:lang w:val="en-US" w:eastAsia="zh-CN"/>
        </w:rPr>
        <w:t>根据当地教师工资水平和市场行情，制定合理的工资标准。为选聘教师按时、足额发放工资，包含基本工资、工龄工资等，确保教师待遇具有竞争力。同时，依法为教师缴纳社会保险和住房公积金，保障其合法权益。</w:t>
      </w:r>
    </w:p>
    <w:p w14:paraId="76068D8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阜康市财政局《阜康市财政局关于2024年部门预算的批复》（阜财预字[2024]7号）文件批复，经财经会议，确定了项目领导小组，明确了责任分工：组长为马慧，副组长为熊婷，项目负责人为吴佳琪,组员为刘洁、周杰，其中：马慧负责监管工作，周杰负责项目档案资料，刘洁负责资金拨付工作。</w:t>
      </w:r>
    </w:p>
    <w:p w14:paraId="6260074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bookmarkStart w:id="28" w:name="_Toc10240"/>
      <w:bookmarkStart w:id="29" w:name="_Toc12348"/>
      <w:bookmarkStart w:id="30" w:name="_Toc1858"/>
      <w:bookmarkStart w:id="31" w:name="_Toc569"/>
      <w:r>
        <w:rPr>
          <w:rFonts w:hint="eastAsia" w:ascii="仿宋_GB2312" w:hAnsi="仿宋_GB2312" w:eastAsia="仿宋_GB2312" w:cs="仿宋_GB2312"/>
          <w:color w:val="auto"/>
          <w:sz w:val="32"/>
          <w:szCs w:val="32"/>
          <w:lang w:val="en-US" w:eastAsia="zh-CN"/>
        </w:rPr>
        <w:t>截至2024年12月31日，本项目按每人每月0.47万元的标准，完成11名选聘教师工资发放10次，共支付50.87万元。项目实施达到保障教师的正常工资待遇，提高教师的归属感，减少教师队伍人员流失，有效改善教学环境，提供良好的幼儿成长条件。</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2" w:name="_Toc30001"/>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8"/>
      <w:bookmarkEnd w:id="29"/>
      <w:bookmarkEnd w:id="30"/>
      <w:bookmarkEnd w:id="31"/>
      <w:bookmarkEnd w:id="32"/>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3" w:name="_Toc2370"/>
      <w:bookmarkStart w:id="34" w:name="_Toc23509"/>
      <w:bookmarkStart w:id="35" w:name="_Toc694"/>
      <w:bookmarkStart w:id="36" w:name="_Toc26369"/>
      <w:r>
        <w:rPr>
          <w:rFonts w:hint="eastAsia" w:ascii="仿宋_GB2312" w:hAnsi="仿宋_GB2312" w:eastAsia="仿宋_GB2312" w:cs="仿宋_GB2312"/>
          <w:color w:val="auto"/>
          <w:sz w:val="32"/>
          <w:szCs w:val="32"/>
          <w:highlight w:val="none"/>
          <w:lang w:val="en-US" w:eastAsia="zh-CN"/>
        </w:rPr>
        <w:t>（1）资金投入情况</w:t>
      </w:r>
      <w:bookmarkEnd w:id="33"/>
      <w:bookmarkEnd w:id="34"/>
      <w:bookmarkEnd w:id="35"/>
      <w:bookmarkEnd w:id="36"/>
    </w:p>
    <w:p w14:paraId="02028B6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7" w:name="_Toc5573"/>
      <w:bookmarkStart w:id="38" w:name="_Toc9464"/>
      <w:bookmarkStart w:id="39" w:name="_Toc10260"/>
      <w:bookmarkStart w:id="40" w:name="_Toc29190"/>
      <w:r>
        <w:rPr>
          <w:rFonts w:hint="eastAsia" w:ascii="仿宋_GB2312" w:hAnsi="仿宋_GB2312" w:eastAsia="仿宋_GB2312" w:cs="仿宋_GB2312"/>
          <w:color w:val="auto"/>
          <w:sz w:val="32"/>
          <w:szCs w:val="32"/>
          <w:highlight w:val="none"/>
          <w:lang w:val="en-US" w:eastAsia="zh-CN"/>
        </w:rPr>
        <w:t>2024年选聘教师工资补助经费项目年初预算数61.84万元，全年预算数61.84万元，该项目资金已全部落实到位，资金来源为财政拨款。</w:t>
      </w:r>
      <w:bookmarkEnd w:id="37"/>
      <w:bookmarkEnd w:id="38"/>
      <w:bookmarkEnd w:id="39"/>
      <w:bookmarkEnd w:id="40"/>
      <w:bookmarkStart w:id="41" w:name="_Toc3409"/>
      <w:bookmarkStart w:id="42" w:name="_Toc1166"/>
      <w:bookmarkStart w:id="43"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44" w:name="_Toc26492"/>
      <w:r>
        <w:rPr>
          <w:rFonts w:hint="eastAsia" w:ascii="仿宋_GB2312" w:hAnsi="仿宋_GB2312" w:eastAsia="仿宋_GB2312" w:cs="仿宋_GB2312"/>
          <w:color w:val="auto"/>
          <w:sz w:val="32"/>
          <w:szCs w:val="32"/>
          <w:highlight w:val="none"/>
          <w:lang w:val="en-US" w:eastAsia="zh-CN"/>
        </w:rPr>
        <w:t>（2）资金使用情况</w:t>
      </w:r>
      <w:bookmarkEnd w:id="41"/>
      <w:bookmarkEnd w:id="42"/>
      <w:bookmarkEnd w:id="43"/>
      <w:bookmarkEnd w:id="4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45" w:name="_Toc29121"/>
      <w:bookmarkStart w:id="46" w:name="_Toc11647"/>
      <w:bookmarkStart w:id="47" w:name="_Toc1430"/>
      <w:bookmarkStart w:id="48" w:name="_Toc3805"/>
      <w:r>
        <w:rPr>
          <w:rFonts w:hint="eastAsia" w:ascii="仿宋_GB2312" w:hAnsi="仿宋_GB2312" w:eastAsia="仿宋_GB2312" w:cs="仿宋_GB2312"/>
          <w:color w:val="auto"/>
          <w:sz w:val="32"/>
          <w:szCs w:val="32"/>
          <w:highlight w:val="none"/>
          <w:lang w:val="en-US" w:eastAsia="zh-CN"/>
        </w:rPr>
        <w:t>该项目年初预算数61.84万元，全年预算数61.84万元，截至2024年12月31日，全年执行数50.87万元，预算执行率为82.26%，主要用于：项目资金主要用于保障</w:t>
      </w:r>
      <w:bookmarkEnd w:id="45"/>
      <w:bookmarkEnd w:id="46"/>
      <w:bookmarkEnd w:id="47"/>
      <w:r>
        <w:rPr>
          <w:rFonts w:hint="eastAsia" w:ascii="仿宋_GB2312" w:hAnsi="仿宋_GB2312" w:eastAsia="仿宋_GB2312" w:cs="仿宋_GB2312"/>
          <w:color w:val="auto"/>
          <w:sz w:val="32"/>
          <w:szCs w:val="32"/>
          <w:highlight w:val="none"/>
          <w:lang w:val="en-US" w:eastAsia="zh-CN"/>
        </w:rPr>
        <w:t>选聘教师工资、社保等。</w:t>
      </w:r>
      <w:bookmarkEnd w:id="48"/>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49" w:name="_Toc31836"/>
      <w:r>
        <w:rPr>
          <w:rFonts w:hint="eastAsia" w:ascii="Times New Roman" w:hAnsi="Times New Roman" w:eastAsia="楷体_GB2312" w:cs="Times New Roman"/>
          <w:color w:val="auto"/>
          <w:kern w:val="28"/>
          <w:sz w:val="32"/>
          <w:lang w:val="en-US" w:eastAsia="zh-CN"/>
        </w:rPr>
        <w:t>（二）项目绩效目标</w:t>
      </w:r>
      <w:bookmarkEnd w:id="49"/>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0" w:name="_Toc14758"/>
      <w:bookmarkStart w:id="51" w:name="_Toc2989"/>
      <w:bookmarkStart w:id="52" w:name="_Toc2547"/>
      <w:bookmarkStart w:id="53" w:name="_Toc8528"/>
      <w:bookmarkStart w:id="54"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50"/>
      <w:bookmarkEnd w:id="51"/>
      <w:bookmarkEnd w:id="52"/>
      <w:bookmarkEnd w:id="53"/>
      <w:bookmarkEnd w:id="54"/>
    </w:p>
    <w:p w14:paraId="6B8735D0">
      <w:pPr>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cs="宋体"/>
          <w:color w:val="auto"/>
          <w:sz w:val="32"/>
          <w:szCs w:val="32"/>
          <w:lang w:val="en-US" w:eastAsia="zh-CN"/>
        </w:rPr>
      </w:pPr>
      <w:r>
        <w:rPr>
          <w:rFonts w:hint="eastAsia" w:ascii="仿宋_GB2312" w:eastAsia="仿宋_GB2312" w:cs="宋体"/>
          <w:color w:val="auto"/>
          <w:sz w:val="32"/>
          <w:szCs w:val="32"/>
          <w:lang w:val="en-US" w:eastAsia="zh-CN"/>
        </w:rPr>
        <w:t>2024年选聘教师工资补助经费</w:t>
      </w:r>
      <w:r>
        <w:rPr>
          <w:rFonts w:hint="eastAsia" w:ascii="仿宋_GB2312" w:hAnsi="宋体" w:eastAsia="仿宋_GB2312" w:cs="宋体"/>
          <w:color w:val="auto"/>
          <w:sz w:val="32"/>
          <w:szCs w:val="32"/>
          <w:lang w:val="en-US" w:eastAsia="zh-CN"/>
        </w:rPr>
        <w:t>项目绩效总体目标为：保障2024年幼儿园正常运转，维持幼儿园正常教学秩序。计划全年按时支付选聘教师11人12次工资补助经费，每人每年5.62万元。通过按时发放选聘教师工资，保障教师的正常工资待遇，提高教师的归属感，减少教师队伍人员流失，有效改善教学环境，提供良好的幼儿成长条件，达到幼儿园正常运转的目的。</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5" w:name="_Toc4487"/>
      <w:bookmarkStart w:id="56" w:name="_Toc3255"/>
      <w:bookmarkStart w:id="57" w:name="_Toc4007"/>
      <w:bookmarkStart w:id="58" w:name="_Toc3650"/>
      <w:bookmarkStart w:id="59"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55"/>
      <w:bookmarkEnd w:id="56"/>
      <w:bookmarkEnd w:id="57"/>
      <w:bookmarkEnd w:id="58"/>
      <w:bookmarkEnd w:id="59"/>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0" w:name="_Toc3354"/>
      <w:r>
        <w:rPr>
          <w:rFonts w:hint="eastAsia" w:ascii="仿宋_GB2312" w:hAnsi="仿宋_GB2312" w:eastAsia="仿宋_GB2312" w:cs="仿宋_GB2312"/>
          <w:color w:val="auto"/>
          <w:sz w:val="32"/>
          <w:szCs w:val="32"/>
          <w:highlight w:val="none"/>
          <w:lang w:val="en-US" w:eastAsia="zh-CN"/>
        </w:rPr>
        <w:t>（1）项目产出目标</w:t>
      </w:r>
      <w:bookmarkEnd w:id="60"/>
    </w:p>
    <w:p w14:paraId="09399C9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1" w:name="_Toc29757"/>
      <w:r>
        <w:rPr>
          <w:rFonts w:hint="eastAsia" w:ascii="仿宋_GB2312" w:hAnsi="仿宋_GB2312" w:eastAsia="仿宋_GB2312" w:cs="仿宋_GB2312"/>
          <w:color w:val="auto"/>
          <w:sz w:val="32"/>
          <w:szCs w:val="32"/>
          <w:highlight w:val="none"/>
          <w:lang w:val="en-US" w:eastAsia="zh-CN"/>
        </w:rPr>
        <w:t>①数量指标</w:t>
      </w:r>
      <w:bookmarkEnd w:id="61"/>
    </w:p>
    <w:p w14:paraId="071F693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2" w:name="_Toc28034"/>
      <w:r>
        <w:rPr>
          <w:rFonts w:hint="eastAsia" w:ascii="仿宋_GB2312" w:hAnsi="仿宋_GB2312" w:eastAsia="仿宋_GB2312" w:cs="仿宋_GB2312"/>
          <w:color w:val="auto"/>
          <w:sz w:val="32"/>
          <w:szCs w:val="32"/>
          <w:highlight w:val="none"/>
          <w:lang w:val="en-US" w:eastAsia="zh-CN"/>
        </w:rPr>
        <w:t>“选聘教师人数”指标，预期目标值为≥11人；</w:t>
      </w:r>
      <w:bookmarkEnd w:id="62"/>
    </w:p>
    <w:p w14:paraId="2767602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color w:val="auto"/>
          <w:lang w:val="en-US" w:eastAsia="zh-CN"/>
        </w:rPr>
      </w:pPr>
      <w:bookmarkStart w:id="63" w:name="_Toc10387"/>
      <w:r>
        <w:rPr>
          <w:rFonts w:hint="eastAsia" w:ascii="仿宋_GB2312" w:hAnsi="仿宋_GB2312" w:eastAsia="仿宋_GB2312" w:cs="仿宋_GB2312"/>
          <w:color w:val="auto"/>
          <w:sz w:val="32"/>
          <w:szCs w:val="32"/>
          <w:highlight w:val="none"/>
          <w:lang w:val="en-US" w:eastAsia="zh-CN"/>
        </w:rPr>
        <w:t>“工资支付次数”指标，预期目标值为=12次；</w:t>
      </w:r>
      <w:bookmarkEnd w:id="63"/>
    </w:p>
    <w:p w14:paraId="72A85A5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4" w:name="_Toc10738"/>
      <w:r>
        <w:rPr>
          <w:rFonts w:hint="eastAsia" w:ascii="仿宋_GB2312" w:hAnsi="仿宋_GB2312" w:eastAsia="仿宋_GB2312" w:cs="仿宋_GB2312"/>
          <w:color w:val="auto"/>
          <w:sz w:val="32"/>
          <w:szCs w:val="32"/>
          <w:highlight w:val="none"/>
          <w:lang w:val="en-US" w:eastAsia="zh-CN"/>
        </w:rPr>
        <w:t>②质量指标</w:t>
      </w:r>
      <w:bookmarkEnd w:id="64"/>
    </w:p>
    <w:p w14:paraId="7B18DBB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color w:val="auto"/>
          <w:lang w:val="en-US" w:eastAsia="zh-CN"/>
        </w:rPr>
      </w:pPr>
      <w:bookmarkStart w:id="65" w:name="_Toc22677"/>
      <w:r>
        <w:rPr>
          <w:rFonts w:hint="eastAsia" w:ascii="仿宋_GB2312" w:hAnsi="仿宋_GB2312" w:eastAsia="仿宋_GB2312" w:cs="仿宋_GB2312"/>
          <w:color w:val="auto"/>
          <w:sz w:val="32"/>
          <w:szCs w:val="32"/>
          <w:highlight w:val="none"/>
          <w:lang w:val="en-US" w:eastAsia="zh-CN"/>
        </w:rPr>
        <w:t>“人员经费享受比例”指标，预期目标值为=100%；</w:t>
      </w:r>
      <w:bookmarkEnd w:id="65"/>
    </w:p>
    <w:p w14:paraId="5B14E6F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6" w:name="_Toc5401"/>
      <w:r>
        <w:rPr>
          <w:rFonts w:hint="eastAsia" w:ascii="仿宋_GB2312" w:hAnsi="仿宋_GB2312" w:eastAsia="仿宋_GB2312" w:cs="仿宋_GB2312"/>
          <w:color w:val="auto"/>
          <w:sz w:val="32"/>
          <w:szCs w:val="32"/>
          <w:highlight w:val="none"/>
          <w:lang w:val="en-US" w:eastAsia="zh-CN"/>
        </w:rPr>
        <w:t>③时效指标</w:t>
      </w:r>
      <w:bookmarkEnd w:id="66"/>
    </w:p>
    <w:p w14:paraId="767E83E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7" w:name="_Toc9264"/>
      <w:r>
        <w:rPr>
          <w:rFonts w:hint="eastAsia" w:ascii="仿宋_GB2312" w:hAnsi="仿宋_GB2312" w:eastAsia="仿宋_GB2312" w:cs="仿宋_GB2312"/>
          <w:color w:val="auto"/>
          <w:sz w:val="32"/>
          <w:szCs w:val="32"/>
          <w:highlight w:val="none"/>
          <w:lang w:val="en-US" w:eastAsia="zh-CN"/>
        </w:rPr>
        <w:t>“选聘教师工资发放时间”指标，预期目标值为=1次/月；</w:t>
      </w:r>
      <w:bookmarkEnd w:id="67"/>
    </w:p>
    <w:p w14:paraId="4061558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8" w:name="_Toc3889"/>
      <w:r>
        <w:rPr>
          <w:rFonts w:hint="eastAsia" w:ascii="仿宋_GB2312" w:hAnsi="仿宋_GB2312" w:eastAsia="仿宋_GB2312" w:cs="仿宋_GB2312"/>
          <w:color w:val="auto"/>
          <w:sz w:val="32"/>
          <w:szCs w:val="32"/>
          <w:highlight w:val="none"/>
          <w:lang w:val="en-US" w:eastAsia="zh-CN"/>
        </w:rPr>
        <w:t>（2）成本指标</w:t>
      </w:r>
      <w:bookmarkEnd w:id="68"/>
    </w:p>
    <w:p w14:paraId="0ED89BF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9" w:name="_Toc4817"/>
      <w:r>
        <w:rPr>
          <w:rFonts w:hint="eastAsia" w:ascii="仿宋_GB2312" w:hAnsi="仿宋_GB2312" w:eastAsia="仿宋_GB2312" w:cs="仿宋_GB2312"/>
          <w:color w:val="auto"/>
          <w:sz w:val="32"/>
          <w:szCs w:val="32"/>
          <w:highlight w:val="none"/>
          <w:lang w:val="en-US" w:eastAsia="zh-CN"/>
        </w:rPr>
        <w:t>“人员经费标准”指标，预期目标值为=5.62万元/人/学年；</w:t>
      </w:r>
      <w:bookmarkEnd w:id="69"/>
    </w:p>
    <w:p w14:paraId="19C8598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70" w:name="_Toc20921"/>
      <w:r>
        <w:rPr>
          <w:rFonts w:hint="eastAsia" w:ascii="仿宋_GB2312" w:hAnsi="仿宋_GB2312" w:eastAsia="仿宋_GB2312" w:cs="仿宋_GB2312"/>
          <w:color w:val="auto"/>
          <w:sz w:val="32"/>
          <w:szCs w:val="32"/>
          <w:highlight w:val="none"/>
          <w:lang w:val="en-US" w:eastAsia="zh-CN"/>
        </w:rPr>
        <w:t>（3）项目效益目标</w:t>
      </w:r>
      <w:bookmarkEnd w:id="70"/>
    </w:p>
    <w:p w14:paraId="650829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71" w:name="_Toc12437"/>
      <w:r>
        <w:rPr>
          <w:rFonts w:hint="eastAsia" w:ascii="仿宋_GB2312" w:hAnsi="仿宋_GB2312" w:eastAsia="仿宋_GB2312" w:cs="仿宋_GB2312"/>
          <w:color w:val="auto"/>
          <w:sz w:val="32"/>
          <w:szCs w:val="32"/>
          <w:highlight w:val="none"/>
          <w:lang w:val="en-US" w:eastAsia="zh-CN"/>
        </w:rPr>
        <w:t>①社会效益指标</w:t>
      </w:r>
      <w:bookmarkEnd w:id="71"/>
    </w:p>
    <w:p w14:paraId="2638EE9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72" w:name="_Toc5750"/>
      <w:r>
        <w:rPr>
          <w:rFonts w:hint="eastAsia" w:ascii="仿宋_GB2312" w:hAnsi="仿宋_GB2312" w:eastAsia="仿宋_GB2312" w:cs="仿宋_GB2312"/>
          <w:color w:val="auto"/>
          <w:sz w:val="32"/>
          <w:szCs w:val="32"/>
          <w:highlight w:val="none"/>
          <w:lang w:val="en-US" w:eastAsia="zh-CN"/>
        </w:rPr>
        <w:t>“幼儿园正常运转率”指标，预期目标值为=100%；</w:t>
      </w:r>
      <w:bookmarkEnd w:id="72"/>
    </w:p>
    <w:p w14:paraId="0FE6471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73" w:name="_Toc7650"/>
      <w:r>
        <w:rPr>
          <w:rFonts w:hint="eastAsia" w:ascii="仿宋_GB2312" w:hAnsi="仿宋_GB2312" w:eastAsia="仿宋_GB2312" w:cs="仿宋_GB2312"/>
          <w:color w:val="auto"/>
          <w:sz w:val="32"/>
          <w:szCs w:val="32"/>
          <w:highlight w:val="none"/>
          <w:lang w:val="en-US" w:eastAsia="zh-CN"/>
        </w:rPr>
        <w:t>“改善教学环境，提供良好的学生环境”指标，预期目标值为改善；</w:t>
      </w:r>
      <w:bookmarkEnd w:id="73"/>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74" w:name="_Toc23327"/>
      <w:r>
        <w:rPr>
          <w:rFonts w:hint="eastAsia" w:ascii="宋体" w:hAnsi="宋体" w:eastAsia="宋体" w:cs="宋体"/>
          <w:b/>
          <w:bCs/>
          <w:color w:val="auto"/>
          <w:highlight w:val="none"/>
          <w:shd w:val="clear" w:color="auto" w:fill="auto"/>
        </w:rPr>
        <w:t>二、绩效评价工作开展情况</w:t>
      </w:r>
      <w:bookmarkEnd w:id="74"/>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75" w:name="_Toc12868"/>
      <w:bookmarkStart w:id="76" w:name="_Toc21664"/>
      <w:bookmarkStart w:id="77" w:name="_Toc480473081"/>
      <w:bookmarkStart w:id="78" w:name="_Toc26632"/>
      <w:bookmarkStart w:id="79" w:name="_Toc22169_WPSOffice_Level2"/>
      <w:bookmarkStart w:id="80" w:name="_Toc5258"/>
      <w:bookmarkStart w:id="81" w:name="_Toc5462343"/>
      <w:bookmarkStart w:id="82" w:name="_Toc22922"/>
      <w:bookmarkStart w:id="83" w:name="_Toc27866"/>
      <w:r>
        <w:rPr>
          <w:rFonts w:hint="eastAsia" w:ascii="Times New Roman" w:hAnsi="Times New Roman" w:eastAsia="楷体_GB2312" w:cs="Times New Roman"/>
          <w:color w:val="auto"/>
          <w:kern w:val="28"/>
          <w:sz w:val="32"/>
          <w:lang w:val="en-US" w:eastAsia="zh-CN"/>
        </w:rPr>
        <w:t>（一）绩效评价的目的</w:t>
      </w:r>
      <w:bookmarkEnd w:id="75"/>
      <w:bookmarkEnd w:id="76"/>
      <w:bookmarkEnd w:id="77"/>
      <w:bookmarkEnd w:id="78"/>
      <w:bookmarkEnd w:id="79"/>
      <w:bookmarkEnd w:id="80"/>
      <w:bookmarkEnd w:id="81"/>
      <w:bookmarkEnd w:id="82"/>
      <w:r>
        <w:rPr>
          <w:rFonts w:hint="eastAsia" w:ascii="Times New Roman" w:hAnsi="Times New Roman" w:eastAsia="楷体_GB2312" w:cs="Times New Roman"/>
          <w:color w:val="auto"/>
          <w:kern w:val="28"/>
          <w:sz w:val="32"/>
          <w:lang w:val="en-US" w:eastAsia="zh-CN"/>
        </w:rPr>
        <w:t>、对象和范围</w:t>
      </w:r>
      <w:bookmarkEnd w:id="83"/>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84"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bookmarkStart w:id="85" w:name="_Toc20363"/>
      <w:r>
        <w:rPr>
          <w:rFonts w:hint="default" w:ascii="仿宋_GB2312" w:hAnsi="仿宋_GB2312" w:eastAsia="仿宋_GB2312" w:cs="仿宋_GB2312"/>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bookmarkEnd w:id="85"/>
    </w:p>
    <w:p w14:paraId="51F6FBE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rPr>
      </w:pPr>
      <w:bookmarkStart w:id="86" w:name="_Toc17217"/>
      <w:r>
        <w:rPr>
          <w:rFonts w:hint="default" w:ascii="仿宋_GB2312" w:hAnsi="仿宋_GB2312" w:eastAsia="仿宋_GB2312" w:cs="仿宋_GB2312"/>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w:t>
      </w:r>
      <w:r>
        <w:rPr>
          <w:rFonts w:hint="default" w:ascii="Times New Roman" w:hAnsi="Times New Roman" w:eastAsia="仿宋_GB2312" w:cs="Times New Roman"/>
          <w:color w:val="auto"/>
          <w:sz w:val="32"/>
          <w:szCs w:val="32"/>
          <w:highlight w:val="none"/>
          <w:lang w:val="en-US" w:eastAsia="zh-CN"/>
        </w:rPr>
        <w:t>准和数据来源均进行了明确说明，确保评价结果的客观性和可追溯性。</w:t>
      </w:r>
      <w:bookmarkEnd w:id="86"/>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7" w:name="_Toc10865"/>
      <w:bookmarkStart w:id="88" w:name="_Toc21770"/>
      <w:bookmarkStart w:id="8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84"/>
      <w:bookmarkEnd w:id="87"/>
      <w:bookmarkEnd w:id="88"/>
      <w:bookmarkEnd w:id="8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9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1" w:name="_Toc16346"/>
      <w:bookmarkStart w:id="92" w:name="_Toc11479"/>
      <w:bookmarkStart w:id="93"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90"/>
      <w:bookmarkEnd w:id="91"/>
      <w:bookmarkEnd w:id="92"/>
      <w:bookmarkEnd w:id="93"/>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r>
        <w:rPr>
          <w:rFonts w:hint="eastAsia" w:ascii="仿宋_GB2312" w:eastAsia="仿宋_GB2312" w:cs="宋体"/>
          <w:color w:val="auto"/>
          <w:sz w:val="32"/>
          <w:szCs w:val="32"/>
          <w:lang w:val="en-US" w:eastAsia="zh-CN"/>
        </w:rPr>
        <w:t>2024年选聘教师工资补助经费</w:t>
      </w:r>
      <w:r>
        <w:rPr>
          <w:rFonts w:hint="eastAsia" w:ascii="仿宋_GB2312" w:hAnsi="宋体" w:eastAsia="仿宋_GB2312" w:cs="宋体"/>
          <w:color w:val="auto"/>
          <w:sz w:val="32"/>
          <w:szCs w:val="32"/>
          <w:lang w:val="en-US" w:eastAsia="zh-CN"/>
        </w:rPr>
        <w:t>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阜康市九运街镇中心幼儿园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保障2024年幼儿园正常运转，维持幼儿园正常教学秩序。计划全年按时支付选聘教师11人12次工资补助经费，每人每年5.62万元。通过按时发放选聘教师工资，保障教师的正常工资待遇，提高教师的归属感，减少教师队伍人员流失，有效改善教学环境，提供良好的幼儿成长条件，达到幼儿园正常运转的目的。</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50.87</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94" w:name="_Toc16626"/>
      <w:bookmarkStart w:id="95" w:name="_Toc11666"/>
      <w:bookmarkStart w:id="96" w:name="_Toc21311"/>
      <w:r>
        <w:rPr>
          <w:rFonts w:hint="default" w:cs="仿宋_GB2312"/>
          <w:color w:val="auto"/>
          <w:sz w:val="32"/>
          <w:szCs w:val="32"/>
          <w:highlight w:val="none"/>
          <w:shd w:val="clear" w:color="auto" w:fill="auto"/>
          <w:lang w:val="en-US" w:eastAsia="zh-CN"/>
        </w:rPr>
        <w:t>4.绩效评价的范围</w:t>
      </w:r>
      <w:bookmarkEnd w:id="94"/>
      <w:bookmarkEnd w:id="95"/>
      <w:bookmarkEnd w:id="96"/>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green"/>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7" w:name="_Toc1286"/>
      <w:bookmarkStart w:id="98" w:name="_Toc10544"/>
      <w:r>
        <w:rPr>
          <w:rFonts w:hint="eastAsia" w:ascii="Times New Roman" w:hAnsi="Times New Roman" w:eastAsia="楷体_GB2312" w:cs="Times New Roman"/>
          <w:color w:val="auto"/>
          <w:kern w:val="28"/>
          <w:sz w:val="32"/>
          <w:lang w:val="en-US" w:eastAsia="zh-CN"/>
        </w:rPr>
        <w:t>（二）绩效评价原则、评价指标体系（</w:t>
      </w:r>
      <w:r>
        <w:rPr>
          <w:rFonts w:hint="default" w:ascii="Times New Roman" w:hAnsi="Times New Roman" w:eastAsia="楷体_GB2312" w:cs="Times New Roman"/>
          <w:color w:val="auto"/>
          <w:kern w:val="28"/>
          <w:sz w:val="32"/>
          <w:lang w:val="en-US" w:eastAsia="zh-CN"/>
        </w:rPr>
        <w:t>详情见</w:t>
      </w:r>
      <w:r>
        <w:rPr>
          <w:rFonts w:hint="eastAsia" w:ascii="Times New Roman" w:hAnsi="Times New Roman" w:eastAsia="楷体_GB2312" w:cs="Times New Roman"/>
          <w:color w:val="auto"/>
          <w:kern w:val="28"/>
          <w:sz w:val="32"/>
          <w:lang w:val="en-US" w:eastAsia="zh-CN"/>
        </w:rPr>
        <w:t>附件二）、评价方法、评价标准</w:t>
      </w:r>
      <w:bookmarkEnd w:id="97"/>
      <w:bookmarkEnd w:id="98"/>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lang w:val="en-US" w:eastAsia="zh-CN" w:bidi="ar-SA"/>
        </w:rPr>
      </w:pPr>
      <w:bookmarkStart w:id="99" w:name="_Toc24440"/>
      <w:bookmarkStart w:id="100" w:name="_Toc24506"/>
      <w:bookmarkStart w:id="101" w:name="_Toc5354"/>
      <w:bookmarkStart w:id="102" w:name="_Toc13694"/>
      <w:r>
        <w:rPr>
          <w:rFonts w:hint="eastAsia" w:ascii="Times New Roman" w:hAnsi="Times New Roman" w:eastAsia="仿宋_GB2312" w:cs="Times New Roman"/>
          <w:b/>
          <w:bCs/>
          <w:color w:val="auto"/>
          <w:kern w:val="2"/>
          <w:sz w:val="32"/>
          <w:szCs w:val="32"/>
          <w:lang w:val="en-US" w:eastAsia="zh-CN" w:bidi="ar-SA"/>
        </w:rPr>
        <w:t>1.绩效评价原则</w:t>
      </w:r>
      <w:bookmarkEnd w:id="99"/>
      <w:bookmarkEnd w:id="100"/>
      <w:bookmarkEnd w:id="101"/>
      <w:bookmarkEnd w:id="102"/>
    </w:p>
    <w:p w14:paraId="15623C5B">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依据《财政支出绩效评价管理暂行办法》（财预〔20</w:t>
      </w:r>
      <w:r>
        <w:rPr>
          <w:rFonts w:hint="eastAsia" w:ascii="Times New Roman" w:hAnsi="Times New Roman" w:eastAsia="仿宋_GB2312" w:cs="Times New Roman"/>
          <w:color w:val="auto"/>
          <w:sz w:val="32"/>
          <w:szCs w:val="32"/>
          <w:lang w:val="en-US" w:eastAsia="zh-CN"/>
        </w:rPr>
        <w:t>20</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10</w:t>
      </w:r>
      <w:r>
        <w:rPr>
          <w:rFonts w:hint="eastAsia" w:ascii="Times New Roman" w:hAnsi="Times New Roman" w:eastAsia="仿宋_GB2312" w:cs="Times New Roman"/>
          <w:color w:val="auto"/>
          <w:sz w:val="32"/>
          <w:szCs w:val="32"/>
          <w:lang w:eastAsia="zh-CN"/>
        </w:rPr>
        <w:t>号）本次绩效评价秉承科学规范、公正公开、分级分类、绩效相关等原则，按照从投入、过程到产出效果和影响的绩效逻辑路径，结合2024年选聘教师工资补助经费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bookmarkStart w:id="103" w:name="_Toc26131"/>
      <w:bookmarkStart w:id="104" w:name="_Toc1913"/>
      <w:bookmarkStart w:id="105" w:name="_Toc419984722"/>
      <w:bookmarkStart w:id="106" w:name="_Toc24396"/>
      <w:bookmarkStart w:id="107" w:name="_Toc428278230"/>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绩效评价指标体系</w:t>
      </w:r>
      <w:bookmarkEnd w:id="103"/>
      <w:bookmarkEnd w:id="104"/>
      <w:bookmarkEnd w:id="105"/>
      <w:bookmarkEnd w:id="106"/>
      <w:bookmarkEnd w:id="107"/>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108" w:name="_Toc9941"/>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lang w:eastAsia="zh-CN"/>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绩效评价总分值100分，根据综合评分结果，90（含）-100分为优、80（含）-90分为良、60（含）-80分为中、60分以下为差。</w:t>
      </w:r>
    </w:p>
    <w:p w14:paraId="236F163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我单位</w:t>
      </w:r>
      <w:r>
        <w:rPr>
          <w:rFonts w:hint="eastAsia" w:ascii="Times New Roman" w:hAnsi="Times New Roman" w:eastAsia="仿宋_GB2312" w:cs="Times New Roman"/>
          <w:color w:val="auto"/>
          <w:spacing w:val="17"/>
          <w:sz w:val="32"/>
          <w:szCs w:val="32"/>
          <w:highlight w:val="none"/>
          <w:lang w:val="zh-TW" w:eastAsia="zh-TW"/>
        </w:rPr>
        <w:t>根据项目的</w:t>
      </w:r>
      <w:r>
        <w:rPr>
          <w:rFonts w:hint="eastAsia" w:ascii="Times New Roman" w:hAnsi="Times New Roman" w:eastAsia="仿宋_GB2312" w:cs="Times New Roman"/>
          <w:color w:val="auto"/>
          <w:spacing w:val="17"/>
          <w:sz w:val="32"/>
          <w:szCs w:val="32"/>
          <w:highlight w:val="none"/>
          <w:lang w:val="en-US" w:eastAsia="zh-CN"/>
        </w:rPr>
        <w:t>实施</w:t>
      </w:r>
      <w:r>
        <w:rPr>
          <w:rFonts w:hint="eastAsia" w:ascii="Times New Roman" w:hAnsi="Times New Roman" w:eastAsia="仿宋_GB2312" w:cs="Times New Roman"/>
          <w:color w:val="auto"/>
          <w:spacing w:val="17"/>
          <w:sz w:val="32"/>
          <w:szCs w:val="32"/>
          <w:highlight w:val="none"/>
          <w:lang w:val="zh-TW" w:eastAsia="zh-TW"/>
        </w:rPr>
        <w:t>资料研读及前期调研，结合项目的实际开展情况，最终形成了项目绩效评价指标体系</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09" w:name="_Toc30114"/>
      <w:bookmarkStart w:id="110" w:name="_Toc5690"/>
      <w:bookmarkStart w:id="111" w:name="_Toc6539"/>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108"/>
      <w:bookmarkEnd w:id="109"/>
      <w:bookmarkEnd w:id="110"/>
      <w:bookmarkEnd w:id="111"/>
    </w:p>
    <w:p w14:paraId="53B0A147">
      <w:pPr>
        <w:spacing w:line="560" w:lineRule="exact"/>
        <w:ind w:firstLine="708" w:firstLineChars="200"/>
        <w:rPr>
          <w:rFonts w:hint="eastAsia" w:ascii="仿宋_GB2312" w:hAnsi="仿宋_GB2312" w:eastAsia="仿宋_GB2312" w:cs="仿宋_GB2312"/>
          <w:color w:val="auto"/>
          <w:spacing w:val="17"/>
          <w:sz w:val="32"/>
          <w:szCs w:val="32"/>
        </w:rPr>
      </w:pPr>
      <w:bookmarkStart w:id="112" w:name="_Toc25391"/>
      <w:r>
        <w:rPr>
          <w:rFonts w:hint="eastAsia" w:ascii="仿宋_GB2312" w:hAnsi="仿宋_GB2312" w:eastAsia="仿宋_GB2312" w:cs="仿宋_GB2312"/>
          <w:color w:val="auto"/>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lang w:eastAsia="zh-CN"/>
        </w:rPr>
        <w:t>，</w:t>
      </w:r>
      <w:r>
        <w:rPr>
          <w:rFonts w:hint="eastAsia" w:ascii="仿宋_GB2312" w:hAnsi="仿宋_GB2312" w:eastAsia="仿宋_GB2312" w:cs="仿宋_GB2312"/>
          <w:color w:val="auto"/>
          <w:spacing w:val="17"/>
          <w:sz w:val="32"/>
          <w:szCs w:val="32"/>
        </w:rPr>
        <w:t>评价核心为资金的支出完成情况和项目的产出效益。</w:t>
      </w:r>
    </w:p>
    <w:p w14:paraId="3B89E763">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B0C8140">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eastAsia="zh-CN"/>
        </w:rPr>
        <w:t>原因：利用比较法可以清楚对比项目的实施情况，更好的比对出项目之间的差距。</w:t>
      </w:r>
    </w:p>
    <w:p w14:paraId="30ED271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auto"/>
          <w:spacing w:val="17"/>
          <w:sz w:val="32"/>
          <w:szCs w:val="32"/>
          <w:highlight w:val="none"/>
          <w:lang w:eastAsia="zh-CN"/>
        </w:rPr>
        <w:t>原因：通过因素分析法，可以明确关键因素，预测影响项目目标的因素。</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13" w:name="_Toc25651"/>
      <w:bookmarkStart w:id="114" w:name="_Toc6081"/>
      <w:bookmarkStart w:id="115" w:name="_Toc5824"/>
      <w:r>
        <w:rPr>
          <w:rFonts w:hint="eastAsia" w:ascii="仿宋_GB2312" w:hAnsi="仿宋_GB2312" w:eastAsia="仿宋_GB2312" w:cs="仿宋_GB2312"/>
          <w:color w:val="auto"/>
          <w:sz w:val="32"/>
          <w:szCs w:val="32"/>
          <w:highlight w:val="none"/>
          <w:shd w:val="clear" w:color="auto" w:fill="auto"/>
          <w:lang w:val="en-US" w:eastAsia="zh-CN"/>
        </w:rPr>
        <w:t>4.评价标准</w:t>
      </w:r>
      <w:bookmarkEnd w:id="112"/>
      <w:bookmarkEnd w:id="113"/>
      <w:bookmarkEnd w:id="114"/>
      <w:bookmarkEnd w:id="115"/>
    </w:p>
    <w:p w14:paraId="30B3787E">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、行业标准</w:t>
      </w:r>
      <w:r>
        <w:rPr>
          <w:rFonts w:hint="default" w:ascii="Times New Roman" w:hAnsi="Times New Roman" w:eastAsia="仿宋_GB2312" w:cs="Times New Roman"/>
          <w:color w:val="auto"/>
          <w:spacing w:val="17"/>
          <w:sz w:val="32"/>
          <w:szCs w:val="32"/>
          <w:highlight w:val="none"/>
        </w:rPr>
        <w:t>。</w:t>
      </w:r>
    </w:p>
    <w:p w14:paraId="6743063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（1）计划标准。指以预先制定的目标、计划、预算、定额等作为评价标准。</w:t>
      </w:r>
    </w:p>
    <w:p w14:paraId="6FABE8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（2）行业标准。指参照国家公布的行业指标数据制定的评价标准。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16" w:name="_Toc5698"/>
      <w:r>
        <w:rPr>
          <w:rFonts w:hint="eastAsia" w:ascii="Times New Roman" w:hAnsi="Times New Roman" w:eastAsia="楷体_GB2312" w:cs="Times New Roman"/>
          <w:color w:val="auto"/>
          <w:kern w:val="28"/>
          <w:sz w:val="32"/>
          <w:lang w:val="en-US" w:eastAsia="zh-CN"/>
        </w:rPr>
        <w:t>（三）绩效评价工作过程</w:t>
      </w:r>
      <w:bookmarkEnd w:id="116"/>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117"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117"/>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18"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118"/>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19"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2024年选聘教师工资补助经费实施内容、目标信息、预算信息以及其他的一些项目基本信息，有了初步了解，为制定绩效评价工作方案做好准备。</w:t>
      </w:r>
      <w:bookmarkEnd w:id="119"/>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0"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120"/>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1"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121"/>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122"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122"/>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3"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123"/>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4"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124"/>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5"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125"/>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6"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126"/>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7"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127"/>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8"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128"/>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29"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129"/>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0"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30"/>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1"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31"/>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2"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32"/>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33"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33"/>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4"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34"/>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5"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35"/>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6"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36"/>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7"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37"/>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38"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38"/>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39" w:name="_Toc1545"/>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39"/>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40" w:name="_Toc12479"/>
      <w:r>
        <w:rPr>
          <w:rFonts w:hint="eastAsia" w:ascii="Times New Roman" w:hAnsi="Times New Roman" w:eastAsia="楷体_GB2312" w:cs="Times New Roman"/>
          <w:color w:val="auto"/>
          <w:kern w:val="28"/>
          <w:sz w:val="32"/>
          <w:lang w:val="en-US" w:eastAsia="zh-CN"/>
        </w:rPr>
        <w:t>（一）综合评价情况及评价结论</w:t>
      </w:r>
      <w:bookmarkEnd w:id="140"/>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pacing w:val="17"/>
          <w:sz w:val="32"/>
          <w:szCs w:val="32"/>
          <w:highlight w:val="none"/>
          <w:lang w:val="en-US" w:eastAsia="zh-CN"/>
        </w:rPr>
        <w:t>2024年选聘教师工资补助经费</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阜康市九运街镇中心幼儿园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pacing w:val="17"/>
          <w:sz w:val="32"/>
          <w:szCs w:val="32"/>
          <w:highlight w:val="none"/>
          <w:lang w:val="en-US" w:eastAsia="zh-CN"/>
        </w:rPr>
        <w:t>2024年选聘教师工资补助经费</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41" w:name="_Toc13231"/>
      <w:r>
        <w:rPr>
          <w:rFonts w:hint="eastAsia" w:ascii="Times New Roman" w:hAnsi="Times New Roman" w:eastAsia="楷体_GB2312" w:cs="Times New Roman"/>
          <w:color w:val="auto"/>
          <w:kern w:val="28"/>
          <w:sz w:val="32"/>
          <w:lang w:val="en-US" w:eastAsia="zh-CN"/>
        </w:rPr>
        <w:t>（二）相关评分表</w:t>
      </w:r>
      <w:bookmarkEnd w:id="141"/>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2024年选聘教师工资补助经费</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91.73</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19.3</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96.6</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33.56</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83.9</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Times New Roman" w:hAnsi="Times New Roman" w:eastAsia="仿宋_GB2312" w:cs="Times New Roman"/>
                <w:b/>
                <w:bCs/>
                <w:color w:val="auto"/>
                <w:spacing w:val="17"/>
                <w:sz w:val="32"/>
                <w:szCs w:val="32"/>
                <w:highlight w:val="none"/>
                <w:lang w:val="en-US" w:eastAsia="zh-CN"/>
              </w:rPr>
              <w:t>2024年选聘教师工资补助经费</w:t>
            </w:r>
            <w:r>
              <w:rPr>
                <w:rFonts w:hint="eastAsia" w:ascii="宋体" w:hAnsi="宋体" w:eastAsia="宋体" w:cs="宋体"/>
                <w:b/>
                <w:bCs/>
                <w:color w:val="auto"/>
                <w:kern w:val="0"/>
                <w:sz w:val="28"/>
                <w:szCs w:val="28"/>
                <w:highlight w:val="none"/>
                <w:shd w:val="clear" w:color="auto" w:fill="auto"/>
                <w:lang w:val="en-US" w:eastAsia="zh-CN"/>
              </w:rPr>
              <w:t>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19.3</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33.56</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92.06</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83.9</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92.06</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2" w:name="_Toc3613"/>
      <w:r>
        <w:rPr>
          <w:rFonts w:hint="eastAsia" w:ascii="黑体" w:hAnsi="黑体" w:eastAsia="黑体" w:cs="黑体"/>
          <w:b w:val="0"/>
          <w:bCs w:val="0"/>
          <w:color w:val="auto"/>
          <w:highlight w:val="none"/>
          <w:shd w:val="clear" w:color="auto" w:fill="auto"/>
          <w:lang w:val="en-US" w:eastAsia="zh-CN"/>
        </w:rPr>
        <w:t>四、绩效评价指标分析</w:t>
      </w:r>
      <w:bookmarkEnd w:id="142"/>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43" w:name="_Toc20420"/>
      <w:r>
        <w:rPr>
          <w:rFonts w:hint="eastAsia" w:ascii="Times New Roman" w:hAnsi="Times New Roman" w:eastAsia="楷体_GB2312" w:cs="Times New Roman"/>
          <w:color w:val="auto"/>
          <w:kern w:val="28"/>
          <w:sz w:val="32"/>
        </w:rPr>
        <w:t>（一）项目决策情况</w:t>
      </w:r>
      <w:bookmarkEnd w:id="143"/>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4" w:name="_Toc26598"/>
      <w:bookmarkStart w:id="145" w:name="_Toc28069"/>
      <w:bookmarkStart w:id="146" w:name="_Toc13522"/>
      <w:r>
        <w:rPr>
          <w:rFonts w:hint="eastAsia" w:ascii="仿宋_GB2312" w:hAnsi="仿宋_GB2312" w:eastAsia="仿宋_GB2312" w:cs="仿宋_GB2312"/>
          <w:b/>
          <w:bCs/>
          <w:color w:val="auto"/>
          <w:sz w:val="32"/>
          <w:szCs w:val="32"/>
          <w:lang w:val="en-US" w:eastAsia="zh-CN"/>
        </w:rPr>
        <w:t>1.立项依据充分性</w:t>
      </w:r>
      <w:bookmarkEnd w:id="144"/>
      <w:bookmarkEnd w:id="145"/>
      <w:bookmarkEnd w:id="146"/>
    </w:p>
    <w:p w14:paraId="720CCC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①项目立项符合</w:t>
      </w:r>
      <w:r>
        <w:rPr>
          <w:rFonts w:hint="eastAsia" w:ascii="仿宋_GB2312" w:hAnsi="仿宋_GB2312" w:eastAsia="仿宋_GB2312" w:cs="仿宋_GB2312"/>
          <w:color w:val="auto"/>
          <w:sz w:val="32"/>
          <w:szCs w:val="32"/>
          <w:lang w:val="en-US" w:eastAsia="zh-CN"/>
        </w:rPr>
        <w:t>阜康市财政局《阜康市财政局关于2024年部门预算的批复》（阜财预字[2024]7号）文件</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②项目立项符合</w:t>
      </w:r>
      <w:r>
        <w:rPr>
          <w:rFonts w:hint="eastAsia" w:ascii="仿宋_GB2312" w:hAnsi="仿宋_GB2312" w:eastAsia="仿宋_GB2312" w:cs="仿宋_GB2312"/>
          <w:color w:val="auto"/>
          <w:sz w:val="32"/>
          <w:szCs w:val="32"/>
          <w:highlight w:val="none"/>
          <w:lang w:eastAsia="zh-CN"/>
        </w:rPr>
        <w:t>《幼儿园教职工配备标准（暂行）》</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r>
        <w:rPr>
          <w:rFonts w:hint="eastAsia" w:ascii="仿宋_GB2312" w:hAnsi="仿宋_GB2312" w:eastAsia="仿宋_GB2312" w:cs="仿宋_GB2312"/>
          <w:color w:val="auto"/>
          <w:sz w:val="32"/>
          <w:szCs w:val="32"/>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highlight w:val="none"/>
          <w:lang w:eastAsia="zh-CN"/>
        </w:rPr>
        <w:t>项目立项与</w:t>
      </w:r>
      <w:r>
        <w:rPr>
          <w:rFonts w:hint="eastAsia" w:ascii="仿宋_GB2312" w:hAnsi="仿宋_GB2312" w:eastAsia="仿宋_GB2312" w:cs="仿宋_GB2312"/>
          <w:color w:val="auto"/>
          <w:sz w:val="32"/>
          <w:szCs w:val="32"/>
          <w:highlight w:val="none"/>
          <w:lang w:val="en-US" w:eastAsia="zh-CN"/>
        </w:rPr>
        <w:t>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r>
        <w:rPr>
          <w:rFonts w:hint="eastAsia" w:ascii="仿宋_GB2312" w:hAnsi="仿宋_GB2312" w:eastAsia="仿宋_GB2312" w:cs="仿宋_GB2312"/>
          <w:color w:val="auto"/>
          <w:sz w:val="32"/>
          <w:szCs w:val="32"/>
          <w:lang w:eastAsia="zh-CN"/>
        </w:rPr>
        <w:t>；</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7" w:name="_Toc22638"/>
      <w:bookmarkStart w:id="148" w:name="_Toc21976"/>
      <w:bookmarkStart w:id="149" w:name="_Toc23240"/>
      <w:r>
        <w:rPr>
          <w:rFonts w:hint="eastAsia" w:ascii="仿宋_GB2312" w:hAnsi="仿宋_GB2312" w:eastAsia="仿宋_GB2312" w:cs="仿宋_GB2312"/>
          <w:b/>
          <w:bCs/>
          <w:color w:val="auto"/>
          <w:sz w:val="32"/>
          <w:szCs w:val="32"/>
          <w:lang w:val="en-US" w:eastAsia="zh-CN"/>
        </w:rPr>
        <w:t>2.立项程序规范性</w:t>
      </w:r>
      <w:bookmarkEnd w:id="147"/>
      <w:bookmarkEnd w:id="148"/>
      <w:bookmarkEnd w:id="149"/>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未经过可行性研究、专家论证、风险评估扣0.8分。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50" w:name="_Toc11135"/>
      <w:bookmarkStart w:id="151" w:name="_Toc15382"/>
      <w:bookmarkStart w:id="152" w:name="_Toc23542"/>
      <w:r>
        <w:rPr>
          <w:rFonts w:hint="eastAsia" w:ascii="仿宋_GB2312" w:hAnsi="仿宋_GB2312" w:eastAsia="仿宋_GB2312" w:cs="仿宋_GB2312"/>
          <w:b/>
          <w:bCs/>
          <w:color w:val="auto"/>
          <w:sz w:val="32"/>
          <w:szCs w:val="32"/>
          <w:lang w:val="en-US" w:eastAsia="zh-CN"/>
        </w:rPr>
        <w:t>3.绩效目标合理性</w:t>
      </w:r>
      <w:bookmarkEnd w:id="150"/>
      <w:bookmarkEnd w:id="151"/>
      <w:bookmarkEnd w:id="152"/>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12409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 保障幼儿园正常运转，教学活动及其他日常业务的正常运转。计划完成5.62万元/人/学年的标准使用选聘教师工资,总计在园选聘教师</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eastAsia="zh-CN"/>
        </w:rPr>
        <w:t>人。通过开展各类教育教学活动，促进幼儿园各项活动有序开展，实现幼儿园年初制定的各项工作目标，进一步提高幼儿园教育教学水平。绩效目标与实际工作内容一致，两者具有相关性。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③该项目按照绩效目标完成数量指标、质量指标、时效指标、成本指标，完成了5.62万元/人/学年的标准完成在校教师</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eastAsia="zh-CN"/>
        </w:rPr>
        <w:t>人的经费发放，共支付</w:t>
      </w:r>
      <w:r>
        <w:rPr>
          <w:rFonts w:hint="eastAsia" w:ascii="仿宋_GB2312" w:hAnsi="仿宋_GB2312" w:eastAsia="仿宋_GB2312" w:cs="仿宋_GB2312"/>
          <w:color w:val="auto"/>
          <w:sz w:val="32"/>
          <w:szCs w:val="32"/>
          <w:highlight w:val="none"/>
          <w:lang w:val="en-US" w:eastAsia="zh-CN"/>
        </w:rPr>
        <w:t>50.87</w:t>
      </w:r>
      <w:r>
        <w:rPr>
          <w:rFonts w:hint="eastAsia" w:ascii="仿宋_GB2312" w:hAnsi="仿宋_GB2312" w:eastAsia="仿宋_GB2312" w:cs="仿宋_GB2312"/>
          <w:color w:val="auto"/>
          <w:sz w:val="32"/>
          <w:szCs w:val="32"/>
          <w:highlight w:val="none"/>
          <w:lang w:eastAsia="zh-CN"/>
        </w:rPr>
        <w:t>万元。公用经费享受比例达到100%，教师培训结业率达到100%，达到维持幼儿园正常运转，有效改善校园环境，提供良好的学生成长条件效益，预期产出效益和效果符合正常的业绩水平。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61.84</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53" w:name="_Toc18198"/>
      <w:bookmarkStart w:id="154" w:name="_Toc10650"/>
      <w:bookmarkStart w:id="155" w:name="_Toc5634"/>
      <w:r>
        <w:rPr>
          <w:rFonts w:hint="eastAsia" w:ascii="仿宋_GB2312" w:hAnsi="仿宋_GB2312" w:eastAsia="仿宋_GB2312" w:cs="仿宋_GB2312"/>
          <w:b/>
          <w:bCs/>
          <w:color w:val="auto"/>
          <w:sz w:val="32"/>
          <w:szCs w:val="32"/>
          <w:lang w:val="en-US" w:eastAsia="zh-CN"/>
        </w:rPr>
        <w:t>4.绩效指标明确性</w:t>
      </w:r>
      <w:bookmarkEnd w:id="153"/>
      <w:bookmarkEnd w:id="154"/>
      <w:bookmarkEnd w:id="155"/>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其中三级指标共计7个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量化率达到85.71%</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56" w:name="_Toc19401"/>
      <w:bookmarkStart w:id="157" w:name="_Toc8296"/>
      <w:bookmarkStart w:id="158" w:name="_Toc30280"/>
      <w:r>
        <w:rPr>
          <w:rFonts w:hint="eastAsia" w:ascii="仿宋_GB2312" w:hAnsi="仿宋_GB2312" w:eastAsia="仿宋_GB2312" w:cs="仿宋_GB2312"/>
          <w:b/>
          <w:bCs/>
          <w:color w:val="auto"/>
          <w:sz w:val="32"/>
          <w:szCs w:val="32"/>
          <w:lang w:val="en-US" w:eastAsia="zh-CN"/>
        </w:rPr>
        <w:t>5.预算编制科学性</w:t>
      </w:r>
      <w:bookmarkEnd w:id="156"/>
      <w:bookmarkEnd w:id="157"/>
      <w:bookmarkEnd w:id="15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51181F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highlight w:val="none"/>
          <w:lang w:eastAsia="zh-CN"/>
        </w:rPr>
        <w:t>2024年选聘教师工资补助经费</w:t>
      </w:r>
      <w:r>
        <w:rPr>
          <w:rFonts w:hint="eastAsia" w:ascii="仿宋_GB2312" w:hAnsi="仿宋_GB2312" w:eastAsia="仿宋_GB2312" w:cs="仿宋_GB2312"/>
          <w:color w:val="auto"/>
          <w:sz w:val="32"/>
          <w:szCs w:val="32"/>
          <w:lang w:eastAsia="zh-CN"/>
        </w:rPr>
        <w:t>，项目实际内容为</w:t>
      </w:r>
      <w:r>
        <w:rPr>
          <w:rFonts w:hint="eastAsia" w:ascii="仿宋_GB2312" w:hAnsi="仿宋_GB2312" w:eastAsia="仿宋_GB2312" w:cs="仿宋_GB2312"/>
          <w:color w:val="auto"/>
          <w:sz w:val="32"/>
          <w:szCs w:val="32"/>
          <w:highlight w:val="none"/>
          <w:lang w:eastAsia="zh-CN"/>
        </w:rPr>
        <w:t>2024年选聘教师工资补助经费</w:t>
      </w:r>
      <w:r>
        <w:rPr>
          <w:rFonts w:hint="eastAsia" w:ascii="仿宋_GB2312" w:hAnsi="仿宋_GB2312" w:eastAsia="仿宋_GB2312" w:cs="仿宋_GB2312"/>
          <w:color w:val="auto"/>
          <w:sz w:val="32"/>
          <w:szCs w:val="32"/>
          <w:lang w:eastAsia="zh-CN"/>
        </w:rPr>
        <w:t>，预算申请与项目内容匹配；</w:t>
      </w:r>
    </w:p>
    <w:p w14:paraId="0C1A6A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61.84万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商品服务支出中列支选聘教师工资的劳务费50.87</w:t>
      </w:r>
      <w:r>
        <w:rPr>
          <w:rFonts w:hint="eastAsia" w:ascii="仿宋_GB2312" w:hAnsi="仿宋_GB2312" w:eastAsia="仿宋_GB2312" w:cs="仿宋_GB2312"/>
          <w:color w:val="auto"/>
          <w:sz w:val="32"/>
          <w:szCs w:val="32"/>
          <w:highlight w:val="none"/>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59" w:name="_Toc697"/>
      <w:bookmarkStart w:id="160" w:name="_Toc20556"/>
      <w:bookmarkStart w:id="161" w:name="_Toc21819"/>
      <w:r>
        <w:rPr>
          <w:rFonts w:hint="eastAsia" w:ascii="仿宋_GB2312" w:hAnsi="仿宋_GB2312" w:eastAsia="仿宋_GB2312" w:cs="仿宋_GB2312"/>
          <w:b/>
          <w:bCs/>
          <w:color w:val="auto"/>
          <w:sz w:val="32"/>
          <w:szCs w:val="32"/>
          <w:lang w:val="en-US" w:eastAsia="zh-CN"/>
        </w:rPr>
        <w:t>6.资金分配合理性</w:t>
      </w:r>
      <w:bookmarkEnd w:id="159"/>
      <w:bookmarkEnd w:id="160"/>
      <w:bookmarkEnd w:id="161"/>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w:t>
      </w:r>
      <w:r>
        <w:rPr>
          <w:rFonts w:hint="eastAsia" w:ascii="Times New Roman" w:hAnsi="Times New Roman" w:eastAsia="仿宋_GB2312" w:cs="Times New Roman"/>
          <w:color w:val="auto"/>
          <w:spacing w:val="17"/>
          <w:sz w:val="32"/>
          <w:szCs w:val="32"/>
          <w:highlight w:val="none"/>
          <w:lang w:val="en-US" w:eastAsia="zh-CN"/>
        </w:rPr>
        <w:t>2024年选聘教师工资补助经费</w:t>
      </w:r>
      <w:r>
        <w:rPr>
          <w:rFonts w:hint="eastAsia" w:ascii="仿宋_GB2312" w:hAnsi="仿宋_GB2312" w:eastAsia="仿宋_GB2312" w:cs="仿宋_GB2312"/>
          <w:color w:val="auto"/>
          <w:sz w:val="32"/>
          <w:szCs w:val="32"/>
          <w:lang w:eastAsia="zh-CN"/>
        </w:rPr>
        <w:t>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61.84</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62" w:name="_Toc23423"/>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62"/>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19.3</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3.3</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19.3</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63" w:name="_Toc3886"/>
      <w:bookmarkStart w:id="164" w:name="_Toc20449"/>
      <w:bookmarkStart w:id="165" w:name="_Toc14344"/>
      <w:r>
        <w:rPr>
          <w:rFonts w:hint="eastAsia" w:ascii="仿宋_GB2312" w:hAnsi="仿宋_GB2312" w:eastAsia="仿宋_GB2312" w:cs="仿宋_GB2312"/>
          <w:b/>
          <w:bCs/>
          <w:color w:val="auto"/>
          <w:sz w:val="32"/>
          <w:szCs w:val="32"/>
          <w:lang w:val="en-US" w:eastAsia="zh-CN"/>
        </w:rPr>
        <w:t>1.资金到位率</w:t>
      </w:r>
      <w:bookmarkEnd w:id="163"/>
      <w:bookmarkEnd w:id="164"/>
      <w:bookmarkEnd w:id="165"/>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61.84</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61.84</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61.84万元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61.84万元</w:t>
      </w:r>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b w:val="0"/>
          <w:bCs w:val="0"/>
          <w:color w:val="auto"/>
          <w:sz w:val="32"/>
          <w:szCs w:val="32"/>
          <w:lang w:eastAsia="zh-CN"/>
        </w:rPr>
        <w:t>00%。</w:t>
      </w:r>
      <w:r>
        <w:rPr>
          <w:rFonts w:hint="eastAsia" w:ascii="仿宋_GB2312" w:hAnsi="仿宋_GB2312" w:eastAsia="仿宋_GB2312" w:cs="仿宋_GB2312"/>
          <w:b w:val="0"/>
          <w:bCs w:val="0"/>
          <w:color w:val="auto"/>
          <w:sz w:val="32"/>
          <w:szCs w:val="32"/>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66" w:name="_Toc2655"/>
      <w:bookmarkStart w:id="167" w:name="_Toc9705"/>
      <w:bookmarkStart w:id="168" w:name="_Toc17709"/>
      <w:r>
        <w:rPr>
          <w:rFonts w:hint="eastAsia" w:ascii="仿宋_GB2312" w:hAnsi="仿宋_GB2312" w:eastAsia="仿宋_GB2312" w:cs="仿宋_GB2312"/>
          <w:b/>
          <w:bCs/>
          <w:color w:val="auto"/>
          <w:sz w:val="32"/>
          <w:szCs w:val="32"/>
          <w:lang w:val="en-US" w:eastAsia="zh-CN"/>
        </w:rPr>
        <w:t>2.预算执行率</w:t>
      </w:r>
      <w:bookmarkEnd w:id="166"/>
      <w:bookmarkEnd w:id="167"/>
      <w:bookmarkEnd w:id="168"/>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w:t>
      </w:r>
      <w:r>
        <w:rPr>
          <w:rFonts w:hint="eastAsia" w:ascii="仿宋_GB2312" w:hAnsi="仿宋_GB2312" w:eastAsia="仿宋_GB2312" w:cs="仿宋_GB2312"/>
          <w:b w:val="0"/>
          <w:bCs w:val="0"/>
          <w:color w:val="auto"/>
          <w:sz w:val="32"/>
          <w:szCs w:val="32"/>
          <w:lang w:val="en-US" w:eastAsia="zh-CN"/>
        </w:rPr>
        <w:t>际支出50.87万元。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61.84万元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50.87万元</w:t>
      </w:r>
      <w:r>
        <w:rPr>
          <w:rFonts w:hint="eastAsia" w:ascii="仿宋_GB2312" w:hAnsi="仿宋_GB2312" w:eastAsia="仿宋_GB2312" w:cs="仿宋_GB2312"/>
          <w:b w:val="0"/>
          <w:bCs w:val="0"/>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=82.26%</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综上，该项指标满分4分，得分3.3分。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69" w:name="_Toc28875"/>
      <w:bookmarkStart w:id="170" w:name="_Toc18691"/>
      <w:bookmarkStart w:id="171" w:name="_Toc31156"/>
      <w:r>
        <w:rPr>
          <w:rFonts w:hint="eastAsia" w:ascii="仿宋_GB2312" w:hAnsi="仿宋_GB2312" w:eastAsia="仿宋_GB2312" w:cs="仿宋_GB2312"/>
          <w:b/>
          <w:bCs/>
          <w:color w:val="auto"/>
          <w:sz w:val="32"/>
          <w:szCs w:val="32"/>
          <w:lang w:val="en-US" w:eastAsia="zh-CN"/>
        </w:rPr>
        <w:t>3.资金使用合规性</w:t>
      </w:r>
      <w:bookmarkEnd w:id="169"/>
      <w:bookmarkEnd w:id="170"/>
      <w:bookmarkEnd w:id="171"/>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72" w:name="_Toc13984"/>
      <w:bookmarkStart w:id="173" w:name="_Toc24086"/>
      <w:bookmarkStart w:id="174" w:name="_Toc31684"/>
      <w:r>
        <w:rPr>
          <w:rFonts w:hint="eastAsia" w:ascii="仿宋_GB2312" w:hAnsi="仿宋_GB2312" w:eastAsia="仿宋_GB2312" w:cs="仿宋_GB2312"/>
          <w:b/>
          <w:bCs/>
          <w:color w:val="auto"/>
          <w:sz w:val="32"/>
          <w:szCs w:val="32"/>
          <w:lang w:val="en-US" w:eastAsia="zh-CN"/>
        </w:rPr>
        <w:t>5.制度执行有效性</w:t>
      </w:r>
      <w:bookmarkEnd w:id="172"/>
      <w:bookmarkEnd w:id="173"/>
      <w:bookmarkEnd w:id="174"/>
    </w:p>
    <w:p w14:paraId="08FE08F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①2024年选聘教师工资补助经费</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w:t>
      </w:r>
      <w:r>
        <w:rPr>
          <w:rFonts w:hint="eastAsia" w:ascii="仿宋_GB2312" w:hAnsi="仿宋_GB2312" w:eastAsia="仿宋_GB2312" w:cs="仿宋_GB2312"/>
          <w:color w:val="auto"/>
          <w:sz w:val="32"/>
          <w:szCs w:val="32"/>
          <w:lang w:val="en-US" w:eastAsia="zh-CN"/>
        </w:rPr>
        <w:t>九运街镇中心</w:t>
      </w:r>
      <w:r>
        <w:rPr>
          <w:rFonts w:hint="eastAsia" w:ascii="仿宋_GB2312" w:hAnsi="仿宋_GB2312" w:eastAsia="仿宋_GB2312" w:cs="仿宋_GB2312"/>
          <w:color w:val="auto"/>
          <w:sz w:val="32"/>
          <w:szCs w:val="32"/>
          <w:lang w:eastAsia="zh-CN"/>
        </w:rPr>
        <w:t>幼儿园单位资金管理办法》《阜康市</w:t>
      </w:r>
      <w:r>
        <w:rPr>
          <w:rFonts w:hint="eastAsia" w:ascii="仿宋_GB2312" w:hAnsi="仿宋_GB2312" w:eastAsia="仿宋_GB2312" w:cs="仿宋_GB2312"/>
          <w:color w:val="auto"/>
          <w:sz w:val="32"/>
          <w:szCs w:val="32"/>
          <w:lang w:val="en-US" w:eastAsia="zh-CN"/>
        </w:rPr>
        <w:t>九运街镇中心</w:t>
      </w:r>
      <w:r>
        <w:rPr>
          <w:rFonts w:hint="eastAsia" w:ascii="仿宋_GB2312" w:hAnsi="仿宋_GB2312" w:eastAsia="仿宋_GB2312" w:cs="仿宋_GB2312"/>
          <w:color w:val="auto"/>
          <w:sz w:val="32"/>
          <w:szCs w:val="32"/>
          <w:lang w:eastAsia="zh-CN"/>
        </w:rPr>
        <w:t>幼儿园财务管理制度》</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阜康市</w:t>
      </w:r>
      <w:r>
        <w:rPr>
          <w:rFonts w:hint="eastAsia" w:ascii="仿宋_GB2312" w:hAnsi="仿宋_GB2312" w:eastAsia="仿宋_GB2312" w:cs="仿宋_GB2312"/>
          <w:color w:val="auto"/>
          <w:sz w:val="32"/>
          <w:szCs w:val="32"/>
          <w:lang w:val="en-US" w:eastAsia="zh-CN"/>
        </w:rPr>
        <w:t>九运街镇中心</w:t>
      </w:r>
      <w:r>
        <w:rPr>
          <w:rFonts w:hint="eastAsia" w:ascii="仿宋_GB2312" w:hAnsi="仿宋_GB2312" w:eastAsia="仿宋_GB2312" w:cs="仿宋_GB2312"/>
          <w:color w:val="auto"/>
          <w:sz w:val="32"/>
          <w:szCs w:val="32"/>
          <w:lang w:eastAsia="zh-CN"/>
        </w:rPr>
        <w:t>幼儿园</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w:t>
      </w:r>
      <w:r>
        <w:rPr>
          <w:rFonts w:hint="eastAsia" w:ascii="仿宋_GB2312" w:hAnsi="仿宋_GB2312" w:eastAsia="仿宋_GB2312" w:cs="仿宋_GB2312"/>
          <w:color w:val="auto"/>
          <w:sz w:val="32"/>
          <w:szCs w:val="32"/>
          <w:lang w:val="en-US" w:eastAsia="zh-CN"/>
        </w:rPr>
        <w:t>九运街镇中心</w:t>
      </w:r>
      <w:r>
        <w:rPr>
          <w:rFonts w:hint="eastAsia" w:ascii="仿宋_GB2312" w:hAnsi="仿宋_GB2312" w:eastAsia="仿宋_GB2312" w:cs="仿宋_GB2312"/>
          <w:color w:val="auto"/>
          <w:sz w:val="32"/>
          <w:szCs w:val="32"/>
          <w:lang w:eastAsia="zh-CN"/>
        </w:rPr>
        <w:t>幼儿园</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5F6FB9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25201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w:t>
      </w:r>
      <w:r>
        <w:rPr>
          <w:rFonts w:hint="eastAsia" w:ascii="Times New Roman" w:hAnsi="Times New Roman" w:eastAsia="仿宋_GB2312" w:cs="Times New Roman"/>
          <w:color w:val="auto"/>
          <w:spacing w:val="17"/>
          <w:sz w:val="32"/>
          <w:szCs w:val="32"/>
          <w:highlight w:val="none"/>
          <w:lang w:val="en-US" w:eastAsia="zh-CN"/>
        </w:rPr>
        <w:t>2024年选聘教师工资补助经费</w:t>
      </w:r>
      <w:r>
        <w:rPr>
          <w:rFonts w:hint="eastAsia" w:ascii="仿宋_GB2312" w:hAnsi="仿宋_GB2312" w:eastAsia="仿宋_GB2312" w:cs="仿宋_GB2312"/>
          <w:color w:val="auto"/>
          <w:sz w:val="32"/>
          <w:szCs w:val="32"/>
          <w:lang w:eastAsia="zh-CN"/>
        </w:rPr>
        <w:t>项目工作领导小组，由</w:t>
      </w:r>
      <w:r>
        <w:rPr>
          <w:rFonts w:hint="eastAsia" w:ascii="仿宋_GB2312" w:hAnsi="仿宋_GB2312" w:eastAsia="仿宋_GB2312" w:cs="仿宋_GB2312"/>
          <w:color w:val="auto"/>
          <w:sz w:val="32"/>
          <w:szCs w:val="32"/>
          <w:highlight w:val="none"/>
          <w:shd w:val="clear" w:color="auto" w:fill="auto"/>
          <w:lang w:val="en-US" w:eastAsia="zh-CN"/>
        </w:rPr>
        <w:t>马慧</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highlight w:val="none"/>
          <w:shd w:val="clear" w:color="auto" w:fill="auto"/>
          <w:lang w:val="en-US" w:eastAsia="zh-CN"/>
        </w:rPr>
        <w:t>熊婷</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刘洁</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highlight w:val="none"/>
          <w:shd w:val="clear" w:color="auto" w:fill="auto"/>
          <w:lang w:val="en-US" w:eastAsia="zh-CN"/>
        </w:rPr>
        <w:t>周杰</w:t>
      </w:r>
      <w:r>
        <w:rPr>
          <w:rFonts w:hint="eastAsia" w:ascii="仿宋_GB2312" w:hAnsi="仿宋_GB2312" w:eastAsia="仿宋_GB2312" w:cs="仿宋_GB2312"/>
          <w:color w:val="auto"/>
          <w:sz w:val="32"/>
          <w:szCs w:val="32"/>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75" w:name="_Toc10625"/>
      <w:r>
        <w:rPr>
          <w:rFonts w:hint="eastAsia" w:ascii="Times New Roman" w:hAnsi="Times New Roman" w:eastAsia="楷体_GB2312" w:cs="Times New Roman"/>
          <w:color w:val="auto"/>
          <w:kern w:val="28"/>
          <w:sz w:val="32"/>
          <w:lang w:val="en-US" w:eastAsia="zh-CN"/>
        </w:rPr>
        <w:t>（三）项目产出情况</w:t>
      </w:r>
      <w:bookmarkEnd w:id="175"/>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w:t>
      </w:r>
      <w:r>
        <w:rPr>
          <w:rFonts w:hint="default" w:ascii="Times New Roman" w:hAnsi="Times New Roman" w:eastAsia="仿宋_GB2312" w:cs="Times New Roman"/>
          <w:color w:val="auto"/>
          <w:sz w:val="32"/>
          <w:szCs w:val="32"/>
          <w:highlight w:val="none"/>
          <w:lang w:val="en-US" w:eastAsia="zh-CN"/>
        </w:rPr>
        <w:t>方面的内容，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33.56</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34B50AD">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EB9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157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85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8B6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598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152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7B5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3E9D847D">
        <w:tblPrEx>
          <w:shd w:val="clear" w:color="auto" w:fill="auto"/>
          <w:tblCellMar>
            <w:top w:w="0" w:type="dxa"/>
            <w:left w:w="0" w:type="dxa"/>
            <w:bottom w:w="0" w:type="dxa"/>
            <w:right w:w="0" w:type="dxa"/>
          </w:tblCellMar>
        </w:tblPrEx>
        <w:trPr>
          <w:trHeight w:val="390"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1839B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6" w:name="OLE_LINK35" w:colFirst="1" w:colLast="3"/>
            <w:bookmarkStart w:id="177" w:name="OLE_LINK34" w:colFirst="1" w:colLast="6"/>
            <w:bookmarkStart w:id="178" w:name="OLE_LINK36" w:colFirst="5" w:colLast="5"/>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06A6B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2E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9" w:name="OLE_LINK15"/>
            <w:r>
              <w:rPr>
                <w:rFonts w:hint="eastAsia" w:ascii="宋体" w:hAnsi="宋体" w:eastAsia="宋体" w:cs="宋体"/>
                <w:i w:val="0"/>
                <w:color w:val="auto"/>
                <w:kern w:val="0"/>
                <w:sz w:val="20"/>
                <w:szCs w:val="20"/>
                <w:highlight w:val="none"/>
                <w:u w:val="none"/>
                <w:lang w:val="en-US" w:eastAsia="zh-CN" w:bidi="ar"/>
              </w:rPr>
              <w:t>选聘教师人数</w:t>
            </w:r>
            <w:bookmarkEnd w:id="179"/>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797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0" w:name="OLE_LINK17"/>
            <w:r>
              <w:rPr>
                <w:rFonts w:hint="eastAsia" w:ascii="宋体" w:hAnsi="宋体" w:eastAsia="宋体" w:cs="宋体"/>
                <w:i w:val="0"/>
                <w:color w:val="auto"/>
                <w:kern w:val="0"/>
                <w:sz w:val="20"/>
                <w:szCs w:val="20"/>
                <w:highlight w:val="none"/>
                <w:u w:val="none"/>
                <w:lang w:val="en-US" w:eastAsia="zh-CN" w:bidi="ar"/>
              </w:rPr>
              <w:t>≧11人</w:t>
            </w:r>
            <w:bookmarkEnd w:id="180"/>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831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87F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0CE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7.73</w:t>
            </w:r>
          </w:p>
        </w:tc>
      </w:tr>
      <w:tr w14:paraId="0747B7E1">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AF3B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3AA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25F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1" w:name="OLE_LINK16"/>
            <w:r>
              <w:rPr>
                <w:rFonts w:hint="eastAsia" w:ascii="宋体" w:hAnsi="宋体" w:eastAsia="宋体" w:cs="宋体"/>
                <w:i w:val="0"/>
                <w:color w:val="auto"/>
                <w:kern w:val="0"/>
                <w:sz w:val="20"/>
                <w:szCs w:val="20"/>
                <w:highlight w:val="none"/>
                <w:u w:val="none"/>
                <w:lang w:val="en-US" w:eastAsia="zh-CN" w:bidi="ar"/>
              </w:rPr>
              <w:t>工资支付次数</w:t>
            </w:r>
            <w:bookmarkEnd w:id="181"/>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CFC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2" w:name="OLE_LINK18"/>
            <w:r>
              <w:rPr>
                <w:rFonts w:hint="eastAsia" w:ascii="宋体" w:hAnsi="宋体" w:eastAsia="宋体" w:cs="宋体"/>
                <w:i w:val="0"/>
                <w:color w:val="auto"/>
                <w:kern w:val="0"/>
                <w:sz w:val="20"/>
                <w:szCs w:val="20"/>
                <w:highlight w:val="none"/>
                <w:u w:val="none"/>
                <w:lang w:val="en-US" w:eastAsia="zh-CN" w:bidi="ar"/>
              </w:rPr>
              <w:t>=12次</w:t>
            </w:r>
            <w:bookmarkEnd w:id="182"/>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B9D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157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2DE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5.83</w:t>
            </w:r>
          </w:p>
        </w:tc>
      </w:tr>
      <w:tr w14:paraId="6E83ED73">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0EF8A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4EF5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1BE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3" w:name="OLE_LINK19"/>
            <w:r>
              <w:rPr>
                <w:rFonts w:hint="eastAsia" w:ascii="宋体" w:hAnsi="宋体" w:eastAsia="宋体" w:cs="宋体"/>
                <w:i w:val="0"/>
                <w:color w:val="auto"/>
                <w:kern w:val="0"/>
                <w:sz w:val="20"/>
                <w:szCs w:val="20"/>
                <w:highlight w:val="none"/>
                <w:u w:val="none"/>
                <w:lang w:val="en-US" w:eastAsia="zh-CN" w:bidi="ar"/>
              </w:rPr>
              <w:t>人员经费享受比例</w:t>
            </w:r>
            <w:bookmarkEnd w:id="183"/>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8EC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4" w:name="OLE_LINK20"/>
            <w:r>
              <w:rPr>
                <w:rFonts w:hint="eastAsia" w:ascii="宋体" w:hAnsi="宋体" w:eastAsia="宋体" w:cs="宋体"/>
                <w:color w:val="auto"/>
                <w:kern w:val="0"/>
                <w:sz w:val="20"/>
                <w:szCs w:val="20"/>
                <w:highlight w:val="none"/>
                <w:shd w:val="clear" w:color="auto" w:fill="auto"/>
                <w:lang w:val="en-US" w:eastAsia="zh-CN"/>
              </w:rPr>
              <w:t>=100%</w:t>
            </w:r>
            <w:bookmarkEnd w:id="184"/>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251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0C2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4CA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3D7CE65">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94DE1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9C1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ACF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5" w:name="OLE_LINK22"/>
            <w:r>
              <w:rPr>
                <w:rFonts w:hint="eastAsia" w:ascii="宋体" w:hAnsi="宋体" w:eastAsia="宋体" w:cs="宋体"/>
                <w:i w:val="0"/>
                <w:color w:val="auto"/>
                <w:kern w:val="0"/>
                <w:sz w:val="20"/>
                <w:szCs w:val="20"/>
                <w:highlight w:val="none"/>
                <w:u w:val="none"/>
                <w:lang w:val="en-US" w:eastAsia="zh-CN" w:bidi="ar"/>
              </w:rPr>
              <w:t>选聘教师工资发放时间</w:t>
            </w:r>
            <w:bookmarkEnd w:id="185"/>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7C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86" w:name="OLE_LINK23"/>
            <w:r>
              <w:rPr>
                <w:rFonts w:hint="eastAsia" w:ascii="宋体" w:hAnsi="宋体" w:eastAsia="宋体" w:cs="宋体"/>
                <w:i w:val="0"/>
                <w:color w:val="auto"/>
                <w:kern w:val="0"/>
                <w:sz w:val="20"/>
                <w:szCs w:val="20"/>
                <w:highlight w:val="none"/>
                <w:u w:val="none"/>
                <w:lang w:val="en-US" w:eastAsia="zh-CN" w:bidi="ar"/>
              </w:rPr>
              <w:t>=</w:t>
            </w:r>
            <w:bookmarkStart w:id="187" w:name="OLE_LINK21"/>
            <w:r>
              <w:rPr>
                <w:rFonts w:hint="eastAsia" w:ascii="宋体" w:hAnsi="宋体" w:eastAsia="宋体" w:cs="宋体"/>
                <w:i w:val="0"/>
                <w:color w:val="auto"/>
                <w:kern w:val="0"/>
                <w:sz w:val="20"/>
                <w:szCs w:val="20"/>
                <w:highlight w:val="none"/>
                <w:u w:val="none"/>
                <w:lang w:val="en-US" w:eastAsia="zh-CN" w:bidi="ar"/>
              </w:rPr>
              <w:t>1次/月</w:t>
            </w:r>
            <w:bookmarkEnd w:id="186"/>
            <w:bookmarkEnd w:id="18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82C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8BD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1次/月</w:t>
            </w:r>
          </w:p>
          <w:p w14:paraId="34290E51">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500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41560BF">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F98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721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DB8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906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w:t>
            </w:r>
            <w:bookmarkStart w:id="188" w:name="OLE_LINK26"/>
            <w:r>
              <w:rPr>
                <w:rFonts w:hint="eastAsia" w:ascii="宋体" w:hAnsi="宋体" w:eastAsia="宋体" w:cs="宋体"/>
                <w:i w:val="0"/>
                <w:color w:val="auto"/>
                <w:kern w:val="0"/>
                <w:sz w:val="20"/>
                <w:szCs w:val="20"/>
                <w:highlight w:val="none"/>
                <w:u w:val="none"/>
                <w:lang w:val="en-US" w:eastAsia="zh-CN" w:bidi="ar"/>
              </w:rPr>
              <w:t>5.62万元/人/学年</w:t>
            </w:r>
            <w:bookmarkEnd w:id="188"/>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20CC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7E8B6">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i w:val="0"/>
                <w:color w:val="auto"/>
                <w:kern w:val="0"/>
                <w:sz w:val="20"/>
                <w:szCs w:val="20"/>
                <w:highlight w:val="none"/>
                <w:u w:val="none"/>
                <w:lang w:val="en-US" w:eastAsia="zh-CN" w:bidi="ar"/>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286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bookmarkEnd w:id="176"/>
      <w:bookmarkEnd w:id="177"/>
      <w:bookmarkEnd w:id="178"/>
      <w:tr w14:paraId="64D4FBCD">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D40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038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02B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4C6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33.56</w:t>
            </w:r>
          </w:p>
        </w:tc>
      </w:tr>
    </w:tbl>
    <w:p w14:paraId="1091F34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89" w:name="_Toc28289"/>
      <w:r>
        <w:rPr>
          <w:rFonts w:hint="eastAsia" w:ascii="仿宋_GB2312" w:hAnsi="仿宋_GB2312" w:eastAsia="仿宋_GB2312" w:cs="仿宋_GB2312"/>
          <w:b/>
          <w:bCs/>
          <w:color w:val="auto"/>
          <w:sz w:val="32"/>
          <w:szCs w:val="32"/>
          <w:highlight w:val="none"/>
          <w:lang w:val="en-US" w:eastAsia="zh-CN"/>
        </w:rPr>
        <w:t>1.数量指标完成情况</w:t>
      </w:r>
      <w:bookmarkEnd w:id="189"/>
    </w:p>
    <w:p w14:paraId="7F46169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指标，预期目标值为≧11人，实际完成为10人。实际完成率=（10人/11人）×100%=90.9%。偏差原因：因8月份有一名选聘教师辞职。</w:t>
      </w:r>
    </w:p>
    <w:p w14:paraId="0FE1641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指标，预期目标值为=12次，实际完成为12次。实际完成率=（10次/12次）×100%=83.33%。偏差原因：因国库给拨付全额选聘老师工资，后期下达了一批选聘老师工资，因此收回了10.43万元。</w:t>
      </w:r>
    </w:p>
    <w:p w14:paraId="5DB122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综上，该项指标满分20分，得分13.56分。</w:t>
      </w:r>
    </w:p>
    <w:p w14:paraId="04BF571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90" w:name="_Toc31739"/>
      <w:bookmarkStart w:id="191" w:name="_Toc14058"/>
      <w:bookmarkStart w:id="192" w:name="_Toc14255"/>
      <w:r>
        <w:rPr>
          <w:rFonts w:hint="eastAsia" w:ascii="仿宋_GB2312" w:hAnsi="仿宋_GB2312" w:eastAsia="仿宋_GB2312" w:cs="仿宋_GB2312"/>
          <w:b/>
          <w:bCs/>
          <w:color w:val="auto"/>
          <w:sz w:val="32"/>
          <w:szCs w:val="32"/>
          <w:highlight w:val="none"/>
          <w:lang w:val="en-US" w:eastAsia="zh-CN"/>
        </w:rPr>
        <w:t>2.</w:t>
      </w:r>
      <w:bookmarkEnd w:id="190"/>
      <w:r>
        <w:rPr>
          <w:rFonts w:hint="eastAsia" w:ascii="仿宋_GB2312" w:hAnsi="仿宋_GB2312" w:eastAsia="仿宋_GB2312" w:cs="仿宋_GB2312"/>
          <w:b/>
          <w:bCs/>
          <w:color w:val="auto"/>
          <w:sz w:val="32"/>
          <w:szCs w:val="32"/>
          <w:highlight w:val="none"/>
          <w:lang w:val="en-US" w:eastAsia="zh-CN"/>
        </w:rPr>
        <w:t>质量指标完成情况</w:t>
      </w:r>
      <w:bookmarkEnd w:id="191"/>
      <w:bookmarkEnd w:id="192"/>
    </w:p>
    <w:p w14:paraId="6788735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641E17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F6C40C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93" w:name="_Toc18307"/>
      <w:bookmarkStart w:id="194" w:name="_Toc28885"/>
      <w:bookmarkStart w:id="195" w:name="_Toc12253"/>
      <w:r>
        <w:rPr>
          <w:rFonts w:hint="eastAsia" w:ascii="仿宋_GB2312" w:hAnsi="仿宋_GB2312" w:eastAsia="仿宋_GB2312" w:cs="仿宋_GB2312"/>
          <w:b/>
          <w:bCs/>
          <w:color w:val="auto"/>
          <w:sz w:val="32"/>
          <w:szCs w:val="32"/>
          <w:highlight w:val="none"/>
          <w:lang w:val="en-US" w:eastAsia="zh-CN"/>
        </w:rPr>
        <w:t>3.</w:t>
      </w:r>
      <w:bookmarkEnd w:id="193"/>
      <w:r>
        <w:rPr>
          <w:rFonts w:hint="eastAsia" w:ascii="仿宋_GB2312" w:hAnsi="仿宋_GB2312" w:eastAsia="仿宋_GB2312" w:cs="仿宋_GB2312"/>
          <w:b/>
          <w:bCs/>
          <w:color w:val="auto"/>
          <w:sz w:val="32"/>
          <w:szCs w:val="32"/>
          <w:highlight w:val="none"/>
          <w:lang w:val="en-US" w:eastAsia="zh-CN"/>
        </w:rPr>
        <w:t>时效指标完成情况</w:t>
      </w:r>
      <w:bookmarkEnd w:id="194"/>
      <w:bookmarkEnd w:id="195"/>
    </w:p>
    <w:p w14:paraId="5A77842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选聘教师工资发放时间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3431A6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7352D8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96" w:name="_Toc32765"/>
      <w:bookmarkStart w:id="197" w:name="_Toc17707"/>
      <w:bookmarkStart w:id="198" w:name="_Toc20607"/>
      <w:r>
        <w:rPr>
          <w:rFonts w:hint="eastAsia" w:ascii="仿宋_GB2312" w:hAnsi="仿宋_GB2312" w:eastAsia="仿宋_GB2312" w:cs="仿宋_GB2312"/>
          <w:b/>
          <w:bCs/>
          <w:color w:val="auto"/>
          <w:sz w:val="32"/>
          <w:szCs w:val="32"/>
          <w:highlight w:val="none"/>
          <w:lang w:val="en-US" w:eastAsia="zh-CN"/>
        </w:rPr>
        <w:t>4.项目</w:t>
      </w:r>
      <w:bookmarkEnd w:id="196"/>
      <w:r>
        <w:rPr>
          <w:rFonts w:hint="eastAsia" w:ascii="仿宋_GB2312" w:hAnsi="仿宋_GB2312" w:eastAsia="仿宋_GB2312" w:cs="仿宋_GB2312"/>
          <w:b/>
          <w:bCs/>
          <w:color w:val="auto"/>
          <w:sz w:val="32"/>
          <w:szCs w:val="32"/>
          <w:highlight w:val="none"/>
          <w:lang w:val="en-US" w:eastAsia="zh-CN"/>
        </w:rPr>
        <w:t>成本情况</w:t>
      </w:r>
      <w:bookmarkEnd w:id="197"/>
      <w:bookmarkEnd w:id="198"/>
    </w:p>
    <w:p w14:paraId="7BB367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0A0F89D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w:t>
      </w:r>
      <w:bookmarkStart w:id="199" w:name="OLE_LINK24"/>
      <w:r>
        <w:rPr>
          <w:rFonts w:hint="eastAsia" w:ascii="仿宋_GB2312" w:hAnsi="仿宋_GB2312" w:eastAsia="仿宋_GB2312" w:cs="仿宋_GB2312"/>
          <w:color w:val="auto"/>
          <w:sz w:val="32"/>
          <w:szCs w:val="32"/>
          <w:highlight w:val="none"/>
          <w:lang w:val="en-US" w:eastAsia="zh-CN"/>
        </w:rPr>
        <w:t>5.62万元/人/学年</w:t>
      </w:r>
      <w:bookmarkEnd w:id="199"/>
      <w:r>
        <w:rPr>
          <w:rFonts w:hint="eastAsia" w:ascii="仿宋_GB2312" w:hAnsi="仿宋_GB2312" w:eastAsia="仿宋_GB2312" w:cs="仿宋_GB2312"/>
          <w:color w:val="auto"/>
          <w:sz w:val="32"/>
          <w:szCs w:val="32"/>
          <w:highlight w:val="none"/>
          <w:lang w:val="en-US" w:eastAsia="zh-CN"/>
        </w:rPr>
        <w:t>。实际完成率=（5.62万元/5.62万元）×100%=100%。</w:t>
      </w:r>
    </w:p>
    <w:p w14:paraId="5B6A1E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200" w:name="_Toc24768"/>
      <w:r>
        <w:rPr>
          <w:rFonts w:hint="eastAsia" w:ascii="Times New Roman" w:hAnsi="Times New Roman" w:eastAsia="楷体_GB2312" w:cs="Times New Roman"/>
          <w:color w:val="auto"/>
          <w:kern w:val="28"/>
          <w:sz w:val="32"/>
          <w:lang w:val="en-US" w:eastAsia="zh-CN"/>
        </w:rPr>
        <w:t>（四）项目效益情况</w:t>
      </w:r>
      <w:bookmarkEnd w:id="200"/>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4D4882B">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048F5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6D3AF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2AD1F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266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529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3C5800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98F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7B1F8B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C56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3DE0A1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566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38715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670EE00">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161BE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16CA56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201" w:name="OLE_LINK25"/>
            <w:r>
              <w:rPr>
                <w:rFonts w:hint="eastAsia" w:ascii="宋体" w:hAnsi="宋体" w:eastAsia="宋体" w:cs="宋体"/>
                <w:color w:val="auto"/>
                <w:kern w:val="0"/>
                <w:sz w:val="20"/>
                <w:szCs w:val="20"/>
                <w:highlight w:val="none"/>
                <w:shd w:val="clear" w:color="auto" w:fill="auto"/>
                <w:lang w:val="en-US" w:eastAsia="zh-CN"/>
              </w:rPr>
              <w:t>社会效益指标</w:t>
            </w:r>
            <w:bookmarkEnd w:id="201"/>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2A4AD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202" w:name="OLE_LINK29"/>
            <w:r>
              <w:rPr>
                <w:rFonts w:hint="eastAsia" w:cs="宋体"/>
                <w:color w:val="auto"/>
                <w:kern w:val="0"/>
                <w:sz w:val="20"/>
                <w:szCs w:val="20"/>
                <w:highlight w:val="none"/>
                <w:shd w:val="clear" w:color="auto" w:fill="auto"/>
                <w:lang w:val="en-US" w:eastAsia="zh-CN"/>
              </w:rPr>
              <w:t>幼儿园</w:t>
            </w:r>
            <w:r>
              <w:rPr>
                <w:rFonts w:hint="default" w:ascii="宋体" w:hAnsi="宋体" w:eastAsia="宋体" w:cs="宋体"/>
                <w:color w:val="auto"/>
                <w:kern w:val="0"/>
                <w:sz w:val="20"/>
                <w:szCs w:val="20"/>
                <w:highlight w:val="none"/>
                <w:shd w:val="clear" w:color="auto" w:fill="auto"/>
                <w:lang w:val="en-US" w:eastAsia="zh-CN"/>
              </w:rPr>
              <w:t>正常运转率</w:t>
            </w:r>
            <w:bookmarkEnd w:id="202"/>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112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203" w:name="OLE_LINK30"/>
            <w:r>
              <w:rPr>
                <w:rFonts w:hint="default" w:ascii="宋体" w:hAnsi="宋体" w:eastAsia="宋体" w:cs="宋体"/>
                <w:color w:val="auto"/>
                <w:kern w:val="0"/>
                <w:sz w:val="20"/>
                <w:szCs w:val="20"/>
                <w:highlight w:val="none"/>
                <w:shd w:val="clear" w:color="auto" w:fill="auto"/>
                <w:lang w:val="en-US" w:eastAsia="zh-CN"/>
              </w:rPr>
              <w:t>=100%</w:t>
            </w:r>
            <w:bookmarkEnd w:id="203"/>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4EA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0C7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733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103EA77">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341018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1A887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305DF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204"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204"/>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681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685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03E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407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0FE038B">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CD1DC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62F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BB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205" w:name="OLE_LINK32"/>
            <w:r>
              <w:rPr>
                <w:rFonts w:hint="eastAsia" w:cs="宋体"/>
                <w:color w:val="auto"/>
                <w:kern w:val="0"/>
                <w:sz w:val="20"/>
                <w:szCs w:val="20"/>
                <w:highlight w:val="none"/>
                <w:shd w:val="clear" w:color="auto" w:fill="auto"/>
                <w:lang w:val="en-US" w:eastAsia="zh-CN"/>
              </w:rPr>
              <w:t>教师</w:t>
            </w:r>
            <w:r>
              <w:rPr>
                <w:rFonts w:hint="eastAsia" w:ascii="宋体" w:hAnsi="宋体" w:eastAsia="宋体" w:cs="宋体"/>
                <w:color w:val="auto"/>
                <w:kern w:val="0"/>
                <w:sz w:val="20"/>
                <w:szCs w:val="20"/>
                <w:highlight w:val="none"/>
                <w:shd w:val="clear" w:color="auto" w:fill="auto"/>
                <w:lang w:val="en-US" w:eastAsia="zh-CN"/>
              </w:rPr>
              <w:t>满意度</w:t>
            </w:r>
            <w:bookmarkEnd w:id="205"/>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7A8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206" w:name="OLE_LINK33"/>
            <w:r>
              <w:rPr>
                <w:rFonts w:hint="eastAsia" w:ascii="宋体" w:hAnsi="宋体" w:eastAsia="宋体" w:cs="宋体"/>
                <w:color w:val="auto"/>
                <w:kern w:val="0"/>
                <w:sz w:val="20"/>
                <w:szCs w:val="20"/>
                <w:highlight w:val="none"/>
                <w:shd w:val="clear" w:color="auto" w:fill="auto"/>
                <w:lang w:val="en-US" w:eastAsia="zh-CN"/>
              </w:rPr>
              <w:t>≥90%</w:t>
            </w:r>
            <w:bookmarkEnd w:id="206"/>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DE6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1EB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44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441F599">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832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3FE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012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3C9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3CB336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207" w:name="_Toc5170"/>
      <w:bookmarkStart w:id="208" w:name="_Toc8010"/>
      <w:bookmarkStart w:id="209" w:name="_Toc10168"/>
      <w:bookmarkStart w:id="210" w:name="_Toc23106"/>
      <w:bookmarkStart w:id="211" w:name="_Toc14320"/>
      <w:r>
        <w:rPr>
          <w:rFonts w:hint="eastAsia" w:ascii="仿宋_GB2312" w:hAnsi="仿宋_GB2312" w:eastAsia="仿宋_GB2312" w:cs="仿宋_GB2312"/>
          <w:b/>
          <w:bCs/>
          <w:color w:val="auto"/>
          <w:sz w:val="32"/>
          <w:szCs w:val="32"/>
          <w:highlight w:val="none"/>
          <w:lang w:val="en-US" w:eastAsia="zh-CN"/>
        </w:rPr>
        <w:t>1</w:t>
      </w:r>
      <w:bookmarkEnd w:id="207"/>
      <w:bookmarkEnd w:id="208"/>
      <w:r>
        <w:rPr>
          <w:rFonts w:hint="eastAsia" w:ascii="Times New Roman" w:hAnsi="Times New Roman" w:eastAsia="楷体_GB2312" w:cs="Times New Roman"/>
          <w:color w:val="auto"/>
          <w:kern w:val="28"/>
          <w:sz w:val="32"/>
          <w:lang w:val="en-US" w:eastAsia="zh-CN"/>
        </w:rPr>
        <w:t>社会效益</w:t>
      </w:r>
      <w:r>
        <w:rPr>
          <w:rFonts w:hint="eastAsia" w:ascii="仿宋_GB2312" w:hAnsi="仿宋_GB2312" w:eastAsia="仿宋_GB2312" w:cs="仿宋_GB2312"/>
          <w:b/>
          <w:bCs/>
          <w:color w:val="auto"/>
          <w:sz w:val="32"/>
          <w:szCs w:val="32"/>
          <w:highlight w:val="none"/>
          <w:lang w:val="en-US" w:eastAsia="zh-CN"/>
        </w:rPr>
        <w:t>指标完成情况</w:t>
      </w:r>
      <w:bookmarkEnd w:id="209"/>
    </w:p>
    <w:p w14:paraId="095D4E4F">
      <w:pPr>
        <w:pageBreakBefore w:val="0"/>
        <w:numPr>
          <w:ilvl w:val="0"/>
          <w:numId w:val="3"/>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212" w:name="_Toc27006"/>
      <w:bookmarkStart w:id="213" w:name="_Toc29606"/>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幼儿园</w:t>
      </w:r>
      <w:r>
        <w:rPr>
          <w:rFonts w:hint="default" w:ascii="仿宋_GB2312" w:hAnsi="仿宋_GB2312" w:eastAsia="仿宋_GB2312" w:cs="仿宋_GB2312"/>
          <w:color w:val="auto"/>
          <w:sz w:val="32"/>
          <w:szCs w:val="32"/>
          <w:highlight w:val="none"/>
          <w:lang w:val="en-US" w:eastAsia="zh-CN"/>
        </w:rPr>
        <w:t>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bookmarkEnd w:id="212"/>
      <w:bookmarkEnd w:id="213"/>
      <w:bookmarkStart w:id="214" w:name="OLE_LINK28"/>
    </w:p>
    <w:p w14:paraId="3F6EBCC4">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通过项目的实施，达到了改善校园环境，提升幼儿教育教学环境的效益。</w:t>
      </w:r>
    </w:p>
    <w:p w14:paraId="5AB8AFE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791AFE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bookmarkEnd w:id="214"/>
      <w:r>
        <w:rPr>
          <w:rFonts w:hint="eastAsia" w:ascii="仿宋_GB2312" w:hAnsi="仿宋_GB2312" w:eastAsia="仿宋_GB2312" w:cs="仿宋_GB2312"/>
          <w:b w:val="0"/>
          <w:bCs w:val="0"/>
          <w:color w:val="auto"/>
          <w:sz w:val="32"/>
          <w:szCs w:val="32"/>
          <w:highlight w:val="none"/>
          <w:lang w:val="en-US" w:eastAsia="zh-CN"/>
        </w:rPr>
        <w:t>保障了教师的正常工资待遇，提高教师的归属感，减少教师队伍人员流失，有效改善教学环境，提供良好的幼儿成长条件。</w:t>
      </w:r>
    </w:p>
    <w:p w14:paraId="260AD4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215" w:name="OLE_LINK31"/>
      <w:r>
        <w:rPr>
          <w:rFonts w:hint="eastAsia" w:ascii="仿宋_GB2312" w:hAnsi="仿宋_GB2312" w:eastAsia="仿宋_GB2312" w:cs="仿宋_GB2312"/>
          <w:b/>
          <w:bCs/>
          <w:color w:val="auto"/>
          <w:sz w:val="32"/>
          <w:szCs w:val="32"/>
          <w:highlight w:val="none"/>
          <w:lang w:val="en-US" w:eastAsia="zh-CN"/>
        </w:rPr>
        <w:t>综上，该项指标满分15分，得分15分。</w:t>
      </w:r>
      <w:bookmarkEnd w:id="215"/>
    </w:p>
    <w:bookmarkEnd w:id="210"/>
    <w:bookmarkEnd w:id="211"/>
    <w:p w14:paraId="3725C84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216" w:name="_Toc16664"/>
      <w:r>
        <w:rPr>
          <w:rFonts w:hint="eastAsia" w:ascii="Times New Roman" w:hAnsi="Times New Roman" w:eastAsia="楷体_GB2312" w:cs="Times New Roman"/>
          <w:color w:val="auto"/>
          <w:kern w:val="28"/>
          <w:sz w:val="32"/>
          <w:lang w:val="en-US" w:eastAsia="zh-CN"/>
        </w:rPr>
        <w:t>（五）满意度指标完成情况分析</w:t>
      </w:r>
      <w:bookmarkEnd w:id="216"/>
    </w:p>
    <w:p w14:paraId="555DECD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“教师</w:t>
      </w:r>
      <w:r>
        <w:rPr>
          <w:rFonts w:hint="eastAsia" w:ascii="仿宋_GB2312" w:hAnsi="仿宋_GB2312" w:eastAsia="仿宋_GB2312" w:cs="仿宋_GB2312"/>
          <w:color w:val="auto"/>
          <w:sz w:val="32"/>
          <w:szCs w:val="32"/>
          <w:highlight w:val="none"/>
          <w:lang w:val="en-US" w:eastAsia="zh-CN"/>
        </w:rPr>
        <w:t>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2AD36505">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217" w:name="_Toc14288"/>
      <w:r>
        <w:rPr>
          <w:rFonts w:hint="eastAsia" w:ascii="仿宋_GB2312" w:hAnsi="仿宋_GB2312" w:eastAsia="仿宋_GB2312" w:cs="仿宋_GB2312"/>
          <w:b/>
          <w:bCs/>
          <w:color w:val="auto"/>
          <w:sz w:val="32"/>
          <w:szCs w:val="32"/>
          <w:highlight w:val="none"/>
          <w:lang w:val="en-US" w:eastAsia="zh-CN"/>
        </w:rPr>
        <w:t>综上，该项指标满分5分，得分5分</w:t>
      </w:r>
      <w:bookmarkEnd w:id="217"/>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218" w:name="_Toc8719"/>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218"/>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219" w:name="_Toc29523"/>
      <w:bookmarkStart w:id="220" w:name="_Toc28290"/>
      <w:bookmarkStart w:id="221"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219"/>
    </w:p>
    <w:bookmarkEnd w:id="220"/>
    <w:bookmarkEnd w:id="221"/>
    <w:p w14:paraId="2AE050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2024年选聘教师工资补助经费项目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61.84</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50.87</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82.3</w:t>
      </w:r>
      <w:r>
        <w:rPr>
          <w:rFonts w:hint="eastAsia" w:ascii="仿宋_GB2312" w:hAnsi="仿宋_GB2312" w:eastAsia="仿宋_GB2312" w:cs="仿宋_GB2312"/>
          <w:color w:val="auto"/>
          <w:sz w:val="32"/>
          <w:szCs w:val="32"/>
          <w:lang w:eastAsia="zh-CN"/>
        </w:rPr>
        <w:t>%。</w:t>
      </w:r>
    </w:p>
    <w:p w14:paraId="3B78165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阜康市九运街镇中心幼儿园</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222" w:name="_Toc7668"/>
      <w:r>
        <w:rPr>
          <w:rFonts w:hint="eastAsia" w:ascii="Times New Roman" w:hAnsi="Times New Roman" w:eastAsia="楷体_GB2312" w:cs="Times New Roman"/>
          <w:b/>
          <w:bCs/>
          <w:color w:val="auto"/>
          <w:kern w:val="28"/>
          <w:sz w:val="32"/>
          <w:highlight w:val="none"/>
          <w:lang w:val="en-US" w:eastAsia="zh-CN"/>
        </w:rPr>
        <w:t>（二）存在的问题及原因分析</w:t>
      </w:r>
      <w:bookmarkEnd w:id="222"/>
    </w:p>
    <w:p w14:paraId="6CBF20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在项目实施期间</w:t>
      </w:r>
      <w:r>
        <w:rPr>
          <w:rFonts w:hint="eastAsia" w:ascii="仿宋_GB2312" w:hAnsi="仿宋_GB2312" w:eastAsia="仿宋_GB2312" w:cs="仿宋_GB2312"/>
          <w:color w:val="auto"/>
          <w:sz w:val="32"/>
          <w:szCs w:val="32"/>
          <w:lang w:eastAsia="zh-CN"/>
        </w:rPr>
        <w:t>部分业务人员未能全面深入认识理解</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lang w:eastAsia="zh-CN"/>
        </w:rPr>
        <w:t>管理工作的意义。</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lang w:eastAsia="zh-CN"/>
        </w:rPr>
        <w:t>管理经验不足，</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lang w:eastAsia="zh-CN"/>
        </w:rPr>
        <w:t>管理工作有待进一步落实。</w:t>
      </w:r>
    </w:p>
    <w:p w14:paraId="13E93E0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2.因年初预算数据不够清晰明确到明细科目，使得整个年度财务核算及审核流程不准确清晰。</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223" w:name="_Toc6008"/>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223"/>
    </w:p>
    <w:p w14:paraId="218F71E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bookmarkStart w:id="224" w:name="_Toc20454"/>
      <w:bookmarkStart w:id="225" w:name="_Toc3948"/>
      <w:r>
        <w:rPr>
          <w:rFonts w:hint="eastAsia" w:ascii="仿宋_GB2312" w:hAnsi="仿宋_GB2312" w:eastAsia="仿宋_GB2312" w:cs="仿宋_GB2312"/>
          <w:color w:val="auto"/>
          <w:sz w:val="32"/>
          <w:szCs w:val="32"/>
          <w:lang w:val="en-US" w:eastAsia="zh-CN"/>
        </w:rPr>
        <w:t>（一）加强项目管理，健全单位项目管理制度体系。 加大项目管理人员的业务培训，确保项目能够顺利实施。</w:t>
      </w:r>
    </w:p>
    <w:p w14:paraId="4A3352A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（二）加强财务人员业务培训，在年初预算时及时与各科室联系，将年初预算数据填写清晰，确保财务支付审核程序顺利进行。</w:t>
      </w:r>
    </w:p>
    <w:bookmarkEnd w:id="224"/>
    <w:bookmarkEnd w:id="225"/>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226" w:name="_Toc16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226"/>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无其他需要说明的问题。</w:t>
      </w:r>
    </w:p>
    <w:p w14:paraId="231F0CE3">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928" w:right="1531" w:bottom="1644" w:left="1531"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rPr>
      </w:pPr>
      <w:bookmarkStart w:id="227" w:name="_Toc15905"/>
      <w:bookmarkStart w:id="228" w:name="_Toc11349"/>
      <w:r>
        <w:rPr>
          <w:rFonts w:hint="eastAsia" w:ascii="宋体" w:hAnsi="宋体" w:eastAsia="宋体" w:cs="宋体"/>
          <w:b/>
          <w:bCs/>
          <w:color w:val="auto"/>
          <w:highlight w:val="none"/>
          <w:shd w:val="clear" w:color="auto" w:fill="auto"/>
          <w:lang w:val="en-US" w:eastAsia="zh-CN"/>
        </w:rPr>
        <w:t>附件一、项目支出绩效自评表</w:t>
      </w:r>
      <w:bookmarkEnd w:id="227"/>
      <w:bookmarkEnd w:id="228"/>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155"/>
        <w:gridCol w:w="1155"/>
        <w:gridCol w:w="1072"/>
        <w:gridCol w:w="1155"/>
        <w:gridCol w:w="905"/>
        <w:gridCol w:w="1072"/>
        <w:gridCol w:w="906"/>
        <w:gridCol w:w="906"/>
        <w:gridCol w:w="1073"/>
      </w:tblGrid>
      <w:tr w14:paraId="45360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EAD489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10C8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F84A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B716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39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A5BF4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60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8DB6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634E5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F3B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B1A7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9BF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B8DF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阜康市九运街镇中心幼儿园</w:t>
            </w:r>
          </w:p>
        </w:tc>
      </w:tr>
      <w:tr w14:paraId="15680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39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194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0A116">
            <w:pPr>
              <w:jc w:val="center"/>
              <w:rPr>
                <w:rFonts w:hint="eastAsia" w:ascii="宋体" w:hAnsi="宋体" w:eastAsia="宋体" w:cs="宋体"/>
                <w:b/>
                <w:bCs/>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DBC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527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F7B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637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3846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BD2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0085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B6F3B">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2F4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47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61.84</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B5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61.84</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2B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50.87</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42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DAF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82.26%</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89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w:t>
            </w:r>
          </w:p>
        </w:tc>
      </w:tr>
      <w:tr w14:paraId="247F2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EE99C">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C40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5A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61.84</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F0C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61.84</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F23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50.87</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C2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ADB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84E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8015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74A17">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3BC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AB6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6E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FF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A631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4A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696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EF0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1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9704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8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41189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8998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4F7BF">
            <w:pPr>
              <w:jc w:val="center"/>
              <w:rPr>
                <w:rFonts w:hint="eastAsia" w:ascii="宋体" w:hAnsi="宋体" w:eastAsia="宋体" w:cs="宋体"/>
                <w:b/>
                <w:bCs/>
                <w:i w:val="0"/>
                <w:iCs w:val="0"/>
                <w:color w:val="000000"/>
                <w:sz w:val="18"/>
                <w:szCs w:val="18"/>
                <w:u w:val="none"/>
              </w:rPr>
            </w:pPr>
          </w:p>
        </w:tc>
        <w:tc>
          <w:tcPr>
            <w:tcW w:w="191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F6B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11人12次工资补助经费，每人每年5.62万元。通过按时发放选聘教师工资，保障教师的正常工资待遇，提高教师的归属感，减少教师队伍人员流失，有效改善教学环境，提供良好的幼儿成长条件，达到幼儿园正常运转的目的。</w:t>
            </w:r>
          </w:p>
        </w:tc>
        <w:tc>
          <w:tcPr>
            <w:tcW w:w="288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0D92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按每人每年5.62万元的标准完成11名选聘教师10次的工资发放，共支付51.86万元。人员经费享受比例达到了100%，项目实施达到维持幼儿园正常运转，有效改善教学环境，提供良好的学生成长条件，达到幼儿园正常运转的社会效益。</w:t>
            </w:r>
          </w:p>
        </w:tc>
      </w:tr>
      <w:tr w14:paraId="238BF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23658">
            <w:pPr>
              <w:jc w:val="center"/>
              <w:rPr>
                <w:rFonts w:hint="eastAsia" w:ascii="宋体" w:hAnsi="宋体" w:eastAsia="宋体" w:cs="宋体"/>
                <w:i w:val="0"/>
                <w:iCs w:val="0"/>
                <w:color w:val="000000"/>
                <w:sz w:val="18"/>
                <w:szCs w:val="18"/>
                <w:u w:val="none"/>
              </w:rPr>
            </w:pP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2FCB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4CE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59B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36D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bookmarkStart w:id="231" w:name="_GoBack"/>
            <w:bookmarkEnd w:id="231"/>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175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B7D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566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72D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EAB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80C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1C5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4225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93F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57D0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306E3">
            <w:pPr>
              <w:jc w:val="center"/>
              <w:rPr>
                <w:rFonts w:hint="eastAsia" w:ascii="宋体" w:hAnsi="宋体" w:eastAsia="宋体" w:cs="宋体"/>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FEF96">
            <w:pPr>
              <w:jc w:val="center"/>
              <w:rPr>
                <w:rFonts w:hint="eastAsia" w:ascii="宋体" w:hAnsi="宋体" w:eastAsia="宋体" w:cs="宋体"/>
                <w:b/>
                <w:bCs/>
                <w:i w:val="0"/>
                <w:iCs w:val="0"/>
                <w:color w:val="000000"/>
                <w:sz w:val="18"/>
                <w:szCs w:val="18"/>
                <w:u w:val="none"/>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F7254">
            <w:pPr>
              <w:jc w:val="center"/>
              <w:rPr>
                <w:rFonts w:hint="eastAsia" w:ascii="宋体" w:hAnsi="宋体" w:eastAsia="宋体" w:cs="宋体"/>
                <w:b/>
                <w:bCs/>
                <w:i w:val="0"/>
                <w:iCs w:val="0"/>
                <w:color w:val="000000"/>
                <w:sz w:val="18"/>
                <w:szCs w:val="18"/>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E6D75">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E6563">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CAE3B">
            <w:pPr>
              <w:jc w:val="center"/>
              <w:rPr>
                <w:rFonts w:hint="eastAsia" w:ascii="宋体" w:hAnsi="宋体" w:eastAsia="宋体" w:cs="宋体"/>
                <w:b/>
                <w:bCs/>
                <w:i w:val="0"/>
                <w:iCs w:val="0"/>
                <w:color w:val="000000"/>
                <w:sz w:val="18"/>
                <w:szCs w:val="18"/>
                <w:u w:val="none"/>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53F54">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ECE78">
            <w:pPr>
              <w:jc w:val="center"/>
              <w:rPr>
                <w:rFonts w:hint="eastAsia" w:ascii="宋体" w:hAnsi="宋体" w:eastAsia="宋体" w:cs="宋体"/>
                <w:b/>
                <w:bCs/>
                <w:i w:val="0"/>
                <w:iCs w:val="0"/>
                <w:color w:val="000000"/>
                <w:sz w:val="18"/>
                <w:szCs w:val="18"/>
                <w:u w:val="none"/>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56750">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58F2F">
            <w:pPr>
              <w:jc w:val="center"/>
              <w:rPr>
                <w:rFonts w:hint="eastAsia" w:ascii="宋体" w:hAnsi="宋体" w:eastAsia="宋体" w:cs="宋体"/>
                <w:b/>
                <w:bCs/>
                <w:i w:val="0"/>
                <w:iCs w:val="0"/>
                <w:color w:val="000000"/>
                <w:sz w:val="18"/>
                <w:szCs w:val="18"/>
                <w:u w:val="none"/>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4AC2A">
            <w:pPr>
              <w:jc w:val="center"/>
              <w:rPr>
                <w:rFonts w:hint="eastAsia" w:ascii="宋体" w:hAnsi="宋体" w:eastAsia="宋体" w:cs="宋体"/>
                <w:b/>
                <w:bCs/>
                <w:i w:val="0"/>
                <w:iCs w:val="0"/>
                <w:color w:val="000000"/>
                <w:sz w:val="18"/>
                <w:szCs w:val="18"/>
                <w:u w:val="none"/>
              </w:rPr>
            </w:pP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71674">
            <w:pPr>
              <w:jc w:val="center"/>
              <w:rPr>
                <w:rFonts w:hint="eastAsia" w:ascii="宋体" w:hAnsi="宋体" w:eastAsia="宋体" w:cs="宋体"/>
                <w:b/>
                <w:bCs/>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9DD91">
            <w:pPr>
              <w:jc w:val="center"/>
              <w:rPr>
                <w:rFonts w:hint="eastAsia" w:ascii="宋体" w:hAnsi="宋体" w:eastAsia="宋体" w:cs="宋体"/>
                <w:b/>
                <w:bCs/>
                <w:i w:val="0"/>
                <w:iCs w:val="0"/>
                <w:color w:val="000000"/>
                <w:sz w:val="18"/>
                <w:szCs w:val="18"/>
                <w:u w:val="none"/>
              </w:rPr>
            </w:pP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C2B36">
            <w:pPr>
              <w:jc w:val="center"/>
              <w:rPr>
                <w:rFonts w:hint="eastAsia" w:ascii="宋体" w:hAnsi="宋体" w:eastAsia="宋体" w:cs="宋体"/>
                <w:b/>
                <w:bCs/>
                <w:i w:val="0"/>
                <w:iCs w:val="0"/>
                <w:color w:val="000000"/>
                <w:sz w:val="18"/>
                <w:szCs w:val="18"/>
                <w:u w:val="none"/>
              </w:rPr>
            </w:pPr>
          </w:p>
        </w:tc>
      </w:tr>
      <w:tr w14:paraId="5B592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68E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A7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39E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BD0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D5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F22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&gt;=11人</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50C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=10人</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239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32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945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8A7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11人</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FB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57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0F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原因：8月有一名选聘老师辞职。措施：做好宣传，同时对教师进行关心关爱，提高教师的职业幸福感。</w:t>
            </w:r>
          </w:p>
        </w:tc>
      </w:tr>
      <w:tr w14:paraId="5730B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BBF6">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B978B">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DF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85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50F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DA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12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=10次</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6B71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B8E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5D5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AD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37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D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2FA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原因：因国库给拨付全额选聘老师工资，后期下达了一批选聘老师工资，因此收回了10.43万元。改善措施：对教师关心关爱减少教师辞职。</w:t>
            </w:r>
          </w:p>
        </w:tc>
      </w:tr>
      <w:tr w14:paraId="6A6ED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1BB6B">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872AE">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C58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E31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B78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E2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52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42FC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F7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02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63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CD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36A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86032">
            <w:pPr>
              <w:jc w:val="center"/>
              <w:rPr>
                <w:rFonts w:hint="eastAsia" w:ascii="宋体" w:hAnsi="宋体" w:eastAsia="宋体" w:cs="宋体"/>
                <w:i w:val="0"/>
                <w:iCs w:val="0"/>
                <w:color w:val="000000"/>
                <w:sz w:val="18"/>
                <w:szCs w:val="18"/>
                <w:u w:val="none"/>
              </w:rPr>
            </w:pPr>
          </w:p>
        </w:tc>
      </w:tr>
      <w:tr w14:paraId="630E4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120C8">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F730A">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A2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C1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选聘老师工资发放时间</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83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C2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F1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B20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9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22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F7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F29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C4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F26CB">
            <w:pPr>
              <w:jc w:val="center"/>
              <w:rPr>
                <w:rFonts w:hint="eastAsia" w:ascii="宋体" w:hAnsi="宋体" w:eastAsia="宋体" w:cs="宋体"/>
                <w:i w:val="0"/>
                <w:iCs w:val="0"/>
                <w:color w:val="000000"/>
                <w:sz w:val="18"/>
                <w:szCs w:val="18"/>
                <w:u w:val="none"/>
              </w:rPr>
            </w:pPr>
          </w:p>
        </w:tc>
      </w:tr>
      <w:tr w14:paraId="75740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8FF3A">
            <w:pPr>
              <w:jc w:val="center"/>
              <w:rPr>
                <w:rFonts w:hint="eastAsia" w:ascii="宋体" w:hAnsi="宋体" w:eastAsia="宋体" w:cs="宋体"/>
                <w:b/>
                <w:bCs/>
                <w:i w:val="0"/>
                <w:iCs w:val="0"/>
                <w:color w:val="000000"/>
                <w:sz w:val="18"/>
                <w:szCs w:val="18"/>
                <w:u w:val="none"/>
              </w:rPr>
            </w:pP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31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BC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EA9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83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8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4C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C324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592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26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B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5.48万元/人/学年</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5B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AE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4FB76">
            <w:pPr>
              <w:jc w:val="center"/>
              <w:rPr>
                <w:rFonts w:hint="eastAsia" w:ascii="宋体" w:hAnsi="宋体" w:eastAsia="宋体" w:cs="宋体"/>
                <w:i w:val="0"/>
                <w:iCs w:val="0"/>
                <w:color w:val="000000"/>
                <w:sz w:val="18"/>
                <w:szCs w:val="18"/>
                <w:u w:val="none"/>
              </w:rPr>
            </w:pPr>
          </w:p>
        </w:tc>
      </w:tr>
      <w:tr w14:paraId="103C1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16DEB">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93025">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08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ED3BA">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B54E6">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B25FA">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1B0DE">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3784">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A5E55">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92562">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B1A79">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55A18">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A8FA1">
            <w:pPr>
              <w:jc w:val="center"/>
              <w:rPr>
                <w:rFonts w:hint="eastAsia" w:ascii="宋体" w:hAnsi="宋体" w:eastAsia="宋体" w:cs="宋体"/>
                <w:i w:val="0"/>
                <w:iCs w:val="0"/>
                <w:color w:val="000000"/>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C1643">
            <w:pPr>
              <w:jc w:val="center"/>
              <w:rPr>
                <w:rFonts w:hint="eastAsia" w:ascii="宋体" w:hAnsi="宋体" w:eastAsia="宋体" w:cs="宋体"/>
                <w:i w:val="0"/>
                <w:iCs w:val="0"/>
                <w:color w:val="000000"/>
                <w:sz w:val="18"/>
                <w:szCs w:val="18"/>
                <w:u w:val="none"/>
              </w:rPr>
            </w:pPr>
          </w:p>
        </w:tc>
      </w:tr>
      <w:tr w14:paraId="5F9B9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816C6">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7F3C4">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B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35F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72185">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90778">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0AE42">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1E17">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49663">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8EF44">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08F79">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9C51">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3E764">
            <w:pPr>
              <w:jc w:val="center"/>
              <w:rPr>
                <w:rFonts w:hint="eastAsia" w:ascii="宋体" w:hAnsi="宋体" w:eastAsia="宋体" w:cs="宋体"/>
                <w:i w:val="0"/>
                <w:iCs w:val="0"/>
                <w:color w:val="000000"/>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6142E">
            <w:pPr>
              <w:jc w:val="center"/>
              <w:rPr>
                <w:rFonts w:hint="eastAsia" w:ascii="宋体" w:hAnsi="宋体" w:eastAsia="宋体" w:cs="宋体"/>
                <w:i w:val="0"/>
                <w:iCs w:val="0"/>
                <w:color w:val="000000"/>
                <w:sz w:val="18"/>
                <w:szCs w:val="18"/>
                <w:u w:val="none"/>
              </w:rPr>
            </w:pPr>
          </w:p>
        </w:tc>
      </w:tr>
      <w:tr w14:paraId="3983A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FF65E">
            <w:pPr>
              <w:jc w:val="center"/>
              <w:rPr>
                <w:rFonts w:hint="eastAsia" w:ascii="宋体" w:hAnsi="宋体" w:eastAsia="宋体" w:cs="宋体"/>
                <w:b/>
                <w:bCs/>
                <w:i w:val="0"/>
                <w:iCs w:val="0"/>
                <w:color w:val="000000"/>
                <w:sz w:val="18"/>
                <w:szCs w:val="18"/>
                <w:u w:val="none"/>
              </w:rPr>
            </w:pP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FB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8A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D7F4">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37C6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05988">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908B2">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FD4D">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B628F">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F65CD">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7A3B">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EF50F">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E357D">
            <w:pPr>
              <w:jc w:val="center"/>
              <w:rPr>
                <w:rFonts w:hint="eastAsia" w:ascii="宋体" w:hAnsi="宋体" w:eastAsia="宋体" w:cs="宋体"/>
                <w:i w:val="0"/>
                <w:iCs w:val="0"/>
                <w:color w:val="000000"/>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34B53">
            <w:pPr>
              <w:jc w:val="center"/>
              <w:rPr>
                <w:rFonts w:hint="eastAsia" w:ascii="宋体" w:hAnsi="宋体" w:eastAsia="宋体" w:cs="宋体"/>
                <w:i w:val="0"/>
                <w:iCs w:val="0"/>
                <w:color w:val="000000"/>
                <w:sz w:val="18"/>
                <w:szCs w:val="18"/>
                <w:u w:val="none"/>
              </w:rPr>
            </w:pPr>
          </w:p>
        </w:tc>
      </w:tr>
      <w:tr w14:paraId="1A228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C9497">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1F245">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F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014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A9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44B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0F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389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B2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25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26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EEE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F5F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2571">
            <w:pPr>
              <w:jc w:val="center"/>
              <w:rPr>
                <w:rFonts w:hint="eastAsia" w:ascii="宋体" w:hAnsi="宋体" w:eastAsia="宋体" w:cs="宋体"/>
                <w:i w:val="0"/>
                <w:iCs w:val="0"/>
                <w:color w:val="000000"/>
                <w:sz w:val="18"/>
                <w:szCs w:val="18"/>
                <w:u w:val="none"/>
              </w:rPr>
            </w:pPr>
          </w:p>
        </w:tc>
      </w:tr>
      <w:tr w14:paraId="14E73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C9E92">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EBB8F">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DC3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1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改善教学环境，提供良好的学生成长环境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E5D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2A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82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D8DA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4E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308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64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6F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34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A3F08">
            <w:pPr>
              <w:jc w:val="center"/>
              <w:rPr>
                <w:rFonts w:hint="eastAsia" w:ascii="宋体" w:hAnsi="宋体" w:eastAsia="宋体" w:cs="宋体"/>
                <w:i w:val="0"/>
                <w:iCs w:val="0"/>
                <w:color w:val="000000"/>
                <w:sz w:val="18"/>
                <w:szCs w:val="18"/>
                <w:u w:val="none"/>
              </w:rPr>
            </w:pPr>
          </w:p>
        </w:tc>
      </w:tr>
      <w:tr w14:paraId="519CB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86C67">
            <w:pPr>
              <w:jc w:val="center"/>
              <w:rPr>
                <w:rFonts w:hint="eastAsia" w:ascii="宋体" w:hAnsi="宋体" w:eastAsia="宋体" w:cs="宋体"/>
                <w:b/>
                <w:bCs/>
                <w:i w:val="0"/>
                <w:iCs w:val="0"/>
                <w:color w:val="000000"/>
                <w:sz w:val="18"/>
                <w:szCs w:val="18"/>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E3635">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13D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64733">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7D6F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7A783">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72B6A">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E9E68">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0CD75">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635A">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56701">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F5F1">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997BF">
            <w:pPr>
              <w:jc w:val="center"/>
              <w:rPr>
                <w:rFonts w:hint="eastAsia" w:ascii="宋体" w:hAnsi="宋体" w:eastAsia="宋体" w:cs="宋体"/>
                <w:i w:val="0"/>
                <w:iCs w:val="0"/>
                <w:color w:val="000000"/>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50AB8">
            <w:pPr>
              <w:jc w:val="center"/>
              <w:rPr>
                <w:rFonts w:hint="eastAsia" w:ascii="宋体" w:hAnsi="宋体" w:eastAsia="宋体" w:cs="宋体"/>
                <w:i w:val="0"/>
                <w:iCs w:val="0"/>
                <w:color w:val="000000"/>
                <w:sz w:val="18"/>
                <w:szCs w:val="18"/>
                <w:u w:val="none"/>
              </w:rPr>
            </w:pPr>
          </w:p>
        </w:tc>
      </w:tr>
      <w:tr w14:paraId="67CCD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DB14B">
            <w:pPr>
              <w:jc w:val="center"/>
              <w:rPr>
                <w:rFonts w:hint="eastAsia" w:ascii="宋体" w:hAnsi="宋体" w:eastAsia="宋体" w:cs="宋体"/>
                <w:b/>
                <w:bCs/>
                <w:i w:val="0"/>
                <w:iCs w:val="0"/>
                <w:color w:val="000000"/>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97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D8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635FE">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4E727">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67268">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0FF24">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C3F1">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5487D">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38FF7">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E3F1">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467AD">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6139B">
            <w:pPr>
              <w:jc w:val="center"/>
              <w:rPr>
                <w:rFonts w:hint="eastAsia" w:ascii="宋体" w:hAnsi="宋体" w:eastAsia="宋体" w:cs="宋体"/>
                <w:i w:val="0"/>
                <w:iCs w:val="0"/>
                <w:color w:val="000000"/>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C0617">
            <w:pPr>
              <w:jc w:val="center"/>
              <w:rPr>
                <w:rFonts w:hint="eastAsia" w:ascii="宋体" w:hAnsi="宋体" w:eastAsia="宋体" w:cs="宋体"/>
                <w:i w:val="0"/>
                <w:iCs w:val="0"/>
                <w:color w:val="000000"/>
                <w:sz w:val="18"/>
                <w:szCs w:val="18"/>
                <w:u w:val="none"/>
              </w:rPr>
            </w:pPr>
          </w:p>
        </w:tc>
      </w:tr>
      <w:tr w14:paraId="222ED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64" w:type="pct"/>
            <w:gridSpan w:val="4"/>
            <w:tcBorders>
              <w:top w:val="single" w:color="000000" w:sz="4" w:space="0"/>
              <w:left w:val="single" w:color="000000" w:sz="4" w:space="0"/>
              <w:bottom w:val="single" w:color="000000" w:sz="4" w:space="0"/>
              <w:right w:val="nil"/>
            </w:tcBorders>
            <w:shd w:val="clear" w:color="auto" w:fill="auto"/>
            <w:vAlign w:val="center"/>
          </w:tcPr>
          <w:p w14:paraId="2875F7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FAA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nil"/>
              <w:bottom w:val="single" w:color="000000" w:sz="4" w:space="0"/>
              <w:right w:val="single" w:color="000000" w:sz="4" w:space="0"/>
            </w:tcBorders>
            <w:shd w:val="clear" w:color="auto" w:fill="auto"/>
            <w:vAlign w:val="center"/>
          </w:tcPr>
          <w:p w14:paraId="18EB6D8E">
            <w:pPr>
              <w:rPr>
                <w:rFonts w:hint="eastAsia" w:ascii="宋体" w:hAnsi="宋体" w:eastAsia="宋体" w:cs="宋体"/>
                <w:b/>
                <w:bCs/>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61323">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556DF">
            <w:pPr>
              <w:jc w:val="cente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DE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91.73分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21398">
            <w:pPr>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30F83">
            <w:pP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7FB0D">
            <w:pP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2CD41">
            <w:pPr>
              <w:rPr>
                <w:rFonts w:hint="eastAsia" w:ascii="宋体" w:hAnsi="宋体" w:eastAsia="宋体" w:cs="宋体"/>
                <w:i w:val="0"/>
                <w:iCs w:val="0"/>
                <w:color w:val="000000"/>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B6116">
            <w:pPr>
              <w:rPr>
                <w:rFonts w:hint="eastAsia" w:ascii="宋体" w:hAnsi="宋体" w:eastAsia="宋体" w:cs="宋体"/>
                <w:i w:val="0"/>
                <w:iCs w:val="0"/>
                <w:color w:val="000000"/>
                <w:sz w:val="18"/>
                <w:szCs w:val="18"/>
                <w:u w:val="none"/>
              </w:rPr>
            </w:pPr>
          </w:p>
        </w:tc>
      </w:tr>
    </w:tbl>
    <w:p w14:paraId="0D2C1648">
      <w:pPr>
        <w:rPr>
          <w:color w:val="auto"/>
        </w:rPr>
      </w:pPr>
      <w:r>
        <w:rPr>
          <w:color w:val="auto"/>
        </w:rP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229" w:name="_Toc15067"/>
      <w:bookmarkStart w:id="230" w:name="_Toc27661"/>
      <w:r>
        <w:rPr>
          <w:rFonts w:hint="eastAsia" w:ascii="宋体" w:hAnsi="宋体" w:eastAsia="宋体" w:cs="宋体"/>
          <w:b/>
          <w:bCs/>
          <w:color w:val="auto"/>
          <w:highlight w:val="none"/>
          <w:shd w:val="clear" w:color="auto" w:fill="auto"/>
          <w:lang w:val="en-US" w:eastAsia="zh-CN"/>
        </w:rPr>
        <w:t>附件二、项目支出绩效评价指标体系打分表</w:t>
      </w:r>
      <w:bookmarkEnd w:id="229"/>
      <w:bookmarkEnd w:id="230"/>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324CD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8032C8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auto"/>
            <w:noWrap w:val="0"/>
            <w:vAlign w:val="center"/>
          </w:tcPr>
          <w:p w14:paraId="72EC2A7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auto"/>
            <w:noWrap w:val="0"/>
            <w:vAlign w:val="center"/>
          </w:tcPr>
          <w:p w14:paraId="4CA5DFE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auto"/>
            <w:noWrap w:val="0"/>
            <w:vAlign w:val="center"/>
          </w:tcPr>
          <w:p w14:paraId="5612EC7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auto"/>
            <w:noWrap w:val="0"/>
            <w:vAlign w:val="center"/>
          </w:tcPr>
          <w:p w14:paraId="5F3F21F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auto"/>
            <w:noWrap w:val="0"/>
            <w:vAlign w:val="center"/>
          </w:tcPr>
          <w:p w14:paraId="44F9564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auto"/>
            <w:noWrap w:val="0"/>
            <w:vAlign w:val="center"/>
          </w:tcPr>
          <w:p w14:paraId="4AAC7A1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14:paraId="41804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66DCAB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14:paraId="37452E8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14:paraId="61C02BAF">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auto"/>
            <w:noWrap w:val="0"/>
            <w:vAlign w:val="center"/>
          </w:tcPr>
          <w:p w14:paraId="66AA836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auto"/>
            <w:noWrap w:val="0"/>
            <w:vAlign w:val="center"/>
          </w:tcPr>
          <w:p w14:paraId="326366B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14:paraId="54056B4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auto"/>
            <w:noWrap w:val="0"/>
            <w:vAlign w:val="center"/>
          </w:tcPr>
          <w:p w14:paraId="085FF0B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106B1B7F">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2B7DBE88">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①项目立项是否符合国家法律法规、国民经济发展规划和相关政策；</w:t>
            </w:r>
          </w:p>
          <w:p w14:paraId="33B516AB">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②项目立项是否符合行业发展规划和政策要求；</w:t>
            </w:r>
          </w:p>
          <w:p w14:paraId="6CB331EF">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③项目立项是否与部门职责范围相符，属于部门履职所需；</w:t>
            </w:r>
          </w:p>
          <w:p w14:paraId="54F3E40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④项目是否属于公共财政支持范围，是否符合中央、地方事权支出责任划分原则；</w:t>
            </w:r>
          </w:p>
          <w:p w14:paraId="38B07B7B">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auto"/>
            <w:noWrap w:val="0"/>
            <w:vAlign w:val="center"/>
          </w:tcPr>
          <w:p w14:paraId="447954B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24A6976">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rPr>
            </w:pPr>
            <w:r>
              <w:rPr>
                <w:rFonts w:hint="eastAsia" w:ascii="宋体" w:hAnsi="宋体" w:eastAsia="宋体" w:cs="宋体"/>
                <w:i w:val="0"/>
                <w:iCs w:val="0"/>
                <w:color w:val="auto"/>
                <w:kern w:val="0"/>
                <w:sz w:val="20"/>
                <w:szCs w:val="20"/>
                <w:u w:val="none"/>
                <w:lang w:val="en-US" w:eastAsia="zh-CN" w:bidi="ar"/>
              </w:rPr>
              <w:t>2</w:t>
            </w:r>
          </w:p>
        </w:tc>
      </w:tr>
      <w:tr w14:paraId="1B2E8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5B9F576C">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339AFB1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820" w:type="dxa"/>
            <w:shd w:val="clear" w:color="auto" w:fill="auto"/>
            <w:noWrap w:val="0"/>
            <w:vAlign w:val="center"/>
          </w:tcPr>
          <w:p w14:paraId="1ADF5BA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14:paraId="27C1B9E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auto"/>
            <w:noWrap w:val="0"/>
            <w:vAlign w:val="center"/>
          </w:tcPr>
          <w:p w14:paraId="387B861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auto"/>
            <w:noWrap w:val="0"/>
            <w:vAlign w:val="center"/>
          </w:tcPr>
          <w:p w14:paraId="0203891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376776F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①项目是否按照规定的程序申请设立；</w:t>
            </w:r>
          </w:p>
          <w:p w14:paraId="3DCF5516">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②审批文件、材料是否符合相关要求；</w:t>
            </w:r>
          </w:p>
          <w:p w14:paraId="5EDF218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auto"/>
            <w:noWrap w:val="0"/>
            <w:vAlign w:val="center"/>
          </w:tcPr>
          <w:p w14:paraId="1CAC1645">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88B3F9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rPr>
            </w:pPr>
            <w:r>
              <w:rPr>
                <w:rFonts w:hint="eastAsia" w:ascii="宋体" w:hAnsi="宋体" w:eastAsia="宋体" w:cs="宋体"/>
                <w:i w:val="0"/>
                <w:iCs w:val="0"/>
                <w:color w:val="auto"/>
                <w:kern w:val="0"/>
                <w:sz w:val="20"/>
                <w:szCs w:val="20"/>
                <w:u w:val="none"/>
                <w:lang w:val="en-US" w:eastAsia="zh-CN" w:bidi="ar"/>
              </w:rPr>
              <w:t>2.2</w:t>
            </w:r>
          </w:p>
        </w:tc>
      </w:tr>
      <w:tr w14:paraId="6E938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AA34207">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727" w:type="dxa"/>
            <w:shd w:val="clear" w:color="auto" w:fill="auto"/>
            <w:noWrap w:val="0"/>
            <w:vAlign w:val="center"/>
          </w:tcPr>
          <w:p w14:paraId="103548C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auto"/>
            <w:noWrap w:val="0"/>
            <w:vAlign w:val="center"/>
          </w:tcPr>
          <w:p w14:paraId="76D1D38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14:paraId="51A9DF0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auto"/>
            <w:noWrap w:val="0"/>
            <w:vAlign w:val="center"/>
          </w:tcPr>
          <w:p w14:paraId="5821A81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33FFDFC7">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0A39AF11">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（如未设定预算绩效目标，也可考核其他工作任务目标）</w:t>
            </w:r>
          </w:p>
          <w:p w14:paraId="27A70DB9">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①项目是否有绩效目标；</w:t>
            </w:r>
          </w:p>
          <w:p w14:paraId="42E269A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②项目绩效目标与实际工作内容是否具有相关性；</w:t>
            </w:r>
          </w:p>
          <w:p w14:paraId="16BB8191">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③项目预期产出效益和效果是否符合正常的业绩水平；</w:t>
            </w:r>
          </w:p>
          <w:p w14:paraId="38B6408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auto" w:fill="auto"/>
            <w:noWrap w:val="0"/>
            <w:vAlign w:val="center"/>
          </w:tcPr>
          <w:p w14:paraId="792A55E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40B7DA3">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rPr>
            </w:pPr>
            <w:r>
              <w:rPr>
                <w:rFonts w:hint="eastAsia" w:ascii="宋体" w:hAnsi="宋体" w:eastAsia="宋体" w:cs="宋体"/>
                <w:i w:val="0"/>
                <w:iCs w:val="0"/>
                <w:color w:val="auto"/>
                <w:kern w:val="0"/>
                <w:sz w:val="20"/>
                <w:szCs w:val="20"/>
                <w:u w:val="none"/>
                <w:lang w:val="en-US" w:eastAsia="zh-CN" w:bidi="ar"/>
              </w:rPr>
              <w:t>5</w:t>
            </w:r>
          </w:p>
        </w:tc>
      </w:tr>
      <w:tr w14:paraId="6B5F7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2244179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auto"/>
            <w:noWrap w:val="0"/>
            <w:vAlign w:val="center"/>
          </w:tcPr>
          <w:p w14:paraId="21C6AFC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auto"/>
            <w:noWrap w:val="0"/>
            <w:vAlign w:val="center"/>
          </w:tcPr>
          <w:p w14:paraId="42C23FA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14:paraId="0268A98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auto" w:fill="auto"/>
            <w:noWrap w:val="0"/>
            <w:vAlign w:val="center"/>
          </w:tcPr>
          <w:p w14:paraId="65A638D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715DD0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25FD363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①是否将项目绩效目标细化分解为具体的绩效指标；</w:t>
            </w:r>
          </w:p>
          <w:p w14:paraId="0966698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②是否通过清晰、可衡量的指标值予以体现；</w:t>
            </w:r>
          </w:p>
          <w:p w14:paraId="1C9368C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③是否与项目目标任务数或计划数相对应。</w:t>
            </w:r>
          </w:p>
          <w:p w14:paraId="72F6E70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p>
        </w:tc>
        <w:tc>
          <w:tcPr>
            <w:tcW w:w="785" w:type="dxa"/>
            <w:shd w:val="clear" w:color="auto" w:fill="auto"/>
            <w:noWrap w:val="0"/>
            <w:vAlign w:val="center"/>
          </w:tcPr>
          <w:p w14:paraId="4DC99173">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C2F2D33">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rPr>
            </w:pPr>
            <w:r>
              <w:rPr>
                <w:rFonts w:hint="eastAsia" w:ascii="宋体" w:hAnsi="宋体" w:eastAsia="宋体" w:cs="宋体"/>
                <w:i w:val="0"/>
                <w:iCs w:val="0"/>
                <w:color w:val="auto"/>
                <w:kern w:val="0"/>
                <w:sz w:val="20"/>
                <w:szCs w:val="20"/>
                <w:u w:val="none"/>
                <w:lang w:val="en-US" w:eastAsia="zh-CN" w:bidi="ar"/>
              </w:rPr>
              <w:t>5</w:t>
            </w:r>
          </w:p>
        </w:tc>
      </w:tr>
      <w:tr w14:paraId="3978B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27B3DC9">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727" w:type="dxa"/>
            <w:vMerge w:val="restart"/>
            <w:shd w:val="clear" w:color="auto" w:fill="auto"/>
            <w:noWrap w:val="0"/>
            <w:vAlign w:val="center"/>
          </w:tcPr>
          <w:p w14:paraId="37670D6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14:paraId="6CF0BBC1">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auto"/>
            <w:noWrap w:val="0"/>
            <w:vAlign w:val="center"/>
          </w:tcPr>
          <w:p w14:paraId="7D3BBFC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14:paraId="5A0E11F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auto"/>
            <w:noWrap w:val="0"/>
            <w:vAlign w:val="center"/>
          </w:tcPr>
          <w:p w14:paraId="3A42C99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11FC66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27037C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①预算编制是否经过科学论证；</w:t>
            </w:r>
          </w:p>
          <w:p w14:paraId="55E5855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②预算内容与项目内容是否匹配；</w:t>
            </w:r>
          </w:p>
          <w:p w14:paraId="259FC1D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③预算额度测算依据是否充分，是否按照标准编制；</w:t>
            </w:r>
          </w:p>
          <w:p w14:paraId="6C9332E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auto"/>
            <w:noWrap w:val="0"/>
            <w:vAlign w:val="center"/>
          </w:tcPr>
          <w:p w14:paraId="1C3F1283">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830E9B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14:paraId="3437A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A6430F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5E09A37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820" w:type="dxa"/>
            <w:shd w:val="clear" w:color="auto" w:fill="auto"/>
            <w:noWrap w:val="0"/>
            <w:vAlign w:val="center"/>
          </w:tcPr>
          <w:p w14:paraId="007A413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14:paraId="714634F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auto"/>
            <w:noWrap w:val="0"/>
            <w:vAlign w:val="center"/>
          </w:tcPr>
          <w:p w14:paraId="1CB274F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F98E6B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9DDD54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①预算资金分配依据是否充分；</w:t>
            </w:r>
          </w:p>
          <w:p w14:paraId="0AE6DD3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auto"/>
            <w:noWrap w:val="0"/>
            <w:vAlign w:val="center"/>
          </w:tcPr>
          <w:p w14:paraId="6534BEE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1DB3A1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14:paraId="6635D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EE24338">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auto"/>
            <w:noWrap w:val="0"/>
            <w:vAlign w:val="center"/>
          </w:tcPr>
          <w:p w14:paraId="5FB8643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auto"/>
            <w:noWrap w:val="0"/>
            <w:vAlign w:val="center"/>
          </w:tcPr>
          <w:p w14:paraId="204B340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auto" w:fill="auto"/>
            <w:noWrap w:val="0"/>
            <w:vAlign w:val="center"/>
          </w:tcPr>
          <w:p w14:paraId="18D2560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09FAC44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p w14:paraId="61E598C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实际到位资金/预算资金）×100%。</w:t>
            </w:r>
          </w:p>
          <w:p w14:paraId="634AF83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14:paraId="7E20300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auto" w:fill="auto"/>
            <w:noWrap w:val="0"/>
            <w:vAlign w:val="center"/>
          </w:tcPr>
          <w:p w14:paraId="619D60D3">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4807C9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14:paraId="375E3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601C0A0C">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p>
        </w:tc>
        <w:tc>
          <w:tcPr>
            <w:tcW w:w="727" w:type="dxa"/>
            <w:vMerge w:val="continue"/>
            <w:shd w:val="clear" w:color="auto" w:fill="auto"/>
            <w:noWrap w:val="0"/>
            <w:vAlign w:val="center"/>
          </w:tcPr>
          <w:p w14:paraId="5A4C72D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p>
        </w:tc>
        <w:tc>
          <w:tcPr>
            <w:tcW w:w="820" w:type="dxa"/>
            <w:shd w:val="clear" w:color="auto" w:fill="auto"/>
            <w:noWrap w:val="0"/>
            <w:vAlign w:val="center"/>
          </w:tcPr>
          <w:p w14:paraId="2E86A45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auto"/>
            <w:noWrap w:val="0"/>
            <w:vAlign w:val="center"/>
          </w:tcPr>
          <w:p w14:paraId="2511CE9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auto"/>
            <w:noWrap w:val="0"/>
            <w:vAlign w:val="center"/>
          </w:tcPr>
          <w:p w14:paraId="3844316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预算执行率=（实际支出资金/实际到位资金）×100%。</w:t>
            </w:r>
          </w:p>
          <w:p w14:paraId="1070597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auto"/>
            <w:noWrap w:val="0"/>
            <w:vAlign w:val="center"/>
          </w:tcPr>
          <w:p w14:paraId="4463E3C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E5F1C7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3.3</w:t>
            </w:r>
          </w:p>
        </w:tc>
      </w:tr>
      <w:tr w14:paraId="3F139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6191EA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14:paraId="1D01F934">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auto"/>
            <w:noWrap w:val="0"/>
            <w:vAlign w:val="center"/>
          </w:tcPr>
          <w:p w14:paraId="7BDDFD5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auto"/>
            <w:noWrap w:val="0"/>
            <w:vAlign w:val="center"/>
          </w:tcPr>
          <w:p w14:paraId="6BCAB0D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14:paraId="7EBECF6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auto" w:fill="auto"/>
            <w:noWrap w:val="0"/>
            <w:vAlign w:val="center"/>
          </w:tcPr>
          <w:p w14:paraId="2578F15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1AB38B8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15DD2E9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①是否符合国家财经法规和财务管理制度以及有关专项资金管理办法的规定；</w:t>
            </w:r>
          </w:p>
          <w:p w14:paraId="2B6DA81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②资金的拨付是否有完整的审批程序和手续；</w:t>
            </w:r>
          </w:p>
          <w:p w14:paraId="57D7B0C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③是否符合项目预算批复或合同规定的用途；</w:t>
            </w:r>
          </w:p>
          <w:p w14:paraId="242887C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④是否存在截留、挤占、挪用、虚列支出等情况。</w:t>
            </w:r>
          </w:p>
        </w:tc>
        <w:tc>
          <w:tcPr>
            <w:tcW w:w="785" w:type="dxa"/>
            <w:shd w:val="clear" w:color="auto" w:fill="auto"/>
            <w:noWrap w:val="0"/>
            <w:vAlign w:val="center"/>
          </w:tcPr>
          <w:p w14:paraId="20A958E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3852C4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14:paraId="2522E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2C39DF9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727" w:type="dxa"/>
            <w:vMerge w:val="restart"/>
            <w:shd w:val="clear" w:color="auto" w:fill="auto"/>
            <w:noWrap w:val="0"/>
            <w:vAlign w:val="center"/>
          </w:tcPr>
          <w:p w14:paraId="6E30C6D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14:paraId="24200D04">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auto"/>
            <w:noWrap w:val="0"/>
            <w:vAlign w:val="center"/>
          </w:tcPr>
          <w:p w14:paraId="73DB8C0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14:paraId="350B2F1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auto" w:fill="auto"/>
            <w:noWrap w:val="0"/>
            <w:vAlign w:val="center"/>
          </w:tcPr>
          <w:p w14:paraId="6C7D664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E9880B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4F75AC1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①是否已制定或具有相应的财务和业务管理制度；</w:t>
            </w:r>
          </w:p>
          <w:p w14:paraId="006AF94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②财务和业务管理制度是否合法、合规、完整。</w:t>
            </w:r>
          </w:p>
        </w:tc>
        <w:tc>
          <w:tcPr>
            <w:tcW w:w="785" w:type="dxa"/>
            <w:shd w:val="clear" w:color="auto" w:fill="auto"/>
            <w:noWrap w:val="0"/>
            <w:vAlign w:val="center"/>
          </w:tcPr>
          <w:p w14:paraId="2BD6BD9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06CB9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14:paraId="22C51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289749B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6B3BD85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p>
        </w:tc>
        <w:tc>
          <w:tcPr>
            <w:tcW w:w="820" w:type="dxa"/>
            <w:shd w:val="clear" w:color="auto" w:fill="auto"/>
            <w:noWrap w:val="0"/>
            <w:vAlign w:val="center"/>
          </w:tcPr>
          <w:p w14:paraId="192F04B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14:paraId="7C08135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auto" w:fill="auto"/>
            <w:noWrap w:val="0"/>
            <w:vAlign w:val="center"/>
          </w:tcPr>
          <w:p w14:paraId="618CC8A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auto" w:fill="auto"/>
            <w:noWrap w:val="0"/>
            <w:vAlign w:val="center"/>
          </w:tcPr>
          <w:p w14:paraId="04F4186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F72E14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①是否遵守相关法律法规和相关管理规定；</w:t>
            </w:r>
          </w:p>
          <w:p w14:paraId="76DC711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②项目调整及支出调整手续是否完备；</w:t>
            </w:r>
          </w:p>
          <w:p w14:paraId="6BAC1EF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③项目合同书、验收报告、技术鉴定等资料是否齐全并及时归档；</w:t>
            </w:r>
          </w:p>
          <w:p w14:paraId="2FDFDB6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auto" w:fill="auto"/>
            <w:noWrap w:val="0"/>
            <w:vAlign w:val="center"/>
          </w:tcPr>
          <w:p w14:paraId="1C697FA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D7F4FF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14:paraId="17931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12500D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274693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58768A5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选聘教师人数</w:t>
            </w:r>
          </w:p>
        </w:tc>
        <w:tc>
          <w:tcPr>
            <w:tcW w:w="2141" w:type="dxa"/>
            <w:shd w:val="clear" w:color="auto" w:fill="auto"/>
            <w:noWrap w:val="0"/>
            <w:vAlign w:val="center"/>
          </w:tcPr>
          <w:p w14:paraId="4E6B75A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FCF2DD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A3D8FC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42C9B4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30F398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912709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7.73</w:t>
            </w:r>
          </w:p>
        </w:tc>
      </w:tr>
      <w:tr w14:paraId="7BCDF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2F57E90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yellow"/>
              </w:rPr>
            </w:pPr>
          </w:p>
        </w:tc>
        <w:tc>
          <w:tcPr>
            <w:tcW w:w="727" w:type="dxa"/>
            <w:shd w:val="clear" w:color="auto" w:fill="auto"/>
            <w:noWrap w:val="0"/>
            <w:vAlign w:val="center"/>
          </w:tcPr>
          <w:p w14:paraId="05D36CF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yellow"/>
              </w:rPr>
            </w:pPr>
          </w:p>
        </w:tc>
        <w:tc>
          <w:tcPr>
            <w:tcW w:w="820" w:type="dxa"/>
            <w:shd w:val="clear" w:color="auto" w:fill="auto"/>
            <w:noWrap w:val="0"/>
            <w:vAlign w:val="center"/>
          </w:tcPr>
          <w:p w14:paraId="5A69B8A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工资支付次数</w:t>
            </w:r>
          </w:p>
        </w:tc>
        <w:tc>
          <w:tcPr>
            <w:tcW w:w="2141" w:type="dxa"/>
            <w:shd w:val="clear" w:color="auto" w:fill="auto"/>
            <w:noWrap w:val="0"/>
            <w:vAlign w:val="center"/>
          </w:tcPr>
          <w:p w14:paraId="73C07ED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CE3BB8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F2563D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9C1267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A34D42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9C3695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highlight w:val="none"/>
                <w:lang w:val="en-US" w:eastAsia="zh-CN"/>
              </w:rPr>
              <w:t>5.83</w:t>
            </w:r>
          </w:p>
        </w:tc>
      </w:tr>
      <w:tr w14:paraId="6A72E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5DA9062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3B5F23B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25D1B3B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人员经费享受比例</w:t>
            </w:r>
          </w:p>
        </w:tc>
        <w:tc>
          <w:tcPr>
            <w:tcW w:w="2141" w:type="dxa"/>
            <w:shd w:val="clear" w:color="auto" w:fill="auto"/>
            <w:noWrap w:val="0"/>
            <w:vAlign w:val="center"/>
          </w:tcPr>
          <w:p w14:paraId="705B3DE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067F321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53EDBF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4FBE4F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62075C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10</w:t>
            </w:r>
          </w:p>
        </w:tc>
      </w:tr>
      <w:tr w14:paraId="3B6E3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634DCCC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C73E73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29B6A7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选聘教师工资发放时间</w:t>
            </w:r>
          </w:p>
        </w:tc>
        <w:tc>
          <w:tcPr>
            <w:tcW w:w="2141" w:type="dxa"/>
            <w:shd w:val="clear" w:color="auto" w:fill="auto"/>
            <w:noWrap w:val="0"/>
            <w:vAlign w:val="center"/>
          </w:tcPr>
          <w:p w14:paraId="774AB9F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212868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45655C9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EA81D4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F35A97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rPr>
            </w:pPr>
            <w:r>
              <w:rPr>
                <w:rFonts w:hint="eastAsia" w:cs="宋体"/>
                <w:color w:val="auto"/>
                <w:kern w:val="0"/>
                <w:sz w:val="22"/>
                <w:szCs w:val="22"/>
                <w:highlight w:val="none"/>
                <w:lang w:val="en-US" w:eastAsia="zh-CN"/>
              </w:rPr>
              <w:t>5</w:t>
            </w:r>
          </w:p>
        </w:tc>
      </w:tr>
      <w:tr w14:paraId="3AF91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51F51F0">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yellow"/>
              </w:rPr>
            </w:pPr>
          </w:p>
        </w:tc>
        <w:tc>
          <w:tcPr>
            <w:tcW w:w="727" w:type="dxa"/>
            <w:shd w:val="clear" w:color="auto" w:fill="auto"/>
            <w:noWrap w:val="0"/>
            <w:vAlign w:val="center"/>
          </w:tcPr>
          <w:p w14:paraId="104A87F8">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4"/>
                <w:szCs w:val="24"/>
                <w:highlight w:val="none"/>
              </w:rPr>
              <w:t>产出时效</w:t>
            </w:r>
          </w:p>
        </w:tc>
        <w:tc>
          <w:tcPr>
            <w:tcW w:w="820" w:type="dxa"/>
            <w:shd w:val="clear" w:color="auto" w:fill="auto"/>
            <w:noWrap w:val="0"/>
            <w:vAlign w:val="center"/>
          </w:tcPr>
          <w:p w14:paraId="2BE471A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2"/>
                <w:szCs w:val="22"/>
                <w:highlight w:val="none"/>
              </w:rPr>
              <w:t>人员经费标准</w:t>
            </w:r>
          </w:p>
        </w:tc>
        <w:tc>
          <w:tcPr>
            <w:tcW w:w="2141" w:type="dxa"/>
            <w:shd w:val="clear" w:color="auto" w:fill="auto"/>
            <w:noWrap w:val="0"/>
            <w:vAlign w:val="center"/>
          </w:tcPr>
          <w:p w14:paraId="5985290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A8F139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p>
          <w:p w14:paraId="639C37C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6B94BD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71B24C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A0587D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58DCEF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lang w:val="en-US"/>
              </w:rPr>
            </w:pPr>
            <w:r>
              <w:rPr>
                <w:rFonts w:hint="eastAsia" w:cs="宋体"/>
                <w:color w:val="auto"/>
                <w:kern w:val="0"/>
                <w:sz w:val="22"/>
                <w:szCs w:val="22"/>
                <w:highlight w:val="none"/>
                <w:lang w:val="en-US" w:eastAsia="zh-CN"/>
              </w:rPr>
              <w:t>5</w:t>
            </w:r>
          </w:p>
        </w:tc>
      </w:tr>
      <w:tr w14:paraId="5ECB9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42DE288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1F72B45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5BB517B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学校正常运转率</w:t>
            </w:r>
          </w:p>
        </w:tc>
        <w:tc>
          <w:tcPr>
            <w:tcW w:w="2141" w:type="dxa"/>
            <w:shd w:val="clear" w:color="auto" w:fill="auto"/>
            <w:noWrap w:val="0"/>
            <w:vAlign w:val="center"/>
          </w:tcPr>
          <w:p w14:paraId="231B28D9">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6C907D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8C3F1B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7FB2E7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10</w:t>
            </w:r>
          </w:p>
        </w:tc>
      </w:tr>
      <w:tr w14:paraId="14982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861" w:type="dxa"/>
            <w:vMerge w:val="continue"/>
            <w:shd w:val="clear" w:color="auto" w:fill="auto"/>
            <w:noWrap w:val="0"/>
            <w:vAlign w:val="center"/>
          </w:tcPr>
          <w:p w14:paraId="0A294E3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D58AC5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BFE03A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改善教学环境，提供良好的学生成长条件</w:t>
            </w:r>
          </w:p>
        </w:tc>
        <w:tc>
          <w:tcPr>
            <w:tcW w:w="2141" w:type="dxa"/>
            <w:shd w:val="clear" w:color="auto" w:fill="auto"/>
            <w:noWrap w:val="0"/>
            <w:vAlign w:val="center"/>
          </w:tcPr>
          <w:p w14:paraId="38B7FCA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0F1D79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9532B7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7C7D1D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rPr>
            </w:pPr>
            <w:r>
              <w:rPr>
                <w:rFonts w:hint="eastAsia" w:cs="宋体"/>
                <w:color w:val="auto"/>
                <w:kern w:val="0"/>
                <w:sz w:val="22"/>
                <w:szCs w:val="22"/>
                <w:highlight w:val="none"/>
                <w:lang w:val="en-US" w:eastAsia="zh-CN"/>
              </w:rPr>
              <w:t>5</w:t>
            </w:r>
          </w:p>
        </w:tc>
      </w:tr>
      <w:tr w14:paraId="62B89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4" w:hRule="atLeast"/>
          <w:jc w:val="center"/>
        </w:trPr>
        <w:tc>
          <w:tcPr>
            <w:tcW w:w="861" w:type="dxa"/>
            <w:shd w:val="clear" w:color="auto" w:fill="auto"/>
            <w:noWrap w:val="0"/>
            <w:vAlign w:val="center"/>
          </w:tcPr>
          <w:p w14:paraId="64A9D8C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D2782D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4884741E">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师生满意度</w:t>
            </w:r>
          </w:p>
        </w:tc>
        <w:tc>
          <w:tcPr>
            <w:tcW w:w="2141" w:type="dxa"/>
            <w:shd w:val="clear" w:color="auto" w:fill="auto"/>
            <w:noWrap w:val="0"/>
            <w:vAlign w:val="center"/>
          </w:tcPr>
          <w:p w14:paraId="6A5CFC6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00C713E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EFF253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CACA19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6DA6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0" w:hRule="atLeast"/>
          <w:jc w:val="center"/>
        </w:trPr>
        <w:tc>
          <w:tcPr>
            <w:tcW w:w="4549" w:type="dxa"/>
            <w:gridSpan w:val="4"/>
            <w:shd w:val="clear" w:color="auto" w:fill="auto"/>
            <w:noWrap w:val="0"/>
            <w:vAlign w:val="center"/>
          </w:tcPr>
          <w:p w14:paraId="28F4298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386AAEB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14B00D3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0D70D8A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92.06</w:t>
            </w:r>
          </w:p>
        </w:tc>
      </w:tr>
    </w:tbl>
    <w:p w14:paraId="12597631">
      <w:pPr>
        <w:pageBreakBefore w:val="0"/>
        <w:kinsoku/>
        <w:wordWrap/>
        <w:overflowPunct/>
        <w:topLinePunct w:val="0"/>
        <w:autoSpaceDE/>
        <w:autoSpaceDN/>
        <w:bidi w:val="0"/>
        <w:spacing w:line="560" w:lineRule="exact"/>
        <w:textAlignment w:val="auto"/>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5E194"/>
    <w:multiLevelType w:val="singleLevel"/>
    <w:tmpl w:val="9F85E194"/>
    <w:lvl w:ilvl="0" w:tentative="0">
      <w:start w:val="1"/>
      <w:numFmt w:val="decimal"/>
      <w:suff w:val="nothing"/>
      <w:lvlText w:val="（%1）"/>
      <w:lvlJc w:val="left"/>
    </w:lvl>
  </w:abstractNum>
  <w:abstractNum w:abstractNumId="1">
    <w:nsid w:val="D650D2EE"/>
    <w:multiLevelType w:val="singleLevel"/>
    <w:tmpl w:val="D650D2EE"/>
    <w:lvl w:ilvl="0" w:tentative="0">
      <w:start w:val="2"/>
      <w:numFmt w:val="decimal"/>
      <w:lvlText w:val="%1."/>
      <w:lvlJc w:val="left"/>
      <w:pPr>
        <w:tabs>
          <w:tab w:val="left" w:pos="312"/>
        </w:tabs>
      </w:pPr>
    </w:lvl>
  </w:abstractNum>
  <w:abstractNum w:abstractNumId="2">
    <w:nsid w:val="F4CD2B0F"/>
    <w:multiLevelType w:val="singleLevel"/>
    <w:tmpl w:val="F4CD2B0F"/>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210947"/>
    <w:rsid w:val="007D6A04"/>
    <w:rsid w:val="00E23C81"/>
    <w:rsid w:val="01253350"/>
    <w:rsid w:val="01282E62"/>
    <w:rsid w:val="014029CF"/>
    <w:rsid w:val="01470C4C"/>
    <w:rsid w:val="01CF7782"/>
    <w:rsid w:val="02200440"/>
    <w:rsid w:val="02284B43"/>
    <w:rsid w:val="02B015E2"/>
    <w:rsid w:val="02DC08FA"/>
    <w:rsid w:val="033B569D"/>
    <w:rsid w:val="039C3BA0"/>
    <w:rsid w:val="03A845BB"/>
    <w:rsid w:val="03B45AD1"/>
    <w:rsid w:val="04D12EE4"/>
    <w:rsid w:val="04D63993"/>
    <w:rsid w:val="057C4FFE"/>
    <w:rsid w:val="07890F4F"/>
    <w:rsid w:val="08892439"/>
    <w:rsid w:val="08EB30F3"/>
    <w:rsid w:val="09237408"/>
    <w:rsid w:val="09781BD6"/>
    <w:rsid w:val="09F359DF"/>
    <w:rsid w:val="0A575E65"/>
    <w:rsid w:val="0A9008FA"/>
    <w:rsid w:val="0ACA0AB6"/>
    <w:rsid w:val="0C032502"/>
    <w:rsid w:val="0C27698C"/>
    <w:rsid w:val="0D4452F3"/>
    <w:rsid w:val="0F5E5042"/>
    <w:rsid w:val="0FE95707"/>
    <w:rsid w:val="10510571"/>
    <w:rsid w:val="10787A20"/>
    <w:rsid w:val="108672DE"/>
    <w:rsid w:val="10B10FDA"/>
    <w:rsid w:val="10EC685A"/>
    <w:rsid w:val="11FA6155"/>
    <w:rsid w:val="12CF0947"/>
    <w:rsid w:val="12F1313F"/>
    <w:rsid w:val="13031039"/>
    <w:rsid w:val="136C678E"/>
    <w:rsid w:val="13EB2FF5"/>
    <w:rsid w:val="14956609"/>
    <w:rsid w:val="14ED4CAC"/>
    <w:rsid w:val="15A46B04"/>
    <w:rsid w:val="15CC7E09"/>
    <w:rsid w:val="165825BC"/>
    <w:rsid w:val="16BC5D73"/>
    <w:rsid w:val="176F36D7"/>
    <w:rsid w:val="1795226D"/>
    <w:rsid w:val="181A3AAB"/>
    <w:rsid w:val="18456B1E"/>
    <w:rsid w:val="1AC369FF"/>
    <w:rsid w:val="1B966EEF"/>
    <w:rsid w:val="1C1171C5"/>
    <w:rsid w:val="1D265138"/>
    <w:rsid w:val="1D7B6BCA"/>
    <w:rsid w:val="1DA41A79"/>
    <w:rsid w:val="1DF53469"/>
    <w:rsid w:val="1E2F24F2"/>
    <w:rsid w:val="1E58492F"/>
    <w:rsid w:val="1E5B6757"/>
    <w:rsid w:val="1ED10AC6"/>
    <w:rsid w:val="1F89225F"/>
    <w:rsid w:val="1F900A1F"/>
    <w:rsid w:val="1FC0575D"/>
    <w:rsid w:val="206132C7"/>
    <w:rsid w:val="217A1CED"/>
    <w:rsid w:val="21B00C1D"/>
    <w:rsid w:val="23031BEB"/>
    <w:rsid w:val="23917691"/>
    <w:rsid w:val="244D65B8"/>
    <w:rsid w:val="245E1E24"/>
    <w:rsid w:val="25AD5E5D"/>
    <w:rsid w:val="2732478D"/>
    <w:rsid w:val="27661469"/>
    <w:rsid w:val="27900EAD"/>
    <w:rsid w:val="279B538A"/>
    <w:rsid w:val="2809139E"/>
    <w:rsid w:val="286F545C"/>
    <w:rsid w:val="29314FBC"/>
    <w:rsid w:val="2AA2081A"/>
    <w:rsid w:val="2C024B86"/>
    <w:rsid w:val="2C927671"/>
    <w:rsid w:val="2CC6306F"/>
    <w:rsid w:val="2D364B93"/>
    <w:rsid w:val="2D7C5CD6"/>
    <w:rsid w:val="2E483E7E"/>
    <w:rsid w:val="2E690493"/>
    <w:rsid w:val="2E9854BD"/>
    <w:rsid w:val="2F0D407F"/>
    <w:rsid w:val="2F454B19"/>
    <w:rsid w:val="2F9F2F9D"/>
    <w:rsid w:val="310224D9"/>
    <w:rsid w:val="31B4621C"/>
    <w:rsid w:val="31E3230A"/>
    <w:rsid w:val="330957E0"/>
    <w:rsid w:val="33356F64"/>
    <w:rsid w:val="337077A1"/>
    <w:rsid w:val="33944516"/>
    <w:rsid w:val="34B62907"/>
    <w:rsid w:val="36BD137C"/>
    <w:rsid w:val="38053EDF"/>
    <w:rsid w:val="380812A4"/>
    <w:rsid w:val="385D37E7"/>
    <w:rsid w:val="38782EDD"/>
    <w:rsid w:val="3B42664A"/>
    <w:rsid w:val="3CAD1E92"/>
    <w:rsid w:val="3D7D3613"/>
    <w:rsid w:val="3D836A4E"/>
    <w:rsid w:val="3EA37E97"/>
    <w:rsid w:val="3FBE0BC5"/>
    <w:rsid w:val="3FD3401C"/>
    <w:rsid w:val="401A2CD7"/>
    <w:rsid w:val="4048103A"/>
    <w:rsid w:val="40736643"/>
    <w:rsid w:val="40D24A7A"/>
    <w:rsid w:val="4229667E"/>
    <w:rsid w:val="42621029"/>
    <w:rsid w:val="42A23239"/>
    <w:rsid w:val="43222652"/>
    <w:rsid w:val="435241E2"/>
    <w:rsid w:val="4383394D"/>
    <w:rsid w:val="43975C51"/>
    <w:rsid w:val="439E3FA7"/>
    <w:rsid w:val="44B32266"/>
    <w:rsid w:val="44FC64F4"/>
    <w:rsid w:val="467F4585"/>
    <w:rsid w:val="470628CB"/>
    <w:rsid w:val="4729480B"/>
    <w:rsid w:val="47555BD4"/>
    <w:rsid w:val="47BC2DB1"/>
    <w:rsid w:val="47E96399"/>
    <w:rsid w:val="47F76025"/>
    <w:rsid w:val="486E33F5"/>
    <w:rsid w:val="48E12B50"/>
    <w:rsid w:val="490B0056"/>
    <w:rsid w:val="4916491B"/>
    <w:rsid w:val="499441BE"/>
    <w:rsid w:val="499A6C1C"/>
    <w:rsid w:val="4A195607"/>
    <w:rsid w:val="4A2138F0"/>
    <w:rsid w:val="4A583887"/>
    <w:rsid w:val="4B9F6E02"/>
    <w:rsid w:val="4C341C88"/>
    <w:rsid w:val="4C89637B"/>
    <w:rsid w:val="4C9E7102"/>
    <w:rsid w:val="4E6E48A8"/>
    <w:rsid w:val="4EEC036B"/>
    <w:rsid w:val="4EFC5E7F"/>
    <w:rsid w:val="4F143003"/>
    <w:rsid w:val="4F714FA1"/>
    <w:rsid w:val="501D2673"/>
    <w:rsid w:val="50C80BF1"/>
    <w:rsid w:val="51852833"/>
    <w:rsid w:val="52F11AC8"/>
    <w:rsid w:val="534F49D9"/>
    <w:rsid w:val="53555F0F"/>
    <w:rsid w:val="535D23D5"/>
    <w:rsid w:val="5371731E"/>
    <w:rsid w:val="56F4341A"/>
    <w:rsid w:val="575A7321"/>
    <w:rsid w:val="580C3AB9"/>
    <w:rsid w:val="583C7AE0"/>
    <w:rsid w:val="586C1E9A"/>
    <w:rsid w:val="586E0800"/>
    <w:rsid w:val="59216F96"/>
    <w:rsid w:val="598C4145"/>
    <w:rsid w:val="59957D1B"/>
    <w:rsid w:val="59D4294E"/>
    <w:rsid w:val="5A166E71"/>
    <w:rsid w:val="5B021DAC"/>
    <w:rsid w:val="5B634312"/>
    <w:rsid w:val="5B9D2CCD"/>
    <w:rsid w:val="5B9E71EA"/>
    <w:rsid w:val="5E226FBC"/>
    <w:rsid w:val="5FE72BD2"/>
    <w:rsid w:val="60120613"/>
    <w:rsid w:val="618D5292"/>
    <w:rsid w:val="622E78FA"/>
    <w:rsid w:val="63343F70"/>
    <w:rsid w:val="63354E4B"/>
    <w:rsid w:val="64296E1C"/>
    <w:rsid w:val="64386FCC"/>
    <w:rsid w:val="649E64A2"/>
    <w:rsid w:val="64DD6E16"/>
    <w:rsid w:val="65E5270A"/>
    <w:rsid w:val="66370EFE"/>
    <w:rsid w:val="663D3C54"/>
    <w:rsid w:val="6659611C"/>
    <w:rsid w:val="667A6962"/>
    <w:rsid w:val="66862C89"/>
    <w:rsid w:val="66BB486D"/>
    <w:rsid w:val="67226E55"/>
    <w:rsid w:val="6730066D"/>
    <w:rsid w:val="67394C7D"/>
    <w:rsid w:val="677273E0"/>
    <w:rsid w:val="68126B38"/>
    <w:rsid w:val="68291A1A"/>
    <w:rsid w:val="68352BB8"/>
    <w:rsid w:val="691327EB"/>
    <w:rsid w:val="691B1594"/>
    <w:rsid w:val="693A016B"/>
    <w:rsid w:val="6A17429C"/>
    <w:rsid w:val="6A567EA3"/>
    <w:rsid w:val="6B19231D"/>
    <w:rsid w:val="6B4B4368"/>
    <w:rsid w:val="6B79100E"/>
    <w:rsid w:val="6C844C00"/>
    <w:rsid w:val="6E10212C"/>
    <w:rsid w:val="6E43561A"/>
    <w:rsid w:val="6E557973"/>
    <w:rsid w:val="6E8E4DD0"/>
    <w:rsid w:val="6E9568DB"/>
    <w:rsid w:val="6EA92939"/>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7CE4276"/>
    <w:rsid w:val="783E7867"/>
    <w:rsid w:val="78F31435"/>
    <w:rsid w:val="78F63C9E"/>
    <w:rsid w:val="79300B45"/>
    <w:rsid w:val="79312F28"/>
    <w:rsid w:val="794D3E18"/>
    <w:rsid w:val="79BD47BC"/>
    <w:rsid w:val="79F3729A"/>
    <w:rsid w:val="7A880722"/>
    <w:rsid w:val="7ABE6120"/>
    <w:rsid w:val="7ACB0498"/>
    <w:rsid w:val="7AED0B4D"/>
    <w:rsid w:val="7C1E4487"/>
    <w:rsid w:val="7C215E02"/>
    <w:rsid w:val="7C99506C"/>
    <w:rsid w:val="7CF23764"/>
    <w:rsid w:val="7D851A94"/>
    <w:rsid w:val="7DA6697B"/>
    <w:rsid w:val="7E797F74"/>
    <w:rsid w:val="7F4862AD"/>
    <w:rsid w:val="7F924011"/>
    <w:rsid w:val="7F9A1827"/>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 w:type="character" w:customStyle="1" w:styleId="23">
    <w:name w:val="font21"/>
    <w:basedOn w:val="17"/>
    <w:qFormat/>
    <w:uiPriority w:val="0"/>
    <w:rPr>
      <w:rFonts w:ascii="宋体" w:hAnsi="宋体" w:eastAsia="宋体" w:cs="宋体"/>
      <w:color w:val="000000"/>
      <w:sz w:val="20"/>
      <w:szCs w:val="20"/>
      <w:u w:val="none"/>
    </w:rPr>
  </w:style>
  <w:style w:type="character" w:customStyle="1" w:styleId="24">
    <w:name w:val="font1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10671</Words>
  <Characters>11315</Characters>
  <Lines>0</Lines>
  <Paragraphs>0</Paragraphs>
  <TotalTime>2</TotalTime>
  <ScaleCrop>false</ScaleCrop>
  <LinksUpToDate>false</LinksUpToDate>
  <CharactersWithSpaces>11391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DEF31D13DC9041D5A711AFC73D7B0520_13</vt:lpwstr>
  </property>
  <property fmtid="{D5CDD505-2E9C-101B-9397-08002B2CF9AE}" pid="4" name="KSOTemplateDocerSaveRecord">
    <vt:lpwstr>eyJoZGlkIjoiNTY3MmI4ODZmMjljZWZhNGFkN2U2N2Y4ODgwYjM5ZGIiLCJ1c2VySWQiOiIzNjI1MzY3NzcifQ==</vt:lpwstr>
  </property>
</Properties>
</file>