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29123"/>
      <w:bookmarkStart w:id="1" w:name="_Toc15679"/>
      <w:bookmarkStart w:id="2" w:name="_Toc1949"/>
      <w:bookmarkStart w:id="3" w:name="_Toc25575"/>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党校搬迁改造项目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spacing w:line="360" w:lineRule="auto"/>
        <w:ind w:left="1680" w:leftChars="600" w:firstLine="0" w:firstLineChars="0"/>
        <w:jc w:val="left"/>
        <w:rPr>
          <w:rFonts w:ascii="黑体" w:hAnsi="Times New Roman" w:eastAsia="黑体"/>
          <w:b w:val="0"/>
          <w:bCs/>
          <w:color w:val="000000"/>
          <w:sz w:val="30"/>
          <w:szCs w:val="30"/>
        </w:rPr>
      </w:pPr>
      <w:r>
        <w:rPr>
          <w:rFonts w:hint="eastAsia" w:ascii="黑体" w:hAnsi="Times New Roman" w:eastAsia="黑体"/>
          <w:b w:val="0"/>
          <w:bCs/>
          <w:color w:val="000000"/>
          <w:sz w:val="30"/>
          <w:szCs w:val="30"/>
        </w:rPr>
        <w:t>项目名称：党校搬迁改造项目</w:t>
      </w:r>
    </w:p>
    <w:p>
      <w:pPr>
        <w:spacing w:line="360" w:lineRule="auto"/>
        <w:ind w:left="1680" w:leftChars="600"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实施单位：中共阜康市委员会党校</w:t>
      </w:r>
    </w:p>
    <w:p>
      <w:pPr>
        <w:spacing w:line="360" w:lineRule="auto"/>
        <w:ind w:left="1680" w:leftChars="600"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主管部门：中共阜康市委员会党校</w:t>
      </w:r>
    </w:p>
    <w:p>
      <w:pPr>
        <w:spacing w:line="360" w:lineRule="auto"/>
        <w:ind w:left="1680" w:leftChars="600"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lang w:eastAsia="zh-CN"/>
        </w:rPr>
        <w:t>项目负责人：</w:t>
      </w:r>
      <w:r>
        <w:rPr>
          <w:rFonts w:hint="eastAsia" w:ascii="黑体" w:hAnsi="Times New Roman" w:eastAsia="黑体" w:cs="宋体"/>
          <w:b w:val="0"/>
          <w:bCs/>
          <w:color w:val="000000"/>
          <w:sz w:val="30"/>
          <w:szCs w:val="30"/>
          <w:lang w:val="en-US" w:eastAsia="zh-CN"/>
        </w:rPr>
        <w:t>王寅生</w:t>
      </w:r>
    </w:p>
    <w:p>
      <w:pPr>
        <w:spacing w:line="360" w:lineRule="auto"/>
        <w:ind w:left="1680" w:leftChars="600"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2025年4月27日</w:t>
      </w:r>
    </w:p>
    <w:p>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14</w:t>
          </w:r>
          <w:r>
            <w:fldChar w:fldCharType="end"/>
          </w:r>
          <w:r>
            <w:rPr>
              <w:rFonts w:hint="eastAsia"/>
              <w:szCs w:val="28"/>
              <w:lang w:val="en-US" w:eastAsia="zh-CN"/>
            </w:rPr>
            <w:fldChar w:fldCharType="end"/>
          </w:r>
        </w:p>
        <w:p>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16</w:t>
          </w:r>
          <w:r>
            <w:fldChar w:fldCharType="end"/>
          </w:r>
          <w:r>
            <w:rPr>
              <w:rFonts w:hint="eastAsia"/>
              <w:szCs w:val="28"/>
              <w:lang w:val="en-US" w:eastAsia="zh-CN"/>
            </w:rPr>
            <w:fldChar w:fldCharType="end"/>
          </w:r>
        </w:p>
        <w:p>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16</w:t>
          </w:r>
          <w:r>
            <w:fldChar w:fldCharType="end"/>
          </w:r>
          <w:r>
            <w:rPr>
              <w:rFonts w:hint="eastAsia"/>
              <w:szCs w:val="28"/>
              <w:lang w:val="en-US" w:eastAsia="zh-CN"/>
            </w:rPr>
            <w:fldChar w:fldCharType="end"/>
          </w:r>
        </w:p>
        <w:p>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17</w:t>
          </w:r>
          <w:r>
            <w:fldChar w:fldCharType="end"/>
          </w:r>
          <w:r>
            <w:rPr>
              <w:rFonts w:hint="eastAsia"/>
              <w:szCs w:val="28"/>
              <w:lang w:val="en-US" w:eastAsia="zh-CN"/>
            </w:rPr>
            <w:fldChar w:fldCharType="end"/>
          </w:r>
        </w:p>
        <w:p>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18</w:t>
          </w:r>
          <w:r>
            <w:fldChar w:fldCharType="end"/>
          </w:r>
          <w:r>
            <w:rPr>
              <w:rFonts w:hint="eastAsia"/>
              <w:szCs w:val="28"/>
              <w:lang w:val="en-US" w:eastAsia="zh-CN"/>
            </w:rPr>
            <w:fldChar w:fldCharType="end"/>
          </w:r>
        </w:p>
        <w:p>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18</w:t>
          </w:r>
          <w:r>
            <w:fldChar w:fldCharType="end"/>
          </w:r>
          <w:r>
            <w:rPr>
              <w:rFonts w:hint="eastAsia"/>
              <w:szCs w:val="28"/>
              <w:lang w:val="en-US" w:eastAsia="zh-CN"/>
            </w:rPr>
            <w:fldChar w:fldCharType="end"/>
          </w:r>
        </w:p>
        <w:p>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21</w:t>
          </w:r>
          <w:r>
            <w:fldChar w:fldCharType="end"/>
          </w:r>
          <w:r>
            <w:rPr>
              <w:rFonts w:hint="eastAsia"/>
              <w:szCs w:val="28"/>
              <w:lang w:val="en-US" w:eastAsia="zh-CN"/>
            </w:rPr>
            <w:fldChar w:fldCharType="end"/>
          </w:r>
        </w:p>
        <w:p>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24</w:t>
          </w:r>
          <w:r>
            <w:fldChar w:fldCharType="end"/>
          </w:r>
          <w:r>
            <w:rPr>
              <w:rFonts w:hint="eastAsia"/>
              <w:szCs w:val="28"/>
              <w:lang w:val="en-US" w:eastAsia="zh-CN"/>
            </w:rPr>
            <w:fldChar w:fldCharType="end"/>
          </w:r>
        </w:p>
        <w:p>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26</w:t>
          </w:r>
          <w:r>
            <w:fldChar w:fldCharType="end"/>
          </w:r>
          <w:r>
            <w:rPr>
              <w:rFonts w:hint="eastAsia"/>
              <w:szCs w:val="28"/>
              <w:lang w:val="en-US" w:eastAsia="zh-CN"/>
            </w:rPr>
            <w:fldChar w:fldCharType="end"/>
          </w:r>
        </w:p>
        <w:p>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tab/>
          </w:r>
          <w:r>
            <w:fldChar w:fldCharType="begin"/>
          </w:r>
          <w:r>
            <w:instrText xml:space="preserve"> PAGEREF _Toc23313 \h </w:instrText>
          </w:r>
          <w:r>
            <w:fldChar w:fldCharType="separate"/>
          </w:r>
          <w:r>
            <w:t>27</w:t>
          </w:r>
          <w:r>
            <w:fldChar w:fldCharType="end"/>
          </w:r>
          <w:r>
            <w:rPr>
              <w:rFonts w:hint="eastAsia"/>
              <w:szCs w:val="28"/>
              <w:lang w:val="en-US" w:eastAsia="zh-CN"/>
            </w:rPr>
            <w:fldChar w:fldCharType="end"/>
          </w:r>
        </w:p>
        <w:p>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27</w:t>
          </w:r>
          <w:r>
            <w:fldChar w:fldCharType="end"/>
          </w:r>
          <w:r>
            <w:rPr>
              <w:rFonts w:hint="eastAsia"/>
              <w:szCs w:val="28"/>
              <w:lang w:val="en-US" w:eastAsia="zh-CN"/>
            </w:rPr>
            <w:fldChar w:fldCharType="end"/>
          </w:r>
        </w:p>
        <w:p>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28</w:t>
          </w:r>
          <w:r>
            <w:fldChar w:fldCharType="end"/>
          </w:r>
          <w:r>
            <w:rPr>
              <w:rFonts w:hint="eastAsia"/>
              <w:szCs w:val="28"/>
              <w:lang w:val="en-US" w:eastAsia="zh-CN"/>
            </w:rPr>
            <w:fldChar w:fldCharType="end"/>
          </w:r>
        </w:p>
        <w:p>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29</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33</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pPr>
          <w:r>
            <w:rPr>
              <w:rFonts w:hint="eastAsia"/>
              <w:szCs w:val="28"/>
              <w:lang w:val="en-US" w:eastAsia="zh-CN"/>
            </w:rPr>
            <w:fldChar w:fldCharType="end"/>
          </w:r>
        </w:p>
      </w:sdtContent>
    </w:sdt>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bookmarkStart w:id="4" w:name="_Toc3663"/>
      <w:bookmarkStart w:id="5" w:name="_Toc22946"/>
      <w:bookmarkStart w:id="6" w:name="_Toc20432"/>
      <w:bookmarkStart w:id="7" w:name="_Toc1194"/>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党校搬迁改造项目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bookmarkEnd w:id="4"/>
      <w:bookmarkEnd w:id="5"/>
      <w:bookmarkEnd w:id="6"/>
      <w:bookmarkEnd w:id="7"/>
    </w:p>
    <w:p>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10645"/>
      <w:bookmarkStart w:id="11" w:name="_Toc5043"/>
      <w:bookmarkStart w:id="12" w:name="_Toc22346"/>
      <w:bookmarkStart w:id="13" w:name="_Toc29812"/>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根据文件《关于拨付党校搬迁改造项目资金的通知》阜财经办字[2021]81号，为了体现政策导向，盘活闲置资产，使闲置资产增加其使用率，增加党员的培训力度，确保党校符合办公、培训和食宿集一体的要求，市委市政府开会研究决定实施该项目。</w:t>
      </w:r>
    </w:p>
    <w:p>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10730"/>
      <w:bookmarkStart w:id="15" w:name="_Toc27343"/>
      <w:bookmarkStart w:id="16" w:name="_Toc1630"/>
      <w:bookmarkStart w:id="17" w:name="_Toc1788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bookmarkStart w:id="18" w:name="_Toc21898"/>
      <w:bookmarkStart w:id="19" w:name="_Toc27409"/>
      <w:bookmarkStart w:id="20" w:name="_Toc16592"/>
      <w:bookmarkStart w:id="21" w:name="_Toc27245"/>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为提高全市党员干部、公务员提供教育培训；培训和轮训乡科级干部；培训后备干部培训环境，阜康市委党校202</w:t>
      </w:r>
      <w:r>
        <w:rPr>
          <w:rFonts w:hint="eastAsia" w:cs="仿宋_GB2312"/>
          <w:b w:val="0"/>
          <w:bCs w:val="0"/>
          <w:color w:val="auto"/>
          <w:kern w:val="2"/>
          <w:sz w:val="32"/>
          <w:szCs w:val="32"/>
          <w:highlight w:val="none"/>
          <w:shd w:val="clear" w:color="auto" w:fill="auto"/>
          <w:lang w:val="en-US" w:eastAsia="zh-CN" w:bidi="ar-SA"/>
        </w:rPr>
        <w:t>4</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年预计完成</w:t>
      </w:r>
      <w:r>
        <w:rPr>
          <w:rFonts w:hint="eastAsia" w:cs="仿宋_GB2312"/>
          <w:b w:val="0"/>
          <w:bCs w:val="0"/>
          <w:color w:val="auto"/>
          <w:kern w:val="2"/>
          <w:sz w:val="32"/>
          <w:szCs w:val="32"/>
          <w:highlight w:val="none"/>
          <w:shd w:val="clear" w:color="auto" w:fill="auto"/>
          <w:lang w:val="en-US" w:eastAsia="zh-CN" w:bidi="ar-SA"/>
        </w:rPr>
        <w:t>党校搬迁改造项目的工程设计、土地测绘、工程勘察、施工监理、工程竣工结算各1次，完成合格率≥95%，完成办公家具购置1批，货物验收合格率为100%，项目的实施预计达到有效提升教学培训硬件条件，确保教学活动有序开展，建好党的理论研究基地，大力提高科研质量</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本项目自2021年8月18日经“关于拨付党校搬迁改造项目资金的通知</w:t>
      </w: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阜财经办字[2021]81号文件批复，经我校“</w:t>
      </w:r>
      <w:bookmarkStart w:id="158" w:name="_GoBack"/>
      <w:bookmarkEnd w:id="158"/>
      <w:r>
        <w:rPr>
          <w:rFonts w:hint="eastAsia" w:ascii="仿宋_GB2312" w:hAnsi="仿宋_GB2312" w:eastAsia="仿宋_GB2312" w:cs="仿宋_GB2312"/>
          <w:color w:val="auto"/>
          <w:sz w:val="32"/>
          <w:szCs w:val="32"/>
          <w:highlight w:val="none"/>
          <w:shd w:val="clear" w:color="auto" w:fill="auto"/>
          <w:lang w:val="en-US" w:eastAsia="zh-CN"/>
        </w:rPr>
        <w:t>三重一大”会议，确定了项目领导小组，明确了责任分工：组长为王寅生，副组长为钟含，项目负责人为王寅生,组员为白振华、海国忠，其中：王寅生负责监管工作，白振华负责项目档案资料，钟含负责资金拨付工作。</w:t>
      </w:r>
    </w:p>
    <w:p>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bookmarkStart w:id="22" w:name="_Toc569"/>
      <w:bookmarkStart w:id="23" w:name="_Toc10240"/>
      <w:bookmarkStart w:id="24" w:name="_Toc1858"/>
      <w:bookmarkStart w:id="25" w:name="_Toc12348"/>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本项目完成党校搬迁改造项目的工程设计、土地测绘、工程勘察、施工监理、工程竣工结算各1次，完成合格率达到100%，完成1批办公家具购置，货物验收合格率达到100%。</w:t>
      </w:r>
    </w:p>
    <w:p>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694"/>
      <w:bookmarkStart w:id="27" w:name="_Toc26369"/>
      <w:bookmarkStart w:id="28" w:name="_Toc23509"/>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9464"/>
      <w:bookmarkStart w:id="30" w:name="_Toc29190"/>
      <w:bookmarkStart w:id="31" w:name="_Toc5573"/>
      <w:r>
        <w:rPr>
          <w:rFonts w:hint="eastAsia" w:ascii="仿宋_GB2312" w:hAnsi="仿宋_GB2312" w:eastAsia="仿宋_GB2312" w:cs="仿宋_GB2312"/>
          <w:color w:val="auto"/>
          <w:sz w:val="32"/>
          <w:szCs w:val="32"/>
          <w:highlight w:val="none"/>
          <w:lang w:val="en-US" w:eastAsia="zh-CN"/>
        </w:rPr>
        <w:t>该项目年初预算数19.87万元，全年预算数19.87万元，该项目资金已全部落实到位，资金来源为财政拨款</w:t>
      </w:r>
      <w:bookmarkEnd w:id="29"/>
      <w:bookmarkEnd w:id="30"/>
      <w:bookmarkEnd w:id="31"/>
      <w:bookmarkStart w:id="32" w:name="_Toc1166"/>
      <w:bookmarkStart w:id="33" w:name="_Toc28187"/>
      <w:bookmarkStart w:id="34" w:name="_Toc3409"/>
      <w:r>
        <w:rPr>
          <w:rFonts w:hint="eastAsia" w:ascii="仿宋_GB2312" w:hAnsi="仿宋_GB2312" w:eastAsia="仿宋_GB2312" w:cs="仿宋_GB2312"/>
          <w:color w:val="auto"/>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29121"/>
      <w:bookmarkStart w:id="36" w:name="_Toc11647"/>
      <w:bookmarkStart w:id="37" w:name="_Toc1430"/>
      <w:r>
        <w:rPr>
          <w:rFonts w:hint="eastAsia" w:ascii="仿宋_GB2312" w:hAnsi="仿宋_GB2312" w:eastAsia="仿宋_GB2312" w:cs="仿宋_GB2312"/>
          <w:color w:val="auto"/>
          <w:sz w:val="32"/>
          <w:szCs w:val="32"/>
          <w:highlight w:val="none"/>
          <w:lang w:val="en-US" w:eastAsia="zh-CN"/>
        </w:rPr>
        <w:t>该项目年初预算数19.87万元，全年预算数19.87万元，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全年执行数19.87万元，预算执行率为100%，主要用于：党校搬迁改造项目的工程设计、土地测绘、工程勘察、施工监理、工程竣工结算支出，办公家具购置。</w:t>
      </w:r>
      <w:bookmarkEnd w:id="35"/>
      <w:bookmarkEnd w:id="36"/>
      <w:bookmarkEnd w:id="37"/>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8528"/>
      <w:bookmarkStart w:id="40" w:name="_Toc2547"/>
      <w:bookmarkStart w:id="41" w:name="_Toc10047"/>
      <w:bookmarkStart w:id="42" w:name="_Toc147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党校搬迁改造项目绩效总体目标为：要职能是为全市党员干部、公务员提供教育培训；培训和轮训乡科级干部；培训后备干部；为提高培训环境，2024年预计完成党校搬迁改造项目的工程设计、土地测绘、工程勘察、施工监理、工程竣工结算各1次，完成合格率≥95%，完成办公家具购置1批，货物验收合格率为100%，项目的实施预计达到有效提升教学培训硬件条件，确保教学活动有序开展，建好党的理论研究基地，大力提高科研质量。</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4487"/>
      <w:bookmarkStart w:id="44" w:name="_Toc8990"/>
      <w:bookmarkStart w:id="45" w:name="_Toc3255"/>
      <w:bookmarkStart w:id="46" w:name="_Toc400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工程设计</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土地测绘</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工程勘察</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施工监理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工程竣工结算</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办公家具购置</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搬迁改造各项委托业务工作完成合格率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指标，预期目标值为≥95%；</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货物验收合格率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搬迁改造各项委托业务工作完成时间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指标，预期目标值为≤2024年3月；</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货物采购完成时间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指标，预期目标值为≤2024年3月；</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（2）成本指标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搬迁改造项目委托业务支出</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指标，预期目标值为≤9.87万元；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办公家具购置支出</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指标，预期目标值为≤10万元；</w:t>
      </w: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①经济效益指标</w:t>
      </w: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本项目不涉及经济效益；</w:t>
      </w: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②社会效益指标</w:t>
      </w: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提升教学培训硬件条件，确保教学活动有序开展</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指标，预期目标值为有效提升；</w:t>
      </w: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建好党的理论研究基地，大力提高科研质量</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指标，预期目标值为有效提升；</w:t>
      </w: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③生态效益指标</w:t>
      </w: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auto"/>
          <w:sz w:val="32"/>
          <w:szCs w:val="32"/>
          <w:highlight w:val="none"/>
          <w:shd w:val="clear" w:color="auto" w:fill="auto"/>
          <w:lang w:eastAsia="zh-CN"/>
        </w:rPr>
        <w:t>本项目不涉及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生态效益；</w:t>
      </w: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④满意度指标</w:t>
      </w: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本项目不涉及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满意度</w:t>
      </w:r>
      <w:r>
        <w:rPr>
          <w:rFonts w:hint="eastAsia" w:ascii="仿宋_GB2312" w:hAnsi="仿宋_GB2312" w:eastAsia="仿宋_GB2312" w:cs="仿宋_GB2312"/>
          <w:color w:val="auto"/>
          <w:sz w:val="32"/>
          <w:szCs w:val="32"/>
          <w:highlight w:val="none"/>
          <w:shd w:val="clear" w:color="auto" w:fill="auto"/>
          <w:lang w:val="en-US" w:eastAsia="zh-CN"/>
        </w:rPr>
        <w:t>。</w:t>
      </w:r>
    </w:p>
    <w:p>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5462343"/>
      <w:bookmarkStart w:id="49" w:name="_Toc22169_WPSOffice_Level2"/>
      <w:bookmarkStart w:id="50" w:name="_Toc5258"/>
      <w:bookmarkStart w:id="51" w:name="_Toc26632"/>
      <w:bookmarkStart w:id="52" w:name="_Toc12868"/>
      <w:bookmarkStart w:id="53" w:name="_Toc22922"/>
      <w:bookmarkStart w:id="54" w:name="_Toc480473081"/>
      <w:bookmarkStart w:id="55" w:name="_Toc21664"/>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417"/>
      <w:bookmarkStart w:id="59" w:name="_Toc21770"/>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16346"/>
      <w:bookmarkStart w:id="62"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文件要求对2024年度我单位实施的党校搬迁改造项目</w:t>
      </w:r>
      <w:r>
        <w:rPr>
          <w:rFonts w:hint="default" w:ascii="仿宋_GB2312" w:hAnsi="仿宋_GB2312" w:eastAsia="仿宋_GB2312" w:cs="仿宋_GB2312"/>
          <w:color w:val="000000" w:themeColor="text1"/>
          <w:sz w:val="32"/>
          <w:szCs w:val="32"/>
          <w:highlight w:val="none"/>
          <w:shd w:val="clear" w:color="auto" w:fill="auto"/>
          <w14:textFill>
            <w14:solidFill>
              <w14:schemeClr w14:val="tx1"/>
            </w14:solidFill>
          </w14:textFill>
        </w:rPr>
        <w:t>及其预算执行情况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开展部门绩效评价。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该项目</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由</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中共阜康市委员会党校</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负责实</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施，旨在</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简述项目目标或预期成果</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。项目</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2024年3月1日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19.87</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pPr>
        <w:pStyle w:val="4"/>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11666"/>
      <w:bookmarkStart w:id="64" w:name="_Toc21311"/>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w:t>
      </w:r>
      <w:r>
        <w:rPr>
          <w:rFonts w:hint="eastAsia" w:ascii="仿宋_GB2312" w:hAnsi="仿宋_GB2312" w:eastAsia="仿宋_GB2312" w:cs="仿宋_GB2312"/>
          <w:b w:val="0"/>
          <w:bCs w:val="0"/>
          <w:sz w:val="32"/>
          <w:szCs w:val="32"/>
          <w:highlight w:val="none"/>
          <w:lang w:eastAsia="zh-CN"/>
        </w:rPr>
        <w:t>会</w:t>
      </w:r>
      <w:r>
        <w:rPr>
          <w:rFonts w:hint="eastAsia" w:ascii="仿宋_GB2312" w:hAnsi="仿宋_GB2312" w:eastAsia="仿宋_GB2312" w:cs="仿宋_GB2312"/>
          <w:b w:val="0"/>
          <w:bCs w:val="0"/>
          <w:sz w:val="32"/>
          <w:szCs w:val="32"/>
          <w:highlight w:val="none"/>
        </w:rPr>
        <w:t>影响：考察项目对社会的综合影响。</w:t>
      </w:r>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29785"/>
      <w:bookmarkStart w:id="66" w:name="_Toc1286"/>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5354"/>
      <w:bookmarkStart w:id="68" w:name="_Toc13694"/>
      <w:bookmarkStart w:id="69" w:name="_Toc24506"/>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000000"/>
          <w:sz w:val="32"/>
          <w:szCs w:val="32"/>
          <w:lang w:val="en-US" w:eastAsia="zh-CN"/>
        </w:rPr>
        <w:t>党校搬迁改造项目</w:t>
      </w:r>
      <w:r>
        <w:rPr>
          <w:rFonts w:hint="eastAsia" w:ascii="Times New Roman" w:hAnsi="Times New Roman" w:eastAsia="仿宋_GB2312" w:cs="Times New Roman"/>
          <w:color w:val="000000"/>
          <w:sz w:val="32"/>
          <w:szCs w:val="32"/>
          <w:lang w:eastAsia="zh-CN"/>
        </w:rPr>
        <w:t>实际开展情况，运用定量和定性分析相结合的方法，总结经验做法，反思项目实施和管理中的问题，以切实提升财政资金管理的科学化、规范化和精细化水平。</w:t>
      </w:r>
    </w:p>
    <w:p>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24396"/>
      <w:bookmarkStart w:id="71" w:name="_Toc419984722"/>
      <w:bookmarkStart w:id="72" w:name="_Toc26131"/>
      <w:bookmarkStart w:id="73" w:name="_Toc1913"/>
      <w:bookmarkStart w:id="74" w:name="_Toc428278230"/>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30114"/>
      <w:bookmarkStart w:id="77"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numPr>
          <w:ilvl w:val="0"/>
          <w:numId w:val="0"/>
        </w:num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能够全面衡量项目的成本与效益，通过量化分析帮助优化资源配置，提高资金使用效率，确保有限的资金投入到能够产生最大效益的环节</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同时为项目决策提供客观依据。</w:t>
      </w:r>
    </w:p>
    <w:p>
      <w:pPr>
        <w:numPr>
          <w:ilvl w:val="0"/>
          <w:numId w:val="0"/>
        </w:num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）因素分析法</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通过因素分析法，可以明确哪些因素对项目进度、成本控制、质量保障和教学功能提升等关键目标起到推动作用，哪些因素可能成为潜在风险点。这种方法能够帮助项目管理者精准识别关键因素，合理调配资源，优化项目实施方案，确保搬迁改造项目在满足党校功能需求的同时，实现高效、经济的发展目标。</w:t>
      </w:r>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）最低成本法</w:t>
      </w:r>
      <w:r>
        <w:rPr>
          <w:rFonts w:hint="eastAsia" w:ascii="Times New Roman" w:hAnsi="Times New Roman" w:eastAsia="仿宋_GB2312" w:cs="Times New Roman"/>
          <w:color w:val="000000"/>
          <w:spacing w:val="17"/>
          <w:sz w:val="32"/>
          <w:szCs w:val="32"/>
          <w:highlight w:val="none"/>
          <w:lang w:eastAsia="zh-CN"/>
        </w:rPr>
        <w:t>：采用最低成本法的原因在于它能够帮助在多个可选方案中，精准识别出在满足既定目标和质量标准的前提下成本最低的方案。可使党校搬迁改造项目在资源有限且需要高效利用资金的情况下开展。通过详细核算每个方案的直接和间接成本，最可以清晰地展示各方案的成本差异，避免不必要的开支，确保项目在预算范围内实现最优资源配置。</w:t>
      </w:r>
    </w:p>
    <w:p>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6081"/>
      <w:bookmarkStart w:id="80"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highlight w:val="none"/>
          <w:lang w:eastAsia="zh-CN"/>
        </w:rPr>
        <w:t>和</w:t>
      </w:r>
      <w:r>
        <w:rPr>
          <w:rFonts w:hint="default" w:ascii="Times New Roman" w:hAnsi="Times New Roman" w:eastAsia="仿宋_GB2312" w:cs="Times New Roman"/>
          <w:color w:val="000000"/>
          <w:spacing w:val="17"/>
          <w:sz w:val="32"/>
          <w:szCs w:val="32"/>
          <w:highlight w:val="none"/>
        </w:rPr>
        <w:t>行业标准</w:t>
      </w:r>
      <w:r>
        <w:rPr>
          <w:rFonts w:hint="eastAsia" w:ascii="Times New Roman" w:hAnsi="Times New Roman" w:eastAsia="仿宋_GB2312" w:cs="Times New Roman"/>
          <w:color w:val="000000"/>
          <w:spacing w:val="17"/>
          <w:sz w:val="32"/>
          <w:szCs w:val="32"/>
          <w:highlight w:val="none"/>
          <w:lang w:eastAsia="zh-CN"/>
        </w:rPr>
        <w:t>：</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行业标准。指参照国家公布的行业指标数据制定的评价标准。</w:t>
      </w:r>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通过调研对党校搬迁改造项目实施内容、目标信息、预算信息以及其他的一些项目基本信息，有了初步了解，为制定绩效评价工作方案做好准备。</w:t>
      </w:r>
      <w:bookmarkEnd w:id="84"/>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lang w:val="en-US" w:eastAsia="zh-CN"/>
        </w:rPr>
        <w:t>党校搬迁改造项目</w:t>
      </w:r>
      <w:r>
        <w:rPr>
          <w:rFonts w:hint="default" w:ascii="Times New Roman" w:hAnsi="Times New Roman" w:eastAsia="仿宋_GB2312" w:cs="Times New Roman"/>
          <w:sz w:val="32"/>
          <w:szCs w:val="32"/>
          <w:highlight w:val="none"/>
        </w:rPr>
        <w:t>在</w:t>
      </w:r>
      <w:r>
        <w:rPr>
          <w:rFonts w:hint="eastAsia" w:ascii="Times New Roman" w:hAnsi="Times New Roman" w:eastAsia="仿宋_GB2312" w:cs="Times New Roman"/>
          <w:sz w:val="32"/>
          <w:szCs w:val="32"/>
          <w:highlight w:val="none"/>
          <w:lang w:val="en-US" w:eastAsia="zh-CN"/>
        </w:rPr>
        <w:t>项目产出方面完成较好</w:t>
      </w:r>
      <w:r>
        <w:rPr>
          <w:rFonts w:hint="default" w:ascii="Times New Roman" w:hAnsi="Times New Roman" w:eastAsia="仿宋_GB2312" w:cs="Times New Roman"/>
          <w:sz w:val="32"/>
          <w:szCs w:val="32"/>
          <w:highlight w:val="none"/>
        </w:rPr>
        <w:t>，达到了预期的标准与要求。</w:t>
      </w:r>
    </w:p>
    <w:p>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val="en-US" w:eastAsia="zh-CN"/>
        </w:rPr>
        <w:t>中共阜康市委员会党校</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w:t>
      </w:r>
      <w:r>
        <w:rPr>
          <w:rFonts w:hint="default" w:ascii="Times New Roman" w:hAnsi="Times New Roman" w:eastAsia="仿宋_GB2312" w:cs="Times New Roman"/>
          <w:color w:val="auto"/>
          <w:sz w:val="32"/>
          <w:szCs w:val="32"/>
          <w:highlight w:val="none"/>
        </w:rPr>
        <w:t>本项目不仅实现了预期的社会效益方面产生了积极的影响。具体而言，</w:t>
      </w:r>
      <w:r>
        <w:rPr>
          <w:rFonts w:hint="eastAsia" w:ascii="Times New Roman" w:hAnsi="Times New Roman" w:eastAsia="仿宋_GB2312" w:cs="Times New Roman"/>
          <w:color w:val="auto"/>
          <w:sz w:val="32"/>
          <w:szCs w:val="32"/>
          <w:highlight w:val="none"/>
          <w:lang w:val="en-US" w:eastAsia="zh-CN"/>
        </w:rPr>
        <w:t>教学培训硬件条件，确保教学活动有序开展、建好党的理论研究基地，大力提高科研质量</w:t>
      </w:r>
      <w:r>
        <w:rPr>
          <w:rFonts w:hint="default" w:ascii="Times New Roman" w:hAnsi="Times New Roman" w:eastAsia="仿宋_GB2312" w:cs="Times New Roman"/>
          <w:color w:val="auto"/>
          <w:sz w:val="32"/>
          <w:szCs w:val="32"/>
          <w:highlight w:val="none"/>
        </w:rPr>
        <w:t>等方面的提升，为项目</w:t>
      </w:r>
      <w:r>
        <w:rPr>
          <w:rFonts w:hint="default" w:ascii="Times New Roman" w:hAnsi="Times New Roman" w:eastAsia="仿宋_GB2312" w:cs="Times New Roman"/>
          <w:sz w:val="32"/>
          <w:szCs w:val="32"/>
          <w:highlight w:val="none"/>
        </w:rPr>
        <w:t>的利益相关者带来了实实在在的利益。</w:t>
      </w:r>
    </w:p>
    <w:p>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党校搬迁改造项目</w:t>
      </w:r>
      <w:r>
        <w:rPr>
          <w:rFonts w:hint="default" w:ascii="Times New Roman" w:hAnsi="Times New Roman" w:eastAsia="仿宋_GB2312" w:cs="Times New Roman"/>
          <w:color w:val="auto"/>
          <w:sz w:val="32"/>
          <w:szCs w:val="32"/>
          <w:highlight w:val="none"/>
        </w:rPr>
        <w:t>在绩</w:t>
      </w:r>
      <w:r>
        <w:rPr>
          <w:rFonts w:hint="default" w:ascii="Times New Roman" w:hAnsi="Times New Roman" w:eastAsia="仿宋_GB2312" w:cs="Times New Roman"/>
          <w:sz w:val="32"/>
          <w:szCs w:val="32"/>
          <w:highlight w:val="none"/>
        </w:rPr>
        <w:t>效评价中表现出色，达到了项目的预期目标，并在多个方面取得了显著的成效</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评价等级为优。</w:t>
      </w:r>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6" w:name="_Toc11863"/>
      <w:r>
        <w:rPr>
          <w:rFonts w:hint="eastAsia" w:ascii="Times New Roman" w:hAnsi="Times New Roman" w:eastAsia="楷体_GB2312" w:cs="Times New Roman"/>
          <w:kern w:val="28"/>
          <w:sz w:val="32"/>
          <w:lang w:val="en-US" w:eastAsia="zh-CN"/>
        </w:rPr>
        <w:t>（二）相关评分表</w:t>
      </w:r>
      <w:bookmarkEnd w:id="106"/>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000000"/>
          <w:spacing w:val="17"/>
          <w:sz w:val="32"/>
          <w:szCs w:val="32"/>
          <w:highlight w:val="none"/>
          <w:lang w:val="en-US" w:eastAsia="zh-CN"/>
        </w:rPr>
        <w:t>此次绩效评价</w:t>
      </w:r>
      <w:r>
        <w:rPr>
          <w:rFonts w:hint="eastAsia" w:ascii="Times New Roman" w:hAnsi="Times New Roman" w:eastAsia="仿宋_GB2312" w:cs="Times New Roman"/>
          <w:color w:val="000000"/>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000000"/>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000000"/>
          <w:spacing w:val="17"/>
          <w:sz w:val="32"/>
          <w:szCs w:val="32"/>
          <w:highlight w:val="none"/>
          <w:lang w:val="zh-TW" w:eastAsia="zh-TW"/>
        </w:rPr>
        <w:t>对</w:t>
      </w:r>
      <w:r>
        <w:rPr>
          <w:rFonts w:hint="eastAsia" w:ascii="Times New Roman" w:hAnsi="Times New Roman" w:eastAsia="仿宋_GB2312" w:cs="Times New Roman"/>
          <w:color w:val="auto"/>
          <w:sz w:val="32"/>
          <w:szCs w:val="32"/>
          <w:highlight w:val="none"/>
          <w:lang w:val="en-US" w:eastAsia="zh-CN"/>
        </w:rPr>
        <w:t>党校搬迁改造项目</w:t>
      </w:r>
      <w:r>
        <w:rPr>
          <w:rFonts w:hint="eastAsia" w:ascii="Times New Roman" w:hAnsi="Times New Roman" w:eastAsia="仿宋_GB2312" w:cs="Times New Roman"/>
          <w:color w:val="000000"/>
          <w:spacing w:val="17"/>
          <w:sz w:val="32"/>
          <w:szCs w:val="32"/>
          <w:highlight w:val="none"/>
          <w:lang w:val="zh-TW" w:eastAsia="zh-TW"/>
        </w:rPr>
        <w:t>绩效进行客观评价，最终评分结果：</w:t>
      </w:r>
      <w:r>
        <w:rPr>
          <w:rFonts w:hint="default" w:ascii="Times New Roman" w:hAnsi="Times New Roman" w:eastAsia="仿宋_GB2312" w:cs="Times New Roman"/>
          <w:color w:val="000000"/>
          <w:spacing w:val="17"/>
          <w:sz w:val="32"/>
          <w:szCs w:val="32"/>
          <w:highlight w:val="none"/>
          <w:lang w:val="en-US" w:eastAsia="zh-CN"/>
        </w:rPr>
        <w:t>总得分</w:t>
      </w:r>
      <w:r>
        <w:rPr>
          <w:rFonts w:hint="default" w:ascii="Times New Roman" w:hAnsi="Times New Roman" w:eastAsia="仿宋_GB2312" w:cs="Times New Roman"/>
          <w:color w:val="auto"/>
          <w:spacing w:val="17"/>
          <w:sz w:val="32"/>
          <w:szCs w:val="32"/>
          <w:highlight w:val="none"/>
          <w:lang w:val="en-US" w:eastAsia="zh-CN"/>
        </w:rPr>
        <w:t>为</w:t>
      </w:r>
      <w:r>
        <w:rPr>
          <w:rFonts w:hint="eastAsia" w:ascii="Times New Roman" w:hAnsi="Times New Roman" w:eastAsia="仿宋_GB2312" w:cs="Times New Roman"/>
          <w:color w:val="auto"/>
          <w:spacing w:val="17"/>
          <w:sz w:val="32"/>
          <w:szCs w:val="32"/>
          <w:highlight w:val="none"/>
          <w:lang w:val="en-US" w:eastAsia="zh-CN"/>
        </w:rPr>
        <w:t>99.58</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w:t>
      </w:r>
      <w:r>
        <w:rPr>
          <w:rFonts w:hint="eastAsia" w:ascii="Times New Roman" w:hAnsi="Times New Roman" w:eastAsia="仿宋_GB2312" w:cs="Times New Roman"/>
          <w:color w:val="000000"/>
          <w:spacing w:val="17"/>
          <w:sz w:val="32"/>
          <w:szCs w:val="32"/>
          <w:highlight w:val="none"/>
          <w:lang w:val="en-US" w:eastAsia="zh-CN"/>
        </w:rPr>
        <w:t>总</w:t>
      </w:r>
      <w:r>
        <w:rPr>
          <w:rFonts w:hint="eastAsia" w:ascii="Times New Roman" w:hAnsi="Times New Roman" w:eastAsia="仿宋_GB2312" w:cs="Times New Roman"/>
          <w:color w:val="000000"/>
          <w:spacing w:val="17"/>
          <w:sz w:val="32"/>
          <w:szCs w:val="32"/>
          <w:highlight w:val="none"/>
          <w:lang w:val="zh-TW" w:eastAsia="zh-TW"/>
        </w:rPr>
        <w:t>分值如下表</w:t>
      </w:r>
      <w:r>
        <w:rPr>
          <w:rFonts w:hint="eastAsia" w:ascii="Times New Roman" w:hAnsi="Times New Roman" w:eastAsia="仿宋_GB2312" w:cs="Times New Roman"/>
          <w:color w:val="000000"/>
          <w:spacing w:val="17"/>
          <w:sz w:val="32"/>
          <w:szCs w:val="32"/>
          <w:highlight w:val="none"/>
          <w:lang w:val="en-US" w:eastAsia="zh-CN"/>
        </w:rPr>
        <w:t>3-1</w:t>
      </w:r>
      <w:r>
        <w:rPr>
          <w:rFonts w:hint="eastAsia" w:ascii="Times New Roman" w:hAnsi="Times New Roman" w:eastAsia="仿宋_GB2312" w:cs="Times New Roman"/>
          <w:color w:val="000000"/>
          <w:spacing w:val="17"/>
          <w:sz w:val="32"/>
          <w:szCs w:val="32"/>
          <w:highlight w:val="none"/>
          <w:lang w:val="zh-TW" w:eastAsia="zh-TW"/>
        </w:rPr>
        <w:t>所示</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en-US" w:eastAsia="zh-CN"/>
        </w:rPr>
        <w:t>详见上传的附件</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表3-1：党校搬迁改造项目得分表</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rPr>
      </w:pPr>
      <w:bookmarkStart w:id="108" w:name="_Toc6759"/>
      <w:r>
        <w:rPr>
          <w:rFonts w:hint="eastAsia" w:ascii="Times New Roman" w:hAnsi="Times New Roman" w:eastAsia="楷体_GB2312" w:cs="Times New Roman"/>
          <w:color w:val="auto"/>
          <w:kern w:val="28"/>
          <w:sz w:val="32"/>
        </w:rPr>
        <w:t>（一）项目决策情况</w:t>
      </w:r>
      <w:bookmarkEnd w:id="108"/>
    </w:p>
    <w:p>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①项目立项符合</w:t>
      </w:r>
      <w:r>
        <w:rPr>
          <w:rFonts w:hint="eastAsia" w:ascii="仿宋_GB2312" w:hAnsi="仿宋_GB2312" w:eastAsia="仿宋_GB2312" w:cs="仿宋_GB2312"/>
          <w:color w:val="auto"/>
          <w:sz w:val="32"/>
          <w:szCs w:val="32"/>
          <w:highlight w:val="none"/>
          <w:shd w:val="clear" w:color="auto" w:fill="auto"/>
          <w:lang w:val="en-US" w:eastAsia="zh-CN"/>
        </w:rPr>
        <w:t>《关于拨付党校搬迁改造项目资金的通知》（阜财经办字[2021]81号）文件相关政策，符合《中国共产党党校（行政学院）工作条例》</w:t>
      </w:r>
      <w:r>
        <w:rPr>
          <w:rFonts w:hint="eastAsia" w:ascii="仿宋_GB2312" w:hAnsi="仿宋_GB2312" w:eastAsia="仿宋_GB2312" w:cs="仿宋_GB2312"/>
          <w:color w:val="auto"/>
          <w:sz w:val="32"/>
          <w:szCs w:val="32"/>
          <w:highlight w:val="none"/>
        </w:rPr>
        <w:t>《中华人民共和国预算法》</w:t>
      </w:r>
      <w:r>
        <w:rPr>
          <w:rFonts w:hint="eastAsia" w:ascii="仿宋_GB2312" w:hAnsi="仿宋_GB2312" w:eastAsia="仿宋_GB2312" w:cs="仿宋_GB2312"/>
          <w:color w:val="auto"/>
          <w:sz w:val="32"/>
          <w:szCs w:val="32"/>
          <w:highlight w:val="none"/>
          <w:shd w:val="clear" w:color="auto" w:fill="auto"/>
          <w:lang w:val="en-US" w:eastAsia="zh-CN"/>
        </w:rPr>
        <w:t>《中华人民共和国合同法》》《中华人民共和国劳动法》等国家法律法规、国民经济发展规划和相关政策</w:t>
      </w:r>
      <w:r>
        <w:rPr>
          <w:rFonts w:hint="eastAsia" w:ascii="仿宋_GB2312" w:hAnsi="仿宋_GB2312" w:eastAsia="仿宋_GB2312" w:cs="仿宋_GB2312"/>
          <w:sz w:val="32"/>
          <w:szCs w:val="32"/>
          <w:lang w:eastAsia="zh-CN"/>
        </w:rPr>
        <w:t>；</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②项目立项符合</w:t>
      </w:r>
      <w:r>
        <w:rPr>
          <w:rFonts w:hint="eastAsia" w:ascii="仿宋_GB2312" w:hAnsi="仿宋_GB2312" w:eastAsia="仿宋_GB2312" w:cs="仿宋_GB2312"/>
          <w:color w:val="auto"/>
          <w:sz w:val="32"/>
          <w:szCs w:val="32"/>
          <w:highlight w:val="none"/>
          <w:shd w:val="clear" w:color="auto" w:fill="auto"/>
          <w:lang w:val="en-US" w:eastAsia="zh-CN"/>
        </w:rPr>
        <w:t>《关于拨付党校搬迁改造项目资金的通知》（阜财经办字[2021]81号）文件及《关于加强新时代基层党校建设的意见</w:t>
      </w:r>
      <w:r>
        <w:rPr>
          <w:rFonts w:hint="eastAsia" w:ascii="仿宋_GB2312" w:hAnsi="仿宋_GB2312" w:eastAsia="仿宋_GB2312" w:cs="仿宋_GB2312"/>
          <w:sz w:val="32"/>
          <w:szCs w:val="32"/>
          <w:lang w:val="en-US" w:eastAsia="zh-CN"/>
        </w:rPr>
        <w:t>》《关于加强和改进新时代干部教育培训工作的若干措施》等</w:t>
      </w:r>
      <w:r>
        <w:rPr>
          <w:rFonts w:hint="eastAsia" w:ascii="仿宋_GB2312" w:hAnsi="仿宋_GB2312" w:eastAsia="仿宋_GB2312" w:cs="仿宋_GB2312"/>
          <w:sz w:val="32"/>
          <w:szCs w:val="32"/>
          <w:lang w:eastAsia="zh-CN"/>
        </w:rPr>
        <w:t>行业发展规划和政策要求；</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③项目立项与部门职责范围相符，党校主</w:t>
      </w:r>
      <w:r>
        <w:rPr>
          <w:rFonts w:hint="eastAsia" w:ascii="仿宋_GB2312" w:hAnsi="仿宋_GB2312" w:eastAsia="仿宋_GB2312" w:cs="仿宋_GB2312"/>
          <w:color w:val="auto"/>
          <w:sz w:val="32"/>
          <w:szCs w:val="32"/>
          <w:highlight w:val="none"/>
          <w:shd w:val="clear" w:color="auto" w:fill="auto"/>
          <w:lang w:val="en-US" w:eastAsia="zh-CN"/>
        </w:rPr>
        <w:t>要职责为全市党员干部、公务员提供教育培训；培训和轮训乡科级干部；培训后备干部，本项</w:t>
      </w:r>
      <w:r>
        <w:rPr>
          <w:rFonts w:hint="eastAsia" w:ascii="仿宋_GB2312" w:hAnsi="仿宋_GB2312" w:eastAsia="仿宋_GB2312" w:cs="仿宋_GB2312"/>
          <w:sz w:val="32"/>
          <w:szCs w:val="32"/>
          <w:lang w:val="en-US" w:eastAsia="zh-CN"/>
        </w:rPr>
        <w:t>目的实施是为提升教学培训硬件条件，属于部门履职所需；</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w:t>
      </w:r>
      <w:r>
        <w:rPr>
          <w:rFonts w:hint="eastAsia" w:ascii="仿宋_GB2312" w:hAnsi="仿宋_GB2312" w:eastAsia="仿宋_GB2312" w:cs="仿宋_GB2312"/>
          <w:b/>
          <w:bCs/>
          <w:color w:val="auto"/>
          <w:sz w:val="32"/>
          <w:szCs w:val="32"/>
          <w:lang w:val="en-US" w:eastAsia="zh-CN"/>
        </w:rPr>
        <w:t>该项指标满分2分，得分2分。</w:t>
      </w:r>
    </w:p>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3240"/>
      <w:bookmarkStart w:id="112" w:name="_Toc21976"/>
      <w:r>
        <w:rPr>
          <w:rFonts w:hint="eastAsia" w:ascii="仿宋_GB2312" w:hAnsi="仿宋_GB2312" w:eastAsia="仿宋_GB2312" w:cs="仿宋_GB2312"/>
          <w:b/>
          <w:bCs/>
          <w:color w:val="auto"/>
          <w:sz w:val="32"/>
          <w:szCs w:val="32"/>
          <w:lang w:val="en-US" w:eastAsia="zh-CN"/>
        </w:rPr>
        <w:t>2.立项程序规范性</w:t>
      </w:r>
      <w:bookmarkEnd w:id="111"/>
      <w:bookmarkEnd w:id="112"/>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①项目按照规定的程序申请设立；</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②审批文件、材料符合相关要求；</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③事前经过集体决策，未进行可行性研究、专家论证、风险评估、绩效评估，扣</w:t>
      </w:r>
      <w:r>
        <w:rPr>
          <w:rFonts w:hint="eastAsia" w:ascii="仿宋_GB2312" w:hAnsi="仿宋_GB2312" w:eastAsia="仿宋_GB2312" w:cs="仿宋_GB2312"/>
          <w:color w:val="auto"/>
          <w:sz w:val="32"/>
          <w:szCs w:val="32"/>
          <w:highlight w:val="none"/>
          <w:lang w:val="en-US" w:eastAsia="zh-CN"/>
        </w:rPr>
        <w:t>1分</w:t>
      </w:r>
      <w:r>
        <w:rPr>
          <w:rFonts w:hint="eastAsia" w:ascii="仿宋_GB2312" w:hAnsi="仿宋_GB2312" w:eastAsia="仿宋_GB2312" w:cs="仿宋_GB2312"/>
          <w:color w:val="auto"/>
          <w:sz w:val="32"/>
          <w:szCs w:val="32"/>
          <w:highlight w:val="none"/>
          <w:lang w:eastAsia="zh-CN"/>
        </w:rPr>
        <w:t>。</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综上，该项指标满分3分，，得分2分。</w:t>
      </w:r>
    </w:p>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3" w:name="_Toc15382"/>
      <w:bookmarkStart w:id="114" w:name="_Toc23542"/>
      <w:r>
        <w:rPr>
          <w:rFonts w:hint="eastAsia" w:ascii="仿宋_GB2312" w:hAnsi="仿宋_GB2312" w:eastAsia="仿宋_GB2312" w:cs="仿宋_GB2312"/>
          <w:b/>
          <w:bCs/>
          <w:color w:val="auto"/>
          <w:sz w:val="32"/>
          <w:szCs w:val="32"/>
          <w:lang w:val="en-US" w:eastAsia="zh-CN"/>
        </w:rPr>
        <w:t>3.绩效目标合理性</w:t>
      </w:r>
      <w:bookmarkEnd w:id="113"/>
      <w:bookmarkEnd w:id="11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②该项目实际工作内容为：党校搬迁改造项目的工程设计、土地测绘、工程勘察、施工监理、工程竣工结算和办公家具购置，以提</w:t>
      </w:r>
      <w:r>
        <w:rPr>
          <w:rFonts w:hint="eastAsia" w:ascii="仿宋_GB2312" w:hAnsi="仿宋_GB2312" w:eastAsia="仿宋_GB2312" w:cs="仿宋_GB2312"/>
          <w:sz w:val="32"/>
          <w:szCs w:val="32"/>
          <w:highlight w:val="none"/>
          <w:lang w:val="en-US" w:eastAsia="zh-CN"/>
        </w:rPr>
        <w:t>升教学培训硬件条件</w:t>
      </w:r>
      <w:r>
        <w:rPr>
          <w:rFonts w:hint="eastAsia" w:ascii="仿宋_GB2312" w:hAnsi="仿宋_GB2312" w:eastAsia="仿宋_GB2312" w:cs="仿宋_GB2312"/>
          <w:sz w:val="32"/>
          <w:szCs w:val="32"/>
          <w:highlight w:val="none"/>
          <w:lang w:eastAsia="zh-CN"/>
        </w:rPr>
        <w:t>。绩效目标与实际工作内容一致，两者具有相关性。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③该项目按照绩效目标完成数量指标、质量指标、时效指标、成</w:t>
      </w:r>
      <w:r>
        <w:rPr>
          <w:rFonts w:hint="eastAsia" w:ascii="仿宋_GB2312" w:hAnsi="仿宋_GB2312" w:eastAsia="仿宋_GB2312" w:cs="仿宋_GB2312"/>
          <w:sz w:val="32"/>
          <w:szCs w:val="32"/>
          <w:highlight w:val="none"/>
          <w:lang w:val="en-US" w:eastAsia="zh-CN"/>
        </w:rPr>
        <w:t>本指标，完成了党校搬迁改造项目的工程设计、土地测绘、工程勘察、施工监理、工程竣工结算各1次，完成办公家具购置1批，达到有效提升教学培训硬件条件，确保教学活动有序开展，建好党的理论研究基地，大力提高科研质量的效益，</w:t>
      </w:r>
      <w:r>
        <w:rPr>
          <w:rFonts w:hint="eastAsia" w:ascii="仿宋_GB2312" w:hAnsi="仿宋_GB2312" w:eastAsia="仿宋_GB2312" w:cs="仿宋_GB2312"/>
          <w:sz w:val="32"/>
          <w:szCs w:val="32"/>
          <w:highlight w:val="none"/>
          <w:lang w:eastAsia="zh-CN"/>
        </w:rPr>
        <w:t>预期产出效益和效果是否符合正常的业绩水平。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④《项目支出绩效目标表》中</w:t>
      </w:r>
      <w:r>
        <w:rPr>
          <w:rFonts w:hint="eastAsia" w:ascii="仿宋_GB2312" w:hAnsi="仿宋_GB2312" w:eastAsia="仿宋_GB2312" w:cs="仿宋_GB2312"/>
          <w:sz w:val="32"/>
          <w:szCs w:val="32"/>
          <w:highlight w:val="none"/>
          <w:lang w:val="en-US" w:eastAsia="zh-CN"/>
        </w:rPr>
        <w:t>预算金额为19.87万元，预算确定的项目资金与预算确定的项目投资额相匹配。</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分5分，得分5分。</w:t>
      </w:r>
    </w:p>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5" w:name="_Toc18198"/>
      <w:bookmarkStart w:id="116" w:name="_Toc10650"/>
      <w:r>
        <w:rPr>
          <w:rFonts w:hint="eastAsia" w:ascii="仿宋_GB2312" w:hAnsi="仿宋_GB2312" w:eastAsia="仿宋_GB2312" w:cs="仿宋_GB2312"/>
          <w:b/>
          <w:bCs/>
          <w:sz w:val="32"/>
          <w:szCs w:val="32"/>
          <w:lang w:val="en-US" w:eastAsia="zh-CN"/>
        </w:rPr>
        <w:t>4.绩效指标明确性</w:t>
      </w:r>
      <w:bookmarkEnd w:id="115"/>
      <w:bookmarkEnd w:id="116"/>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①将项目绩效目标细化分解为具体的绩效指标，</w:t>
      </w:r>
      <w:r>
        <w:rPr>
          <w:rFonts w:hint="eastAsia" w:ascii="仿宋_GB2312" w:hAnsi="仿宋_GB2312" w:eastAsia="仿宋_GB2312" w:cs="仿宋_GB2312"/>
          <w:sz w:val="32"/>
          <w:szCs w:val="32"/>
          <w:lang w:val="en-US" w:eastAsia="zh-CN"/>
        </w:rPr>
        <w:t>其中三级指标共</w:t>
      </w:r>
      <w:r>
        <w:rPr>
          <w:rFonts w:hint="eastAsia" w:ascii="仿宋_GB2312" w:hAnsi="仿宋_GB2312" w:eastAsia="仿宋_GB2312" w:cs="仿宋_GB2312"/>
          <w:color w:val="auto"/>
          <w:sz w:val="32"/>
          <w:szCs w:val="32"/>
          <w:lang w:val="en-US" w:eastAsia="zh-CN"/>
        </w:rPr>
        <w:t>计14个</w:t>
      </w:r>
      <w:r>
        <w:rPr>
          <w:rFonts w:hint="eastAsia" w:ascii="仿宋_GB2312" w:hAnsi="仿宋_GB2312" w:eastAsia="仿宋_GB2312" w:cs="仿宋_GB2312"/>
          <w:color w:val="auto"/>
          <w:sz w:val="32"/>
          <w:szCs w:val="32"/>
          <w:lang w:eastAsia="zh-CN"/>
        </w:rPr>
        <w:t>；</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量化率达到71.43%</w:t>
      </w:r>
      <w:r>
        <w:rPr>
          <w:rFonts w:hint="eastAsia" w:ascii="仿宋_GB2312" w:hAnsi="仿宋_GB2312" w:eastAsia="仿宋_GB2312" w:cs="仿宋_GB2312"/>
          <w:color w:val="auto"/>
          <w:sz w:val="32"/>
          <w:szCs w:val="32"/>
          <w:lang w:eastAsia="zh-CN"/>
        </w:rPr>
        <w:t>；</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eastAsia="zh-CN"/>
        </w:rPr>
        <w:t>③《项目绩效目标申报表》中，三级指标</w:t>
      </w:r>
      <w:r>
        <w:rPr>
          <w:rFonts w:hint="eastAsia" w:ascii="仿宋_GB2312" w:hAnsi="仿宋_GB2312" w:eastAsia="仿宋_GB2312" w:cs="仿宋_GB2312"/>
          <w:sz w:val="32"/>
          <w:szCs w:val="32"/>
          <w:lang w:eastAsia="zh-CN"/>
        </w:rPr>
        <w:t>的年度指标值与年度绩效目标中任务数一致。</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已设置的绩效目标具备明确性、可衡量性、可实现性、相关性、时限性。</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w:t>
      </w:r>
      <w:r>
        <w:rPr>
          <w:rFonts w:hint="eastAsia" w:ascii="仿宋_GB2312" w:hAnsi="仿宋_GB2312" w:eastAsia="仿宋_GB2312" w:cs="仿宋_GB2312"/>
          <w:b/>
          <w:bCs/>
          <w:color w:val="auto"/>
          <w:sz w:val="32"/>
          <w:szCs w:val="32"/>
          <w:lang w:val="en-US" w:eastAsia="zh-CN"/>
        </w:rPr>
        <w:t>标满分5分，得分5分。</w:t>
      </w:r>
    </w:p>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7" w:name="_Toc19401"/>
      <w:bookmarkStart w:id="118" w:name="_Toc8296"/>
      <w:r>
        <w:rPr>
          <w:rFonts w:hint="eastAsia" w:ascii="仿宋_GB2312" w:hAnsi="仿宋_GB2312" w:eastAsia="仿宋_GB2312" w:cs="仿宋_GB2312"/>
          <w:b/>
          <w:bCs/>
          <w:sz w:val="32"/>
          <w:szCs w:val="32"/>
          <w:lang w:val="en-US" w:eastAsia="zh-CN"/>
        </w:rPr>
        <w:t>5.预算编制科学性</w:t>
      </w:r>
      <w:bookmarkEnd w:id="117"/>
      <w:bookmarkEnd w:id="118"/>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t>根据项目预算批复，项目的</w:t>
      </w:r>
      <w:r>
        <w:rPr>
          <w:rFonts w:hint="eastAsia" w:ascii="仿宋_GB2312" w:hAnsi="仿宋_GB2312" w:eastAsia="仿宋_GB2312" w:cs="仿宋_GB2312"/>
          <w:sz w:val="32"/>
          <w:szCs w:val="32"/>
          <w:lang w:eastAsia="zh-CN"/>
        </w:rPr>
        <w:t>预算编制经过科学论证；</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lang w:eastAsia="zh-CN"/>
        </w:rPr>
        <w:t>预算申请内</w:t>
      </w:r>
      <w:r>
        <w:rPr>
          <w:rFonts w:hint="eastAsia" w:ascii="仿宋_GB2312" w:hAnsi="仿宋_GB2312" w:eastAsia="仿宋_GB2312" w:cs="仿宋_GB2312"/>
          <w:color w:val="auto"/>
          <w:sz w:val="32"/>
          <w:szCs w:val="32"/>
          <w:lang w:eastAsia="zh-CN"/>
        </w:rPr>
        <w:t>容为党校搬迁改造前期费及办公家具购置，项目实际内容为党校搬迁改造项目的工程设计、土地测绘、工程勘察、施工监理、工程竣工结算各1次及办公家具购置，预算申请与项目内容匹配；</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③</w:t>
      </w:r>
      <w:r>
        <w:rPr>
          <w:rFonts w:hint="eastAsia" w:ascii="仿宋_GB2312" w:hAnsi="仿宋_GB2312" w:eastAsia="仿宋_GB2312" w:cs="仿宋_GB2312"/>
          <w:color w:val="auto"/>
          <w:sz w:val="32"/>
          <w:szCs w:val="32"/>
          <w:lang w:eastAsia="zh-CN"/>
        </w:rPr>
        <w:t>项目预算申请资金</w:t>
      </w:r>
      <w:r>
        <w:rPr>
          <w:rFonts w:hint="eastAsia" w:ascii="仿宋_GB2312" w:hAnsi="仿宋_GB2312" w:eastAsia="仿宋_GB2312" w:cs="仿宋_GB2312"/>
          <w:color w:val="auto"/>
          <w:sz w:val="32"/>
          <w:szCs w:val="32"/>
          <w:lang w:val="en-US" w:eastAsia="zh-CN"/>
        </w:rPr>
        <w:t>19.87万</w:t>
      </w:r>
      <w:r>
        <w:rPr>
          <w:rFonts w:hint="eastAsia" w:ascii="仿宋_GB2312" w:hAnsi="仿宋_GB2312" w:eastAsia="仿宋_GB2312" w:cs="仿宋_GB2312"/>
          <w:color w:val="auto"/>
          <w:sz w:val="32"/>
          <w:szCs w:val="32"/>
          <w:lang w:eastAsia="zh-CN"/>
        </w:rPr>
        <w:t>元，我单位在预算申请中严格按照项目实施内容及测算标准进行核算，其中：搬迁改造项目委托业务费用</w:t>
      </w:r>
      <w:r>
        <w:rPr>
          <w:rFonts w:hint="eastAsia" w:ascii="仿宋_GB2312" w:hAnsi="仿宋_GB2312" w:eastAsia="仿宋_GB2312" w:cs="仿宋_GB2312"/>
          <w:color w:val="auto"/>
          <w:sz w:val="32"/>
          <w:szCs w:val="32"/>
          <w:lang w:val="en-US" w:eastAsia="zh-CN"/>
        </w:rPr>
        <w:t>9.87</w:t>
      </w:r>
      <w:r>
        <w:rPr>
          <w:rFonts w:hint="eastAsia" w:ascii="仿宋_GB2312" w:hAnsi="仿宋_GB2312" w:eastAsia="仿宋_GB2312" w:cs="仿宋_GB2312"/>
          <w:color w:val="auto"/>
          <w:sz w:val="32"/>
          <w:szCs w:val="32"/>
          <w:lang w:eastAsia="zh-CN"/>
        </w:rPr>
        <w:t>万元、办公家具购置费用</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万元。</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lang w:val="en-US" w:eastAsia="zh-CN"/>
        </w:rPr>
        <w:t>项目实施内容</w:t>
      </w:r>
      <w:r>
        <w:rPr>
          <w:rFonts w:hint="eastAsia" w:ascii="仿宋_GB2312" w:hAnsi="仿宋_GB2312" w:eastAsia="仿宋_GB2312" w:cs="仿宋_GB2312"/>
          <w:sz w:val="32"/>
          <w:szCs w:val="32"/>
          <w:lang w:eastAsia="zh-CN"/>
        </w:rPr>
        <w:t>相匹配。</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满分2分，得分2分。</w:t>
      </w:r>
    </w:p>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9" w:name="_Toc697"/>
      <w:bookmarkStart w:id="120" w:name="_Toc20556"/>
      <w:r>
        <w:rPr>
          <w:rFonts w:hint="eastAsia" w:ascii="仿宋_GB2312" w:hAnsi="仿宋_GB2312" w:eastAsia="仿宋_GB2312" w:cs="仿宋_GB2312"/>
          <w:b/>
          <w:bCs/>
          <w:color w:val="auto"/>
          <w:sz w:val="32"/>
          <w:szCs w:val="32"/>
          <w:lang w:val="en-US" w:eastAsia="zh-CN"/>
        </w:rPr>
        <w:t>6.资金分配合理性</w:t>
      </w:r>
      <w:bookmarkEnd w:id="119"/>
      <w:bookmarkEnd w:id="120"/>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①项目实际分配资金以</w:t>
      </w:r>
      <w:r>
        <w:rPr>
          <w:rFonts w:hint="eastAsia" w:ascii="仿宋_GB2312" w:hAnsi="仿宋_GB2312" w:eastAsia="仿宋_GB2312" w:cs="仿宋_GB2312"/>
          <w:color w:val="auto"/>
          <w:sz w:val="32"/>
          <w:szCs w:val="32"/>
          <w:lang w:eastAsia="zh-Hans"/>
        </w:rPr>
        <w:t>《关于</w:t>
      </w:r>
      <w:r>
        <w:rPr>
          <w:rFonts w:hint="eastAsia" w:ascii="仿宋_GB2312" w:hAnsi="仿宋_GB2312" w:eastAsia="仿宋_GB2312" w:cs="仿宋_GB2312"/>
          <w:color w:val="auto"/>
          <w:sz w:val="32"/>
          <w:szCs w:val="32"/>
          <w:lang w:eastAsia="zh-CN"/>
        </w:rPr>
        <w:t>申请党校搬迁改造项目资金的请示</w:t>
      </w:r>
      <w:r>
        <w:rPr>
          <w:rFonts w:hint="eastAsia" w:ascii="仿宋_GB2312" w:hAnsi="仿宋_GB2312" w:eastAsia="仿宋_GB2312" w:cs="仿宋_GB2312"/>
          <w:color w:val="auto"/>
          <w:sz w:val="32"/>
          <w:szCs w:val="32"/>
          <w:lang w:eastAsia="zh-Hans"/>
        </w:rPr>
        <w:t>》为依据进行资金分配，</w:t>
      </w:r>
      <w:r>
        <w:rPr>
          <w:rFonts w:hint="eastAsia" w:ascii="仿宋_GB2312" w:hAnsi="仿宋_GB2312" w:eastAsia="仿宋_GB2312" w:cs="仿宋_GB2312"/>
          <w:color w:val="auto"/>
          <w:sz w:val="32"/>
          <w:szCs w:val="32"/>
          <w:lang w:eastAsia="zh-CN"/>
        </w:rPr>
        <w:t>分为项目前期委托业务费和办公家具购置费，</w:t>
      </w:r>
      <w:r>
        <w:rPr>
          <w:rFonts w:hint="eastAsia" w:ascii="仿宋_GB2312" w:hAnsi="仿宋_GB2312" w:eastAsia="仿宋_GB2312" w:cs="仿宋_GB2312"/>
          <w:color w:val="auto"/>
          <w:sz w:val="32"/>
          <w:szCs w:val="32"/>
          <w:lang w:eastAsia="zh-Hans"/>
        </w:rPr>
        <w:t>预算资金分配依据充分</w:t>
      </w:r>
      <w:r>
        <w:rPr>
          <w:rFonts w:hint="eastAsia" w:ascii="仿宋_GB2312" w:hAnsi="仿宋_GB2312" w:eastAsia="仿宋_GB2312" w:cs="仿宋_GB2312"/>
          <w:color w:val="auto"/>
          <w:sz w:val="32"/>
          <w:szCs w:val="32"/>
          <w:lang w:eastAsia="zh-CN"/>
        </w:rPr>
        <w:t>。</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color w:val="auto"/>
          <w:sz w:val="32"/>
          <w:szCs w:val="32"/>
          <w:lang w:eastAsia="zh-CN"/>
        </w:rPr>
        <w:t>万元，资金分配额度合理，与项目单位</w:t>
      </w:r>
      <w:r>
        <w:rPr>
          <w:rFonts w:hint="eastAsia" w:ascii="仿宋_GB2312" w:hAnsi="仿宋_GB2312" w:eastAsia="仿宋_GB2312" w:cs="仿宋_GB2312"/>
          <w:color w:val="auto"/>
          <w:sz w:val="32"/>
          <w:szCs w:val="32"/>
          <w:lang w:val="en-US" w:eastAsia="zh-CN"/>
        </w:rPr>
        <w:t>及项目实际实施情况相</w:t>
      </w:r>
      <w:r>
        <w:rPr>
          <w:rFonts w:hint="eastAsia" w:ascii="仿宋_GB2312" w:hAnsi="仿宋_GB2312" w:eastAsia="仿宋_GB2312" w:cs="仿宋_GB2312"/>
          <w:color w:val="auto"/>
          <w:sz w:val="32"/>
          <w:szCs w:val="32"/>
          <w:lang w:eastAsia="zh-CN"/>
        </w:rPr>
        <w:t>适应。</w:t>
      </w:r>
    </w:p>
    <w:p>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rPr>
      </w:pPr>
      <w:bookmarkStart w:id="121" w:name="_Toc10564"/>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lang w:val="en-US" w:eastAsia="zh-CN"/>
        </w:rPr>
        <w:t>二</w:t>
      </w:r>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rPr>
        <w:t>项目过程情况</w:t>
      </w:r>
      <w:bookmarkEnd w:id="121"/>
    </w:p>
    <w:p>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2" w:name="_Toc3886"/>
      <w:bookmarkStart w:id="123" w:name="_Toc20449"/>
      <w:r>
        <w:rPr>
          <w:rFonts w:hint="eastAsia" w:ascii="仿宋_GB2312" w:hAnsi="仿宋_GB2312" w:eastAsia="仿宋_GB2312" w:cs="仿宋_GB2312"/>
          <w:b/>
          <w:bCs/>
          <w:sz w:val="32"/>
          <w:szCs w:val="32"/>
          <w:lang w:val="en-US" w:eastAsia="zh-CN"/>
        </w:rPr>
        <w:t>1.资金到位率</w:t>
      </w:r>
      <w:bookmarkEnd w:id="122"/>
      <w:bookmarkEnd w:id="123"/>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b w:val="0"/>
          <w:bCs w:val="0"/>
          <w:color w:val="auto"/>
          <w:sz w:val="32"/>
          <w:szCs w:val="32"/>
        </w:rPr>
        <w:t>万元，其中：财政安排资金</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b w:val="0"/>
          <w:bCs w:val="0"/>
          <w:color w:val="auto"/>
          <w:sz w:val="32"/>
          <w:szCs w:val="32"/>
        </w:rPr>
        <w:t>万元，其他资金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color w:val="auto"/>
          <w:sz w:val="32"/>
          <w:szCs w:val="32"/>
          <w:lang w:eastAsia="zh-CN"/>
        </w:rPr>
        <w:t>资金到位率=（</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color w:val="auto"/>
          <w:sz w:val="32"/>
          <w:szCs w:val="32"/>
          <w:lang w:eastAsia="zh-CN"/>
        </w:rPr>
        <w:t>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分4分，得分4分。</w:t>
      </w:r>
    </w:p>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4" w:name="_Toc9705"/>
      <w:bookmarkStart w:id="125" w:name="_Toc17709"/>
      <w:r>
        <w:rPr>
          <w:rFonts w:hint="eastAsia" w:ascii="仿宋_GB2312" w:hAnsi="仿宋_GB2312" w:eastAsia="仿宋_GB2312" w:cs="仿宋_GB2312"/>
          <w:b/>
          <w:bCs/>
          <w:color w:val="auto"/>
          <w:sz w:val="32"/>
          <w:szCs w:val="32"/>
          <w:lang w:val="en-US" w:eastAsia="zh-CN"/>
        </w:rPr>
        <w:t>2.预算执行率</w:t>
      </w:r>
      <w:bookmarkEnd w:id="124"/>
      <w:bookmarkEnd w:id="125"/>
    </w:p>
    <w:p>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截至2024年12月31日，项目实际支出19.87万元。</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预算执行率=（</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综上，该项指标满分4分，得分4分。</w:t>
      </w:r>
    </w:p>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6" w:name="_Toc28875"/>
      <w:bookmarkStart w:id="127" w:name="_Toc18691"/>
      <w:r>
        <w:rPr>
          <w:rFonts w:hint="eastAsia" w:ascii="仿宋_GB2312" w:hAnsi="仿宋_GB2312" w:eastAsia="仿宋_GB2312" w:cs="仿宋_GB2312"/>
          <w:b/>
          <w:bCs/>
          <w:sz w:val="32"/>
          <w:szCs w:val="32"/>
          <w:lang w:val="en-US" w:eastAsia="zh-CN"/>
        </w:rPr>
        <w:t>3.资金使用合规性</w:t>
      </w:r>
      <w:bookmarkEnd w:id="126"/>
      <w:bookmarkEnd w:id="127"/>
    </w:p>
    <w:p>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FF0000"/>
          <w:sz w:val="32"/>
          <w:szCs w:val="32"/>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color w:val="auto"/>
          <w:sz w:val="32"/>
          <w:szCs w:val="32"/>
          <w:lang w:eastAsia="zh-CN"/>
        </w:rPr>
        <w:t>本项目资金支出符合国家财经法规、《政府会计制度》《中共阜康市委员会党校单位资金管理办法》《中共阜康市委员会党校专项资金管理办</w:t>
      </w:r>
      <w:r>
        <w:rPr>
          <w:rFonts w:hint="eastAsia" w:ascii="仿宋_GB2312" w:hAnsi="仿宋_GB2312" w:eastAsia="仿宋_GB2312" w:cs="仿宋_GB2312"/>
          <w:sz w:val="32"/>
          <w:szCs w:val="32"/>
          <w:lang w:eastAsia="zh-CN"/>
        </w:rPr>
        <w:t>法》；</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②资金的拨付有完整的审批程序和手续；</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w:t>
      </w:r>
      <w:r>
        <w:rPr>
          <w:rFonts w:hint="default" w:ascii="Times New Roman" w:hAnsi="Times New Roman" w:eastAsia="仿宋_GB2312" w:cs="Times New Roman"/>
          <w:color w:val="auto"/>
          <w:sz w:val="32"/>
          <w:szCs w:val="32"/>
          <w:highlight w:val="none"/>
          <w:lang w:eastAsia="zh-CN"/>
        </w:rPr>
        <w:t>价奠定了坚实的基础。</w:t>
      </w:r>
      <w:r>
        <w:rPr>
          <w:rFonts w:hint="eastAsia" w:ascii="Times New Roman" w:hAnsi="Times New Roman" w:eastAsia="仿宋_GB2312" w:cs="Times New Roman"/>
          <w:color w:val="auto"/>
          <w:sz w:val="32"/>
          <w:szCs w:val="32"/>
          <w:highlight w:val="none"/>
          <w:lang w:val="en-US" w:eastAsia="zh-CN"/>
        </w:rPr>
        <w:t xml:space="preserve"> </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kern w:val="2"/>
          <w:sz w:val="32"/>
          <w:szCs w:val="32"/>
          <w:lang w:val="en-US" w:eastAsia="zh-CN" w:bidi="ar-SA"/>
        </w:rPr>
        <w:t>4.</w:t>
      </w:r>
      <w:r>
        <w:rPr>
          <w:rFonts w:hint="eastAsia" w:ascii="仿宋_GB2312" w:hAnsi="仿宋_GB2312" w:eastAsia="仿宋_GB2312" w:cs="仿宋_GB2312"/>
          <w:b/>
          <w:bCs/>
          <w:color w:val="auto"/>
          <w:sz w:val="32"/>
          <w:szCs w:val="32"/>
          <w:lang w:val="en-US" w:eastAsia="zh-CN"/>
        </w:rPr>
        <w:t>管理制度健全性</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①</w:t>
      </w:r>
      <w:r>
        <w:rPr>
          <w:rFonts w:hint="eastAsia" w:ascii="仿宋_GB2312" w:hAnsi="仿宋_GB2312" w:eastAsia="仿宋_GB2312" w:cs="仿宋_GB2312"/>
          <w:color w:val="auto"/>
          <w:sz w:val="32"/>
          <w:szCs w:val="32"/>
          <w:lang w:eastAsia="zh-CN"/>
        </w:rPr>
        <w:t>我单位已制定《中共阜康市委员会党校资金管理办法》《中共阜康市委员会党校收支业务管理制度》《中共阜康市委员会党校政府采购业务管理制度》《中共阜康市委员会党校合同管理制度》，</w:t>
      </w:r>
      <w:r>
        <w:rPr>
          <w:rFonts w:hint="eastAsia" w:ascii="仿宋_GB2312" w:hAnsi="仿宋_GB2312" w:eastAsia="仿宋_GB2312" w:cs="仿宋_GB2312"/>
          <w:color w:val="auto"/>
          <w:sz w:val="32"/>
          <w:szCs w:val="32"/>
          <w:lang w:val="en-US" w:eastAsia="zh-CN"/>
        </w:rPr>
        <w:t>相关</w:t>
      </w:r>
      <w:r>
        <w:rPr>
          <w:rFonts w:hint="eastAsia" w:ascii="仿宋_GB2312" w:hAnsi="仿宋_GB2312" w:eastAsia="仿宋_GB2312" w:cs="仿宋_GB2312"/>
          <w:color w:val="auto"/>
          <w:sz w:val="32"/>
          <w:szCs w:val="32"/>
          <w:lang w:eastAsia="zh-CN"/>
        </w:rPr>
        <w:t>制度均符合行政事业单位内控管理要求；</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②已制定的</w:t>
      </w:r>
      <w:r>
        <w:rPr>
          <w:rFonts w:hint="eastAsia" w:ascii="仿宋_GB2312" w:hAnsi="仿宋_GB2312" w:eastAsia="仿宋_GB2312" w:cs="仿宋_GB2312"/>
          <w:color w:val="auto"/>
          <w:sz w:val="32"/>
          <w:szCs w:val="32"/>
          <w:lang w:eastAsia="zh-CN"/>
        </w:rPr>
        <w:t>财务和业务管理制度合法、合规、完整，本项目执行符合上述制度规定。</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sz w:val="32"/>
          <w:szCs w:val="32"/>
          <w:lang w:val="en-US" w:eastAsia="zh-CN"/>
        </w:rPr>
      </w:pPr>
      <w:bookmarkStart w:id="128" w:name="_Toc31684"/>
      <w:bookmarkStart w:id="129" w:name="_Toc13984"/>
      <w:r>
        <w:rPr>
          <w:rFonts w:hint="eastAsia" w:ascii="仿宋_GB2312" w:hAnsi="仿宋_GB2312" w:eastAsia="仿宋_GB2312" w:cs="仿宋_GB2312"/>
          <w:b/>
          <w:bCs/>
          <w:sz w:val="32"/>
          <w:szCs w:val="32"/>
          <w:lang w:val="en-US" w:eastAsia="zh-CN"/>
        </w:rPr>
        <w:t>5.制度执行有效性</w:t>
      </w:r>
      <w:bookmarkEnd w:id="128"/>
      <w:bookmarkEnd w:id="129"/>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①党校搬迁改造</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w:t>
      </w:r>
      <w:r>
        <w:rPr>
          <w:rFonts w:hint="eastAsia" w:ascii="仿宋_GB2312" w:hAnsi="仿宋_GB2312" w:eastAsia="仿宋_GB2312" w:cs="仿宋_GB2312"/>
          <w:color w:val="auto"/>
          <w:sz w:val="32"/>
          <w:szCs w:val="32"/>
          <w:lang w:eastAsia="zh-CN"/>
        </w:rPr>
        <w:t>《中共阜康市委员会党校资金管理办法》《中共阜康市委员会党校收支业务管理制度》《中共阜康市委员会党校政府采购业务管理制度》《中共阜康市委员会党校合同管理制度》</w:t>
      </w:r>
      <w:r>
        <w:rPr>
          <w:rFonts w:hint="eastAsia" w:ascii="仿宋_GB2312" w:hAnsi="仿宋_GB2312" w:eastAsia="仿宋_GB2312" w:cs="仿宋_GB2312"/>
          <w:color w:val="auto"/>
          <w:sz w:val="32"/>
          <w:szCs w:val="32"/>
        </w:rPr>
        <w:t>等管理规定，</w:t>
      </w:r>
      <w:r>
        <w:rPr>
          <w:rFonts w:hint="eastAsia" w:ascii="仿宋_GB2312" w:hAnsi="仿宋_GB2312" w:eastAsia="仿宋_GB2312" w:cs="仿宋_GB2312"/>
          <w:color w:val="auto"/>
          <w:sz w:val="32"/>
          <w:szCs w:val="32"/>
          <w:lang w:eastAsia="zh-CN"/>
        </w:rPr>
        <w:t>；</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②</w:t>
      </w:r>
      <w:r>
        <w:rPr>
          <w:rFonts w:hint="eastAsia" w:ascii="仿宋_GB2312" w:hAnsi="仿宋_GB2312" w:eastAsia="仿宋_GB2312" w:cs="仿宋_GB2312"/>
          <w:color w:val="auto"/>
          <w:sz w:val="32"/>
          <w:szCs w:val="32"/>
        </w:rPr>
        <w:t>该项目实施过程中不存在调整事项</w:t>
      </w:r>
      <w:r>
        <w:rPr>
          <w:rFonts w:hint="eastAsia" w:ascii="仿宋_GB2312" w:hAnsi="仿宋_GB2312" w:eastAsia="仿宋_GB2312" w:cs="仿宋_GB2312"/>
          <w:color w:val="auto"/>
          <w:sz w:val="32"/>
          <w:szCs w:val="32"/>
          <w:lang w:eastAsia="zh-CN"/>
        </w:rPr>
        <w:t>。</w:t>
      </w:r>
    </w:p>
    <w:p>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党校搬迁改造项目工作领导小组，由王寅生任组长，负责项目的组织工作；</w:t>
      </w:r>
      <w:r>
        <w:rPr>
          <w:rFonts w:hint="eastAsia" w:ascii="仿宋_GB2312" w:hAnsi="仿宋_GB2312" w:eastAsia="仿宋_GB2312" w:cs="仿宋_GB2312"/>
          <w:color w:val="auto"/>
          <w:sz w:val="32"/>
          <w:szCs w:val="32"/>
          <w:highlight w:val="none"/>
          <w:shd w:val="clear" w:color="auto" w:fill="auto"/>
          <w:lang w:val="en-US" w:eastAsia="zh-CN"/>
        </w:rPr>
        <w:t>钟含</w:t>
      </w:r>
      <w:r>
        <w:rPr>
          <w:rFonts w:hint="eastAsia" w:ascii="仿宋_GB2312" w:hAnsi="仿宋_GB2312" w:eastAsia="仿宋_GB2312" w:cs="仿宋_GB2312"/>
          <w:color w:val="auto"/>
          <w:sz w:val="32"/>
          <w:szCs w:val="32"/>
          <w:lang w:eastAsia="zh-CN"/>
        </w:rPr>
        <w:t>任副组长，负责项目的实施工作；组员包括：</w:t>
      </w:r>
      <w:r>
        <w:rPr>
          <w:rFonts w:hint="eastAsia" w:ascii="仿宋_GB2312" w:hAnsi="仿宋_GB2312" w:eastAsia="仿宋_GB2312" w:cs="仿宋_GB2312"/>
          <w:color w:val="auto"/>
          <w:sz w:val="32"/>
          <w:szCs w:val="32"/>
          <w:highlight w:val="none"/>
          <w:shd w:val="clear" w:color="auto" w:fill="auto"/>
          <w:lang w:val="en-US" w:eastAsia="zh-CN"/>
        </w:rPr>
        <w:t>白振华和海国忠</w:t>
      </w:r>
      <w:r>
        <w:rPr>
          <w:rFonts w:hint="eastAsia" w:ascii="仿宋_GB2312" w:hAnsi="仿宋_GB2312" w:eastAsia="仿宋_GB2312" w:cs="仿宋_GB2312"/>
          <w:color w:val="auto"/>
          <w:sz w:val="32"/>
          <w:szCs w:val="32"/>
          <w:lang w:eastAsia="zh-CN"/>
        </w:rPr>
        <w:t>，主要负责项目监督管理、验收以及资金核拨等工作。</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4分，得分4分。</w:t>
      </w:r>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0" w:name="_Toc2441"/>
      <w:r>
        <w:rPr>
          <w:rFonts w:hint="eastAsia" w:ascii="Times New Roman" w:hAnsi="Times New Roman" w:eastAsia="楷体_GB2312" w:cs="Times New Roman"/>
          <w:color w:val="auto"/>
          <w:kern w:val="28"/>
          <w:sz w:val="32"/>
          <w:lang w:val="en-US" w:eastAsia="zh-CN"/>
        </w:rPr>
        <w:t>（三）项目产出情况</w:t>
      </w:r>
      <w:bookmarkEnd w:id="130"/>
    </w:p>
    <w:p>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包括产出数量、产出质量、产出时效、产出成本四方面的内容，</w:t>
      </w:r>
      <w:r>
        <w:rPr>
          <w:rFonts w:hint="eastAsia" w:ascii="Times New Roman" w:hAnsi="Times New Roman" w:eastAsia="仿宋_GB2312" w:cs="Times New Roman"/>
          <w:color w:val="auto"/>
          <w:sz w:val="32"/>
          <w:szCs w:val="32"/>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12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工程设计</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≥1次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1次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土地测绘</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≥1次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1次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工程勘察</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≥1次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1次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施工监理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≥1项</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1项</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工程竣工结算</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≥1次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1次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办公家具购置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≥1批</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1批</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搬迁改造各项委托业务工作完成合格率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货物验收合格率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搬迁改造各项委托业务工作完成时间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≤2024年3月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2024年3月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5</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货物采购完成时间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≤2024年3月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2024年3月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5</w:t>
            </w:r>
          </w:p>
        </w:tc>
      </w:tr>
      <w:tr>
        <w:tblPrEx>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搬迁改造项目委托业务支出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≤9.87万元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9.87万元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5</w:t>
            </w:r>
          </w:p>
        </w:tc>
      </w:tr>
      <w:tr>
        <w:tblPrEx>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办公家具购置支出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5</w:t>
            </w:r>
          </w:p>
        </w:tc>
      </w:tr>
      <w:tr>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FF0000"/>
          <w:sz w:val="32"/>
          <w:szCs w:val="32"/>
          <w:lang w:val="en-US" w:eastAsia="zh-CN"/>
        </w:rPr>
      </w:pPr>
      <w:bookmarkStart w:id="131" w:name="_Toc11067"/>
      <w:bookmarkStart w:id="132" w:name="_Toc26689"/>
      <w:r>
        <w:rPr>
          <w:rFonts w:hint="eastAsia" w:ascii="仿宋_GB2312" w:hAnsi="仿宋_GB2312" w:eastAsia="仿宋_GB2312" w:cs="仿宋_GB2312"/>
          <w:b/>
          <w:bCs/>
          <w:sz w:val="32"/>
          <w:szCs w:val="32"/>
          <w:lang w:val="en-US" w:eastAsia="zh-CN"/>
        </w:rPr>
        <w:t>1.数量指标完成情况</w:t>
      </w:r>
      <w:bookmarkEnd w:id="131"/>
      <w:bookmarkEnd w:id="132"/>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工程设计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指标，预期目标值为≥1次，实际完成为1次。实际完成率=（1次/1次）×100%=100%。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土地测绘</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指标，预期目标值为≥1次，实际完成为1次。实际完成率=（1次/1次）×100%=100%。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工程勘察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指标，预期目标值为≥1次，实际完成为1次。实际完成率=（1次/1次）×100%=100%。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施工监理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指标，预期目标值为≥1项，实际完成为1项。实际完成率=（1项/1项）×100%=100%。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工程竣工结算</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指标，预期目标值为≥1次，实际完成为1次。实际完成率=（1次/1次）×100%=100%。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办公家具购置</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指标，预期目标值为≥1批，实际完成为1批。实际完成率=（1批/1批）×100%=100%。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12分，得分12分。</w:t>
      </w:r>
    </w:p>
    <w:p>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3" w:name="_Toc31739"/>
      <w:bookmarkStart w:id="134" w:name="_Toc14255"/>
      <w:r>
        <w:rPr>
          <w:rFonts w:hint="eastAsia" w:ascii="仿宋_GB2312" w:hAnsi="仿宋_GB2312" w:eastAsia="仿宋_GB2312" w:cs="仿宋_GB2312"/>
          <w:b/>
          <w:bCs/>
          <w:color w:val="auto"/>
          <w:sz w:val="32"/>
          <w:szCs w:val="32"/>
          <w:lang w:val="en-US" w:eastAsia="zh-CN"/>
        </w:rPr>
        <w:t>2.</w:t>
      </w:r>
      <w:bookmarkEnd w:id="133"/>
      <w:r>
        <w:rPr>
          <w:rFonts w:hint="eastAsia" w:ascii="仿宋_GB2312" w:hAnsi="仿宋_GB2312" w:eastAsia="仿宋_GB2312" w:cs="仿宋_GB2312"/>
          <w:b/>
          <w:bCs/>
          <w:color w:val="auto"/>
          <w:sz w:val="32"/>
          <w:szCs w:val="32"/>
          <w:lang w:val="en-US" w:eastAsia="zh-CN"/>
        </w:rPr>
        <w:t>质量指标完成情况</w:t>
      </w:r>
      <w:bookmarkEnd w:id="134"/>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搬迁改造各项委托业务工作完成合格率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指标，预期目标值为≥95%，实际完成为100%。实际完成率100%。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货物验收合格率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综上，该项指标满分8分，得分8分。</w:t>
      </w:r>
    </w:p>
    <w:p>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5" w:name="_Toc18307"/>
      <w:bookmarkStart w:id="136" w:name="_Toc28885"/>
      <w:r>
        <w:rPr>
          <w:rFonts w:hint="eastAsia" w:ascii="仿宋_GB2312" w:hAnsi="仿宋_GB2312" w:eastAsia="仿宋_GB2312" w:cs="仿宋_GB2312"/>
          <w:b/>
          <w:bCs/>
          <w:sz w:val="32"/>
          <w:szCs w:val="32"/>
          <w:lang w:val="en-US" w:eastAsia="zh-CN"/>
        </w:rPr>
        <w:t>3.</w:t>
      </w:r>
      <w:bookmarkEnd w:id="135"/>
      <w:r>
        <w:rPr>
          <w:rFonts w:hint="eastAsia" w:ascii="仿宋_GB2312" w:hAnsi="仿宋_GB2312" w:eastAsia="仿宋_GB2312" w:cs="仿宋_GB2312"/>
          <w:b/>
          <w:bCs/>
          <w:sz w:val="32"/>
          <w:szCs w:val="32"/>
          <w:lang w:val="en-US" w:eastAsia="zh-CN"/>
        </w:rPr>
        <w:t>时效指标完成情况</w:t>
      </w:r>
      <w:bookmarkEnd w:id="136"/>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搬迁改造各项委托业务工作完成时间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指标，预期目标值为≤2024年3月，实际完成为2024年3月。实际完成率100%。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货物采购完成时间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指标，预期目标值为≤2024年3月，实际完成为2024年3月。实际完成率100%。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分10分，得分10分。</w:t>
      </w:r>
    </w:p>
    <w:p>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7" w:name="_Toc32765"/>
      <w:bookmarkStart w:id="138" w:name="_Toc20607"/>
      <w:r>
        <w:rPr>
          <w:rFonts w:hint="eastAsia" w:ascii="仿宋_GB2312" w:hAnsi="仿宋_GB2312" w:eastAsia="仿宋_GB2312" w:cs="仿宋_GB2312"/>
          <w:b/>
          <w:bCs/>
          <w:sz w:val="32"/>
          <w:szCs w:val="32"/>
          <w:lang w:val="en-US" w:eastAsia="zh-CN"/>
        </w:rPr>
        <w:t>4.项目</w:t>
      </w:r>
      <w:bookmarkEnd w:id="137"/>
      <w:r>
        <w:rPr>
          <w:rFonts w:hint="eastAsia" w:ascii="仿宋_GB2312" w:hAnsi="仿宋_GB2312" w:eastAsia="仿宋_GB2312" w:cs="仿宋_GB2312"/>
          <w:b/>
          <w:bCs/>
          <w:sz w:val="32"/>
          <w:szCs w:val="32"/>
          <w:lang w:val="en-US" w:eastAsia="zh-CN"/>
        </w:rPr>
        <w:t>成本情况</w:t>
      </w:r>
      <w:bookmarkEnd w:id="138"/>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经济</w:t>
      </w:r>
      <w:r>
        <w:rPr>
          <w:rFonts w:hint="eastAsia" w:ascii="仿宋_GB2312" w:hAnsi="仿宋_GB2312" w:eastAsia="仿宋_GB2312" w:cs="仿宋_GB2312"/>
          <w:b/>
          <w:bCs/>
          <w:sz w:val="32"/>
          <w:szCs w:val="32"/>
          <w:lang w:eastAsia="zh-CN"/>
        </w:rPr>
        <w:t>成本指标完成情况</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搬迁改造项目委托业务支出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指标，预期目标值为≤9.87万元，实际完成为9.87万元。实际完成率=（9.87万元/9.87万元）×100%=100%。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办公家具购置支出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指标，预期目标值为≤10万元，实际完成为10万元。实际完成率=（10万元/10万元）×100%=100%。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10分，得分10分。</w:t>
      </w:r>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9" w:name="_Toc19424"/>
      <w:r>
        <w:rPr>
          <w:rFonts w:hint="eastAsia" w:ascii="Times New Roman" w:hAnsi="Times New Roman" w:eastAsia="楷体_GB2312" w:cs="Times New Roman"/>
          <w:kern w:val="28"/>
          <w:sz w:val="32"/>
          <w:lang w:val="en-US" w:eastAsia="zh-CN"/>
        </w:rPr>
        <w:t>（四）项目效益情况</w:t>
      </w:r>
      <w:bookmarkEnd w:id="139"/>
    </w:p>
    <w:p>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提升教学培训硬件条件，确保教学活动有序开展</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建好党的理论研究基地，大力提高科研质量</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教职工及学员对党校改造的满意度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0" w:name="_Toc8010"/>
      <w:bookmarkStart w:id="141" w:name="_Toc5170"/>
      <w:r>
        <w:rPr>
          <w:rFonts w:hint="eastAsia" w:ascii="仿宋_GB2312" w:hAnsi="仿宋_GB2312" w:eastAsia="仿宋_GB2312" w:cs="仿宋_GB2312"/>
          <w:b/>
          <w:bCs/>
          <w:sz w:val="32"/>
          <w:szCs w:val="32"/>
          <w:lang w:val="en-US" w:eastAsia="zh-CN"/>
        </w:rPr>
        <w:t>1.</w:t>
      </w:r>
      <w:bookmarkEnd w:id="140"/>
      <w:bookmarkEnd w:id="141"/>
      <w:bookmarkStart w:id="142" w:name="_Toc27006"/>
      <w:bookmarkStart w:id="143" w:name="_Toc29606"/>
      <w:r>
        <w:rPr>
          <w:rFonts w:hint="eastAsia" w:ascii="仿宋_GB2312" w:hAnsi="仿宋_GB2312" w:eastAsia="仿宋_GB2312" w:cs="仿宋_GB2312"/>
          <w:b/>
          <w:bCs/>
          <w:sz w:val="32"/>
          <w:szCs w:val="32"/>
          <w:lang w:val="en-US" w:eastAsia="zh-CN"/>
        </w:rPr>
        <w:t>社会效益指标</w:t>
      </w:r>
      <w:bookmarkEnd w:id="142"/>
      <w:r>
        <w:rPr>
          <w:rFonts w:hint="eastAsia" w:ascii="仿宋_GB2312" w:hAnsi="仿宋_GB2312" w:eastAsia="仿宋_GB2312" w:cs="仿宋_GB2312"/>
          <w:b/>
          <w:bCs/>
          <w:sz w:val="32"/>
          <w:szCs w:val="32"/>
          <w:lang w:val="en-US" w:eastAsia="zh-CN"/>
        </w:rPr>
        <w:t>完成情况</w:t>
      </w:r>
      <w:bookmarkEnd w:id="143"/>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提升教学培训硬件条件，确保教学活动有序开展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指标，预期目标值为有效提升，实际完成为达到预期指标。</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通过项目的实施，有效提升教学培训硬件条件，确保教学活动有序开展的社会效益。</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建好党的理论研究基地，大力提高科研质量</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指标，预期目标值为有效提升，实际完成为达到预期指标。</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通过项目的实施，有效提升</w:t>
      </w:r>
      <w:r>
        <w:rPr>
          <w:rFonts w:hint="eastAsia" w:ascii="仿宋_GB2312" w:hAnsi="仿宋_GB2312" w:eastAsia="仿宋_GB2312" w:cs="仿宋_GB2312"/>
          <w:color w:val="auto"/>
          <w:sz w:val="32"/>
          <w:szCs w:val="32"/>
          <w:lang w:val="en-US" w:eastAsia="zh-CN"/>
        </w:rPr>
        <w:t>建好党的理论研究基地，大力提高科研质量的社会效益。</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分14分，得分14分。</w:t>
      </w:r>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4"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4"/>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val="0"/>
          <w:bCs w:val="0"/>
          <w:color w:val="auto"/>
          <w:sz w:val="32"/>
          <w:szCs w:val="32"/>
          <w:lang w:val="en-US" w:eastAsia="zh-CN"/>
        </w:rPr>
        <w:t>“教职工及学员对党校改造的满意度”指</w:t>
      </w:r>
      <w:r>
        <w:rPr>
          <w:rFonts w:hint="eastAsia" w:ascii="仿宋_GB2312" w:hAnsi="仿宋_GB2312" w:eastAsia="仿宋_GB2312" w:cs="仿宋_GB2312"/>
          <w:color w:val="auto"/>
          <w:sz w:val="32"/>
          <w:szCs w:val="32"/>
          <w:highlight w:val="none"/>
          <w:lang w:val="en-US" w:eastAsia="zh-CN"/>
        </w:rPr>
        <w:t>标，预期目标值为≥95%，实际完成为100%。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综上，该项指标满分6分，得分6分。</w:t>
      </w:r>
    </w:p>
    <w:p>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5"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5"/>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6" w:name="_Toc15449"/>
      <w:bookmarkStart w:id="147" w:name="_Toc28290"/>
      <w:bookmarkStart w:id="148" w:name="_Toc1921"/>
      <w:r>
        <w:rPr>
          <w:rFonts w:hint="eastAsia" w:ascii="Times New Roman" w:hAnsi="Times New Roman" w:eastAsia="楷体_GB2312" w:cs="Times New Roman"/>
          <w:b/>
          <w:bCs/>
          <w:kern w:val="28"/>
          <w:sz w:val="32"/>
          <w:highlight w:val="none"/>
          <w:lang w:val="en-US" w:eastAsia="zh-CN"/>
        </w:rPr>
        <w:t>（一）主要经验及做法</w:t>
      </w:r>
      <w:bookmarkEnd w:id="146"/>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党校搬迁改造项目</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支出为</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中共阜康市委员会党校</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w:t>
      </w:r>
      <w:r>
        <w:rPr>
          <w:rFonts w:hint="eastAsia" w:ascii="仿宋_GB2312" w:hAnsi="仿宋_GB2312" w:eastAsia="仿宋_GB2312" w:cs="仿宋_GB2312"/>
          <w:sz w:val="32"/>
          <w:szCs w:val="32"/>
          <w:lang w:eastAsia="zh-CN"/>
        </w:rPr>
        <w:t>到合理安排各项资金，重点保障基本支出，按轻重缓急顺序原则，优先</w:t>
      </w:r>
      <w:r>
        <w:rPr>
          <w:rFonts w:hint="eastAsia" w:ascii="仿宋_GB2312" w:hAnsi="仿宋_GB2312" w:eastAsia="仿宋_GB2312" w:cs="仿宋_GB2312"/>
          <w:color w:val="auto"/>
          <w:sz w:val="32"/>
          <w:szCs w:val="32"/>
          <w:lang w:eastAsia="zh-CN"/>
        </w:rPr>
        <w:t>安排了</w:t>
      </w:r>
      <w:r>
        <w:rPr>
          <w:rFonts w:hint="eastAsia" w:ascii="仿宋_GB2312" w:hAnsi="仿宋_GB2312" w:eastAsia="仿宋_GB2312" w:cs="仿宋_GB2312"/>
          <w:color w:val="auto"/>
          <w:sz w:val="32"/>
          <w:szCs w:val="32"/>
          <w:lang w:val="en-US" w:eastAsia="zh-CN"/>
        </w:rPr>
        <w:t>中共阜康市委员会党校</w:t>
      </w:r>
      <w:r>
        <w:rPr>
          <w:rFonts w:hint="eastAsia" w:ascii="仿宋_GB2312" w:hAnsi="仿宋_GB2312" w:eastAsia="仿宋_GB2312" w:cs="仿宋_GB2312"/>
          <w:color w:val="auto"/>
          <w:sz w:val="32"/>
          <w:szCs w:val="32"/>
          <w:lang w:eastAsia="zh-CN"/>
        </w:rPr>
        <w:t>事业发展中关系民生与稳定的</w:t>
      </w:r>
      <w:r>
        <w:rPr>
          <w:rFonts w:hint="eastAsia" w:ascii="仿宋_GB2312" w:hAnsi="仿宋_GB2312" w:eastAsia="仿宋_GB2312" w:cs="仿宋_GB2312"/>
          <w:sz w:val="32"/>
          <w:szCs w:val="32"/>
          <w:lang w:eastAsia="zh-CN"/>
        </w:rPr>
        <w:t>项目，切实优化资源配置，提高了资金使用的效率和效果。</w:t>
      </w:r>
    </w:p>
    <w:bookmarkEnd w:id="147"/>
    <w:bookmarkEnd w:id="148"/>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9" w:name="_Toc29168"/>
      <w:r>
        <w:rPr>
          <w:rFonts w:hint="eastAsia" w:ascii="Times New Roman" w:hAnsi="Times New Roman" w:eastAsia="楷体_GB2312" w:cs="Times New Roman"/>
          <w:b/>
          <w:bCs/>
          <w:kern w:val="28"/>
          <w:sz w:val="32"/>
          <w:highlight w:val="none"/>
          <w:lang w:val="en-US" w:eastAsia="zh-CN"/>
        </w:rPr>
        <w:t>（二）存在的问题及原因分析</w:t>
      </w:r>
      <w:bookmarkEnd w:id="149"/>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1、资金拨付与项目进度的衔接不够紧密，部分资金提前拨付后闲置沉淀，而一些急需资金的环节却因审批流程繁琐而出现资金短缺，影响了项目的整体推进效率和资金使用效益。</w:t>
      </w:r>
    </w:p>
    <w:p>
      <w:pPr>
        <w:pageBreakBefore w:val="0"/>
        <w:kinsoku/>
        <w:wordWrap/>
        <w:overflowPunct/>
        <w:topLinePunct w:val="0"/>
        <w:autoSpaceDE/>
        <w:autoSpaceDN/>
        <w:bidi w:val="0"/>
        <w:spacing w:line="560" w:lineRule="exact"/>
        <w:textAlignment w:val="auto"/>
        <w:rPr>
          <w:rFonts w:hint="default"/>
          <w:lang w:val="en-US" w:eastAsia="zh-CN"/>
        </w:rPr>
      </w:pPr>
      <w:r>
        <w:rPr>
          <w:rFonts w:hint="eastAsia" w:ascii="仿宋_GB2312" w:hAnsi="仿宋_GB2312" w:eastAsia="仿宋_GB2312" w:cs="仿宋_GB2312"/>
          <w:b w:val="0"/>
          <w:kern w:val="2"/>
          <w:sz w:val="32"/>
          <w:szCs w:val="32"/>
          <w:lang w:val="en-US" w:eastAsia="zh-CN" w:bidi="ar-SA"/>
        </w:rPr>
        <w:t>2、在组织保障方面，党校搬迁改造项目涉及多个部门和环节，但在实际操作中，组织协调机制存在诸多不足。各部门之间职责划分不够清晰，导致项目推进过程中出现衔接不畅的情况。项目实施过程中的信息沟通渠道不够顺畅，相关信息传递不及时、不准确，进一步加剧了组织协调的难度，影响了项目整体的绩效管理水平。</w:t>
      </w:r>
    </w:p>
    <w:p>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50" w:name="_Toc3333"/>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50"/>
    </w:p>
    <w:p>
      <w:pPr>
        <w:pageBreakBefore w:val="0"/>
        <w:kinsoku/>
        <w:wordWrap/>
        <w:overflowPunct/>
        <w:topLinePunct w:val="0"/>
        <w:autoSpaceDE/>
        <w:autoSpaceDN/>
        <w:bidi w:val="0"/>
        <w:spacing w:line="560" w:lineRule="exact"/>
        <w:textAlignment w:val="auto"/>
        <w:outlineLvl w:val="1"/>
        <w:rPr>
          <w:rFonts w:hint="eastAsia" w:ascii="仿宋_GB2312" w:hAnsi="仿宋_GB2312" w:eastAsia="仿宋_GB2312" w:cs="仿宋_GB2312"/>
          <w:b w:val="0"/>
          <w:kern w:val="2"/>
          <w:sz w:val="32"/>
          <w:szCs w:val="32"/>
          <w:lang w:val="en-US" w:eastAsia="zh-CN" w:bidi="ar-SA"/>
        </w:rPr>
      </w:pPr>
      <w:bookmarkStart w:id="151" w:name="_Toc20454"/>
      <w:bookmarkStart w:id="152" w:name="_Toc3948"/>
      <w:r>
        <w:rPr>
          <w:rFonts w:hint="eastAsia" w:ascii="仿宋_GB2312" w:hAnsi="仿宋_GB2312" w:eastAsia="仿宋_GB2312" w:cs="仿宋_GB2312"/>
          <w:b w:val="0"/>
          <w:kern w:val="2"/>
          <w:sz w:val="32"/>
          <w:szCs w:val="32"/>
          <w:lang w:val="en-US" w:eastAsia="zh-CN" w:bidi="ar-SA"/>
        </w:rPr>
        <w:t>1、建立健全资金使用的动态监控体系，对每一笔资金的流向和用途进行实时跟踪和记录。严格执行财务审批制度，确保每一笔支出都有明确的依据和合理的解释。</w:t>
      </w:r>
      <w:bookmarkEnd w:id="151"/>
      <w:bookmarkEnd w:id="152"/>
      <w:r>
        <w:rPr>
          <w:rFonts w:hint="eastAsia" w:ascii="仿宋_GB2312" w:hAnsi="仿宋_GB2312" w:eastAsia="仿宋_GB2312" w:cs="仿宋_GB2312"/>
          <w:b w:val="0"/>
          <w:kern w:val="2"/>
          <w:sz w:val="32"/>
          <w:szCs w:val="32"/>
          <w:lang w:val="en-US" w:eastAsia="zh-CN" w:bidi="ar-SA"/>
        </w:rPr>
        <w:t>建立资金拨付与项目进度的联动机制，根据项目实际完成情况和资金需求，分阶段、按比例拨付资金。提高资金拨付效率，确保项目各环节的资金需求得到及时满足。</w:t>
      </w:r>
    </w:p>
    <w:p>
      <w:pPr>
        <w:pageBreakBefore w:val="0"/>
        <w:kinsoku/>
        <w:wordWrap/>
        <w:overflowPunct/>
        <w:topLinePunct w:val="0"/>
        <w:autoSpaceDE/>
        <w:autoSpaceDN/>
        <w:bidi w:val="0"/>
        <w:spacing w:line="560" w:lineRule="exact"/>
        <w:textAlignment w:val="auto"/>
        <w:outlineLvl w:val="1"/>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2、在项目实施初期，应通过详细的项目管理计划，明确各部门和各环节的职责和任务，避免职责不清导致的推诿现象。建立责任清单，将任务分解到具体岗位和个人，确保每个环节都有人负责、有人监督。同时，定期召开项目协调会议，及时解决跨部门协作中出现的问题，确保项目推进顺畅。定期发布项目进展情况报告，向各利益相关部门通报项目进展和存在的问题，及时调整项目实施策略，确保项目按计划推进。</w:t>
      </w:r>
    </w:p>
    <w:p>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53" w:name="_Toc14256"/>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53"/>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Borders>
            <w:top w:val="none" w:sz="0" w:space="0"/>
            <w:left w:val="none" w:sz="0" w:space="0"/>
            <w:bottom w:val="none" w:sz="0" w:space="0"/>
            <w:right w:val="none" w:sz="0" w:space="0"/>
          </w:pgBorders>
          <w:pgNumType w:fmt="decimal"/>
          <w:cols w:space="720" w:num="1"/>
          <w:docGrid w:type="lines" w:linePitch="408" w:charSpace="0"/>
        </w:sectPr>
      </w:pPr>
    </w:p>
    <w:p>
      <w:pPr>
        <w:pStyle w:val="2"/>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4" w:name="_Toc11349"/>
      <w:bookmarkStart w:id="155"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4"/>
      <w:bookmarkEnd w:id="155"/>
    </w:p>
    <w:tbl>
      <w:tblPr>
        <w:tblStyle w:val="16"/>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89"/>
        <w:gridCol w:w="890"/>
        <w:gridCol w:w="890"/>
        <w:gridCol w:w="890"/>
        <w:gridCol w:w="1135"/>
        <w:gridCol w:w="1217"/>
        <w:gridCol w:w="1135"/>
        <w:gridCol w:w="1298"/>
        <w:gridCol w:w="1135"/>
        <w:gridCol w:w="890"/>
        <w:gridCol w:w="890"/>
        <w:gridCol w:w="890"/>
        <w:gridCol w:w="890"/>
        <w:gridCol w:w="11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4174"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bookmarkStart w:id="156" w:name="_Toc15067"/>
            <w:bookmarkStart w:id="157" w:name="_Toc11223"/>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4174" w:type="dxa"/>
            <w:gridSpan w:val="14"/>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779"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395" w:type="dxa"/>
            <w:gridSpan w:val="1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党校搬迁改造项目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52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中共阜康市委员会党校</w:t>
            </w:r>
          </w:p>
        </w:tc>
        <w:tc>
          <w:tcPr>
            <w:tcW w:w="2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46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中共阜康市委员会党校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77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23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2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7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19.87</w:t>
            </w:r>
          </w:p>
        </w:tc>
        <w:tc>
          <w:tcPr>
            <w:tcW w:w="23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19.87</w:t>
            </w:r>
          </w:p>
        </w:tc>
        <w:tc>
          <w:tcPr>
            <w:tcW w:w="2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19.87</w:t>
            </w:r>
          </w:p>
        </w:tc>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7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19.87</w:t>
            </w:r>
          </w:p>
        </w:tc>
        <w:tc>
          <w:tcPr>
            <w:tcW w:w="23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19.87</w:t>
            </w:r>
          </w:p>
        </w:tc>
        <w:tc>
          <w:tcPr>
            <w:tcW w:w="2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19.87</w:t>
            </w:r>
          </w:p>
        </w:tc>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7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3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61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712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1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阜康市委员会党校的主要职能是为全市党员干部、公务员提供教育培训；培训和轮训乡科级干部；培训后备干部；为提高培训环境，2024年预计完成党校搬迁改造项目的工程设计、土地测绘、工程勘察、施工监理、工程竣工结算各1次，完成合格率≥95%，完成办公家具购置1批，货物验收合格率为100%，项目的实施预计达到有效提升教学培训硬件条件，确保教学活动有序开展，建好党的理论研究场地，大力提高科研质量。</w:t>
            </w:r>
          </w:p>
        </w:tc>
        <w:tc>
          <w:tcPr>
            <w:tcW w:w="712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党校搬迁改造项目的工程设计、土地测绘、工程勘察、施工监理、工程竣工结算各1次，完成合格率达到100%，完成1批办公家具购置，货物验收合格率达到100%，项目的实施有效提升教学培训硬件条件，确保教学活动有序开展，建好党的理论研究场地，大力提高科研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12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1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12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1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1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2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工程设计</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&gt;=1次</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土地测绘</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&gt;=1次</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工程勘察</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&gt;=1次</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施工监理</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&gt;=1项</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工程竣工结算</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&gt;=1次</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办公家具购置</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&gt;=1批</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=1批</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搬迁改造各项委托业务工作完成合格率</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105.26%</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7.58</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搬迁改造各项委托业务工作100%合格完成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货物验收合格率</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搬迁改造各项委托业务工作完成时间</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&lt;=2024年3月</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=2024年3月</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货物采购完成时间</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&lt;=2024年3月</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=2024年3月</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搬迁改造项目委托业务支出</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&lt;=9.87万元</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=9.87万元</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办公家具购置支出</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&lt;=10万元</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=10万元</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提升教学培训硬件条件，确保教学活动有序开展</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建好党的理论研究基地，大力提高科研质量</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559"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17" w:type="dxa"/>
            <w:tcBorders>
              <w:top w:val="single" w:color="000000" w:sz="4" w:space="0"/>
              <w:left w:val="nil"/>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99.58分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bl>
    <w:p>
      <w:pP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br w:type="page"/>
      </w:r>
    </w:p>
    <w:p>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6"/>
      <w:bookmarkEnd w:id="157"/>
    </w:p>
    <w:tbl>
      <w:tblPr>
        <w:tblStyle w:val="16"/>
        <w:tblW w:w="1360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1822"/>
        <w:gridCol w:w="2213"/>
        <w:gridCol w:w="6429"/>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0" w:hRule="atLeast"/>
          <w:jc w:val="center"/>
        </w:trPr>
        <w:tc>
          <w:tcPr>
            <w:tcW w:w="861"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64" w:hRule="atLeast"/>
          <w:jc w:val="center"/>
        </w:trPr>
        <w:tc>
          <w:tcPr>
            <w:tcW w:w="861" w:type="dxa"/>
            <w:vMerge w:val="continue"/>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891" w:hRule="atLeast"/>
          <w:jc w:val="center"/>
        </w:trPr>
        <w:tc>
          <w:tcPr>
            <w:tcW w:w="861" w:type="dxa"/>
            <w:vMerge w:val="continue"/>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816" w:hRule="atLeast"/>
          <w:jc w:val="center"/>
        </w:trPr>
        <w:tc>
          <w:tcPr>
            <w:tcW w:w="861"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86" w:hRule="atLeast"/>
          <w:jc w:val="center"/>
        </w:trPr>
        <w:tc>
          <w:tcPr>
            <w:tcW w:w="861" w:type="dxa"/>
            <w:vMerge w:val="continue"/>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80" w:hRule="atLeast"/>
          <w:jc w:val="center"/>
        </w:trPr>
        <w:tc>
          <w:tcPr>
            <w:tcW w:w="861"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64" w:hRule="atLeast"/>
          <w:jc w:val="center"/>
        </w:trPr>
        <w:tc>
          <w:tcPr>
            <w:tcW w:w="861"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工程设计</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08" w:hRule="atLeast"/>
          <w:jc w:val="center"/>
        </w:trPr>
        <w:tc>
          <w:tcPr>
            <w:tcW w:w="861"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土地测绘</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71" w:hRule="atLeast"/>
          <w:jc w:val="center"/>
        </w:trPr>
        <w:tc>
          <w:tcPr>
            <w:tcW w:w="861"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工程勘察</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4" w:hRule="atLeast"/>
          <w:jc w:val="center"/>
        </w:trPr>
        <w:tc>
          <w:tcPr>
            <w:tcW w:w="861"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施工监理</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20" w:hRule="atLeast"/>
          <w:jc w:val="center"/>
        </w:trPr>
        <w:tc>
          <w:tcPr>
            <w:tcW w:w="861"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工程竣工结算</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34" w:hRule="atLeast"/>
          <w:jc w:val="center"/>
        </w:trPr>
        <w:tc>
          <w:tcPr>
            <w:tcW w:w="861"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办公家具购置</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搬迁改造各项委托业务工作完成合格率</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货物验收合格率</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搬迁改造各项委托业务工作完成时间</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货物采购完成时间</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搬迁改造项目委托业务支出</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08" w:hRule="atLeast"/>
          <w:jc w:val="center"/>
        </w:trPr>
        <w:tc>
          <w:tcPr>
            <w:tcW w:w="86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办公家具购置支出</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5" w:hRule="atLeast"/>
          <w:jc w:val="center"/>
        </w:trPr>
        <w:tc>
          <w:tcPr>
            <w:tcW w:w="861"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提升教学培训硬件条件，确保教学活动有序开展</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项目实施所产生的效益。</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建好党的理论研究基地，大力提高科研质量</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项目实施所产生的效益。</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1822"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教职工及学员对党校改造的满意度</w:t>
            </w:r>
          </w:p>
        </w:tc>
        <w:tc>
          <w:tcPr>
            <w:tcW w:w="2213"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642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w:t>
            </w:r>
            <w:r>
              <w:rPr>
                <w:rFonts w:hint="eastAsia" w:ascii="宋体" w:hAnsi="宋体" w:eastAsia="宋体" w:cs="宋体"/>
                <w:color w:val="auto"/>
                <w:kern w:val="0"/>
                <w:sz w:val="20"/>
                <w:szCs w:val="20"/>
                <w:highlight w:val="none"/>
                <w:shd w:val="clear" w:color="auto" w:fill="auto"/>
                <w:lang w:val="en-US" w:eastAsia="zh-CN"/>
              </w:rPr>
              <w:t>受到</w:t>
            </w:r>
            <w:r>
              <w:rPr>
                <w:rFonts w:hint="eastAsia" w:ascii="宋体" w:hAnsi="宋体" w:eastAsia="宋体" w:cs="宋体"/>
                <w:color w:val="000000"/>
                <w:kern w:val="0"/>
                <w:sz w:val="22"/>
                <w:szCs w:val="22"/>
              </w:rPr>
              <w:t>影响的部门（单位）、群体或个人。一般采取社会调查的方式。</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5623" w:type="dxa"/>
            <w:gridSpan w:val="4"/>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642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w:t>
            </w:r>
            <w:r>
              <w:rPr>
                <w:rFonts w:hint="eastAsia" w:cs="宋体"/>
                <w:color w:val="auto"/>
                <w:kern w:val="0"/>
                <w:sz w:val="20"/>
                <w:szCs w:val="20"/>
                <w:highlight w:val="none"/>
                <w:shd w:val="clear" w:color="auto" w:fill="auto"/>
                <w:lang w:val="en-US" w:eastAsia="zh-CN"/>
              </w:rPr>
              <w:t>9</w:t>
            </w:r>
          </w:p>
        </w:tc>
      </w:tr>
    </w:tbl>
    <w:p>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Borders>
        <w:top w:val="none" w:sz="0" w:space="0"/>
        <w:left w:val="none" w:sz="0" w:space="0"/>
        <w:bottom w:val="none" w:sz="0" w:space="0"/>
        <w:right w:val="none" w:sz="0" w:space="0"/>
      </w:pgBorders>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0B2811"/>
    <w:rsid w:val="033B569D"/>
    <w:rsid w:val="039C3BA0"/>
    <w:rsid w:val="03A845BB"/>
    <w:rsid w:val="03B45AD1"/>
    <w:rsid w:val="04577D05"/>
    <w:rsid w:val="049A59D8"/>
    <w:rsid w:val="04A07881"/>
    <w:rsid w:val="04D12EE4"/>
    <w:rsid w:val="04D63993"/>
    <w:rsid w:val="04DB4549"/>
    <w:rsid w:val="04DB77CA"/>
    <w:rsid w:val="05BD5F77"/>
    <w:rsid w:val="076564B1"/>
    <w:rsid w:val="07890F4F"/>
    <w:rsid w:val="083D0B68"/>
    <w:rsid w:val="08892439"/>
    <w:rsid w:val="08EB30F3"/>
    <w:rsid w:val="09237408"/>
    <w:rsid w:val="09781BD6"/>
    <w:rsid w:val="09F359DF"/>
    <w:rsid w:val="0A575E65"/>
    <w:rsid w:val="0A72379C"/>
    <w:rsid w:val="0ACA0AB6"/>
    <w:rsid w:val="0B4C2E06"/>
    <w:rsid w:val="0C032502"/>
    <w:rsid w:val="0C27698C"/>
    <w:rsid w:val="0D1A0ACF"/>
    <w:rsid w:val="0D4452F3"/>
    <w:rsid w:val="0F5E5042"/>
    <w:rsid w:val="0FE95707"/>
    <w:rsid w:val="10510571"/>
    <w:rsid w:val="106A4FF5"/>
    <w:rsid w:val="10703940"/>
    <w:rsid w:val="10787A20"/>
    <w:rsid w:val="108672DE"/>
    <w:rsid w:val="10EC685A"/>
    <w:rsid w:val="11FA6155"/>
    <w:rsid w:val="12CF0947"/>
    <w:rsid w:val="12F1313F"/>
    <w:rsid w:val="136C678E"/>
    <w:rsid w:val="13753B13"/>
    <w:rsid w:val="13EB2FF5"/>
    <w:rsid w:val="14ED4CAC"/>
    <w:rsid w:val="15A46B04"/>
    <w:rsid w:val="165825BC"/>
    <w:rsid w:val="16BC5D73"/>
    <w:rsid w:val="16FE4BE3"/>
    <w:rsid w:val="176F36D7"/>
    <w:rsid w:val="1795226D"/>
    <w:rsid w:val="18456B1E"/>
    <w:rsid w:val="19157D18"/>
    <w:rsid w:val="1B2304CB"/>
    <w:rsid w:val="1BDD1351"/>
    <w:rsid w:val="1BF672D6"/>
    <w:rsid w:val="1C1171C5"/>
    <w:rsid w:val="1C453B2B"/>
    <w:rsid w:val="1CF52953"/>
    <w:rsid w:val="1D265138"/>
    <w:rsid w:val="1D7B6BCA"/>
    <w:rsid w:val="1DA41A79"/>
    <w:rsid w:val="1DF53469"/>
    <w:rsid w:val="1E2F24F2"/>
    <w:rsid w:val="1E58492F"/>
    <w:rsid w:val="1E5B6757"/>
    <w:rsid w:val="1ED10AC6"/>
    <w:rsid w:val="1F89225F"/>
    <w:rsid w:val="1F900A1F"/>
    <w:rsid w:val="1FC0575D"/>
    <w:rsid w:val="206132C7"/>
    <w:rsid w:val="21B00C1D"/>
    <w:rsid w:val="23031BEB"/>
    <w:rsid w:val="23917691"/>
    <w:rsid w:val="244D65B8"/>
    <w:rsid w:val="245E1E24"/>
    <w:rsid w:val="25AD5E5D"/>
    <w:rsid w:val="265374C3"/>
    <w:rsid w:val="2732478D"/>
    <w:rsid w:val="274146BF"/>
    <w:rsid w:val="27661469"/>
    <w:rsid w:val="27900EAD"/>
    <w:rsid w:val="279B538A"/>
    <w:rsid w:val="27EF6F5A"/>
    <w:rsid w:val="2853435A"/>
    <w:rsid w:val="28692869"/>
    <w:rsid w:val="286F545C"/>
    <w:rsid w:val="28A968F2"/>
    <w:rsid w:val="29314FBC"/>
    <w:rsid w:val="29784329"/>
    <w:rsid w:val="2AA2081A"/>
    <w:rsid w:val="2C024B86"/>
    <w:rsid w:val="2C927671"/>
    <w:rsid w:val="2CAB3E40"/>
    <w:rsid w:val="2CC6306F"/>
    <w:rsid w:val="2D7C5CD6"/>
    <w:rsid w:val="2E3B2B6D"/>
    <w:rsid w:val="2E483E7E"/>
    <w:rsid w:val="2E690493"/>
    <w:rsid w:val="2E9854BD"/>
    <w:rsid w:val="2F0D407F"/>
    <w:rsid w:val="2F454B19"/>
    <w:rsid w:val="301617F5"/>
    <w:rsid w:val="307A2F86"/>
    <w:rsid w:val="310224D9"/>
    <w:rsid w:val="31B4621C"/>
    <w:rsid w:val="31E3230A"/>
    <w:rsid w:val="32B55A55"/>
    <w:rsid w:val="330957E0"/>
    <w:rsid w:val="33356F64"/>
    <w:rsid w:val="33944516"/>
    <w:rsid w:val="34B62907"/>
    <w:rsid w:val="354A587E"/>
    <w:rsid w:val="36436E00"/>
    <w:rsid w:val="36BD137C"/>
    <w:rsid w:val="38053EDF"/>
    <w:rsid w:val="380812A4"/>
    <w:rsid w:val="385D37E7"/>
    <w:rsid w:val="38782EDD"/>
    <w:rsid w:val="3A8A6FC4"/>
    <w:rsid w:val="3B42664A"/>
    <w:rsid w:val="3BCB2252"/>
    <w:rsid w:val="3CAD1E92"/>
    <w:rsid w:val="3D836A4E"/>
    <w:rsid w:val="3D997F76"/>
    <w:rsid w:val="3E0C0098"/>
    <w:rsid w:val="3EA37E97"/>
    <w:rsid w:val="3FBE0BC5"/>
    <w:rsid w:val="4048103A"/>
    <w:rsid w:val="40736643"/>
    <w:rsid w:val="409B3F7C"/>
    <w:rsid w:val="40D24A7A"/>
    <w:rsid w:val="42621029"/>
    <w:rsid w:val="42D61B42"/>
    <w:rsid w:val="431C71E7"/>
    <w:rsid w:val="435241E2"/>
    <w:rsid w:val="43975C51"/>
    <w:rsid w:val="439E3FA7"/>
    <w:rsid w:val="4438147C"/>
    <w:rsid w:val="44B32266"/>
    <w:rsid w:val="44FC64F4"/>
    <w:rsid w:val="45EC02D7"/>
    <w:rsid w:val="467F4585"/>
    <w:rsid w:val="470628CB"/>
    <w:rsid w:val="4729480B"/>
    <w:rsid w:val="47555BD4"/>
    <w:rsid w:val="4788761D"/>
    <w:rsid w:val="47BC2DB1"/>
    <w:rsid w:val="47DB7AD9"/>
    <w:rsid w:val="47E96399"/>
    <w:rsid w:val="47F76025"/>
    <w:rsid w:val="486E33F5"/>
    <w:rsid w:val="48E12B50"/>
    <w:rsid w:val="499441BE"/>
    <w:rsid w:val="499A6C1C"/>
    <w:rsid w:val="4A1047A2"/>
    <w:rsid w:val="4A195607"/>
    <w:rsid w:val="4A2138F0"/>
    <w:rsid w:val="4A583887"/>
    <w:rsid w:val="4B9F6E02"/>
    <w:rsid w:val="4C254AB6"/>
    <w:rsid w:val="4C89637B"/>
    <w:rsid w:val="4D6462E6"/>
    <w:rsid w:val="4E6E48A8"/>
    <w:rsid w:val="4EEC036B"/>
    <w:rsid w:val="4F574A77"/>
    <w:rsid w:val="4F714FA1"/>
    <w:rsid w:val="501D2673"/>
    <w:rsid w:val="50C80BF1"/>
    <w:rsid w:val="5173282E"/>
    <w:rsid w:val="51852833"/>
    <w:rsid w:val="51A01F02"/>
    <w:rsid w:val="51DE1270"/>
    <w:rsid w:val="52F11AC8"/>
    <w:rsid w:val="534F49D9"/>
    <w:rsid w:val="53555F0F"/>
    <w:rsid w:val="535D23D5"/>
    <w:rsid w:val="563321A4"/>
    <w:rsid w:val="56F4341A"/>
    <w:rsid w:val="575A7321"/>
    <w:rsid w:val="580C3AB9"/>
    <w:rsid w:val="583C7AE0"/>
    <w:rsid w:val="583E0633"/>
    <w:rsid w:val="586C1E9A"/>
    <w:rsid w:val="586E0800"/>
    <w:rsid w:val="58F80273"/>
    <w:rsid w:val="59216F96"/>
    <w:rsid w:val="598C4145"/>
    <w:rsid w:val="59957D1B"/>
    <w:rsid w:val="599D2AB8"/>
    <w:rsid w:val="59C03B78"/>
    <w:rsid w:val="59D4294E"/>
    <w:rsid w:val="5A9A2972"/>
    <w:rsid w:val="5AEC017E"/>
    <w:rsid w:val="5AF06A16"/>
    <w:rsid w:val="5B634312"/>
    <w:rsid w:val="5B943C2E"/>
    <w:rsid w:val="5B9D2CCD"/>
    <w:rsid w:val="5B9E71EA"/>
    <w:rsid w:val="5CEC204C"/>
    <w:rsid w:val="5D2B2127"/>
    <w:rsid w:val="5E226FBC"/>
    <w:rsid w:val="5F547B02"/>
    <w:rsid w:val="5FE72BD2"/>
    <w:rsid w:val="60120613"/>
    <w:rsid w:val="60CD6EB6"/>
    <w:rsid w:val="61891BF9"/>
    <w:rsid w:val="618D5292"/>
    <w:rsid w:val="622E78FA"/>
    <w:rsid w:val="631133A4"/>
    <w:rsid w:val="63343F70"/>
    <w:rsid w:val="64296E1C"/>
    <w:rsid w:val="64386FCC"/>
    <w:rsid w:val="649E64A2"/>
    <w:rsid w:val="65E5270A"/>
    <w:rsid w:val="660C1021"/>
    <w:rsid w:val="663D3C54"/>
    <w:rsid w:val="667A6962"/>
    <w:rsid w:val="66862C89"/>
    <w:rsid w:val="66BB486D"/>
    <w:rsid w:val="66FC4002"/>
    <w:rsid w:val="67394C7D"/>
    <w:rsid w:val="67C2316A"/>
    <w:rsid w:val="68126B38"/>
    <w:rsid w:val="68291A1A"/>
    <w:rsid w:val="68352BB8"/>
    <w:rsid w:val="686E384F"/>
    <w:rsid w:val="691327EB"/>
    <w:rsid w:val="691B1594"/>
    <w:rsid w:val="693A016B"/>
    <w:rsid w:val="6A17429C"/>
    <w:rsid w:val="6A567EA3"/>
    <w:rsid w:val="6A9F2F00"/>
    <w:rsid w:val="6AD40738"/>
    <w:rsid w:val="6B4B4368"/>
    <w:rsid w:val="6B79100E"/>
    <w:rsid w:val="6C844C00"/>
    <w:rsid w:val="6CB34986"/>
    <w:rsid w:val="6CEF69FE"/>
    <w:rsid w:val="6E10212C"/>
    <w:rsid w:val="6E43561A"/>
    <w:rsid w:val="6E557973"/>
    <w:rsid w:val="6E9568DB"/>
    <w:rsid w:val="6F0D6C22"/>
    <w:rsid w:val="6F47657F"/>
    <w:rsid w:val="6FAF23D9"/>
    <w:rsid w:val="70635CF6"/>
    <w:rsid w:val="70670707"/>
    <w:rsid w:val="71035BA5"/>
    <w:rsid w:val="720E3691"/>
    <w:rsid w:val="7249173A"/>
    <w:rsid w:val="724E244C"/>
    <w:rsid w:val="72903AFE"/>
    <w:rsid w:val="72DA6946"/>
    <w:rsid w:val="732764B3"/>
    <w:rsid w:val="74026044"/>
    <w:rsid w:val="74325A77"/>
    <w:rsid w:val="74746410"/>
    <w:rsid w:val="74BA3E42"/>
    <w:rsid w:val="753326F4"/>
    <w:rsid w:val="75C8506C"/>
    <w:rsid w:val="75E5007C"/>
    <w:rsid w:val="77636B63"/>
    <w:rsid w:val="77813724"/>
    <w:rsid w:val="77861774"/>
    <w:rsid w:val="78F31435"/>
    <w:rsid w:val="792B68F4"/>
    <w:rsid w:val="79300B45"/>
    <w:rsid w:val="794212F9"/>
    <w:rsid w:val="794D3E18"/>
    <w:rsid w:val="79F3729A"/>
    <w:rsid w:val="7A880722"/>
    <w:rsid w:val="7ABE6120"/>
    <w:rsid w:val="7ACB0498"/>
    <w:rsid w:val="7AED0B4D"/>
    <w:rsid w:val="7C1E4487"/>
    <w:rsid w:val="7C215E02"/>
    <w:rsid w:val="7CEA4968"/>
    <w:rsid w:val="7CF23764"/>
    <w:rsid w:val="7D851A94"/>
    <w:rsid w:val="7E797F74"/>
    <w:rsid w:val="7EA24A04"/>
    <w:rsid w:val="7F01514B"/>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16552</Words>
  <Characters>17343</Characters>
  <Lines>0</Lines>
  <Paragraphs>0</Paragraphs>
  <TotalTime>1</TotalTime>
  <ScaleCrop>false</ScaleCrop>
  <LinksUpToDate>false</LinksUpToDate>
  <CharactersWithSpaces>17427</CharactersWithSpaces>
  <Application>WPS Office_11.8.2.12162_F1E327BC-269C-435d-A152-05C5408002CA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Administrator</cp:lastModifiedBy>
  <dcterms:modified xsi:type="dcterms:W3CDTF">2026-08-17T05:06:20Z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2052-11.8.2.12162</vt:lpwstr>
  </property>
  <property fmtid="{D5CDD505-2E9C-101B-9397-08002B2CF9AE}" pid="3" name="ICV">
    <vt:lpwstr>E65F8230F4C54355855D92DF573720E3_13</vt:lpwstr>
  </property>
  <property fmtid="{D5CDD505-2E9C-101B-9397-08002B2CF9AE}" pid="4" name="KSOTemplateDocerSaveRecord">
    <vt:lpwstr>eyJoZGlkIjoiNTY3MmI4ODZmMjljZWZhNGFkN2U2N2Y4ODgwYjM5ZGIiLCJ1c2VySWQiOiIzNjI1MzY3NzcifQ==</vt:lpwstr>
  </property>
</Properties>
</file>