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1C53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8F5EA0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97509D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2021-2022年度律师服务费项目</w:t>
      </w:r>
      <w:r>
        <w:rPr>
          <w:rFonts w:hint="eastAsia" w:ascii="宋体" w:hAnsi="宋体" w:eastAsia="宋体" w:cs="宋体"/>
          <w:b/>
          <w:bCs/>
          <w:color w:val="auto"/>
          <w:sz w:val="40"/>
          <w:szCs w:val="40"/>
          <w:highlight w:val="none"/>
          <w:shd w:val="clear" w:color="auto" w:fill="auto"/>
        </w:rPr>
        <w:t>支出绩效评价报告</w:t>
      </w:r>
      <w:bookmarkEnd w:id="0"/>
    </w:p>
    <w:p w14:paraId="6EE8DED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E2A55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9A0C3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AD38A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92249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73FDD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CF10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F6E99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D112B9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FD8B59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项目名称：2021-2022年度律师服务费</w:t>
      </w:r>
    </w:p>
    <w:p w14:paraId="295C480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实施单位：阜康市司法局</w:t>
      </w:r>
    </w:p>
    <w:p w14:paraId="5AFAC4A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olor w:val="auto"/>
          <w:highlight w:val="none"/>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主管部门：阜康市司法局</w:t>
      </w: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F99038F">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0F87C19">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093CCD9">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17CEF04">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A1AEDA2">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3230883F">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99D1AAC">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3EABD36">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69A2B95">
          <w:pPr>
            <w:pStyle w:val="2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0B24FDE">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1DF5881">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13C2990">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3328D487">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3AF7FCFE">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67E57F7C">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EF8B094">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5656B80">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46F3D0E">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7E566ED8">
          <w:pPr>
            <w:pStyle w:val="2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564EA7BC">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C2BC99C">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14673A6">
          <w:pPr>
            <w:pStyle w:val="2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C02E4D6">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headerReference r:id="rId5" w:type="default"/>
              <w:footerReference r:id="rId6" w:type="default"/>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F74114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阜康市司法局2021-2022年度律师服务费项目</w:t>
      </w:r>
      <w:r>
        <w:rPr>
          <w:rFonts w:hint="eastAsia" w:ascii="宋体" w:hAnsi="宋体" w:eastAsia="宋体" w:cs="宋体"/>
          <w:b/>
          <w:bCs/>
          <w:color w:val="auto"/>
          <w:sz w:val="36"/>
          <w:szCs w:val="36"/>
          <w:highlight w:val="none"/>
          <w:shd w:val="clear" w:color="auto" w:fill="auto"/>
        </w:rPr>
        <w:t>支出绩效评价报告</w:t>
      </w:r>
      <w:bookmarkEnd w:id="1"/>
    </w:p>
    <w:p w14:paraId="15FDC683">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EDBD01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E5C026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785A92FC">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rPr>
        <w:t>为深入推进市域内法治建设，充分发挥法律顾问在法治建设中的重要作用，经报请市委分管领导审批，主管领导同意，决定面向社会公开聘请法律顾问，</w:t>
      </w:r>
      <w:r>
        <w:rPr>
          <w:rFonts w:hint="eastAsia"/>
          <w:color w:val="auto"/>
          <w:highlight w:val="none"/>
          <w:lang w:eastAsia="zh-CN"/>
        </w:rPr>
        <w:t>最终</w:t>
      </w:r>
      <w:r>
        <w:rPr>
          <w:rFonts w:hint="eastAsia"/>
          <w:color w:val="auto"/>
          <w:highlight w:val="none"/>
        </w:rPr>
        <w:t>由我单位与新疆益一律师事务所签订政府法律顾问服务合同，按合同履行情况支付相应的报酬，由市财政局做好资金拨付工作，并加强监管。</w:t>
      </w:r>
    </w:p>
    <w:p w14:paraId="3AC44306">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12C6DEC">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Theme="minorEastAsia" w:hAnsiTheme="minorEastAsia" w:eastAsiaTheme="minorEastAsia" w:cstheme="minorEastAsia"/>
          <w:color w:val="auto"/>
          <w:highlight w:val="none"/>
          <w:shd w:val="clear" w:color="auto" w:fill="auto"/>
          <w:lang w:eastAsia="zh-CN"/>
        </w:rPr>
      </w:pPr>
      <w:bookmarkStart w:id="6" w:name="_Toc16592"/>
      <w:r>
        <w:rPr>
          <w:rFonts w:hint="eastAsia" w:asciiTheme="minorEastAsia" w:hAnsiTheme="minorEastAsia" w:eastAsiaTheme="minorEastAsia" w:cstheme="minorEastAsia"/>
          <w:color w:val="auto"/>
          <w:highlight w:val="none"/>
          <w:shd w:val="clear" w:color="auto" w:fill="auto"/>
          <w:lang w:val="en-US" w:eastAsia="zh-CN"/>
        </w:rPr>
        <w:t>主要内容：</w:t>
      </w:r>
      <w:bookmarkEnd w:id="6"/>
      <w:r>
        <w:rPr>
          <w:rFonts w:hint="eastAsia" w:asciiTheme="minorEastAsia" w:hAnsiTheme="minorEastAsia" w:eastAsiaTheme="minorEastAsia" w:cstheme="minorEastAsia"/>
          <w:color w:val="auto"/>
          <w:highlight w:val="none"/>
          <w:shd w:val="clear" w:color="auto" w:fill="auto"/>
          <w:lang w:val="en-US" w:eastAsia="zh-CN"/>
        </w:rPr>
        <w:t>法律顾问主要负则</w:t>
      </w:r>
      <w:r>
        <w:rPr>
          <w:rFonts w:hint="eastAsia" w:cs="宋体"/>
          <w:color w:val="auto"/>
          <w:highlight w:val="none"/>
          <w:shd w:val="clear" w:color="auto" w:fill="auto"/>
          <w:lang w:val="en-US" w:eastAsia="zh-CN"/>
        </w:rPr>
        <w:t>解答法律咨询，依法出具法律意见书；</w:t>
      </w:r>
      <w:r>
        <w:rPr>
          <w:rFonts w:hint="eastAsia" w:ascii="宋体" w:hAnsi="宋体" w:cs="宋体"/>
          <w:b w:val="0"/>
          <w:bCs w:val="0"/>
          <w:color w:val="auto"/>
          <w:kern w:val="2"/>
          <w:sz w:val="28"/>
          <w:szCs w:val="28"/>
          <w:highlight w:val="none"/>
          <w:shd w:val="clear" w:color="auto" w:fill="auto"/>
          <w:lang w:val="en-US" w:eastAsia="zh-CN" w:bidi="ar-SA"/>
        </w:rPr>
        <w:t>对合同及其他法律文书进行审查；</w:t>
      </w:r>
      <w:r>
        <w:rPr>
          <w:rFonts w:hint="eastAsia" w:cs="宋体"/>
          <w:b w:val="0"/>
          <w:bCs w:val="0"/>
          <w:color w:val="auto"/>
          <w:kern w:val="2"/>
          <w:sz w:val="28"/>
          <w:szCs w:val="28"/>
          <w:highlight w:val="none"/>
          <w:shd w:val="clear" w:color="auto" w:fill="auto"/>
          <w:lang w:val="en-US" w:eastAsia="zh-CN" w:bidi="ar-SA"/>
        </w:rPr>
        <w:t>代理甲方参加行政复议、诉讼案件；</w:t>
      </w:r>
      <w:r>
        <w:rPr>
          <w:rFonts w:hint="eastAsia" w:ascii="宋体" w:hAnsi="宋体" w:eastAsia="宋体" w:cs="宋体"/>
          <w:b w:val="0"/>
          <w:bCs w:val="0"/>
          <w:color w:val="auto"/>
          <w:kern w:val="2"/>
          <w:sz w:val="28"/>
          <w:szCs w:val="28"/>
          <w:highlight w:val="none"/>
          <w:shd w:val="clear" w:color="auto" w:fill="auto"/>
          <w:lang w:val="en-US" w:eastAsia="zh-CN" w:bidi="ar-SA"/>
        </w:rPr>
        <w:t>办理其他法律事</w:t>
      </w:r>
      <w:r>
        <w:rPr>
          <w:rFonts w:hint="eastAsia" w:cs="宋体"/>
          <w:b w:val="0"/>
          <w:bCs w:val="0"/>
          <w:color w:val="auto"/>
          <w:kern w:val="2"/>
          <w:sz w:val="28"/>
          <w:szCs w:val="28"/>
          <w:highlight w:val="none"/>
          <w:shd w:val="clear" w:color="auto" w:fill="auto"/>
          <w:lang w:val="en-US" w:eastAsia="zh-CN" w:bidi="ar-SA"/>
        </w:rPr>
        <w:t>务。</w:t>
      </w:r>
    </w:p>
    <w:p w14:paraId="785CA8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阜康市党委财经会</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阜康市司法局党组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袁书荣</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谢才成</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项目负责人为侯涛,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王丽媛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刘延茹</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侯涛</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刘延茹</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王丽媛</w:t>
      </w:r>
      <w:r>
        <w:rPr>
          <w:rFonts w:hint="eastAsia" w:ascii="宋体" w:hAnsi="宋体" w:eastAsia="宋体" w:cs="宋体"/>
          <w:color w:val="auto"/>
          <w:highlight w:val="none"/>
          <w:shd w:val="clear" w:color="auto" w:fill="auto"/>
          <w:lang w:val="en-US" w:eastAsia="zh-CN"/>
        </w:rPr>
        <w:t>负责资金拨付工作。</w:t>
      </w:r>
    </w:p>
    <w:p w14:paraId="4A756D4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截至2023年12月31日，购买法律服务1家，法律顾问参与处理行政复议、诉讼、调解等法律事务3起，为重大决策、重大行政行为提供法律意见13件，为加强法治政府建设，及时提供法律服务，降低风险，为市域经济实现稳健发展提供法律基石。</w:t>
      </w:r>
    </w:p>
    <w:p w14:paraId="1780E22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69476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0BA88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2021-2022年度律师服务费</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EFDCD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1CDFF31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2021-2022年度律师服务费</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支付法律顾问参与政府法律咨询业务提供的服务费等方面。</w:t>
      </w:r>
    </w:p>
    <w:p w14:paraId="37C7788D">
      <w:pPr>
        <w:pStyle w:val="3"/>
        <w:pageBreakBefore w:val="0"/>
        <w:widowControl w:val="0"/>
        <w:numPr>
          <w:ilvl w:val="0"/>
          <w:numId w:val="1"/>
        </w:numPr>
        <w:kinsoku/>
        <w:wordWrap/>
        <w:overflowPunct/>
        <w:topLinePunct w:val="0"/>
        <w:autoSpaceDE/>
        <w:autoSpaceDN/>
        <w:bidi w:val="0"/>
        <w:adjustRightInd/>
        <w:snapToGri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3D773B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00726D7">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2021-2022年度律师服务费</w:t>
      </w:r>
      <w:r>
        <w:rPr>
          <w:rFonts w:hint="eastAsia" w:cs="宋体"/>
          <w:color w:val="auto"/>
          <w:highlight w:val="none"/>
          <w:shd w:val="clear" w:color="auto" w:fill="auto"/>
          <w:lang w:val="en-US" w:eastAsia="zh-CN"/>
        </w:rPr>
        <w:t>项目绩效总体目标为：</w:t>
      </w:r>
    </w:p>
    <w:p w14:paraId="4EB57163">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职能：承担全面依法治市重大问题的政策研究，协调有关方面提出全面依法治市中长期规划建议，负责有关重大决策部署督察工作；承担统筹推进法治政府建设的责任；指导、监督全市行政复议和行政应诉工作，负责行政复议、行政应诉和行政赔偿案件办理工作。</w:t>
      </w:r>
    </w:p>
    <w:p w14:paraId="5E7CF89A">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目标一是：参与处理行政复议、诉讼、调解等法律事务、为重大决策、重大行政行为提供法律意见。</w:t>
      </w:r>
    </w:p>
    <w:p w14:paraId="07D55C89">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目标二是：充分发挥法律顾问在参与决策、办理诉讼案件中的作用，不断推进法治政府建设。</w:t>
      </w:r>
    </w:p>
    <w:p w14:paraId="6204C23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FF46F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4444B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1BE0F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7A15BB4">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“从律师事务所购买法律服务”</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1家</w:t>
      </w:r>
      <w:r>
        <w:rPr>
          <w:rFonts w:hint="eastAsia" w:ascii="宋体" w:hAnsi="宋体" w:eastAsia="宋体" w:cs="宋体"/>
          <w:color w:val="auto"/>
          <w:highlight w:val="none"/>
          <w:shd w:val="clear" w:color="auto" w:fill="auto"/>
          <w:lang w:val="en-US" w:eastAsia="zh-CN"/>
        </w:rPr>
        <w:t>；</w:t>
      </w:r>
    </w:p>
    <w:p w14:paraId="4263ED1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“参与处理行政复议、诉讼、调解等法律事务”指标，预期指标值为≧3件；</w:t>
      </w:r>
    </w:p>
    <w:p w14:paraId="0CA39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“为重大决策、重大行政行为提供法律意见”指标，预期指标值为≧13件；</w:t>
      </w:r>
    </w:p>
    <w:p w14:paraId="10D9AD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5725B8C">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法律咨询服务质量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D8C87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4A333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eastAsia="zh-CN"/>
        </w:rPr>
        <w:t>服务期限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为2021年7月31日-2022年7月31日；</w:t>
      </w:r>
    </w:p>
    <w:p w14:paraId="5C7020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A88D2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本项目不涉及成本指标；</w:t>
      </w:r>
    </w:p>
    <w:p w14:paraId="1D6C33F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DE62BE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1B24CEA">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0D12E82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D559B6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为政府及时提供法律服务，降低风险，推进建设法治政府建设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长期有效</w:t>
      </w:r>
      <w:r>
        <w:rPr>
          <w:rFonts w:hint="eastAsia" w:ascii="宋体" w:hAnsi="宋体" w:eastAsia="宋体" w:cs="宋体"/>
          <w:color w:val="auto"/>
          <w:highlight w:val="none"/>
          <w:shd w:val="clear" w:color="auto" w:fill="auto"/>
          <w:lang w:val="en-US" w:eastAsia="zh-CN"/>
        </w:rPr>
        <w:t>；</w:t>
      </w:r>
    </w:p>
    <w:p w14:paraId="7FF3BC8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6C2DFD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B95297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47C6415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r>
        <w:rPr>
          <w:rFonts w:hint="eastAsia" w:ascii="宋体" w:hAnsi="宋体" w:eastAsia="宋体" w:cs="宋体"/>
          <w:color w:val="auto"/>
          <w:highlight w:val="none"/>
          <w:shd w:val="clear" w:color="auto" w:fill="auto"/>
          <w:lang w:val="en-US" w:eastAsia="zh-CN"/>
        </w:rPr>
        <w:t>；</w:t>
      </w:r>
    </w:p>
    <w:p w14:paraId="1904A01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C3130E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案件服务对象满意度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p>
    <w:p w14:paraId="1BCA673F">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F6E8058">
      <w:pPr>
        <w:pStyle w:val="3"/>
        <w:pageBreakBefore w:val="0"/>
        <w:widowControl w:val="0"/>
        <w:numPr>
          <w:ilvl w:val="0"/>
          <w:numId w:val="2"/>
        </w:numPr>
        <w:kinsoku/>
        <w:wordWrap/>
        <w:overflowPunct/>
        <w:topLinePunct w:val="0"/>
        <w:autoSpaceDE/>
        <w:autoSpaceDN/>
        <w:bidi w:val="0"/>
        <w:adjustRightInd/>
        <w:snapToGri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12868"/>
      <w:bookmarkStart w:id="14" w:name="_Toc21664"/>
      <w:bookmarkStart w:id="15" w:name="_Toc5258"/>
      <w:bookmarkStart w:id="16" w:name="_Toc22169_WPSOffice_Level2"/>
      <w:bookmarkStart w:id="17" w:name="_Toc26632"/>
      <w:bookmarkStart w:id="18" w:name="_Toc2292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738B6C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43B5369E">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70CF44E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396D08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年度我单位实施的2021-2022年度律师服务费</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14:paraId="079F91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583183A">
      <w:pPr>
        <w:pStyle w:val="3"/>
        <w:pageBreakBefore w:val="0"/>
        <w:widowControl w:val="0"/>
        <w:numPr>
          <w:ilvl w:val="0"/>
          <w:numId w:val="2"/>
        </w:numPr>
        <w:kinsoku/>
        <w:wordWrap/>
        <w:overflowPunct/>
        <w:topLinePunct w:val="0"/>
        <w:autoSpaceDE/>
        <w:autoSpaceDN/>
        <w:bidi w:val="0"/>
        <w:adjustRightInd/>
        <w:snapToGri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F0A12F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753921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2021-2022年度律师服务费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47D63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A6A8D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6156C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F0EC0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4C2C6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947AB0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569D3E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BE5437A">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674B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760CB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E5ED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1CD48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8B01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D0B46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595C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4516F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43C95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E34AF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C5C60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64F26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37F5B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B76E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9FAAE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276C30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619F8B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4C51F3B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5F3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83D61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D9648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58A8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A3BF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FCBD6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CD825D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0DD7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ED72DF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DFFA6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FD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B2F257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ABEC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333841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BAC1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A8EBE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8B7F4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A337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4E1EF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318CB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94F0D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97217A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EB9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0100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72FF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5942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3F9E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547DC8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04770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C9299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214CC9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41FF7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768C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8795D2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3825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E093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2029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38401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41707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B8DEE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FEE5E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D26CB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F3948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636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43B3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821BA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A851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4B6A0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47EB6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CC941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54AF3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51533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C508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6D3342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2F02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70B6F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C90BE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6EA712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3B995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19B355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45F7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F2E503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BEBBD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ACE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B3367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E9F39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448E2D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5D3C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8FAE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C6A18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F895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15E58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C5AB9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440E2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BB1C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3FCF0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8339E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124B2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DDB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9A838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251B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2DE3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8112E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99B2E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D1634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498AB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5DEE9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723E4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197A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DA2D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2B46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43B3E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C7858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102B5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FA55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C1BE4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A099C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51A9F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17C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A290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48A80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1D4BC9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A5116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146F7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02975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DBCA3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6CE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722E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9915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0CA6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6284F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5679F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6C1AB1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576D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144055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F6A2A4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B6384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7AA41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EFC69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4F4AF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787CE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2C53C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B22D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6867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0D8E2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7B45A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73DE2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50806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DE5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2E57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179F9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6623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4C5AE3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114594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2DD9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23EBD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637E7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3A45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C7FE3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E9E47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CFC88DF">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D0F6E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与实施情况进行比较，以及采取公众问卷及抽样调查等方式进行评判的方法对2021-2022年度律师服务费项目进行评价。</w:t>
      </w:r>
    </w:p>
    <w:p w14:paraId="2692DD12">
      <w:pPr>
        <w:pStyle w:val="4"/>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16857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4841B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1D94EF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04DA9C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BEEE8DC">
      <w:pPr>
        <w:pStyle w:val="4"/>
        <w:pageBreakBefore w:val="0"/>
        <w:widowControl w:val="0"/>
        <w:kinsoku/>
        <w:wordWrap/>
        <w:overflowPunct/>
        <w:topLinePunct w:val="0"/>
        <w:autoSpaceDE/>
        <w:autoSpaceDN/>
        <w:bidi w:val="0"/>
        <w:adjustRightInd/>
        <w:snapToGrid/>
        <w:spacing w:line="360" w:lineRule="auto"/>
        <w:textAlignment w:val="auto"/>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753CFC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B10A3E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19180F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48A6BB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41754E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2021-2022年度律师服务费项目实施内容、目标信息、预算信息以及其他的一些项目基本信息，有了初步了解，为制定绩效评价工作方案做好准备。</w:t>
      </w:r>
      <w:bookmarkEnd w:id="35"/>
    </w:p>
    <w:p w14:paraId="54ACA01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8CD721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583DDF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71F847B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4FC0A3A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4B7C35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18CD80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9B80B2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4AA3FF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B14741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2E5F76B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104A50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44E06EC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20F4F0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084337E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AFC6D5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17ABCA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5AA515D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CE0B3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C15044C">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23A092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2021-2022年度律师服务费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EA6298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A89FC37">
            <w:pPr>
              <w:jc w:val="center"/>
              <w:rPr>
                <w:rFonts w:hint="eastAsia" w:ascii="宋体" w:hAnsi="宋体" w:eastAsia="宋体" w:cs="宋体"/>
                <w:color w:val="auto"/>
                <w:kern w:val="0"/>
                <w:sz w:val="24"/>
                <w:szCs w:val="24"/>
                <w:highlight w:val="none"/>
                <w:shd w:val="clear" w:color="auto" w:fill="auto"/>
              </w:rPr>
            </w:pPr>
            <w:r>
              <w:rPr>
                <w:rFonts w:hint="eastAsia"/>
                <w:b/>
                <w:bCs/>
                <w:color w:val="auto"/>
                <w:highlight w:val="none"/>
              </w:rPr>
              <w:t>表3-1：2021-2022年度律师服务费项目得分表</w:t>
            </w:r>
          </w:p>
        </w:tc>
      </w:tr>
      <w:tr w14:paraId="68DD5EF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34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1A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5A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A3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91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D37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BF4AFF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5A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75B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DE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E1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39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FA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BE3B6D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7E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70C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04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4A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E81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02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3204C0F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38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1A4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7D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50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D86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299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5A1F6876">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452C24A">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5A8E1A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F191A5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7A2D0B1">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C428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4A3C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D5C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EC7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521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0B1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AEC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BEFF4B4">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B1C1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187A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139E5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F2CC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46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A1A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0E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E2AFE5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C675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9D0F8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E6F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33B5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8383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128F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B568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DD8859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87A3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DD19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DDEA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212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C9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947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8B3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D29A65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8C4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3400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C17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7C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7C6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E128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7D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132271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26EFE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1D5CC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F8854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A6798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8E2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3B07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E13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6F6449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FB2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A051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D9A5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902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3BDB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AE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FEA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8947C88">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23C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627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CE9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29A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205A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D8730AA">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5CF4B00D">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①项目立项依据中共中央办公厅、国务院办公厅《关于推行法律顾问制度和公职律师制度的意见》，符合国家法律法规、国民经济发展规划和相关政策</w:t>
      </w:r>
      <w:r>
        <w:rPr>
          <w:rFonts w:hint="eastAsia"/>
          <w:color w:val="auto"/>
          <w:highlight w:val="none"/>
          <w:lang w:val="en-US" w:eastAsia="zh-CN"/>
        </w:rPr>
        <w:t>；</w:t>
      </w:r>
    </w:p>
    <w:p w14:paraId="392080F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color w:val="auto"/>
          <w:highlight w:val="none"/>
          <w:lang w:eastAsia="zh-CN"/>
        </w:rPr>
        <w:t>②项目立项依据中共中央办公厅、国务院办公厅《关于推行法律顾问制度和公职律师制度的意见》，符合行业发展规划和政策要求</w:t>
      </w:r>
      <w:r>
        <w:rPr>
          <w:rFonts w:hint="eastAsia"/>
          <w:color w:val="auto"/>
          <w:highlight w:val="none"/>
          <w:lang w:val="en-US" w:eastAsia="zh-CN"/>
        </w:rPr>
        <w:t>；</w:t>
      </w:r>
    </w:p>
    <w:p w14:paraId="456C967B">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color w:val="auto"/>
          <w:highlight w:val="none"/>
          <w:lang w:eastAsia="zh-CN"/>
        </w:rPr>
      </w:pPr>
      <w:r>
        <w:rPr>
          <w:rFonts w:hint="eastAsia"/>
          <w:color w:val="auto"/>
          <w:highlight w:val="none"/>
          <w:lang w:eastAsia="zh-CN"/>
        </w:rPr>
        <w:t>③项目立项在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asciiTheme="minorEastAsia" w:hAnsiTheme="minorEastAsia" w:eastAsiaTheme="minorEastAsia" w:cstheme="minorEastAsia"/>
          <w:color w:val="auto"/>
          <w:szCs w:val="30"/>
          <w:highlight w:val="none"/>
          <w:lang w:eastAsia="zh-CN"/>
        </w:rPr>
        <w:t>“负责</w:t>
      </w:r>
      <w:r>
        <w:rPr>
          <w:rFonts w:hint="eastAsia" w:asciiTheme="minorEastAsia" w:hAnsiTheme="minorEastAsia" w:eastAsiaTheme="minorEastAsia" w:cstheme="minorEastAsia"/>
          <w:color w:val="auto"/>
          <w:szCs w:val="30"/>
          <w:highlight w:val="none"/>
        </w:rPr>
        <w:t>指导、监督全市行政复议和行政应诉工作，负责行政复议、行政应诉和行政赔偿案件办理工作</w:t>
      </w:r>
      <w:r>
        <w:rPr>
          <w:rFonts w:hint="eastAsia" w:asciiTheme="minorEastAsia" w:hAnsiTheme="minorEastAsia" w:eastAsiaTheme="minorEastAsia" w:cstheme="minorEastAsia"/>
          <w:color w:val="auto"/>
          <w:szCs w:val="30"/>
          <w:highlight w:val="none"/>
          <w:lang w:eastAsia="zh-CN"/>
        </w:rPr>
        <w:t>”</w:t>
      </w:r>
      <w:r>
        <w:rPr>
          <w:rFonts w:hint="eastAsia" w:asciiTheme="minorEastAsia" w:hAnsiTheme="minorEastAsia" w:eastAsiaTheme="minorEastAsia" w:cstheme="minorEastAsia"/>
          <w:color w:val="auto"/>
          <w:szCs w:val="30"/>
          <w:highlight w:val="none"/>
        </w:rPr>
        <w:t>范围</w:t>
      </w:r>
      <w:r>
        <w:rPr>
          <w:rFonts w:hint="eastAsia" w:asciiTheme="minorEastAsia" w:hAnsiTheme="minorEastAsia" w:eastAsiaTheme="minorEastAsia" w:cstheme="minorEastAsia"/>
          <w:color w:val="auto"/>
          <w:szCs w:val="30"/>
          <w:highlight w:val="none"/>
          <w:lang w:eastAsia="zh-CN"/>
        </w:rPr>
        <w:t>内，</w:t>
      </w:r>
      <w:r>
        <w:rPr>
          <w:rFonts w:hint="eastAsia"/>
          <w:color w:val="auto"/>
          <w:highlight w:val="none"/>
          <w:lang w:eastAsia="zh-CN"/>
        </w:rPr>
        <w:t>属于部门履职所需</w:t>
      </w:r>
      <w:r>
        <w:rPr>
          <w:rFonts w:hint="eastAsia" w:asciiTheme="minorEastAsia" w:hAnsiTheme="minorEastAsia" w:eastAsiaTheme="minorEastAsia" w:cstheme="minorEastAsia"/>
          <w:color w:val="auto"/>
          <w:szCs w:val="30"/>
          <w:highlight w:val="none"/>
        </w:rPr>
        <w:t>；</w:t>
      </w:r>
    </w:p>
    <w:p w14:paraId="16DF03B3">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r>
        <w:rPr>
          <w:rFonts w:hint="eastAsia" w:asciiTheme="minorEastAsia" w:hAnsiTheme="minorEastAsia" w:eastAsiaTheme="minorEastAsia" w:cstheme="minorEastAsia"/>
          <w:color w:val="auto"/>
          <w:szCs w:val="30"/>
          <w:highlight w:val="none"/>
        </w:rPr>
        <w:t>；</w:t>
      </w:r>
    </w:p>
    <w:p w14:paraId="10B25907">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color w:val="auto"/>
          <w:highlight w:val="none"/>
          <w:lang w:eastAsia="zh-CN"/>
        </w:rPr>
      </w:pPr>
      <w:r>
        <w:rPr>
          <w:rFonts w:hint="eastAsia"/>
          <w:color w:val="auto"/>
          <w:highlight w:val="none"/>
          <w:lang w:eastAsia="zh-CN"/>
        </w:rPr>
        <w:t>⑤项目不存在重复情况。</w:t>
      </w:r>
    </w:p>
    <w:p w14:paraId="0D1C70C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b/>
          <w:bCs/>
          <w:color w:val="auto"/>
          <w:highlight w:val="none"/>
          <w:lang w:val="en-US" w:eastAsia="zh-CN"/>
        </w:rPr>
        <w:t>综上，该项指标满分2分，得分2分。</w:t>
      </w:r>
    </w:p>
    <w:p w14:paraId="447BA58A">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DD8A7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①项目经《阜康市党委财经会议审批表》</w:t>
      </w:r>
      <w:r>
        <w:rPr>
          <w:rFonts w:hint="eastAsia" w:ascii="宋体" w:hAnsi="宋体" w:eastAsia="宋体" w:cs="宋体"/>
          <w:color w:val="auto"/>
          <w:kern w:val="0"/>
          <w:szCs w:val="30"/>
          <w:highlight w:val="none"/>
          <w:lang w:eastAsia="zh-CN"/>
        </w:rPr>
        <w:t>领导审批，</w:t>
      </w:r>
      <w:r>
        <w:rPr>
          <w:rFonts w:hint="eastAsia" w:ascii="宋体" w:hAnsi="宋体" w:eastAsia="宋体" w:cs="宋体"/>
          <w:color w:val="auto"/>
          <w:kern w:val="0"/>
          <w:szCs w:val="30"/>
          <w:highlight w:val="none"/>
        </w:rPr>
        <w:t>立项资料齐全，立项程序规范；</w:t>
      </w:r>
    </w:p>
    <w:p w14:paraId="4889F7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②项目审批文件《阜康市党委财经会议审批表》符合相关要求；</w:t>
      </w:r>
    </w:p>
    <w:p w14:paraId="51F1DA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val="0"/>
          <w:color w:val="auto"/>
          <w:highlight w:val="none"/>
          <w:lang w:val="en-US" w:eastAsia="zh-CN"/>
        </w:rPr>
      </w:pPr>
      <w:r>
        <w:rPr>
          <w:rFonts w:hint="eastAsia"/>
          <w:b w:val="0"/>
          <w:bCs w:val="0"/>
          <w:color w:val="auto"/>
          <w:highlight w:val="none"/>
          <w:lang w:val="en-US" w:eastAsia="zh-CN"/>
        </w:rPr>
        <w:t>③项目事前未经过必要的可行性研究、专家论证、风险评估、绩效评估、集体决策，该项不得分。</w:t>
      </w:r>
    </w:p>
    <w:p w14:paraId="00157F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综上，该项指标满分3分，得分2分。</w:t>
      </w:r>
    </w:p>
    <w:p w14:paraId="7D6AFBA6">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9554A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①项目绩效目标为参与处理行政复议、诉讼、调解等法律事务、为重大决策、重大行政行为提供法律意见，充分发挥法律顾问在参与决策、办理诉讼案件中的作用，不断推进法治政府建设，已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76D6E0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②项目绩效目标为</w:t>
      </w:r>
      <w:r>
        <w:rPr>
          <w:rFonts w:hint="eastAsia" w:ascii="宋体" w:hAnsi="宋体" w:eastAsia="宋体" w:cs="宋体"/>
          <w:color w:val="auto"/>
          <w:highlight w:val="none"/>
          <w:shd w:val="clear" w:color="auto" w:fill="auto"/>
          <w:lang w:val="en-US" w:eastAsia="zh-CN"/>
        </w:rPr>
        <w:t>参与处理行政复议、诉讼、调解等法律事务，为重大决策、重大行政行为提供法律意见</w:t>
      </w:r>
      <w:r>
        <w:rPr>
          <w:rFonts w:hint="eastAsia"/>
          <w:color w:val="auto"/>
          <w:highlight w:val="none"/>
          <w:lang w:eastAsia="zh-CN"/>
        </w:rPr>
        <w:t>与实际工作内容具有相关性；</w:t>
      </w:r>
    </w:p>
    <w:p w14:paraId="659CAA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③项目预期为政府及时提供法律服务，降低风险，推进建设法治政府建设，符合正常的业绩水平；</w:t>
      </w:r>
    </w:p>
    <w:p w14:paraId="3F6DB8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10万元，资金</w:t>
      </w:r>
      <w:bookmarkStart w:id="88" w:name="_GoBack"/>
      <w:r>
        <w:rPr>
          <w:rFonts w:hint="eastAsia"/>
          <w:color w:val="auto"/>
          <w:highlight w:val="none"/>
          <w:lang w:val="en-US" w:eastAsia="zh-CN"/>
        </w:rPr>
        <w:t>执行数</w:t>
      </w:r>
      <w:bookmarkEnd w:id="88"/>
      <w:r>
        <w:rPr>
          <w:rFonts w:hint="eastAsia"/>
          <w:color w:val="auto"/>
          <w:highlight w:val="none"/>
          <w:lang w:val="en-US" w:eastAsia="zh-CN"/>
        </w:rPr>
        <w:t>为10万元，</w:t>
      </w:r>
      <w:r>
        <w:rPr>
          <w:rFonts w:hint="eastAsia"/>
          <w:color w:val="auto"/>
          <w:highlight w:val="none"/>
          <w:lang w:eastAsia="zh-CN"/>
        </w:rPr>
        <w:t>资金量相匹配。</w:t>
      </w:r>
    </w:p>
    <w:p w14:paraId="6CDE5A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78DDAFE4">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AEF61ED">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15</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7</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1F2073AC">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6</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1个</w:t>
      </w:r>
      <w:r>
        <w:rPr>
          <w:rFonts w:hint="eastAsia"/>
          <w:color w:val="auto"/>
          <w:highlight w:val="none"/>
          <w:lang w:eastAsia="zh-CN"/>
        </w:rPr>
        <w:t>；</w:t>
      </w:r>
    </w:p>
    <w:p w14:paraId="3A073EF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③与项目目标任务数或计划数相对应。</w:t>
      </w:r>
    </w:p>
    <w:p w14:paraId="6C01C81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19343577">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773AE0E5">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2021-2022年度律师服务费项目</w:t>
      </w:r>
      <w:r>
        <w:rPr>
          <w:rFonts w:hint="eastAsia"/>
          <w:color w:val="auto"/>
          <w:highlight w:val="none"/>
          <w:lang w:eastAsia="zh-CN"/>
        </w:rPr>
        <w:t>经过科学论证；</w:t>
      </w:r>
    </w:p>
    <w:p w14:paraId="3AED53AD">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②预算内容与参与处理行政复议、诉讼、调解等法律事务、为重大决策、重大行政行为提供法律意见，充分发挥法律顾问在参与决策、办理诉讼案件中的作用，不断推进法治政府建设内容相匹配；</w:t>
      </w:r>
    </w:p>
    <w:p w14:paraId="54464B7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10万元，</w:t>
      </w:r>
      <w:r>
        <w:rPr>
          <w:rFonts w:hint="eastAsia"/>
          <w:color w:val="auto"/>
          <w:highlight w:val="none"/>
          <w:lang w:eastAsia="zh-CN"/>
        </w:rPr>
        <w:t>依据《法律服务合同》，符合市场标准；</w:t>
      </w:r>
    </w:p>
    <w:p w14:paraId="5314CBE5">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④预算确定的项目投资额或资金量与工作任务相匹配。</w:t>
      </w:r>
    </w:p>
    <w:p w14:paraId="622115A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综上，该项指标满分2分，得分2分。</w:t>
      </w:r>
    </w:p>
    <w:p w14:paraId="61177C45">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5D5100A">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①预算资金分配依据《法律服务合同》实施；</w:t>
      </w:r>
    </w:p>
    <w:p w14:paraId="58F2EDFC">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②资金分配依据《法律服务合同》，额度合理，与项目单位或地方实际相适应。</w:t>
      </w:r>
    </w:p>
    <w:p w14:paraId="44C91977">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综上，该项指标满分3分，得分3分。</w:t>
      </w:r>
    </w:p>
    <w:p w14:paraId="5E076AF3">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158EA69D">
      <w:pPr>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F1BC81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3BDC2C7E">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C69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AB1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172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1AE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DF90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C69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53D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996186A">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9E9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F40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28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C450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CC1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D6A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C74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34104D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69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0F37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8EDB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13AE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ABDE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D8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A847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1CC087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5846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D38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FC53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D15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B9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51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6B03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DEACD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7F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F5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2DB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D07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AAF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C255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A8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B74352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DC9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D54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709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998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E322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09AE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EDE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992D6AD">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172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979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8EB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087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58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7160095">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487347F">
      <w:pPr>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w:t>
      </w:r>
      <w:r>
        <w:rPr>
          <w:rFonts w:hint="eastAsia"/>
          <w:color w:val="auto"/>
          <w:highlight w:val="none"/>
          <w:lang w:val="en-US" w:eastAsia="zh-CN"/>
        </w:rPr>
        <w:t>0%=100%</w:t>
      </w:r>
    </w:p>
    <w:p w14:paraId="45F7F754">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综上，该项指标满分4分，得分4分。</w:t>
      </w:r>
    </w:p>
    <w:p w14:paraId="1895F08D">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54A202A">
      <w:pPr>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val="en-US" w:eastAsia="zh-CN"/>
        </w:rPr>
        <w:t>100%</w:t>
      </w:r>
    </w:p>
    <w:p w14:paraId="0DCA865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综上，该项指标满分4分，得分4分。</w:t>
      </w:r>
    </w:p>
    <w:p w14:paraId="39BAF24A">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5A23184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①符合《阜康市司法局财务管理制度》、《阜康市司法局合同管理制度》及有关专项资金管理办法的规定；</w:t>
      </w:r>
    </w:p>
    <w:p w14:paraId="63F9464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②资金的拨付有《阜康市党委财经会议审批表》，审批程序和手续齐全；</w:t>
      </w:r>
    </w:p>
    <w:p w14:paraId="72B6F5A8">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③符合项目《法律服务合同》规定的用途；</w:t>
      </w:r>
    </w:p>
    <w:p w14:paraId="31F6C0EA">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EF1418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综上，该项指标满分4分，得分4分。</w:t>
      </w:r>
    </w:p>
    <w:p w14:paraId="615A9E2B">
      <w:pPr>
        <w:pageBreakBefore w:val="0"/>
        <w:widowControl w:val="0"/>
        <w:kinsoku/>
        <w:wordWrap/>
        <w:overflowPunct/>
        <w:topLinePunct w:val="0"/>
        <w:autoSpaceDE/>
        <w:autoSpaceDN/>
        <w:bidi w:val="0"/>
        <w:adjustRightInd/>
        <w:snapToGrid/>
        <w:spacing w:line="360" w:lineRule="auto"/>
        <w:textAlignment w:val="auto"/>
        <w:outlineLvl w:val="2"/>
        <w:rPr>
          <w:rFonts w:hint="eastAsia"/>
          <w:b/>
          <w:bCs/>
          <w:color w:val="auto"/>
          <w:highlight w:val="none"/>
          <w:lang w:val="en-US" w:eastAsia="zh-CN"/>
        </w:rPr>
      </w:pPr>
      <w:r>
        <w:rPr>
          <w:rFonts w:hint="eastAsia"/>
          <w:b/>
          <w:bCs/>
          <w:color w:val="auto"/>
          <w:highlight w:val="none"/>
          <w:lang w:val="en-US" w:eastAsia="zh-CN"/>
        </w:rPr>
        <w:t>4.管理制度健全性</w:t>
      </w:r>
    </w:p>
    <w:p w14:paraId="7077D6E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lang w:eastAsia="zh-CN"/>
        </w:rPr>
      </w:pPr>
      <w:r>
        <w:rPr>
          <w:rFonts w:hint="eastAsia"/>
          <w:color w:val="auto"/>
          <w:highlight w:val="none"/>
          <w:lang w:eastAsia="zh-CN"/>
        </w:rPr>
        <w:t>①已制定或具有相应的财务和业务管理制度，</w:t>
      </w:r>
      <w:r>
        <w:rPr>
          <w:rFonts w:hint="eastAsia" w:ascii="宋体" w:hAnsi="宋体" w:eastAsia="宋体" w:cs="宋体"/>
          <w:color w:val="auto"/>
          <w:highlight w:val="none"/>
          <w:lang w:eastAsia="zh-CN"/>
        </w:rPr>
        <w:t>如《阜康市司法局财务管理制度》、《</w:t>
      </w:r>
      <w:r>
        <w:rPr>
          <w:rFonts w:hint="eastAsia" w:cs="宋体"/>
          <w:color w:val="auto"/>
          <w:highlight w:val="none"/>
          <w:lang w:eastAsia="zh-CN"/>
        </w:rPr>
        <w:t>阜康市司法局</w:t>
      </w:r>
      <w:r>
        <w:rPr>
          <w:rFonts w:hint="eastAsia" w:ascii="宋体" w:hAnsi="宋体" w:eastAsia="宋体" w:cs="宋体"/>
          <w:color w:val="auto"/>
          <w:highlight w:val="none"/>
          <w:lang w:eastAsia="zh-CN"/>
        </w:rPr>
        <w:t>合同管理制度》</w:t>
      </w:r>
      <w:r>
        <w:rPr>
          <w:rFonts w:hint="eastAsia"/>
          <w:color w:val="auto"/>
          <w:highlight w:val="none"/>
          <w:lang w:eastAsia="zh-CN"/>
        </w:rPr>
        <w:t>；</w:t>
      </w:r>
    </w:p>
    <w:p w14:paraId="1886DD34">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②财务和业务管理制度合法、合规、完整。</w:t>
      </w:r>
    </w:p>
    <w:p w14:paraId="30824780">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综上，该项指标满分4分，得分4分。</w:t>
      </w:r>
    </w:p>
    <w:p w14:paraId="1F23243B">
      <w:pPr>
        <w:pageBreakBefore w:val="0"/>
        <w:widowControl w:val="0"/>
        <w:kinsoku/>
        <w:wordWrap/>
        <w:overflowPunct/>
        <w:topLinePunct w:val="0"/>
        <w:autoSpaceDE/>
        <w:autoSpaceDN/>
        <w:bidi w:val="0"/>
        <w:adjustRightInd/>
        <w:snapToGrid/>
        <w:spacing w:line="360" w:lineRule="auto"/>
        <w:ind w:left="1403" w:leftChars="200" w:hanging="843" w:hangingChars="300"/>
        <w:textAlignment w:val="auto"/>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1064D1B8">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①项目遵守《中华人民共和国律师法》等相关法律法规和相关管理制度规定；</w:t>
      </w:r>
    </w:p>
    <w:p w14:paraId="6B133BC7">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lang w:eastAsia="zh-CN"/>
        </w:rPr>
        <w:t>②项目未调整；</w:t>
      </w:r>
    </w:p>
    <w:p w14:paraId="4FC732F1">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③项目《法律服务合同》、《工作完成清单》等资料齐全并及时归档，该项得</w:t>
      </w:r>
      <w:r>
        <w:rPr>
          <w:rFonts w:hint="eastAsia"/>
          <w:color w:val="auto"/>
          <w:highlight w:val="none"/>
          <w:lang w:val="en-US" w:eastAsia="zh-CN"/>
        </w:rPr>
        <w:t>1分</w:t>
      </w:r>
      <w:r>
        <w:rPr>
          <w:rFonts w:hint="eastAsia"/>
          <w:color w:val="auto"/>
          <w:highlight w:val="none"/>
          <w:lang w:eastAsia="zh-CN"/>
        </w:rPr>
        <w:t>；</w:t>
      </w:r>
    </w:p>
    <w:p w14:paraId="3FBB30E5">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62E4C844">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综上，该项指标满分4分，得分4分。</w:t>
      </w:r>
    </w:p>
    <w:p w14:paraId="249DB9C3">
      <w:pPr>
        <w:pStyle w:val="3"/>
        <w:pageBreakBefore w:val="0"/>
        <w:widowControl w:val="0"/>
        <w:numPr>
          <w:ilvl w:val="0"/>
          <w:numId w:val="0"/>
        </w:numPr>
        <w:kinsoku/>
        <w:wordWrap/>
        <w:overflowPunct/>
        <w:topLinePunct w:val="0"/>
        <w:autoSpaceDE/>
        <w:autoSpaceDN/>
        <w:bidi w:val="0"/>
        <w:adjustRightInd/>
        <w:snapToGri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7C57220">
      <w:pPr>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9DA6C7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4" w:type="dxa"/>
        <w:tblInd w:w="0" w:type="dxa"/>
        <w:shd w:val="clear" w:color="auto" w:fill="auto"/>
        <w:tblLayout w:type="fixed"/>
        <w:tblCellMar>
          <w:top w:w="0" w:type="dxa"/>
          <w:left w:w="0" w:type="dxa"/>
          <w:bottom w:w="0" w:type="dxa"/>
          <w:right w:w="0" w:type="dxa"/>
        </w:tblCellMar>
      </w:tblPr>
      <w:tblGrid>
        <w:gridCol w:w="634"/>
        <w:gridCol w:w="928"/>
        <w:gridCol w:w="2279"/>
        <w:gridCol w:w="1802"/>
        <w:gridCol w:w="558"/>
        <w:gridCol w:w="1560"/>
        <w:gridCol w:w="613"/>
      </w:tblGrid>
      <w:tr w14:paraId="511F629B">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55F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D8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39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D3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66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8B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53C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65DC1A5B">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3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499B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0BFA">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从律师事务所购买法律服务</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476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D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3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1家</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CD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3D71A12">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59A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6CC6B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A7E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参与处理行政复议、诉讼、调解等法律事务</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F3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CAB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39F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3件</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0C8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811E1C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EDB02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F7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539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为重大决策、重大行政行为提供法律意见</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892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≧13件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19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EA8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13件</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C77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DAB583C">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41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DBB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9E71">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法律咨询服务质量</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F4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C8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508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85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A1FA7F7">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FB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36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A7DC">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服务期限</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33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2021年7月31日-2022年7月31日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8B7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F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2022年7月31日</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53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925F5E5">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D0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1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F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全年法律顾问经费支出</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A8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A0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107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10万元</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49E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5E823C5">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A5E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C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43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4A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4C873B7">
      <w:pPr>
        <w:pageBreakBefore w:val="0"/>
        <w:widowControl w:val="0"/>
        <w:kinsoku/>
        <w:wordWrap/>
        <w:overflowPunct/>
        <w:topLinePunct w:val="0"/>
        <w:autoSpaceDE/>
        <w:autoSpaceDN/>
        <w:bidi w:val="0"/>
        <w:adjustRightInd/>
        <w:snapToGrid/>
        <w:spacing w:line="360" w:lineRule="auto"/>
        <w:textAlignment w:val="auto"/>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074E0D1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lang w:eastAsia="zh-CN"/>
        </w:rPr>
        <w:t>“从律师事务所购买法律服务”</w:t>
      </w:r>
      <w:r>
        <w:rPr>
          <w:rFonts w:hint="eastAsia"/>
          <w:color w:val="auto"/>
          <w:highlight w:val="none"/>
          <w:lang w:val="en-US" w:eastAsia="zh-CN"/>
        </w:rPr>
        <w:t>指标，预期目标值为1家，实际完成为1家。实际完成率=（1家/1家）×100%=100%；</w:t>
      </w:r>
    </w:p>
    <w:p w14:paraId="2BCAC06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77183DFC">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color w:val="auto"/>
          <w:highlight w:val="none"/>
          <w:lang w:val="en-US" w:eastAsia="zh-CN"/>
        </w:rPr>
      </w:pPr>
      <w:r>
        <w:rPr>
          <w:rFonts w:hint="eastAsia"/>
          <w:color w:val="auto"/>
          <w:highlight w:val="none"/>
          <w:lang w:eastAsia="zh-CN"/>
        </w:rPr>
        <w:t>“参与处理行政复议、诉讼、调解等法律事务”</w:t>
      </w:r>
      <w:r>
        <w:rPr>
          <w:rFonts w:hint="eastAsia"/>
          <w:color w:val="auto"/>
          <w:highlight w:val="none"/>
          <w:lang w:val="en-US" w:eastAsia="zh-CN"/>
        </w:rPr>
        <w:t>指标，预期指标值为3件，实际完成为3件，实际完成率100%；</w:t>
      </w:r>
    </w:p>
    <w:p w14:paraId="159EC253">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3E0C4655">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color w:val="auto"/>
          <w:highlight w:val="none"/>
          <w:lang w:val="en-US" w:eastAsia="zh-CN"/>
        </w:rPr>
      </w:pPr>
      <w:r>
        <w:rPr>
          <w:rFonts w:hint="eastAsia"/>
          <w:color w:val="auto"/>
          <w:highlight w:val="none"/>
          <w:lang w:eastAsia="zh-CN"/>
        </w:rPr>
        <w:t>“为重大决策、重大行政行为提供法律意见”</w:t>
      </w:r>
      <w:r>
        <w:rPr>
          <w:rFonts w:hint="eastAsia"/>
          <w:color w:val="auto"/>
          <w:highlight w:val="none"/>
          <w:lang w:val="en-US" w:eastAsia="zh-CN"/>
        </w:rPr>
        <w:t>指标，预期指标值为13件，实际完成为13件，实际完成率100%；</w:t>
      </w:r>
    </w:p>
    <w:p w14:paraId="4773D39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7D6AF5AD">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7DE877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lang w:eastAsia="zh-CN"/>
        </w:rPr>
        <w:t>“法律咨询服务质量”</w:t>
      </w:r>
      <w:r>
        <w:rPr>
          <w:rFonts w:hint="eastAsia"/>
          <w:color w:val="auto"/>
          <w:highlight w:val="none"/>
          <w:lang w:val="en-US" w:eastAsia="zh-CN"/>
        </w:rPr>
        <w:t>指标，预期指标值为100%，实际完成为100%，实际完成率100%；</w:t>
      </w:r>
    </w:p>
    <w:p w14:paraId="358F9030">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15CDD80C">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A7C673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服务期限</w:t>
      </w:r>
      <w:r>
        <w:rPr>
          <w:rFonts w:hint="eastAsia"/>
          <w:color w:val="auto"/>
          <w:highlight w:val="none"/>
          <w:lang w:eastAsia="zh-CN"/>
        </w:rPr>
        <w:t>”</w:t>
      </w:r>
      <w:r>
        <w:rPr>
          <w:rFonts w:hint="eastAsia"/>
          <w:color w:val="auto"/>
          <w:highlight w:val="none"/>
          <w:lang w:val="en-US" w:eastAsia="zh-CN"/>
        </w:rPr>
        <w:t>指标，预期目标值为2021年7月31日-2022年7月31日，实际完成为2022年7月31日，实际完成率100%；</w:t>
      </w:r>
    </w:p>
    <w:p w14:paraId="4EE7678A">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50842EFD">
      <w:pPr>
        <w:pageBreakBefore w:val="0"/>
        <w:widowControl w:val="0"/>
        <w:kinsoku/>
        <w:wordWrap/>
        <w:overflowPunct/>
        <w:topLinePunct w:val="0"/>
        <w:autoSpaceDE/>
        <w:autoSpaceDN/>
        <w:bidi w:val="0"/>
        <w:adjustRightInd/>
        <w:snapToGrid/>
        <w:spacing w:line="360" w:lineRule="auto"/>
        <w:textAlignment w:val="auto"/>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C907E2E">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color w:val="auto"/>
          <w:highlight w:val="none"/>
          <w:lang w:val="en-US" w:eastAsia="zh-CN"/>
        </w:rPr>
      </w:pPr>
      <w:bookmarkStart w:id="74" w:name="_Toc18446"/>
      <w:r>
        <w:rPr>
          <w:rFonts w:hint="eastAsia"/>
          <w:color w:val="auto"/>
          <w:highlight w:val="none"/>
          <w:lang w:eastAsia="zh-CN"/>
        </w:rPr>
        <w:t>“全年法律顾问经费支出”</w:t>
      </w:r>
      <w:r>
        <w:rPr>
          <w:rFonts w:hint="eastAsia"/>
          <w:color w:val="auto"/>
          <w:highlight w:val="none"/>
          <w:lang w:val="en-US" w:eastAsia="zh-CN"/>
        </w:rPr>
        <w:t>指标，预期指标值为10万元，实际完成为10万元。实际完成率=（10万元/10万元）×100%=100%；</w:t>
      </w:r>
    </w:p>
    <w:p w14:paraId="589FBAAA">
      <w:pPr>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color w:val="auto"/>
          <w:highlight w:val="none"/>
          <w:lang w:val="en-US" w:eastAsia="zh-CN"/>
        </w:rPr>
      </w:pPr>
      <w:r>
        <w:rPr>
          <w:rFonts w:hint="eastAsia"/>
          <w:b/>
          <w:bCs/>
          <w:color w:val="auto"/>
          <w:highlight w:val="none"/>
          <w:lang w:val="en-US" w:eastAsia="zh-CN"/>
        </w:rPr>
        <w:t>综上，该项指标满分5分，得分5分。</w:t>
      </w:r>
    </w:p>
    <w:p w14:paraId="2B1B2511">
      <w:pPr>
        <w:pStyle w:val="3"/>
        <w:pageBreakBefore w:val="0"/>
        <w:widowControl w:val="0"/>
        <w:numPr>
          <w:ilvl w:val="0"/>
          <w:numId w:val="0"/>
        </w:numPr>
        <w:kinsoku/>
        <w:wordWrap/>
        <w:overflowPunct/>
        <w:topLinePunct w:val="0"/>
        <w:autoSpaceDE/>
        <w:autoSpaceDN/>
        <w:bidi w:val="0"/>
        <w:adjustRightInd/>
        <w:snapToGri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7758E770">
      <w:pPr>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0F4265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9EE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6" w:hRule="atLeast"/>
          <w:jc w:val="center"/>
        </w:trPr>
        <w:tc>
          <w:tcPr>
            <w:tcW w:w="685" w:type="dxa"/>
            <w:shd w:val="clear" w:color="auto" w:fill="auto"/>
            <w:tcMar>
              <w:top w:w="15" w:type="dxa"/>
              <w:left w:w="15" w:type="dxa"/>
              <w:right w:w="15" w:type="dxa"/>
            </w:tcMar>
            <w:vAlign w:val="center"/>
          </w:tcPr>
          <w:p w14:paraId="1C548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EC0B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shd w:val="clear" w:color="auto" w:fill="auto"/>
            <w:tcMar>
              <w:top w:w="15" w:type="dxa"/>
              <w:left w:w="15" w:type="dxa"/>
              <w:right w:w="15" w:type="dxa"/>
            </w:tcMar>
            <w:vAlign w:val="center"/>
          </w:tcPr>
          <w:p w14:paraId="0FCA1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shd w:val="clear" w:color="auto" w:fill="auto"/>
            <w:tcMar>
              <w:top w:w="15" w:type="dxa"/>
              <w:left w:w="15" w:type="dxa"/>
              <w:right w:w="15" w:type="dxa"/>
            </w:tcMar>
            <w:vAlign w:val="center"/>
          </w:tcPr>
          <w:p w14:paraId="04CF2F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shd w:val="clear" w:color="auto" w:fill="auto"/>
            <w:tcMar>
              <w:top w:w="15" w:type="dxa"/>
              <w:left w:w="15" w:type="dxa"/>
              <w:right w:w="15" w:type="dxa"/>
            </w:tcMar>
            <w:vAlign w:val="center"/>
          </w:tcPr>
          <w:p w14:paraId="4DFF1E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08FF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shd w:val="clear" w:color="auto" w:fill="auto"/>
            <w:tcMar>
              <w:top w:w="15" w:type="dxa"/>
              <w:left w:w="15" w:type="dxa"/>
              <w:right w:w="15" w:type="dxa"/>
            </w:tcMar>
            <w:vAlign w:val="center"/>
          </w:tcPr>
          <w:p w14:paraId="3B9F3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9DA5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shd w:val="clear" w:color="auto" w:fill="auto"/>
            <w:tcMar>
              <w:top w:w="15" w:type="dxa"/>
              <w:left w:w="15" w:type="dxa"/>
              <w:right w:w="15" w:type="dxa"/>
            </w:tcMar>
            <w:vAlign w:val="center"/>
          </w:tcPr>
          <w:p w14:paraId="79135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4120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shd w:val="clear" w:color="auto" w:fill="auto"/>
            <w:tcMar>
              <w:top w:w="15" w:type="dxa"/>
              <w:left w:w="15" w:type="dxa"/>
              <w:right w:w="15" w:type="dxa"/>
            </w:tcMar>
            <w:vAlign w:val="center"/>
          </w:tcPr>
          <w:p w14:paraId="109A94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E886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8999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14:paraId="0C7E2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shd w:val="clear" w:color="auto" w:fill="auto"/>
            <w:tcMar>
              <w:top w:w="15" w:type="dxa"/>
              <w:left w:w="15" w:type="dxa"/>
              <w:right w:w="15" w:type="dxa"/>
            </w:tcMar>
            <w:vAlign w:val="center"/>
          </w:tcPr>
          <w:p w14:paraId="7443D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shd w:val="clear" w:color="auto" w:fill="auto"/>
            <w:tcMar>
              <w:top w:w="15" w:type="dxa"/>
              <w:left w:w="15" w:type="dxa"/>
              <w:right w:w="15" w:type="dxa"/>
            </w:tcMar>
            <w:vAlign w:val="center"/>
          </w:tcPr>
          <w:p w14:paraId="346E6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783723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3C7D3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7C5D03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22934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DF50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590910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733B22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shd w:val="clear" w:color="auto" w:fill="auto"/>
            <w:tcMar>
              <w:top w:w="15" w:type="dxa"/>
              <w:left w:w="15" w:type="dxa"/>
              <w:right w:w="15" w:type="dxa"/>
            </w:tcMar>
            <w:vAlign w:val="center"/>
          </w:tcPr>
          <w:p w14:paraId="7610A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为政府及时提供法律服务，降低风险，推进建设法治政府建设</w:t>
            </w:r>
          </w:p>
        </w:tc>
        <w:tc>
          <w:tcPr>
            <w:tcW w:w="870" w:type="dxa"/>
            <w:shd w:val="clear" w:color="auto" w:fill="auto"/>
            <w:tcMar>
              <w:top w:w="15" w:type="dxa"/>
              <w:left w:w="15" w:type="dxa"/>
              <w:right w:w="15" w:type="dxa"/>
            </w:tcMar>
            <w:vAlign w:val="center"/>
          </w:tcPr>
          <w:p w14:paraId="32AA87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长期有效</w:t>
            </w:r>
          </w:p>
        </w:tc>
        <w:tc>
          <w:tcPr>
            <w:tcW w:w="645" w:type="dxa"/>
            <w:shd w:val="clear" w:color="auto" w:fill="auto"/>
            <w:tcMar>
              <w:top w:w="15" w:type="dxa"/>
              <w:left w:w="15" w:type="dxa"/>
              <w:right w:w="15" w:type="dxa"/>
            </w:tcMar>
            <w:vAlign w:val="center"/>
          </w:tcPr>
          <w:p w14:paraId="354AE2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shd w:val="clear" w:color="auto" w:fill="auto"/>
            <w:tcMar>
              <w:top w:w="15" w:type="dxa"/>
              <w:left w:w="15" w:type="dxa"/>
              <w:right w:w="15" w:type="dxa"/>
            </w:tcMar>
            <w:vAlign w:val="center"/>
          </w:tcPr>
          <w:p w14:paraId="31DD9C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1E992E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798C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1CD77B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0E981C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shd w:val="clear" w:color="auto" w:fill="auto"/>
            <w:tcMar>
              <w:top w:w="15" w:type="dxa"/>
              <w:left w:w="15" w:type="dxa"/>
              <w:right w:w="15" w:type="dxa"/>
            </w:tcMar>
            <w:vAlign w:val="center"/>
          </w:tcPr>
          <w:p w14:paraId="04B40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3E58B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17D59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78175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49131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50E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49D6D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6E03C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shd w:val="clear" w:color="auto" w:fill="auto"/>
            <w:tcMar>
              <w:top w:w="15" w:type="dxa"/>
              <w:left w:w="15" w:type="dxa"/>
              <w:right w:w="15" w:type="dxa"/>
            </w:tcMar>
            <w:vAlign w:val="center"/>
          </w:tcPr>
          <w:p w14:paraId="05A2EA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396DF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18634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7A1645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58D318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BAA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1AA48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0063B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shd w:val="clear" w:color="auto" w:fill="auto"/>
            <w:tcMar>
              <w:top w:w="15" w:type="dxa"/>
              <w:left w:w="15" w:type="dxa"/>
              <w:right w:w="15" w:type="dxa"/>
            </w:tcMar>
            <w:vAlign w:val="center"/>
          </w:tcPr>
          <w:p w14:paraId="0EA27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案件服务对象满意度</w:t>
            </w:r>
          </w:p>
        </w:tc>
        <w:tc>
          <w:tcPr>
            <w:tcW w:w="870" w:type="dxa"/>
            <w:shd w:val="clear" w:color="auto" w:fill="auto"/>
            <w:tcMar>
              <w:top w:w="15" w:type="dxa"/>
              <w:left w:w="15" w:type="dxa"/>
              <w:right w:w="15" w:type="dxa"/>
            </w:tcMar>
            <w:vAlign w:val="center"/>
          </w:tcPr>
          <w:p w14:paraId="616EC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shd w:val="clear" w:color="auto" w:fill="auto"/>
            <w:tcMar>
              <w:top w:w="15" w:type="dxa"/>
              <w:left w:w="15" w:type="dxa"/>
              <w:right w:w="15" w:type="dxa"/>
            </w:tcMar>
            <w:vAlign w:val="center"/>
          </w:tcPr>
          <w:p w14:paraId="2A8F5F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shd w:val="clear" w:color="auto" w:fill="auto"/>
            <w:tcMar>
              <w:top w:w="15" w:type="dxa"/>
              <w:left w:w="15" w:type="dxa"/>
              <w:right w:w="15" w:type="dxa"/>
            </w:tcMar>
            <w:vAlign w:val="center"/>
          </w:tcPr>
          <w:p w14:paraId="40BA3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97%</w:t>
            </w:r>
          </w:p>
        </w:tc>
        <w:tc>
          <w:tcPr>
            <w:tcW w:w="653" w:type="dxa"/>
            <w:shd w:val="clear" w:color="auto" w:fill="auto"/>
            <w:tcMar>
              <w:top w:w="15" w:type="dxa"/>
              <w:left w:w="15" w:type="dxa"/>
              <w:right w:w="15" w:type="dxa"/>
            </w:tcMar>
            <w:vAlign w:val="center"/>
          </w:tcPr>
          <w:p w14:paraId="463FAD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11F6A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14:paraId="2C945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14:paraId="539EA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shd w:val="clear" w:color="auto" w:fill="auto"/>
            <w:tcMar>
              <w:top w:w="15" w:type="dxa"/>
              <w:left w:w="15" w:type="dxa"/>
              <w:right w:w="15" w:type="dxa"/>
            </w:tcMar>
            <w:vAlign w:val="center"/>
          </w:tcPr>
          <w:p w14:paraId="433CC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shd w:val="clear" w:color="auto" w:fill="auto"/>
            <w:tcMar>
              <w:top w:w="15" w:type="dxa"/>
              <w:left w:w="15" w:type="dxa"/>
              <w:right w:w="15" w:type="dxa"/>
            </w:tcMar>
            <w:vAlign w:val="center"/>
          </w:tcPr>
          <w:p w14:paraId="77F57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9527279">
      <w:pPr>
        <w:pageBreakBefore w:val="0"/>
        <w:widowControl w:val="0"/>
        <w:kinsoku/>
        <w:wordWrap/>
        <w:overflowPunct/>
        <w:topLinePunct w:val="0"/>
        <w:autoSpaceDE/>
        <w:autoSpaceDN/>
        <w:bidi w:val="0"/>
        <w:spacing w:line="360" w:lineRule="auto"/>
        <w:textAlignment w:val="auto"/>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05CD5ACC">
      <w:pPr>
        <w:pageBreakBefore w:val="0"/>
        <w:widowControl w:val="0"/>
        <w:kinsoku/>
        <w:wordWrap/>
        <w:overflowPunct/>
        <w:topLinePunct w:val="0"/>
        <w:autoSpaceDE/>
        <w:autoSpaceDN/>
        <w:bidi w:val="0"/>
        <w:spacing w:line="360" w:lineRule="auto"/>
        <w:textAlignment w:val="auto"/>
        <w:rPr>
          <w:rFonts w:hint="eastAsia"/>
          <w:b w:val="0"/>
          <w:bCs w:val="0"/>
          <w:color w:val="auto"/>
          <w:highlight w:val="none"/>
          <w:lang w:val="en-US" w:eastAsia="zh-CN"/>
        </w:rPr>
      </w:pPr>
      <w:r>
        <w:rPr>
          <w:rFonts w:hint="eastAsia"/>
          <w:b w:val="0"/>
          <w:bCs w:val="0"/>
          <w:color w:val="auto"/>
          <w:highlight w:val="none"/>
          <w:lang w:val="en-US" w:eastAsia="zh-CN"/>
        </w:rPr>
        <w:t>该项目不涉及经济效益指标。</w:t>
      </w:r>
    </w:p>
    <w:p w14:paraId="6C7BE308">
      <w:pPr>
        <w:pageBreakBefore w:val="0"/>
        <w:widowControl w:val="0"/>
        <w:kinsoku/>
        <w:wordWrap/>
        <w:overflowPunct/>
        <w:topLinePunct w:val="0"/>
        <w:autoSpaceDE/>
        <w:autoSpaceDN/>
        <w:bidi w:val="0"/>
        <w:spacing w:line="360" w:lineRule="auto"/>
        <w:textAlignment w:val="auto"/>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41E179E9">
      <w:pPr>
        <w:pageBreakBefore w:val="0"/>
        <w:widowControl w:val="0"/>
        <w:kinsoku/>
        <w:wordWrap/>
        <w:overflowPunct/>
        <w:topLinePunct w:val="0"/>
        <w:autoSpaceDE/>
        <w:autoSpaceDN/>
        <w:bidi w:val="0"/>
        <w:spacing w:line="360" w:lineRule="auto"/>
        <w:textAlignment w:val="auto"/>
        <w:rPr>
          <w:rFonts w:hint="eastAsia"/>
          <w:b w:val="0"/>
          <w:bCs w:val="0"/>
          <w:color w:val="auto"/>
          <w:highlight w:val="none"/>
          <w:lang w:val="en-US" w:eastAsia="zh-CN"/>
        </w:rPr>
      </w:pPr>
      <w:r>
        <w:rPr>
          <w:rFonts w:hint="eastAsia"/>
          <w:color w:val="auto"/>
          <w:highlight w:val="none"/>
          <w:lang w:eastAsia="zh-CN"/>
        </w:rPr>
        <w:t>“为政府及时提供法律服务，降低风险，推进建设法治政府建设”</w:t>
      </w:r>
      <w:r>
        <w:rPr>
          <w:rFonts w:hint="eastAsia"/>
          <w:color w:val="auto"/>
          <w:highlight w:val="none"/>
          <w:lang w:val="en-US" w:eastAsia="zh-CN"/>
        </w:rPr>
        <w:t>指标，预期目标值为长期有效，实际完成为100%，实际完成率100%。</w:t>
      </w:r>
    </w:p>
    <w:p w14:paraId="7A28B0FB">
      <w:pPr>
        <w:pageBreakBefore w:val="0"/>
        <w:widowControl w:val="0"/>
        <w:kinsoku/>
        <w:wordWrap/>
        <w:overflowPunct/>
        <w:topLinePunct w:val="0"/>
        <w:autoSpaceDE/>
        <w:autoSpaceDN/>
        <w:bidi w:val="0"/>
        <w:spacing w:line="360" w:lineRule="auto"/>
        <w:textAlignment w:val="auto"/>
        <w:rPr>
          <w:rFonts w:hint="default"/>
          <w:b w:val="0"/>
          <w:bCs w:val="0"/>
          <w:color w:val="auto"/>
          <w:highlight w:val="none"/>
          <w:lang w:val="en-US" w:eastAsia="zh-CN"/>
        </w:rPr>
      </w:pPr>
      <w:r>
        <w:rPr>
          <w:rFonts w:hint="eastAsia"/>
          <w:b w:val="0"/>
          <w:bCs w:val="0"/>
          <w:color w:val="auto"/>
          <w:highlight w:val="none"/>
          <w:lang w:val="en-US" w:eastAsia="zh-CN"/>
        </w:rPr>
        <w:t>通过项目的实施，法律顾问职能发挥明显，一年来，法律顾问参加各类涉及法律事务决策会议15余次，提出书面法律意见建议26份，接受法律咨询15次，办理行政诉讼案件3件，立案案件办结率达90%，为我市经济实现稳健发展提供坚强法律服务保障。</w:t>
      </w:r>
    </w:p>
    <w:p w14:paraId="5781AA37">
      <w:pPr>
        <w:pageBreakBefore w:val="0"/>
        <w:widowControl w:val="0"/>
        <w:kinsoku/>
        <w:wordWrap/>
        <w:overflowPunct/>
        <w:topLinePunct w:val="0"/>
        <w:autoSpaceDE/>
        <w:autoSpaceDN/>
        <w:bidi w:val="0"/>
        <w:spacing w:line="360" w:lineRule="auto"/>
        <w:textAlignment w:val="auto"/>
        <w:rPr>
          <w:rFonts w:hint="eastAsia"/>
          <w:color w:val="auto"/>
          <w:highlight w:val="none"/>
          <w:lang w:val="en-US" w:eastAsia="zh-CN"/>
        </w:rPr>
      </w:pPr>
      <w:r>
        <w:rPr>
          <w:rFonts w:hint="eastAsia"/>
          <w:b/>
          <w:bCs/>
          <w:color w:val="auto"/>
          <w:highlight w:val="none"/>
          <w:lang w:val="en-US" w:eastAsia="zh-CN"/>
        </w:rPr>
        <w:t>综上，该项指标满分15分，得分15分。</w:t>
      </w:r>
    </w:p>
    <w:p w14:paraId="7F13C519">
      <w:pPr>
        <w:pageBreakBefore w:val="0"/>
        <w:widowControl w:val="0"/>
        <w:kinsoku/>
        <w:wordWrap/>
        <w:overflowPunct/>
        <w:topLinePunct w:val="0"/>
        <w:autoSpaceDE/>
        <w:autoSpaceDN/>
        <w:bidi w:val="0"/>
        <w:spacing w:line="360" w:lineRule="auto"/>
        <w:textAlignment w:val="auto"/>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4E792334">
      <w:pPr>
        <w:pageBreakBefore w:val="0"/>
        <w:widowControl w:val="0"/>
        <w:kinsoku/>
        <w:wordWrap/>
        <w:overflowPunct/>
        <w:topLinePunct w:val="0"/>
        <w:autoSpaceDE/>
        <w:autoSpaceDN/>
        <w:bidi w:val="0"/>
        <w:spacing w:line="360" w:lineRule="auto"/>
        <w:textAlignment w:val="auto"/>
        <w:rPr>
          <w:rFonts w:hint="eastAsia"/>
          <w:color w:val="auto"/>
          <w:highlight w:val="none"/>
          <w:lang w:val="en-US" w:eastAsia="zh-CN"/>
        </w:rPr>
      </w:pPr>
      <w:r>
        <w:rPr>
          <w:rFonts w:hint="eastAsia"/>
          <w:color w:val="auto"/>
          <w:highlight w:val="none"/>
          <w:lang w:val="en-US" w:eastAsia="zh-CN"/>
        </w:rPr>
        <w:t>该项目不涉及生态效益指标。</w:t>
      </w:r>
    </w:p>
    <w:p w14:paraId="4E90DDC1">
      <w:pPr>
        <w:pageBreakBefore w:val="0"/>
        <w:widowControl w:val="0"/>
        <w:kinsoku/>
        <w:wordWrap/>
        <w:overflowPunct/>
        <w:topLinePunct w:val="0"/>
        <w:autoSpaceDE/>
        <w:autoSpaceDN/>
        <w:bidi w:val="0"/>
        <w:spacing w:line="360" w:lineRule="auto"/>
        <w:textAlignment w:val="auto"/>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780C2258">
      <w:pPr>
        <w:pageBreakBefore w:val="0"/>
        <w:widowControl w:val="0"/>
        <w:kinsoku/>
        <w:wordWrap/>
        <w:overflowPunct/>
        <w:topLinePunct w:val="0"/>
        <w:autoSpaceDE/>
        <w:autoSpaceDN/>
        <w:bidi w:val="0"/>
        <w:spacing w:line="360" w:lineRule="auto"/>
        <w:textAlignment w:val="auto"/>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案件服务对象满意度</w:t>
      </w:r>
      <w:r>
        <w:rPr>
          <w:rFonts w:hint="eastAsia"/>
          <w:color w:val="auto"/>
          <w:highlight w:val="none"/>
          <w:lang w:eastAsia="zh-CN"/>
        </w:rPr>
        <w:t>”</w:t>
      </w:r>
      <w:r>
        <w:rPr>
          <w:rFonts w:hint="eastAsia"/>
          <w:color w:val="auto"/>
          <w:highlight w:val="none"/>
          <w:lang w:val="en-US" w:eastAsia="zh-CN"/>
        </w:rPr>
        <w:t>指标，预期目标值为95%，实际完成为97%，实际完成率100%。</w:t>
      </w:r>
    </w:p>
    <w:p w14:paraId="084EFAA2">
      <w:pPr>
        <w:pageBreakBefore w:val="0"/>
        <w:widowControl w:val="0"/>
        <w:kinsoku/>
        <w:wordWrap/>
        <w:overflowPunct/>
        <w:topLinePunct w:val="0"/>
        <w:autoSpaceDE/>
        <w:autoSpaceDN/>
        <w:bidi w:val="0"/>
        <w:spacing w:line="360" w:lineRule="auto"/>
        <w:textAlignment w:val="auto"/>
        <w:rPr>
          <w:rFonts w:hint="eastAsia"/>
          <w:b/>
          <w:bCs/>
          <w:color w:val="auto"/>
          <w:highlight w:val="none"/>
          <w:lang w:val="en-US" w:eastAsia="zh-CN"/>
        </w:rPr>
      </w:pPr>
      <w:r>
        <w:rPr>
          <w:rFonts w:hint="eastAsia"/>
          <w:b/>
          <w:bCs/>
          <w:color w:val="auto"/>
          <w:highlight w:val="none"/>
          <w:lang w:val="en-US" w:eastAsia="zh-CN"/>
        </w:rPr>
        <w:t>综上，该项指标满分15分，得分15分。</w:t>
      </w:r>
    </w:p>
    <w:p w14:paraId="083D9088">
      <w:pPr>
        <w:pStyle w:val="2"/>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D2130A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3509554A">
      <w:pPr>
        <w:pStyle w:val="2"/>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04F13C78">
      <w:pPr>
        <w:pageBreakBefore w:val="0"/>
        <w:widowControl w:val="0"/>
        <w:numPr>
          <w:ilvl w:val="0"/>
          <w:numId w:val="0"/>
        </w:numPr>
        <w:kinsoku/>
        <w:wordWrap/>
        <w:overflowPunct/>
        <w:topLinePunct w:val="0"/>
        <w:autoSpaceDE/>
        <w:autoSpaceDN/>
        <w:bidi w:val="0"/>
        <w:spacing w:line="360" w:lineRule="auto"/>
        <w:ind w:left="560" w:leftChars="0"/>
        <w:textAlignment w:val="auto"/>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167EE2E2">
      <w:pPr>
        <w:pageBreakBefore w:val="0"/>
        <w:widowControl w:val="0"/>
        <w:kinsoku/>
        <w:wordWrap/>
        <w:overflowPunct/>
        <w:topLinePunct w:val="0"/>
        <w:autoSpaceDE/>
        <w:autoSpaceDN/>
        <w:bidi w:val="0"/>
        <w:spacing w:line="360" w:lineRule="auto"/>
        <w:textAlignment w:val="auto"/>
        <w:rPr>
          <w:rFonts w:hint="eastAsia"/>
          <w:color w:val="auto"/>
          <w:highlight w:val="none"/>
          <w:lang w:eastAsia="zh-CN"/>
        </w:rPr>
      </w:pPr>
      <w:r>
        <w:rPr>
          <w:rFonts w:hint="eastAsia"/>
          <w:color w:val="auto"/>
          <w:highlight w:val="none"/>
          <w:lang w:val="en-US" w:eastAsia="zh-CN"/>
        </w:rPr>
        <w:t>2021-2022年度律师服务费项目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7D48E698">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val="en-US" w:eastAsia="zh-CN"/>
        </w:rPr>
        <w:t>阜康市司法局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阜康市司法局事业发展中关系民生与稳定的项目，切实优化资源配置，提高了资金使用的效率和效果。</w:t>
      </w:r>
    </w:p>
    <w:bookmarkEnd w:id="82"/>
    <w:bookmarkEnd w:id="83"/>
    <w:p w14:paraId="2BFE4866">
      <w:pPr>
        <w:pageBreakBefore w:val="0"/>
        <w:widowControl w:val="0"/>
        <w:kinsoku/>
        <w:wordWrap/>
        <w:overflowPunct/>
        <w:topLinePunct w:val="0"/>
        <w:autoSpaceDE/>
        <w:autoSpaceDN/>
        <w:bidi w:val="0"/>
        <w:adjustRightInd/>
        <w:snapToGrid/>
        <w:spacing w:line="360" w:lineRule="auto"/>
        <w:textAlignment w:val="auto"/>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30585C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1、绩效目标的设定有待进一步优化。在申报绩效目标时，选用重点不突出，绩效指标设置过于简单，单位在实际运转过程中，会有一些突发事情等不可预见因素，造成支出绩效目标不精细。</w:t>
      </w:r>
    </w:p>
    <w:p w14:paraId="4CC92E60">
      <w:pPr>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ascii="宋体" w:hAnsi="宋体" w:eastAsia="宋体" w:cs="宋体"/>
          <w:color w:val="auto"/>
          <w:kern w:val="2"/>
          <w:sz w:val="28"/>
          <w:szCs w:val="28"/>
          <w:highlight w:val="none"/>
          <w:lang w:val="en-US" w:eastAsia="zh-CN" w:bidi="ar-SA"/>
        </w:rPr>
        <w:t>2、</w:t>
      </w:r>
      <w:r>
        <w:rPr>
          <w:rFonts w:hint="eastAsia" w:cs="宋体"/>
          <w:color w:val="auto"/>
          <w:kern w:val="2"/>
          <w:sz w:val="28"/>
          <w:szCs w:val="28"/>
          <w:highlight w:val="none"/>
          <w:lang w:val="en-US" w:eastAsia="zh-CN" w:bidi="ar-SA"/>
        </w:rPr>
        <w:t>项目前期决策不充分，</w:t>
      </w:r>
      <w:r>
        <w:rPr>
          <w:rFonts w:hint="eastAsia"/>
          <w:b w:val="0"/>
          <w:bCs w:val="0"/>
          <w:color w:val="auto"/>
          <w:highlight w:val="none"/>
          <w:lang w:val="en-US" w:eastAsia="zh-CN"/>
        </w:rPr>
        <w:t>项目事前未经过必要的可行性研究、专家论证、风险评估、绩效评估、集体决策等</w:t>
      </w:r>
      <w:r>
        <w:rPr>
          <w:rFonts w:hint="eastAsia" w:ascii="宋体" w:hAnsi="宋体" w:eastAsia="宋体" w:cs="宋体"/>
          <w:color w:val="auto"/>
          <w:kern w:val="2"/>
          <w:sz w:val="28"/>
          <w:szCs w:val="28"/>
          <w:highlight w:val="none"/>
          <w:lang w:val="en-US" w:eastAsia="zh-CN" w:bidi="ar-SA"/>
        </w:rPr>
        <w:t>。</w:t>
      </w:r>
    </w:p>
    <w:p w14:paraId="18A36844">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244D8F0E">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lang w:val="en-US" w:eastAsia="zh-CN"/>
        </w:rPr>
      </w:pPr>
      <w:bookmarkStart w:id="86" w:name="_Toc15618"/>
      <w:r>
        <w:rPr>
          <w:rFonts w:hint="eastAsia" w:cs="宋体"/>
          <w:color w:val="auto"/>
          <w:highlight w:val="none"/>
          <w:lang w:val="en-US" w:eastAsia="zh-CN"/>
        </w:rPr>
        <w:t>（一）</w:t>
      </w:r>
      <w:r>
        <w:rPr>
          <w:rFonts w:hint="eastAsia" w:ascii="宋体" w:hAnsi="宋体" w:eastAsia="宋体" w:cs="宋体"/>
          <w:color w:val="auto"/>
          <w:highlight w:val="none"/>
          <w:lang w:val="en-US" w:eastAsia="zh-CN"/>
        </w:rPr>
        <w:t>提高预算编制的精细化。在日常预算执行管理中，合理合规的使用资金，进一步加强预算支出的审核、跟踪及预算执行情况分析，对预算执行过程以及资金使用和管理情况进行适时跟踪监控，对偏离年初绩效目标的支出及时调整、纠正，确保专款专用，支出合理、合规。</w:t>
      </w:r>
    </w:p>
    <w:p w14:paraId="2442FD03">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6F251691">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679B719">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C1D5C30">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2B37329">
      <w:pPr>
        <w:rPr>
          <w:rFonts w:hint="eastAsia" w:ascii="宋体" w:hAnsi="宋体" w:eastAsia="宋体" w:cs="宋体"/>
          <w:b/>
          <w:bCs/>
          <w:color w:val="auto"/>
          <w:kern w:val="2"/>
          <w:sz w:val="36"/>
          <w:szCs w:val="28"/>
          <w:highlight w:val="none"/>
          <w:lang w:val="en-US" w:eastAsia="zh-CN" w:bidi="ar-SA"/>
        </w:rPr>
        <w:sectPr>
          <w:footerReference r:id="rId7"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3309544F">
      <w:pPr>
        <w:ind w:left="0" w:leftChars="0" w:firstLine="0" w:firstLineChars="0"/>
        <w:rPr>
          <w:rFonts w:hint="eastAsia" w:ascii="宋体" w:hAnsi="宋体" w:eastAsia="宋体" w:cs="宋体"/>
          <w:b/>
          <w:bCs/>
          <w:color w:val="auto"/>
          <w:kern w:val="2"/>
          <w:sz w:val="36"/>
          <w:szCs w:val="28"/>
          <w:highlight w:val="none"/>
          <w:lang w:val="en-US" w:eastAsia="zh-CN" w:bidi="ar-SA"/>
        </w:rPr>
      </w:pPr>
      <w:r>
        <w:rPr>
          <w:rFonts w:hint="eastAsia"/>
          <w:b/>
          <w:bCs/>
          <w:color w:val="auto"/>
          <w:highlight w:val="none"/>
        </w:rPr>
        <w:t>附件一、项目支出绩效自评表</w:t>
      </w:r>
    </w:p>
    <w:tbl>
      <w:tblPr>
        <w:tblStyle w:val="12"/>
        <w:tblW w:w="44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50"/>
        <w:gridCol w:w="950"/>
        <w:gridCol w:w="950"/>
        <w:gridCol w:w="950"/>
        <w:gridCol w:w="1240"/>
        <w:gridCol w:w="950"/>
        <w:gridCol w:w="950"/>
        <w:gridCol w:w="1047"/>
        <w:gridCol w:w="950"/>
        <w:gridCol w:w="950"/>
        <w:gridCol w:w="1144"/>
        <w:gridCol w:w="1144"/>
        <w:gridCol w:w="1048"/>
        <w:gridCol w:w="951"/>
      </w:tblGrid>
      <w:tr w14:paraId="332D0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3C27C4D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E29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0347BFE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C99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4" w:type="dxa"/>
            <w:gridSpan w:val="2"/>
            <w:tcBorders>
              <w:top w:val="single" w:color="auto" w:sz="4" w:space="0"/>
            </w:tcBorders>
            <w:shd w:val="clear" w:color="auto" w:fill="auto"/>
            <w:vAlign w:val="center"/>
          </w:tcPr>
          <w:p w14:paraId="163A1D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0" w:type="dxa"/>
            <w:gridSpan w:val="12"/>
            <w:tcBorders>
              <w:top w:val="single" w:color="auto" w:sz="4" w:space="0"/>
            </w:tcBorders>
            <w:shd w:val="clear" w:color="auto" w:fill="auto"/>
            <w:vAlign w:val="center"/>
          </w:tcPr>
          <w:p w14:paraId="0FADB8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2021-2022年度律师服务费</w:t>
            </w:r>
          </w:p>
        </w:tc>
      </w:tr>
      <w:tr w14:paraId="1C223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4" w:type="dxa"/>
            <w:gridSpan w:val="2"/>
            <w:shd w:val="clear" w:color="auto" w:fill="auto"/>
            <w:vAlign w:val="center"/>
          </w:tcPr>
          <w:p w14:paraId="4CC6C4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17" w:type="dxa"/>
            <w:gridSpan w:val="5"/>
            <w:shd w:val="clear" w:color="auto" w:fill="auto"/>
            <w:vAlign w:val="center"/>
          </w:tcPr>
          <w:p w14:paraId="3E5917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阜康市司法局</w:t>
            </w:r>
          </w:p>
        </w:tc>
        <w:tc>
          <w:tcPr>
            <w:tcW w:w="1724" w:type="dxa"/>
            <w:gridSpan w:val="2"/>
            <w:shd w:val="clear" w:color="auto" w:fill="auto"/>
            <w:vAlign w:val="center"/>
          </w:tcPr>
          <w:p w14:paraId="4D2A65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79" w:type="dxa"/>
            <w:gridSpan w:val="5"/>
            <w:shd w:val="clear" w:color="auto" w:fill="auto"/>
            <w:vAlign w:val="center"/>
          </w:tcPr>
          <w:p w14:paraId="5C8B93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阜康市司法局</w:t>
            </w:r>
          </w:p>
        </w:tc>
      </w:tr>
      <w:tr w14:paraId="27CA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4" w:type="dxa"/>
            <w:gridSpan w:val="2"/>
            <w:vMerge w:val="restart"/>
            <w:shd w:val="clear" w:color="auto" w:fill="auto"/>
            <w:vAlign w:val="center"/>
          </w:tcPr>
          <w:p w14:paraId="3339E4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22" w:type="dxa"/>
            <w:gridSpan w:val="2"/>
            <w:shd w:val="clear" w:color="auto" w:fill="auto"/>
            <w:vAlign w:val="center"/>
          </w:tcPr>
          <w:p w14:paraId="4B230F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38" w:type="dxa"/>
            <w:shd w:val="clear" w:color="auto" w:fill="auto"/>
            <w:vAlign w:val="center"/>
          </w:tcPr>
          <w:p w14:paraId="17216A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57" w:type="dxa"/>
            <w:gridSpan w:val="2"/>
            <w:shd w:val="clear" w:color="auto" w:fill="auto"/>
            <w:vAlign w:val="center"/>
          </w:tcPr>
          <w:p w14:paraId="487FEC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24" w:type="dxa"/>
            <w:gridSpan w:val="2"/>
            <w:shd w:val="clear" w:color="auto" w:fill="auto"/>
            <w:vAlign w:val="center"/>
          </w:tcPr>
          <w:p w14:paraId="5485BD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8" w:type="dxa"/>
            <w:gridSpan w:val="2"/>
            <w:shd w:val="clear" w:color="auto" w:fill="auto"/>
            <w:vAlign w:val="center"/>
          </w:tcPr>
          <w:p w14:paraId="77EBF9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736" w:type="dxa"/>
            <w:gridSpan w:val="2"/>
            <w:shd w:val="clear" w:color="auto" w:fill="auto"/>
            <w:vAlign w:val="center"/>
          </w:tcPr>
          <w:p w14:paraId="05E065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执行率</w:t>
            </w:r>
          </w:p>
        </w:tc>
        <w:tc>
          <w:tcPr>
            <w:tcW w:w="2235" w:type="dxa"/>
            <w:shd w:val="clear" w:color="auto" w:fill="auto"/>
            <w:vAlign w:val="center"/>
          </w:tcPr>
          <w:p w14:paraId="498990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ADD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4" w:type="dxa"/>
            <w:gridSpan w:val="2"/>
            <w:vMerge w:val="continue"/>
            <w:shd w:val="clear" w:color="auto" w:fill="auto"/>
            <w:vAlign w:val="center"/>
          </w:tcPr>
          <w:p w14:paraId="606DB389">
            <w:pPr>
              <w:jc w:val="center"/>
              <w:rPr>
                <w:rFonts w:hint="eastAsia" w:ascii="宋体" w:hAnsi="宋体" w:eastAsia="宋体" w:cs="宋体"/>
                <w:i w:val="0"/>
                <w:iCs w:val="0"/>
                <w:color w:val="000000"/>
                <w:sz w:val="20"/>
                <w:szCs w:val="20"/>
                <w:u w:val="none"/>
              </w:rPr>
            </w:pPr>
          </w:p>
        </w:tc>
        <w:tc>
          <w:tcPr>
            <w:tcW w:w="2422" w:type="dxa"/>
            <w:gridSpan w:val="2"/>
            <w:shd w:val="clear" w:color="auto" w:fill="auto"/>
            <w:vAlign w:val="center"/>
          </w:tcPr>
          <w:p w14:paraId="3AA07A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38" w:type="dxa"/>
            <w:shd w:val="clear" w:color="auto" w:fill="auto"/>
            <w:vAlign w:val="center"/>
          </w:tcPr>
          <w:p w14:paraId="381A62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457" w:type="dxa"/>
            <w:gridSpan w:val="2"/>
            <w:shd w:val="clear" w:color="auto" w:fill="auto"/>
            <w:vAlign w:val="center"/>
          </w:tcPr>
          <w:p w14:paraId="44085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24" w:type="dxa"/>
            <w:gridSpan w:val="2"/>
            <w:shd w:val="clear" w:color="auto" w:fill="auto"/>
            <w:vAlign w:val="center"/>
          </w:tcPr>
          <w:p w14:paraId="0137B0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008" w:type="dxa"/>
            <w:gridSpan w:val="2"/>
            <w:shd w:val="clear" w:color="auto" w:fill="auto"/>
            <w:vAlign w:val="center"/>
          </w:tcPr>
          <w:p w14:paraId="4D0E05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36" w:type="dxa"/>
            <w:gridSpan w:val="2"/>
            <w:shd w:val="clear" w:color="auto" w:fill="auto"/>
            <w:vAlign w:val="center"/>
          </w:tcPr>
          <w:p w14:paraId="4A4CD01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w:t>
            </w:r>
          </w:p>
        </w:tc>
        <w:tc>
          <w:tcPr>
            <w:tcW w:w="2235" w:type="dxa"/>
            <w:shd w:val="clear" w:color="auto" w:fill="auto"/>
            <w:vAlign w:val="center"/>
          </w:tcPr>
          <w:p w14:paraId="4D213D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B5C5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4" w:type="dxa"/>
            <w:gridSpan w:val="2"/>
            <w:vMerge w:val="continue"/>
            <w:shd w:val="clear" w:color="auto" w:fill="auto"/>
            <w:vAlign w:val="center"/>
          </w:tcPr>
          <w:p w14:paraId="3A135A56">
            <w:pPr>
              <w:jc w:val="center"/>
              <w:rPr>
                <w:rFonts w:hint="eastAsia" w:ascii="宋体" w:hAnsi="宋体" w:eastAsia="宋体" w:cs="宋体"/>
                <w:i w:val="0"/>
                <w:iCs w:val="0"/>
                <w:color w:val="000000"/>
                <w:sz w:val="20"/>
                <w:szCs w:val="20"/>
                <w:u w:val="none"/>
              </w:rPr>
            </w:pPr>
          </w:p>
        </w:tc>
        <w:tc>
          <w:tcPr>
            <w:tcW w:w="2422" w:type="dxa"/>
            <w:gridSpan w:val="2"/>
            <w:shd w:val="clear" w:color="auto" w:fill="auto"/>
            <w:vAlign w:val="center"/>
          </w:tcPr>
          <w:p w14:paraId="5DA88E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38" w:type="dxa"/>
            <w:shd w:val="clear" w:color="auto" w:fill="auto"/>
            <w:vAlign w:val="center"/>
          </w:tcPr>
          <w:p w14:paraId="2511E0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457" w:type="dxa"/>
            <w:gridSpan w:val="2"/>
            <w:shd w:val="clear" w:color="auto" w:fill="auto"/>
            <w:vAlign w:val="center"/>
          </w:tcPr>
          <w:p w14:paraId="069092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24" w:type="dxa"/>
            <w:gridSpan w:val="2"/>
            <w:shd w:val="clear" w:color="auto" w:fill="auto"/>
            <w:vAlign w:val="center"/>
          </w:tcPr>
          <w:p w14:paraId="48D0B7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008" w:type="dxa"/>
            <w:gridSpan w:val="2"/>
            <w:shd w:val="clear" w:color="auto" w:fill="auto"/>
            <w:vAlign w:val="center"/>
          </w:tcPr>
          <w:p w14:paraId="12B89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6" w:type="dxa"/>
            <w:gridSpan w:val="2"/>
            <w:shd w:val="clear" w:color="auto" w:fill="auto"/>
            <w:vAlign w:val="center"/>
          </w:tcPr>
          <w:p w14:paraId="24C87B5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235" w:type="dxa"/>
            <w:shd w:val="clear" w:color="auto" w:fill="auto"/>
            <w:vAlign w:val="center"/>
          </w:tcPr>
          <w:p w14:paraId="6E8A3E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7DA9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54" w:type="dxa"/>
            <w:gridSpan w:val="2"/>
            <w:vMerge w:val="continue"/>
            <w:shd w:val="clear" w:color="auto" w:fill="auto"/>
            <w:vAlign w:val="center"/>
          </w:tcPr>
          <w:p w14:paraId="2DE85ADC">
            <w:pPr>
              <w:jc w:val="center"/>
              <w:rPr>
                <w:rFonts w:hint="eastAsia" w:ascii="宋体" w:hAnsi="宋体" w:eastAsia="宋体" w:cs="宋体"/>
                <w:i w:val="0"/>
                <w:iCs w:val="0"/>
                <w:color w:val="000000"/>
                <w:sz w:val="20"/>
                <w:szCs w:val="20"/>
                <w:u w:val="none"/>
              </w:rPr>
            </w:pPr>
          </w:p>
        </w:tc>
        <w:tc>
          <w:tcPr>
            <w:tcW w:w="2422" w:type="dxa"/>
            <w:gridSpan w:val="2"/>
            <w:shd w:val="clear" w:color="auto" w:fill="auto"/>
            <w:vAlign w:val="center"/>
          </w:tcPr>
          <w:p w14:paraId="2B656F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38" w:type="dxa"/>
            <w:shd w:val="clear" w:color="auto" w:fill="auto"/>
            <w:vAlign w:val="center"/>
          </w:tcPr>
          <w:p w14:paraId="76ED1F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457" w:type="dxa"/>
            <w:gridSpan w:val="2"/>
            <w:shd w:val="clear" w:color="auto" w:fill="auto"/>
            <w:vAlign w:val="center"/>
          </w:tcPr>
          <w:p w14:paraId="427C03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24" w:type="dxa"/>
            <w:gridSpan w:val="2"/>
            <w:shd w:val="clear" w:color="auto" w:fill="auto"/>
            <w:vAlign w:val="center"/>
          </w:tcPr>
          <w:p w14:paraId="0318B0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8" w:type="dxa"/>
            <w:gridSpan w:val="2"/>
            <w:shd w:val="clear" w:color="auto" w:fill="auto"/>
            <w:vAlign w:val="center"/>
          </w:tcPr>
          <w:p w14:paraId="46EE38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6" w:type="dxa"/>
            <w:gridSpan w:val="2"/>
            <w:shd w:val="clear" w:color="auto" w:fill="auto"/>
            <w:vAlign w:val="center"/>
          </w:tcPr>
          <w:p w14:paraId="36A146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235" w:type="dxa"/>
            <w:shd w:val="clear" w:color="auto" w:fill="auto"/>
            <w:vAlign w:val="center"/>
          </w:tcPr>
          <w:p w14:paraId="4C69EC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5C9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77" w:type="dxa"/>
            <w:vMerge w:val="restart"/>
            <w:shd w:val="clear" w:color="auto" w:fill="auto"/>
            <w:vAlign w:val="center"/>
          </w:tcPr>
          <w:p w14:paraId="04AEC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18" w:type="dxa"/>
            <w:gridSpan w:val="8"/>
            <w:shd w:val="clear" w:color="auto" w:fill="auto"/>
            <w:vAlign w:val="center"/>
          </w:tcPr>
          <w:p w14:paraId="5E96CA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79" w:type="dxa"/>
            <w:gridSpan w:val="5"/>
            <w:shd w:val="clear" w:color="auto" w:fill="auto"/>
            <w:vAlign w:val="center"/>
          </w:tcPr>
          <w:p w14:paraId="3A69DF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11E4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7" w:type="dxa"/>
            <w:vMerge w:val="continue"/>
            <w:shd w:val="clear" w:color="auto" w:fill="auto"/>
            <w:vAlign w:val="center"/>
          </w:tcPr>
          <w:p w14:paraId="16E9601D">
            <w:pPr>
              <w:jc w:val="center"/>
              <w:rPr>
                <w:rFonts w:hint="eastAsia" w:ascii="宋体" w:hAnsi="宋体" w:eastAsia="宋体" w:cs="宋体"/>
                <w:i w:val="0"/>
                <w:iCs w:val="0"/>
                <w:color w:val="000000"/>
                <w:sz w:val="20"/>
                <w:szCs w:val="20"/>
                <w:u w:val="none"/>
              </w:rPr>
            </w:pPr>
          </w:p>
        </w:tc>
        <w:tc>
          <w:tcPr>
            <w:tcW w:w="7518" w:type="dxa"/>
            <w:gridSpan w:val="8"/>
            <w:shd w:val="clear" w:color="auto" w:fill="auto"/>
            <w:vAlign w:val="center"/>
          </w:tcPr>
          <w:p w14:paraId="7CB721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能：承担全面依法治市重大问题的政策研究，协调有关方面提出全面依法治市中长期规划建议，负责有关重大决策部署督察工作；承担统筹推进法治政府建设的责任；指导、监督全市行政复议和行政应诉工作，负责行政复议、行政应诉和行政赔偿案件办理工作。目标1：参与处理行政复议、诉讼、调解等法律事务、为重大决策、重大行政行为提供法律意见。目标2：充分发挥法律顾问在参与决策、办理诉讼案件中的作用，不断推进法治政府建设。</w:t>
            </w:r>
          </w:p>
        </w:tc>
        <w:tc>
          <w:tcPr>
            <w:tcW w:w="5979" w:type="dxa"/>
            <w:gridSpan w:val="5"/>
            <w:shd w:val="clear" w:color="auto" w:fill="auto"/>
            <w:vAlign w:val="center"/>
          </w:tcPr>
          <w:p w14:paraId="64500D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截至2023年12月31日，参加市政府涉及法律事务决策会议15余次，代理诉讼业务3起，提出书面意见建议若干，为加强法治政府建设，为政府及时提供法律服务，降低风险，为市域经济实现稳健发展提供法律基石。</w:t>
            </w:r>
          </w:p>
        </w:tc>
      </w:tr>
      <w:tr w14:paraId="2D9F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77" w:type="dxa"/>
            <w:shd w:val="clear" w:color="auto" w:fill="auto"/>
            <w:vAlign w:val="center"/>
          </w:tcPr>
          <w:p w14:paraId="300A9FF1">
            <w:pPr>
              <w:jc w:val="center"/>
              <w:rPr>
                <w:rFonts w:hint="eastAsia" w:ascii="宋体" w:hAnsi="宋体" w:eastAsia="宋体" w:cs="宋体"/>
                <w:i w:val="0"/>
                <w:iCs w:val="0"/>
                <w:color w:val="000000"/>
                <w:sz w:val="20"/>
                <w:szCs w:val="20"/>
                <w:u w:val="none"/>
              </w:rPr>
            </w:pPr>
          </w:p>
        </w:tc>
        <w:tc>
          <w:tcPr>
            <w:tcW w:w="677" w:type="dxa"/>
            <w:shd w:val="clear" w:color="auto" w:fill="auto"/>
            <w:vAlign w:val="center"/>
          </w:tcPr>
          <w:p w14:paraId="65AE7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9" w:type="dxa"/>
            <w:shd w:val="clear" w:color="auto" w:fill="auto"/>
            <w:vAlign w:val="center"/>
          </w:tcPr>
          <w:p w14:paraId="32B861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43" w:type="dxa"/>
            <w:shd w:val="clear" w:color="auto" w:fill="auto"/>
            <w:vAlign w:val="center"/>
          </w:tcPr>
          <w:p w14:paraId="128544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38" w:type="dxa"/>
            <w:shd w:val="clear" w:color="auto" w:fill="auto"/>
            <w:vAlign w:val="center"/>
          </w:tcPr>
          <w:p w14:paraId="0AFCFA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9" w:type="dxa"/>
            <w:shd w:val="clear" w:color="auto" w:fill="auto"/>
            <w:vAlign w:val="center"/>
          </w:tcPr>
          <w:p w14:paraId="3C1B2A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568" w:type="dxa"/>
            <w:shd w:val="clear" w:color="auto" w:fill="auto"/>
            <w:vAlign w:val="center"/>
          </w:tcPr>
          <w:p w14:paraId="07A819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671" w:type="dxa"/>
            <w:shd w:val="clear" w:color="auto" w:fill="auto"/>
            <w:vAlign w:val="center"/>
          </w:tcPr>
          <w:p w14:paraId="4AAF38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53" w:type="dxa"/>
            <w:shd w:val="clear" w:color="auto" w:fill="auto"/>
            <w:vAlign w:val="center"/>
          </w:tcPr>
          <w:p w14:paraId="5C1F37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34" w:type="dxa"/>
            <w:shd w:val="clear" w:color="auto" w:fill="auto"/>
            <w:vAlign w:val="center"/>
          </w:tcPr>
          <w:p w14:paraId="7AB718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74" w:type="dxa"/>
            <w:shd w:val="clear" w:color="auto" w:fill="auto"/>
            <w:vAlign w:val="center"/>
          </w:tcPr>
          <w:p w14:paraId="321714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80" w:type="dxa"/>
            <w:shd w:val="clear" w:color="auto" w:fill="auto"/>
            <w:vAlign w:val="center"/>
          </w:tcPr>
          <w:p w14:paraId="1719E40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956" w:type="dxa"/>
            <w:shd w:val="clear" w:color="auto" w:fill="auto"/>
            <w:vAlign w:val="center"/>
          </w:tcPr>
          <w:p w14:paraId="33BE58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235" w:type="dxa"/>
            <w:shd w:val="clear" w:color="auto" w:fill="auto"/>
            <w:vAlign w:val="center"/>
          </w:tcPr>
          <w:p w14:paraId="1B63AC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790E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7" w:type="dxa"/>
            <w:vMerge w:val="restart"/>
            <w:shd w:val="clear" w:color="auto" w:fill="auto"/>
            <w:vAlign w:val="center"/>
          </w:tcPr>
          <w:p w14:paraId="705C8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7" w:type="dxa"/>
            <w:vMerge w:val="restart"/>
            <w:shd w:val="clear" w:color="auto" w:fill="auto"/>
            <w:vAlign w:val="center"/>
          </w:tcPr>
          <w:p w14:paraId="655278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9" w:type="dxa"/>
            <w:vMerge w:val="restart"/>
            <w:shd w:val="clear" w:color="auto" w:fill="auto"/>
            <w:vAlign w:val="center"/>
          </w:tcPr>
          <w:p w14:paraId="1E2ADF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3" w:type="dxa"/>
            <w:shd w:val="clear" w:color="auto" w:fill="auto"/>
            <w:vAlign w:val="center"/>
          </w:tcPr>
          <w:p w14:paraId="74343B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从律师事务所购买法律服务</w:t>
            </w:r>
          </w:p>
        </w:tc>
        <w:tc>
          <w:tcPr>
            <w:tcW w:w="1238" w:type="dxa"/>
            <w:shd w:val="clear" w:color="auto" w:fill="auto"/>
            <w:vAlign w:val="center"/>
          </w:tcPr>
          <w:p w14:paraId="5A7EAC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889" w:type="dxa"/>
            <w:shd w:val="clear" w:color="auto" w:fill="auto"/>
            <w:vAlign w:val="center"/>
          </w:tcPr>
          <w:p w14:paraId="0A7A52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513585F6">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451221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3B148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4" w:type="dxa"/>
            <w:shd w:val="clear" w:color="auto" w:fill="auto"/>
            <w:vAlign w:val="center"/>
          </w:tcPr>
          <w:p w14:paraId="0CB92A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742B56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780" w:type="dxa"/>
            <w:shd w:val="clear" w:color="auto" w:fill="auto"/>
            <w:vAlign w:val="center"/>
          </w:tcPr>
          <w:p w14:paraId="3597BFC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71A820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0AB9D103">
            <w:pPr>
              <w:jc w:val="center"/>
              <w:rPr>
                <w:rFonts w:hint="eastAsia" w:ascii="宋体" w:hAnsi="宋体" w:eastAsia="宋体" w:cs="宋体"/>
                <w:i w:val="0"/>
                <w:iCs w:val="0"/>
                <w:color w:val="000000"/>
                <w:sz w:val="20"/>
                <w:szCs w:val="20"/>
                <w:u w:val="none"/>
              </w:rPr>
            </w:pPr>
          </w:p>
        </w:tc>
      </w:tr>
      <w:tr w14:paraId="44D2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7" w:type="dxa"/>
            <w:vMerge w:val="continue"/>
            <w:shd w:val="clear" w:color="auto" w:fill="auto"/>
            <w:vAlign w:val="center"/>
          </w:tcPr>
          <w:p w14:paraId="53EA4E7B">
            <w:pPr>
              <w:jc w:val="center"/>
              <w:rPr>
                <w:rFonts w:hint="eastAsia" w:ascii="宋体" w:hAnsi="宋体" w:eastAsia="宋体" w:cs="宋体"/>
                <w:i w:val="0"/>
                <w:iCs w:val="0"/>
                <w:color w:val="000000"/>
                <w:sz w:val="20"/>
                <w:szCs w:val="20"/>
                <w:u w:val="none"/>
              </w:rPr>
            </w:pPr>
          </w:p>
        </w:tc>
        <w:tc>
          <w:tcPr>
            <w:tcW w:w="677" w:type="dxa"/>
            <w:vMerge w:val="continue"/>
            <w:shd w:val="clear" w:color="auto" w:fill="auto"/>
            <w:vAlign w:val="center"/>
          </w:tcPr>
          <w:p w14:paraId="15CFCD6A">
            <w:pPr>
              <w:jc w:val="center"/>
              <w:rPr>
                <w:rFonts w:hint="eastAsia" w:ascii="宋体" w:hAnsi="宋体" w:eastAsia="宋体" w:cs="宋体"/>
                <w:i w:val="0"/>
                <w:iCs w:val="0"/>
                <w:color w:val="000000"/>
                <w:sz w:val="20"/>
                <w:szCs w:val="20"/>
                <w:u w:val="none"/>
              </w:rPr>
            </w:pPr>
          </w:p>
        </w:tc>
        <w:tc>
          <w:tcPr>
            <w:tcW w:w="879" w:type="dxa"/>
            <w:vMerge w:val="continue"/>
            <w:shd w:val="clear" w:color="auto" w:fill="auto"/>
            <w:vAlign w:val="center"/>
          </w:tcPr>
          <w:p w14:paraId="6F8BAEB9">
            <w:pPr>
              <w:jc w:val="center"/>
              <w:rPr>
                <w:rFonts w:hint="eastAsia" w:ascii="宋体" w:hAnsi="宋体" w:eastAsia="宋体" w:cs="宋体"/>
                <w:i w:val="0"/>
                <w:iCs w:val="0"/>
                <w:color w:val="000000"/>
                <w:sz w:val="20"/>
                <w:szCs w:val="20"/>
                <w:u w:val="none"/>
              </w:rPr>
            </w:pPr>
          </w:p>
        </w:tc>
        <w:tc>
          <w:tcPr>
            <w:tcW w:w="1543" w:type="dxa"/>
            <w:shd w:val="clear" w:color="auto" w:fill="auto"/>
            <w:vAlign w:val="center"/>
          </w:tcPr>
          <w:p w14:paraId="0CD01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参与处理行政复议、诉讼、调解等法律事务</w:t>
            </w:r>
          </w:p>
        </w:tc>
        <w:tc>
          <w:tcPr>
            <w:tcW w:w="1238" w:type="dxa"/>
            <w:shd w:val="clear" w:color="auto" w:fill="auto"/>
            <w:vAlign w:val="center"/>
          </w:tcPr>
          <w:p w14:paraId="7F544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≧3件</w:t>
            </w:r>
          </w:p>
        </w:tc>
        <w:tc>
          <w:tcPr>
            <w:tcW w:w="889" w:type="dxa"/>
            <w:shd w:val="clear" w:color="auto" w:fill="auto"/>
            <w:vAlign w:val="center"/>
          </w:tcPr>
          <w:p w14:paraId="2B385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482959A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490D7E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6A209E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4" w:type="dxa"/>
            <w:shd w:val="clear" w:color="auto" w:fill="auto"/>
            <w:vAlign w:val="center"/>
          </w:tcPr>
          <w:p w14:paraId="152DB3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00DF07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3件</w:t>
            </w:r>
          </w:p>
        </w:tc>
        <w:tc>
          <w:tcPr>
            <w:tcW w:w="780" w:type="dxa"/>
            <w:shd w:val="clear" w:color="auto" w:fill="auto"/>
            <w:vAlign w:val="center"/>
          </w:tcPr>
          <w:p w14:paraId="7DF08FF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01CF40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6085AD68">
            <w:pPr>
              <w:jc w:val="center"/>
              <w:rPr>
                <w:rFonts w:hint="eastAsia" w:ascii="宋体" w:hAnsi="宋体" w:eastAsia="宋体" w:cs="宋体"/>
                <w:i w:val="0"/>
                <w:iCs w:val="0"/>
                <w:color w:val="000000"/>
                <w:sz w:val="20"/>
                <w:szCs w:val="20"/>
                <w:u w:val="none"/>
              </w:rPr>
            </w:pPr>
          </w:p>
        </w:tc>
      </w:tr>
      <w:tr w14:paraId="63BA6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7" w:type="dxa"/>
            <w:vMerge w:val="continue"/>
            <w:shd w:val="clear" w:color="auto" w:fill="auto"/>
            <w:vAlign w:val="center"/>
          </w:tcPr>
          <w:p w14:paraId="657C76BC">
            <w:pPr>
              <w:jc w:val="center"/>
              <w:rPr>
                <w:rFonts w:hint="eastAsia" w:ascii="宋体" w:hAnsi="宋体" w:eastAsia="宋体" w:cs="宋体"/>
                <w:i w:val="0"/>
                <w:iCs w:val="0"/>
                <w:color w:val="000000"/>
                <w:sz w:val="20"/>
                <w:szCs w:val="20"/>
                <w:u w:val="none"/>
              </w:rPr>
            </w:pPr>
          </w:p>
        </w:tc>
        <w:tc>
          <w:tcPr>
            <w:tcW w:w="677" w:type="dxa"/>
            <w:vMerge w:val="continue"/>
            <w:shd w:val="clear" w:color="auto" w:fill="auto"/>
            <w:vAlign w:val="center"/>
          </w:tcPr>
          <w:p w14:paraId="14306BE5">
            <w:pPr>
              <w:jc w:val="center"/>
              <w:rPr>
                <w:rFonts w:hint="eastAsia" w:ascii="宋体" w:hAnsi="宋体" w:eastAsia="宋体" w:cs="宋体"/>
                <w:i w:val="0"/>
                <w:iCs w:val="0"/>
                <w:color w:val="000000"/>
                <w:sz w:val="20"/>
                <w:szCs w:val="20"/>
                <w:u w:val="none"/>
              </w:rPr>
            </w:pPr>
          </w:p>
        </w:tc>
        <w:tc>
          <w:tcPr>
            <w:tcW w:w="879" w:type="dxa"/>
            <w:vMerge w:val="continue"/>
            <w:shd w:val="clear" w:color="auto" w:fill="auto"/>
            <w:vAlign w:val="center"/>
          </w:tcPr>
          <w:p w14:paraId="1E8367D6">
            <w:pPr>
              <w:jc w:val="center"/>
              <w:rPr>
                <w:rFonts w:hint="eastAsia" w:ascii="宋体" w:hAnsi="宋体" w:eastAsia="宋体" w:cs="宋体"/>
                <w:i w:val="0"/>
                <w:iCs w:val="0"/>
                <w:color w:val="000000"/>
                <w:sz w:val="20"/>
                <w:szCs w:val="20"/>
                <w:u w:val="none"/>
              </w:rPr>
            </w:pPr>
          </w:p>
        </w:tc>
        <w:tc>
          <w:tcPr>
            <w:tcW w:w="1543" w:type="dxa"/>
            <w:shd w:val="clear" w:color="auto" w:fill="auto"/>
            <w:vAlign w:val="center"/>
          </w:tcPr>
          <w:p w14:paraId="416386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为重大决策、重大行政行为提供法律意见</w:t>
            </w:r>
          </w:p>
        </w:tc>
        <w:tc>
          <w:tcPr>
            <w:tcW w:w="1238" w:type="dxa"/>
            <w:shd w:val="clear" w:color="auto" w:fill="auto"/>
            <w:vAlign w:val="center"/>
          </w:tcPr>
          <w:p w14:paraId="51CD0A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≧13件</w:t>
            </w:r>
          </w:p>
        </w:tc>
        <w:tc>
          <w:tcPr>
            <w:tcW w:w="889" w:type="dxa"/>
            <w:shd w:val="clear" w:color="auto" w:fill="auto"/>
            <w:vAlign w:val="center"/>
          </w:tcPr>
          <w:p w14:paraId="51A7FE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76D3F88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3A2A47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78D72A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4" w:type="dxa"/>
            <w:shd w:val="clear" w:color="auto" w:fill="auto"/>
            <w:vAlign w:val="center"/>
          </w:tcPr>
          <w:p w14:paraId="3BB70C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1AC213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13件</w:t>
            </w:r>
          </w:p>
        </w:tc>
        <w:tc>
          <w:tcPr>
            <w:tcW w:w="780" w:type="dxa"/>
            <w:shd w:val="clear" w:color="auto" w:fill="auto"/>
            <w:vAlign w:val="center"/>
          </w:tcPr>
          <w:p w14:paraId="2EFF90D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31CA4A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4E47FEDF">
            <w:pPr>
              <w:jc w:val="center"/>
              <w:rPr>
                <w:rFonts w:hint="eastAsia" w:ascii="宋体" w:hAnsi="宋体" w:eastAsia="宋体" w:cs="宋体"/>
                <w:i w:val="0"/>
                <w:iCs w:val="0"/>
                <w:color w:val="000000"/>
                <w:sz w:val="20"/>
                <w:szCs w:val="20"/>
                <w:u w:val="none"/>
              </w:rPr>
            </w:pPr>
          </w:p>
        </w:tc>
      </w:tr>
      <w:tr w14:paraId="0D88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77" w:type="dxa"/>
            <w:vMerge w:val="continue"/>
            <w:shd w:val="clear" w:color="auto" w:fill="auto"/>
            <w:vAlign w:val="center"/>
          </w:tcPr>
          <w:p w14:paraId="3810C410">
            <w:pPr>
              <w:jc w:val="center"/>
              <w:rPr>
                <w:rFonts w:hint="eastAsia" w:ascii="宋体" w:hAnsi="宋体" w:eastAsia="宋体" w:cs="宋体"/>
                <w:i w:val="0"/>
                <w:iCs w:val="0"/>
                <w:color w:val="000000"/>
                <w:sz w:val="20"/>
                <w:szCs w:val="20"/>
                <w:u w:val="none"/>
              </w:rPr>
            </w:pPr>
          </w:p>
        </w:tc>
        <w:tc>
          <w:tcPr>
            <w:tcW w:w="677" w:type="dxa"/>
            <w:vMerge w:val="continue"/>
            <w:shd w:val="clear" w:color="auto" w:fill="auto"/>
            <w:vAlign w:val="center"/>
          </w:tcPr>
          <w:p w14:paraId="6791466F">
            <w:pPr>
              <w:jc w:val="center"/>
              <w:rPr>
                <w:rFonts w:hint="eastAsia" w:ascii="宋体" w:hAnsi="宋体" w:eastAsia="宋体" w:cs="宋体"/>
                <w:i w:val="0"/>
                <w:iCs w:val="0"/>
                <w:color w:val="000000"/>
                <w:sz w:val="20"/>
                <w:szCs w:val="20"/>
                <w:u w:val="none"/>
              </w:rPr>
            </w:pPr>
          </w:p>
        </w:tc>
        <w:tc>
          <w:tcPr>
            <w:tcW w:w="879" w:type="dxa"/>
            <w:shd w:val="clear" w:color="auto" w:fill="auto"/>
            <w:vAlign w:val="center"/>
          </w:tcPr>
          <w:p w14:paraId="0C20BA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43" w:type="dxa"/>
            <w:shd w:val="clear" w:color="auto" w:fill="auto"/>
            <w:vAlign w:val="center"/>
          </w:tcPr>
          <w:p w14:paraId="6DA4C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法律咨询服务质量</w:t>
            </w:r>
          </w:p>
        </w:tc>
        <w:tc>
          <w:tcPr>
            <w:tcW w:w="1238" w:type="dxa"/>
            <w:shd w:val="clear" w:color="auto" w:fill="auto"/>
            <w:vAlign w:val="center"/>
          </w:tcPr>
          <w:p w14:paraId="4CF0CBB5">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100%</w:t>
            </w:r>
          </w:p>
        </w:tc>
        <w:tc>
          <w:tcPr>
            <w:tcW w:w="889" w:type="dxa"/>
            <w:shd w:val="clear" w:color="auto" w:fill="auto"/>
            <w:vAlign w:val="center"/>
          </w:tcPr>
          <w:p w14:paraId="1E3176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4BD41BA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08C09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6B86E8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4" w:type="dxa"/>
            <w:shd w:val="clear" w:color="auto" w:fill="auto"/>
            <w:vAlign w:val="center"/>
          </w:tcPr>
          <w:p w14:paraId="56D4E6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64654217">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100%</w:t>
            </w:r>
          </w:p>
        </w:tc>
        <w:tc>
          <w:tcPr>
            <w:tcW w:w="780" w:type="dxa"/>
            <w:shd w:val="clear" w:color="auto" w:fill="auto"/>
            <w:vAlign w:val="center"/>
          </w:tcPr>
          <w:p w14:paraId="1DCDDA6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7BAC02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3B71C1DA">
            <w:pPr>
              <w:jc w:val="center"/>
              <w:rPr>
                <w:rFonts w:hint="eastAsia" w:ascii="宋体" w:hAnsi="宋体" w:eastAsia="宋体" w:cs="宋体"/>
                <w:i w:val="0"/>
                <w:iCs w:val="0"/>
                <w:color w:val="000000"/>
                <w:sz w:val="20"/>
                <w:szCs w:val="20"/>
                <w:u w:val="none"/>
              </w:rPr>
            </w:pPr>
          </w:p>
        </w:tc>
      </w:tr>
      <w:tr w14:paraId="0D4D6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77" w:type="dxa"/>
            <w:vMerge w:val="continue"/>
            <w:shd w:val="clear" w:color="auto" w:fill="auto"/>
            <w:vAlign w:val="center"/>
          </w:tcPr>
          <w:p w14:paraId="3F2190D3">
            <w:pPr>
              <w:jc w:val="center"/>
              <w:rPr>
                <w:rFonts w:hint="eastAsia" w:ascii="宋体" w:hAnsi="宋体" w:eastAsia="宋体" w:cs="宋体"/>
                <w:i w:val="0"/>
                <w:iCs w:val="0"/>
                <w:color w:val="000000"/>
                <w:sz w:val="20"/>
                <w:szCs w:val="20"/>
                <w:u w:val="none"/>
              </w:rPr>
            </w:pPr>
          </w:p>
        </w:tc>
        <w:tc>
          <w:tcPr>
            <w:tcW w:w="677" w:type="dxa"/>
            <w:vMerge w:val="continue"/>
            <w:shd w:val="clear" w:color="auto" w:fill="auto"/>
            <w:vAlign w:val="center"/>
          </w:tcPr>
          <w:p w14:paraId="2E3B8265">
            <w:pPr>
              <w:jc w:val="center"/>
              <w:rPr>
                <w:rFonts w:hint="eastAsia" w:ascii="宋体" w:hAnsi="宋体" w:eastAsia="宋体" w:cs="宋体"/>
                <w:i w:val="0"/>
                <w:iCs w:val="0"/>
                <w:color w:val="000000"/>
                <w:sz w:val="20"/>
                <w:szCs w:val="20"/>
                <w:u w:val="none"/>
              </w:rPr>
            </w:pPr>
          </w:p>
        </w:tc>
        <w:tc>
          <w:tcPr>
            <w:tcW w:w="879" w:type="dxa"/>
            <w:shd w:val="clear" w:color="auto" w:fill="auto"/>
            <w:vAlign w:val="center"/>
          </w:tcPr>
          <w:p w14:paraId="48C7E9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3" w:type="dxa"/>
            <w:shd w:val="clear" w:color="auto" w:fill="auto"/>
            <w:vAlign w:val="center"/>
          </w:tcPr>
          <w:p w14:paraId="2296BF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服务期限</w:t>
            </w:r>
          </w:p>
        </w:tc>
        <w:tc>
          <w:tcPr>
            <w:tcW w:w="1238" w:type="dxa"/>
            <w:shd w:val="clear" w:color="auto" w:fill="auto"/>
            <w:vAlign w:val="center"/>
          </w:tcPr>
          <w:p w14:paraId="4591C4A4">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2021年7月31日-2022年7月31日</w:t>
            </w:r>
          </w:p>
        </w:tc>
        <w:tc>
          <w:tcPr>
            <w:tcW w:w="889" w:type="dxa"/>
            <w:shd w:val="clear" w:color="auto" w:fill="auto"/>
            <w:vAlign w:val="center"/>
          </w:tcPr>
          <w:p w14:paraId="52B7FA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668D78A3">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384472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7DE1D6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4" w:type="dxa"/>
            <w:shd w:val="clear" w:color="auto" w:fill="auto"/>
            <w:vAlign w:val="center"/>
          </w:tcPr>
          <w:p w14:paraId="237664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276395DF">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2022年7月31日</w:t>
            </w:r>
          </w:p>
        </w:tc>
        <w:tc>
          <w:tcPr>
            <w:tcW w:w="780" w:type="dxa"/>
            <w:shd w:val="clear" w:color="auto" w:fill="auto"/>
            <w:vAlign w:val="center"/>
          </w:tcPr>
          <w:p w14:paraId="56B3580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0FCA94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06E5EE1E">
            <w:pPr>
              <w:jc w:val="center"/>
              <w:rPr>
                <w:rFonts w:hint="eastAsia" w:ascii="宋体" w:hAnsi="宋体" w:eastAsia="宋体" w:cs="宋体"/>
                <w:i w:val="0"/>
                <w:iCs w:val="0"/>
                <w:color w:val="000000"/>
                <w:sz w:val="20"/>
                <w:szCs w:val="20"/>
                <w:u w:val="none"/>
              </w:rPr>
            </w:pPr>
          </w:p>
        </w:tc>
      </w:tr>
      <w:tr w14:paraId="3C7A6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677" w:type="dxa"/>
            <w:vMerge w:val="continue"/>
            <w:shd w:val="clear" w:color="auto" w:fill="auto"/>
            <w:vAlign w:val="center"/>
          </w:tcPr>
          <w:p w14:paraId="533740AC">
            <w:pPr>
              <w:jc w:val="center"/>
              <w:rPr>
                <w:rFonts w:hint="eastAsia" w:ascii="宋体" w:hAnsi="宋体" w:eastAsia="宋体" w:cs="宋体"/>
                <w:i w:val="0"/>
                <w:iCs w:val="0"/>
                <w:color w:val="000000"/>
                <w:sz w:val="20"/>
                <w:szCs w:val="20"/>
                <w:u w:val="none"/>
              </w:rPr>
            </w:pPr>
          </w:p>
        </w:tc>
        <w:tc>
          <w:tcPr>
            <w:tcW w:w="677" w:type="dxa"/>
            <w:shd w:val="clear" w:color="auto" w:fill="auto"/>
            <w:vAlign w:val="center"/>
          </w:tcPr>
          <w:p w14:paraId="4C95BA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9" w:type="dxa"/>
            <w:shd w:val="clear" w:color="auto" w:fill="auto"/>
            <w:vAlign w:val="center"/>
          </w:tcPr>
          <w:p w14:paraId="4C5810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3" w:type="dxa"/>
            <w:shd w:val="clear" w:color="auto" w:fill="auto"/>
            <w:vAlign w:val="center"/>
          </w:tcPr>
          <w:p w14:paraId="0A6BB6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为政府及时提供法律服务，降低风险，推进建设法治政府建设</w:t>
            </w:r>
          </w:p>
        </w:tc>
        <w:tc>
          <w:tcPr>
            <w:tcW w:w="1238" w:type="dxa"/>
            <w:shd w:val="clear" w:color="auto" w:fill="auto"/>
            <w:vAlign w:val="center"/>
          </w:tcPr>
          <w:p w14:paraId="6941BDB3">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长期有效</w:t>
            </w:r>
          </w:p>
        </w:tc>
        <w:tc>
          <w:tcPr>
            <w:tcW w:w="889" w:type="dxa"/>
            <w:shd w:val="clear" w:color="auto" w:fill="auto"/>
            <w:vAlign w:val="center"/>
          </w:tcPr>
          <w:p w14:paraId="7F7E1E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0F3F8E3E">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02D970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53" w:type="dxa"/>
            <w:shd w:val="clear" w:color="auto" w:fill="auto"/>
            <w:vAlign w:val="center"/>
          </w:tcPr>
          <w:p w14:paraId="5C97CA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评判等级赋分</w:t>
            </w:r>
          </w:p>
        </w:tc>
        <w:tc>
          <w:tcPr>
            <w:tcW w:w="834" w:type="dxa"/>
            <w:shd w:val="clear" w:color="auto" w:fill="auto"/>
            <w:vAlign w:val="center"/>
          </w:tcPr>
          <w:p w14:paraId="54729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0429128E">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100%</w:t>
            </w:r>
          </w:p>
        </w:tc>
        <w:tc>
          <w:tcPr>
            <w:tcW w:w="780" w:type="dxa"/>
            <w:shd w:val="clear" w:color="auto" w:fill="auto"/>
            <w:vAlign w:val="center"/>
          </w:tcPr>
          <w:p w14:paraId="0502A5A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2E6A8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235" w:type="dxa"/>
            <w:shd w:val="clear" w:color="auto" w:fill="auto"/>
            <w:vAlign w:val="center"/>
          </w:tcPr>
          <w:p w14:paraId="7FA8632A">
            <w:pPr>
              <w:jc w:val="center"/>
              <w:rPr>
                <w:rFonts w:hint="eastAsia" w:ascii="宋体" w:hAnsi="宋体" w:eastAsia="宋体" w:cs="宋体"/>
                <w:i w:val="0"/>
                <w:iCs w:val="0"/>
                <w:color w:val="000000"/>
                <w:sz w:val="20"/>
                <w:szCs w:val="20"/>
                <w:u w:val="none"/>
              </w:rPr>
            </w:pPr>
          </w:p>
        </w:tc>
      </w:tr>
      <w:tr w14:paraId="0357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677" w:type="dxa"/>
            <w:vMerge w:val="continue"/>
            <w:shd w:val="clear" w:color="auto" w:fill="auto"/>
            <w:vAlign w:val="center"/>
          </w:tcPr>
          <w:p w14:paraId="7D731BEE">
            <w:pPr>
              <w:jc w:val="center"/>
              <w:rPr>
                <w:rFonts w:hint="eastAsia" w:ascii="宋体" w:hAnsi="宋体" w:eastAsia="宋体" w:cs="宋体"/>
                <w:i w:val="0"/>
                <w:iCs w:val="0"/>
                <w:color w:val="000000"/>
                <w:sz w:val="20"/>
                <w:szCs w:val="20"/>
                <w:u w:val="none"/>
              </w:rPr>
            </w:pPr>
          </w:p>
        </w:tc>
        <w:tc>
          <w:tcPr>
            <w:tcW w:w="677" w:type="dxa"/>
            <w:shd w:val="clear" w:color="auto" w:fill="auto"/>
            <w:vAlign w:val="center"/>
          </w:tcPr>
          <w:p w14:paraId="66B6F2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9" w:type="dxa"/>
            <w:shd w:val="clear" w:color="auto" w:fill="auto"/>
            <w:vAlign w:val="center"/>
          </w:tcPr>
          <w:p w14:paraId="42A231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43" w:type="dxa"/>
            <w:shd w:val="clear" w:color="auto" w:fill="auto"/>
            <w:vAlign w:val="center"/>
          </w:tcPr>
          <w:p w14:paraId="66B89B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案件服务对象满意度</w:t>
            </w:r>
          </w:p>
        </w:tc>
        <w:tc>
          <w:tcPr>
            <w:tcW w:w="1238" w:type="dxa"/>
            <w:shd w:val="clear" w:color="auto" w:fill="auto"/>
            <w:vAlign w:val="center"/>
          </w:tcPr>
          <w:p w14:paraId="2BEBDD8C">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95%</w:t>
            </w:r>
          </w:p>
        </w:tc>
        <w:tc>
          <w:tcPr>
            <w:tcW w:w="889" w:type="dxa"/>
            <w:shd w:val="clear" w:color="auto" w:fill="auto"/>
            <w:vAlign w:val="center"/>
          </w:tcPr>
          <w:p w14:paraId="195943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568" w:type="dxa"/>
            <w:shd w:val="clear" w:color="auto" w:fill="auto"/>
            <w:noWrap/>
            <w:vAlign w:val="center"/>
          </w:tcPr>
          <w:p w14:paraId="50B81AEA">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71" w:type="dxa"/>
            <w:shd w:val="clear" w:color="auto" w:fill="auto"/>
            <w:vAlign w:val="center"/>
          </w:tcPr>
          <w:p w14:paraId="6CFF01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3" w:type="dxa"/>
            <w:shd w:val="clear" w:color="auto" w:fill="auto"/>
            <w:vAlign w:val="center"/>
          </w:tcPr>
          <w:p w14:paraId="32207A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34" w:type="dxa"/>
            <w:shd w:val="clear" w:color="auto" w:fill="auto"/>
            <w:vAlign w:val="center"/>
          </w:tcPr>
          <w:p w14:paraId="66FCE5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4" w:type="dxa"/>
            <w:shd w:val="clear" w:color="auto" w:fill="auto"/>
            <w:vAlign w:val="center"/>
          </w:tcPr>
          <w:p w14:paraId="0D9463E2">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97%</w:t>
            </w:r>
          </w:p>
        </w:tc>
        <w:tc>
          <w:tcPr>
            <w:tcW w:w="780" w:type="dxa"/>
            <w:shd w:val="clear" w:color="auto" w:fill="auto"/>
            <w:vAlign w:val="center"/>
          </w:tcPr>
          <w:p w14:paraId="40B85FB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07643B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5" w:type="dxa"/>
            <w:shd w:val="clear" w:color="auto" w:fill="auto"/>
            <w:vAlign w:val="center"/>
          </w:tcPr>
          <w:p w14:paraId="709BDC73">
            <w:pPr>
              <w:jc w:val="center"/>
              <w:rPr>
                <w:rFonts w:hint="eastAsia" w:ascii="宋体" w:hAnsi="宋体" w:eastAsia="宋体" w:cs="宋体"/>
                <w:i w:val="0"/>
                <w:iCs w:val="0"/>
                <w:color w:val="000000"/>
                <w:sz w:val="20"/>
                <w:szCs w:val="20"/>
                <w:u w:val="none"/>
              </w:rPr>
            </w:pPr>
          </w:p>
        </w:tc>
      </w:tr>
      <w:tr w14:paraId="3080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776" w:type="dxa"/>
            <w:gridSpan w:val="4"/>
            <w:shd w:val="clear" w:color="auto" w:fill="auto"/>
            <w:vAlign w:val="center"/>
          </w:tcPr>
          <w:p w14:paraId="4BC9A2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38" w:type="dxa"/>
            <w:shd w:val="clear" w:color="auto" w:fill="auto"/>
            <w:vAlign w:val="center"/>
          </w:tcPr>
          <w:p w14:paraId="64C246D6">
            <w:pPr>
              <w:jc w:val="center"/>
              <w:rPr>
                <w:rFonts w:hint="eastAsia" w:ascii="宋体" w:hAnsi="宋体" w:eastAsia="宋体" w:cs="宋体"/>
                <w:i w:val="0"/>
                <w:iCs w:val="0"/>
                <w:color w:val="000000"/>
                <w:sz w:val="20"/>
                <w:szCs w:val="20"/>
                <w:u w:val="none"/>
              </w:rPr>
            </w:pPr>
          </w:p>
        </w:tc>
        <w:tc>
          <w:tcPr>
            <w:tcW w:w="889" w:type="dxa"/>
            <w:shd w:val="clear" w:color="auto" w:fill="auto"/>
            <w:vAlign w:val="center"/>
          </w:tcPr>
          <w:p w14:paraId="2F8F3C08">
            <w:pPr>
              <w:jc w:val="center"/>
              <w:rPr>
                <w:rFonts w:hint="eastAsia" w:ascii="宋体" w:hAnsi="宋体" w:eastAsia="宋体" w:cs="宋体"/>
                <w:b/>
                <w:bCs/>
                <w:i w:val="0"/>
                <w:iCs w:val="0"/>
                <w:color w:val="000000"/>
                <w:sz w:val="20"/>
                <w:szCs w:val="20"/>
                <w:u w:val="none"/>
              </w:rPr>
            </w:pPr>
          </w:p>
        </w:tc>
        <w:tc>
          <w:tcPr>
            <w:tcW w:w="568" w:type="dxa"/>
            <w:shd w:val="clear" w:color="auto" w:fill="auto"/>
            <w:vAlign w:val="center"/>
          </w:tcPr>
          <w:p w14:paraId="579E8837">
            <w:pPr>
              <w:jc w:val="center"/>
              <w:rPr>
                <w:rFonts w:hint="eastAsia" w:ascii="宋体" w:hAnsi="宋体" w:eastAsia="宋体" w:cs="宋体"/>
                <w:i w:val="0"/>
                <w:iCs w:val="0"/>
                <w:color w:val="000000"/>
                <w:sz w:val="20"/>
                <w:szCs w:val="20"/>
                <w:u w:val="none"/>
              </w:rPr>
            </w:pPr>
          </w:p>
        </w:tc>
        <w:tc>
          <w:tcPr>
            <w:tcW w:w="671" w:type="dxa"/>
            <w:shd w:val="clear" w:color="auto" w:fill="auto"/>
            <w:vAlign w:val="center"/>
          </w:tcPr>
          <w:p w14:paraId="715D51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53" w:type="dxa"/>
            <w:shd w:val="clear" w:color="auto" w:fill="auto"/>
            <w:vAlign w:val="center"/>
          </w:tcPr>
          <w:p w14:paraId="41047487">
            <w:pPr>
              <w:jc w:val="center"/>
              <w:rPr>
                <w:rFonts w:hint="eastAsia" w:ascii="宋体" w:hAnsi="宋体" w:eastAsia="宋体" w:cs="宋体"/>
                <w:i w:val="0"/>
                <w:iCs w:val="0"/>
                <w:color w:val="000000"/>
                <w:sz w:val="20"/>
                <w:szCs w:val="20"/>
                <w:u w:val="none"/>
              </w:rPr>
            </w:pPr>
          </w:p>
        </w:tc>
        <w:tc>
          <w:tcPr>
            <w:tcW w:w="834" w:type="dxa"/>
            <w:shd w:val="clear" w:color="auto" w:fill="auto"/>
            <w:vAlign w:val="center"/>
          </w:tcPr>
          <w:p w14:paraId="6526ABBD">
            <w:pPr>
              <w:jc w:val="center"/>
              <w:rPr>
                <w:rFonts w:hint="eastAsia" w:ascii="宋体" w:hAnsi="宋体" w:eastAsia="宋体" w:cs="宋体"/>
                <w:i w:val="0"/>
                <w:iCs w:val="0"/>
                <w:color w:val="000000"/>
                <w:sz w:val="20"/>
                <w:szCs w:val="20"/>
                <w:u w:val="none"/>
              </w:rPr>
            </w:pPr>
          </w:p>
        </w:tc>
        <w:tc>
          <w:tcPr>
            <w:tcW w:w="1174" w:type="dxa"/>
            <w:shd w:val="clear" w:color="auto" w:fill="auto"/>
            <w:vAlign w:val="center"/>
          </w:tcPr>
          <w:p w14:paraId="02CDAD66">
            <w:pPr>
              <w:jc w:val="center"/>
              <w:rPr>
                <w:rFonts w:hint="eastAsia" w:ascii="宋体" w:hAnsi="宋体" w:eastAsia="宋体" w:cs="宋体"/>
                <w:i w:val="0"/>
                <w:iCs w:val="0"/>
                <w:color w:val="000000"/>
                <w:sz w:val="20"/>
                <w:szCs w:val="20"/>
                <w:u w:val="none"/>
              </w:rPr>
            </w:pPr>
          </w:p>
        </w:tc>
        <w:tc>
          <w:tcPr>
            <w:tcW w:w="780" w:type="dxa"/>
            <w:shd w:val="clear" w:color="auto" w:fill="auto"/>
            <w:vAlign w:val="center"/>
          </w:tcPr>
          <w:p w14:paraId="54DFF0CA">
            <w:pPr>
              <w:jc w:val="center"/>
            </w:pPr>
          </w:p>
        </w:tc>
        <w:tc>
          <w:tcPr>
            <w:tcW w:w="956" w:type="dxa"/>
            <w:shd w:val="clear" w:color="auto" w:fill="auto"/>
            <w:vAlign w:val="center"/>
          </w:tcPr>
          <w:p w14:paraId="265728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235" w:type="dxa"/>
            <w:shd w:val="clear" w:color="auto" w:fill="auto"/>
            <w:vAlign w:val="center"/>
          </w:tcPr>
          <w:p w14:paraId="1E0D80A1">
            <w:pPr>
              <w:jc w:val="center"/>
              <w:rPr>
                <w:rFonts w:hint="eastAsia" w:ascii="宋体" w:hAnsi="宋体" w:eastAsia="宋体" w:cs="宋体"/>
                <w:i w:val="0"/>
                <w:iCs w:val="0"/>
                <w:color w:val="000000"/>
                <w:sz w:val="20"/>
                <w:szCs w:val="20"/>
                <w:u w:val="none"/>
              </w:rPr>
            </w:pPr>
          </w:p>
        </w:tc>
      </w:tr>
    </w:tbl>
    <w:p w14:paraId="24DF8EB6">
      <w:pPr>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39545C67">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F0B7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FEFD95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0BE71E2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AF5B38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352C461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7B96B24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D0A47A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4FB8EC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43F5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23E8DB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4C963F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71BE21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241A4F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6D10EB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4FE01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57CADF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F27FD9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67813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A5EEF9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9A757F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1CD2CBF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6C1B71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55706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D79098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83A2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2536ED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03464B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1246D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1AB87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285B8DA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55E445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4FD51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597991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994147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A9DA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3F55FDD">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B6D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89DF78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EA766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72200E5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5EAD94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F9B769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5C398A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1AA9C9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EFE857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4A53D3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EEA23B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5A894BF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00753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D750B7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FD83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29F07EB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CD051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7652D22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88694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55BDDD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3BD196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72074F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EC9E8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4A0661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70ABDF66">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24CBF0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8EC0DA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D2A0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18E2C0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9047D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EB3E3F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04A1FB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212AFB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1EAB65E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13C225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26AE8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7A891A0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C400F3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3A5AFC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1036E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C6AAEC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AD2C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C67F72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652CFD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6373C8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C4362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A067E6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5E0136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FD5F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0984463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5BDD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D58F3D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ED9A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4A39304">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014253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995F7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B5EA9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9EB3CC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B6DEAF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894946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2FC9C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60A2C4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B4A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47BF978">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B2B5144">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515FC6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5A7407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A4D92C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04F94A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0D4EA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5B6EB3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A351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E72A3E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795626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5AF70F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29827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EC28E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345D0C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2D20B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570D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13E22F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16FA29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0165F1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3A85C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D40157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E85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8B49B5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B8814F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82522E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059166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CDFC8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0E3881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4A5B4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18FBA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8D4DEC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2190C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F3A14B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DBAA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4D68F5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ECA19C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30F8A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0BC0C9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65D282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C6D914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9D62F6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ADA944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524D3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5EE44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D9371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D1D2D3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3D9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367C68A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4B7EE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78B325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Theme="majorEastAsia" w:hAnsiTheme="majorEastAsia" w:eastAsiaTheme="majorEastAsia" w:cstheme="majorEastAsia"/>
                <w:i w:val="0"/>
                <w:color w:val="auto"/>
                <w:kern w:val="0"/>
                <w:sz w:val="21"/>
                <w:szCs w:val="21"/>
                <w:highlight w:val="none"/>
                <w:u w:val="none"/>
                <w:lang w:val="en-US" w:eastAsia="zh-CN" w:bidi="ar"/>
              </w:rPr>
              <w:t>从律师事务所购买法律服务</w:t>
            </w:r>
          </w:p>
        </w:tc>
        <w:tc>
          <w:tcPr>
            <w:tcW w:w="2141" w:type="dxa"/>
            <w:shd w:val="clear" w:color="auto" w:fill="auto"/>
            <w:noWrap w:val="0"/>
            <w:vAlign w:val="center"/>
          </w:tcPr>
          <w:p w14:paraId="1F0668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AD17B1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73BBF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25762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674A79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4A5322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E5F6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34A05C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B2F4DC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7A4DAC1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Theme="majorEastAsia" w:hAnsiTheme="majorEastAsia" w:eastAsiaTheme="majorEastAsia" w:cstheme="majorEastAsia"/>
                <w:i w:val="0"/>
                <w:color w:val="auto"/>
                <w:kern w:val="0"/>
                <w:sz w:val="21"/>
                <w:szCs w:val="21"/>
                <w:highlight w:val="none"/>
                <w:u w:val="none"/>
                <w:lang w:val="en-US" w:eastAsia="zh-CN" w:bidi="ar"/>
              </w:rPr>
              <w:t>参与处理行政复议、诉讼、调解等法律事务</w:t>
            </w:r>
          </w:p>
        </w:tc>
        <w:tc>
          <w:tcPr>
            <w:tcW w:w="2141" w:type="dxa"/>
            <w:shd w:val="clear" w:color="auto" w:fill="auto"/>
            <w:noWrap w:val="0"/>
            <w:vAlign w:val="center"/>
          </w:tcPr>
          <w:p w14:paraId="2F491B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91FFB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C730F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152F8C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2C7D499">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19E5B12">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68D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D204D4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A3587C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22E705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Theme="majorEastAsia" w:hAnsiTheme="majorEastAsia" w:eastAsiaTheme="majorEastAsia" w:cstheme="majorEastAsia"/>
                <w:i w:val="0"/>
                <w:color w:val="auto"/>
                <w:kern w:val="0"/>
                <w:sz w:val="21"/>
                <w:szCs w:val="21"/>
                <w:highlight w:val="none"/>
                <w:u w:val="none"/>
                <w:lang w:val="en-US" w:eastAsia="zh-CN" w:bidi="ar"/>
              </w:rPr>
              <w:t>为重大决策、重大行政行为提供法律意见</w:t>
            </w:r>
          </w:p>
        </w:tc>
        <w:tc>
          <w:tcPr>
            <w:tcW w:w="2141" w:type="dxa"/>
            <w:shd w:val="clear" w:color="auto" w:fill="auto"/>
            <w:noWrap w:val="0"/>
            <w:vAlign w:val="center"/>
          </w:tcPr>
          <w:p w14:paraId="2D8E7E0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0E51CC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00D08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7410F3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1A8197B">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7B991C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B84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308E3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57D737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14EDA0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法律咨询服务质量</w:t>
            </w:r>
          </w:p>
        </w:tc>
        <w:tc>
          <w:tcPr>
            <w:tcW w:w="2141" w:type="dxa"/>
            <w:shd w:val="clear" w:color="auto" w:fill="auto"/>
            <w:noWrap w:val="0"/>
            <w:vAlign w:val="center"/>
          </w:tcPr>
          <w:p w14:paraId="32DE2D3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317A77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EFF1B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5B706E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0A8C26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2A43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8891E7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1F0334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0BE844F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服务期限完成及时性</w:t>
            </w:r>
          </w:p>
        </w:tc>
        <w:tc>
          <w:tcPr>
            <w:tcW w:w="2141" w:type="dxa"/>
            <w:shd w:val="clear" w:color="auto" w:fill="auto"/>
            <w:noWrap w:val="0"/>
            <w:vAlign w:val="center"/>
          </w:tcPr>
          <w:p w14:paraId="13ABC67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E4E79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6AE5C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972E15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F707D6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C0A2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4B08AE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1BD69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00C553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全年法律顾问经费支出</w:t>
            </w:r>
          </w:p>
        </w:tc>
        <w:tc>
          <w:tcPr>
            <w:tcW w:w="2141" w:type="dxa"/>
            <w:shd w:val="clear" w:color="auto" w:fill="auto"/>
            <w:noWrap w:val="0"/>
            <w:vAlign w:val="center"/>
          </w:tcPr>
          <w:p w14:paraId="7BA84E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40F8ED6A">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7590C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ED2648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006D9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CB6C22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89E8F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600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47DCE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94F6B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E8AC1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为政府及时提供法律服务，降低风险，推进建设法治政府建设</w:t>
            </w:r>
          </w:p>
        </w:tc>
        <w:tc>
          <w:tcPr>
            <w:tcW w:w="2141" w:type="dxa"/>
            <w:shd w:val="clear" w:color="auto" w:fill="auto"/>
            <w:noWrap w:val="0"/>
            <w:vAlign w:val="center"/>
          </w:tcPr>
          <w:p w14:paraId="1BA504F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75C0F0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A66A13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2053BB0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0D5C2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74C6C9E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eastAsia="zh-CN"/>
              </w:rPr>
              <w:t>1</w:t>
            </w:r>
            <w:r>
              <w:rPr>
                <w:rFonts w:hint="eastAsia" w:cs="宋体"/>
                <w:color w:val="auto"/>
                <w:kern w:val="0"/>
                <w:sz w:val="22"/>
                <w:szCs w:val="22"/>
                <w:highlight w:val="none"/>
                <w:lang w:val="en-US" w:eastAsia="zh-CN"/>
              </w:rPr>
              <w:t>5</w:t>
            </w:r>
          </w:p>
        </w:tc>
        <w:tc>
          <w:tcPr>
            <w:tcW w:w="727" w:type="dxa"/>
            <w:vMerge w:val="continue"/>
            <w:shd w:val="clear" w:color="auto" w:fill="auto"/>
            <w:noWrap w:val="0"/>
            <w:vAlign w:val="center"/>
          </w:tcPr>
          <w:p w14:paraId="7E568B1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93AA7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案件服务对象满意度</w:t>
            </w:r>
          </w:p>
        </w:tc>
        <w:tc>
          <w:tcPr>
            <w:tcW w:w="2141" w:type="dxa"/>
            <w:shd w:val="clear" w:color="auto" w:fill="auto"/>
            <w:noWrap w:val="0"/>
            <w:vAlign w:val="center"/>
          </w:tcPr>
          <w:p w14:paraId="760826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272CB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623CBBF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11171F6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51D96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BA23C6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51B976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F50F15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782CCA1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08B956D0">
      <w:pPr>
        <w:spacing w:line="240" w:lineRule="auto"/>
        <w:ind w:firstLine="0" w:firstLineChars="0"/>
        <w:rPr>
          <w:rFonts w:ascii="Times New Roman" w:hAnsi="Times New Roman" w:eastAsia="仿宋_GB2312" w:cs="Times New Roman"/>
          <w:color w:val="auto"/>
          <w:sz w:val="30"/>
          <w:szCs w:val="24"/>
          <w:highlight w:val="none"/>
        </w:rPr>
      </w:pPr>
    </w:p>
    <w:p w14:paraId="271B1191">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EF14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D347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420161">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420161">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33F80">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208"/>
  <w:displayHorizontalDrawingGridEvery w:val="1"/>
  <w:displayVerticalDrawingGridEvery w:val="1"/>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885ABD"/>
    <w:rsid w:val="00E23C81"/>
    <w:rsid w:val="01161271"/>
    <w:rsid w:val="01253350"/>
    <w:rsid w:val="01282E62"/>
    <w:rsid w:val="014029CF"/>
    <w:rsid w:val="01470C4C"/>
    <w:rsid w:val="02200440"/>
    <w:rsid w:val="02284B43"/>
    <w:rsid w:val="02B015E2"/>
    <w:rsid w:val="02DC08FA"/>
    <w:rsid w:val="033B569D"/>
    <w:rsid w:val="039C3BA0"/>
    <w:rsid w:val="03A845BB"/>
    <w:rsid w:val="03B45AD1"/>
    <w:rsid w:val="043467C2"/>
    <w:rsid w:val="04D12EE4"/>
    <w:rsid w:val="04D63993"/>
    <w:rsid w:val="06251993"/>
    <w:rsid w:val="06A00883"/>
    <w:rsid w:val="06DF1008"/>
    <w:rsid w:val="07890F4F"/>
    <w:rsid w:val="08892439"/>
    <w:rsid w:val="08EB30F3"/>
    <w:rsid w:val="09237408"/>
    <w:rsid w:val="09745228"/>
    <w:rsid w:val="09781BD6"/>
    <w:rsid w:val="09F359DF"/>
    <w:rsid w:val="0A416CF7"/>
    <w:rsid w:val="0A497515"/>
    <w:rsid w:val="0A5441B9"/>
    <w:rsid w:val="0A575E65"/>
    <w:rsid w:val="0ACA0AB6"/>
    <w:rsid w:val="0C032502"/>
    <w:rsid w:val="0C0A5BA4"/>
    <w:rsid w:val="0C27698C"/>
    <w:rsid w:val="0CD854BC"/>
    <w:rsid w:val="0D4452F3"/>
    <w:rsid w:val="0F5E5042"/>
    <w:rsid w:val="0F5E5C1A"/>
    <w:rsid w:val="0FE95707"/>
    <w:rsid w:val="10510571"/>
    <w:rsid w:val="10787A20"/>
    <w:rsid w:val="108672DE"/>
    <w:rsid w:val="10EC685A"/>
    <w:rsid w:val="10F27B98"/>
    <w:rsid w:val="115C5D06"/>
    <w:rsid w:val="11993B5C"/>
    <w:rsid w:val="11FA6155"/>
    <w:rsid w:val="12CF0947"/>
    <w:rsid w:val="12F1313F"/>
    <w:rsid w:val="1303306A"/>
    <w:rsid w:val="136C678E"/>
    <w:rsid w:val="13EB2FF5"/>
    <w:rsid w:val="14112CB9"/>
    <w:rsid w:val="145F533B"/>
    <w:rsid w:val="14CD7BF4"/>
    <w:rsid w:val="15A46B04"/>
    <w:rsid w:val="165825BC"/>
    <w:rsid w:val="16BC5D73"/>
    <w:rsid w:val="176F36D7"/>
    <w:rsid w:val="1795226D"/>
    <w:rsid w:val="18456B1E"/>
    <w:rsid w:val="184D5519"/>
    <w:rsid w:val="18CF6AEB"/>
    <w:rsid w:val="19A70127"/>
    <w:rsid w:val="19FB379F"/>
    <w:rsid w:val="1B6B7E7F"/>
    <w:rsid w:val="1C1171C5"/>
    <w:rsid w:val="1D265138"/>
    <w:rsid w:val="1D7B6BCA"/>
    <w:rsid w:val="1DA41A79"/>
    <w:rsid w:val="1DF53469"/>
    <w:rsid w:val="1E2F24F2"/>
    <w:rsid w:val="1E58492F"/>
    <w:rsid w:val="1E5B6757"/>
    <w:rsid w:val="1ED10AC6"/>
    <w:rsid w:val="1F690E13"/>
    <w:rsid w:val="1F89225F"/>
    <w:rsid w:val="1F900A1F"/>
    <w:rsid w:val="1FC0575D"/>
    <w:rsid w:val="206132C7"/>
    <w:rsid w:val="20C12B67"/>
    <w:rsid w:val="21B00C1D"/>
    <w:rsid w:val="23031BEB"/>
    <w:rsid w:val="23917691"/>
    <w:rsid w:val="244D65B8"/>
    <w:rsid w:val="245E1E24"/>
    <w:rsid w:val="25AD5E5D"/>
    <w:rsid w:val="25DA42DD"/>
    <w:rsid w:val="2732478D"/>
    <w:rsid w:val="27661469"/>
    <w:rsid w:val="27900EAD"/>
    <w:rsid w:val="279B538A"/>
    <w:rsid w:val="286F545C"/>
    <w:rsid w:val="29280DD5"/>
    <w:rsid w:val="29314FBC"/>
    <w:rsid w:val="29463522"/>
    <w:rsid w:val="2B5446FD"/>
    <w:rsid w:val="2C024B86"/>
    <w:rsid w:val="2C56006A"/>
    <w:rsid w:val="2C927671"/>
    <w:rsid w:val="2D7C5CD6"/>
    <w:rsid w:val="2E454B39"/>
    <w:rsid w:val="2E483E7E"/>
    <w:rsid w:val="2E690493"/>
    <w:rsid w:val="2E9854BD"/>
    <w:rsid w:val="2F0D407F"/>
    <w:rsid w:val="2F381F67"/>
    <w:rsid w:val="2F454B19"/>
    <w:rsid w:val="310224D9"/>
    <w:rsid w:val="31B4621C"/>
    <w:rsid w:val="31E3230A"/>
    <w:rsid w:val="32F676BA"/>
    <w:rsid w:val="330957E0"/>
    <w:rsid w:val="33356F64"/>
    <w:rsid w:val="33944516"/>
    <w:rsid w:val="33ED47A9"/>
    <w:rsid w:val="34B62907"/>
    <w:rsid w:val="364F3A55"/>
    <w:rsid w:val="36BD137C"/>
    <w:rsid w:val="37F4776F"/>
    <w:rsid w:val="385D37E7"/>
    <w:rsid w:val="38782EDD"/>
    <w:rsid w:val="38DE1B0F"/>
    <w:rsid w:val="3ABE77DA"/>
    <w:rsid w:val="3B42664A"/>
    <w:rsid w:val="3C34053B"/>
    <w:rsid w:val="3C7B1312"/>
    <w:rsid w:val="3D836A4E"/>
    <w:rsid w:val="3DBE62CE"/>
    <w:rsid w:val="3E21278B"/>
    <w:rsid w:val="3EA37E97"/>
    <w:rsid w:val="3EEB75C3"/>
    <w:rsid w:val="3FBE0BC5"/>
    <w:rsid w:val="3FD43D32"/>
    <w:rsid w:val="4048103A"/>
    <w:rsid w:val="40736643"/>
    <w:rsid w:val="40B75BE8"/>
    <w:rsid w:val="40D24A7A"/>
    <w:rsid w:val="42621029"/>
    <w:rsid w:val="430B2480"/>
    <w:rsid w:val="435241E2"/>
    <w:rsid w:val="43975C51"/>
    <w:rsid w:val="439E3FA7"/>
    <w:rsid w:val="44334DD5"/>
    <w:rsid w:val="447719D8"/>
    <w:rsid w:val="44B32266"/>
    <w:rsid w:val="44FC64F4"/>
    <w:rsid w:val="459D5F7E"/>
    <w:rsid w:val="45B4697C"/>
    <w:rsid w:val="46745C32"/>
    <w:rsid w:val="467F4585"/>
    <w:rsid w:val="470628CB"/>
    <w:rsid w:val="472F76BE"/>
    <w:rsid w:val="47555BD4"/>
    <w:rsid w:val="47E96399"/>
    <w:rsid w:val="48E12B50"/>
    <w:rsid w:val="49591946"/>
    <w:rsid w:val="499441BE"/>
    <w:rsid w:val="499A6C1C"/>
    <w:rsid w:val="49FE5099"/>
    <w:rsid w:val="4A2138F0"/>
    <w:rsid w:val="4A3A1D84"/>
    <w:rsid w:val="4A412379"/>
    <w:rsid w:val="4A442EBC"/>
    <w:rsid w:val="4A583887"/>
    <w:rsid w:val="4B5079D9"/>
    <w:rsid w:val="4B882156"/>
    <w:rsid w:val="4B9F6E02"/>
    <w:rsid w:val="4C89637B"/>
    <w:rsid w:val="4D097704"/>
    <w:rsid w:val="4E6E48A8"/>
    <w:rsid w:val="4EEC036B"/>
    <w:rsid w:val="4F237460"/>
    <w:rsid w:val="501D2673"/>
    <w:rsid w:val="50713517"/>
    <w:rsid w:val="50C80BF1"/>
    <w:rsid w:val="5129582E"/>
    <w:rsid w:val="51852833"/>
    <w:rsid w:val="51C7024B"/>
    <w:rsid w:val="52C84A15"/>
    <w:rsid w:val="52D12204"/>
    <w:rsid w:val="52E41EAA"/>
    <w:rsid w:val="52F11AC8"/>
    <w:rsid w:val="534F49D9"/>
    <w:rsid w:val="53555F0F"/>
    <w:rsid w:val="535D23D5"/>
    <w:rsid w:val="56727A53"/>
    <w:rsid w:val="56D32A9A"/>
    <w:rsid w:val="56F4341A"/>
    <w:rsid w:val="575A7321"/>
    <w:rsid w:val="57D61845"/>
    <w:rsid w:val="580C3AB9"/>
    <w:rsid w:val="583C7AE0"/>
    <w:rsid w:val="586C1E9A"/>
    <w:rsid w:val="586E0800"/>
    <w:rsid w:val="59216F96"/>
    <w:rsid w:val="59646F79"/>
    <w:rsid w:val="598C4145"/>
    <w:rsid w:val="59957D1B"/>
    <w:rsid w:val="59D4294E"/>
    <w:rsid w:val="5A990C1B"/>
    <w:rsid w:val="5AC818C8"/>
    <w:rsid w:val="5B634312"/>
    <w:rsid w:val="5B9D2CCD"/>
    <w:rsid w:val="5B9E71EA"/>
    <w:rsid w:val="5C2F725C"/>
    <w:rsid w:val="5C614F1B"/>
    <w:rsid w:val="5DB3219A"/>
    <w:rsid w:val="5E226FBC"/>
    <w:rsid w:val="5FE72BD2"/>
    <w:rsid w:val="60120613"/>
    <w:rsid w:val="618D5292"/>
    <w:rsid w:val="622E78FA"/>
    <w:rsid w:val="63343F70"/>
    <w:rsid w:val="63B02FBC"/>
    <w:rsid w:val="64296E1C"/>
    <w:rsid w:val="649E64A2"/>
    <w:rsid w:val="652841FD"/>
    <w:rsid w:val="65E5270A"/>
    <w:rsid w:val="66375CA0"/>
    <w:rsid w:val="663D3C54"/>
    <w:rsid w:val="66862C89"/>
    <w:rsid w:val="66BB486D"/>
    <w:rsid w:val="67394C7D"/>
    <w:rsid w:val="68126B38"/>
    <w:rsid w:val="68291A1A"/>
    <w:rsid w:val="68352BB8"/>
    <w:rsid w:val="684177E9"/>
    <w:rsid w:val="691B1594"/>
    <w:rsid w:val="693A016B"/>
    <w:rsid w:val="6A17429C"/>
    <w:rsid w:val="6A521363"/>
    <w:rsid w:val="6A567EA3"/>
    <w:rsid w:val="6B4B4368"/>
    <w:rsid w:val="6B79100E"/>
    <w:rsid w:val="6C14034F"/>
    <w:rsid w:val="6C844C00"/>
    <w:rsid w:val="6D0D024B"/>
    <w:rsid w:val="6DB66220"/>
    <w:rsid w:val="6E10212C"/>
    <w:rsid w:val="6E43561A"/>
    <w:rsid w:val="6E557973"/>
    <w:rsid w:val="6E9568DB"/>
    <w:rsid w:val="6ED51833"/>
    <w:rsid w:val="6F0D6C22"/>
    <w:rsid w:val="6F47657F"/>
    <w:rsid w:val="6FAF23D9"/>
    <w:rsid w:val="70635CF6"/>
    <w:rsid w:val="70670707"/>
    <w:rsid w:val="709E680A"/>
    <w:rsid w:val="70D37C42"/>
    <w:rsid w:val="71353927"/>
    <w:rsid w:val="720E3691"/>
    <w:rsid w:val="724E244C"/>
    <w:rsid w:val="72DA6946"/>
    <w:rsid w:val="73255296"/>
    <w:rsid w:val="732764B3"/>
    <w:rsid w:val="74026044"/>
    <w:rsid w:val="7414119B"/>
    <w:rsid w:val="74746410"/>
    <w:rsid w:val="74BE27C6"/>
    <w:rsid w:val="74F57AF2"/>
    <w:rsid w:val="75BA24FE"/>
    <w:rsid w:val="75E5007C"/>
    <w:rsid w:val="77813724"/>
    <w:rsid w:val="77861774"/>
    <w:rsid w:val="78F31435"/>
    <w:rsid w:val="79300B45"/>
    <w:rsid w:val="794D3E18"/>
    <w:rsid w:val="79AC687C"/>
    <w:rsid w:val="79F3729A"/>
    <w:rsid w:val="7A880722"/>
    <w:rsid w:val="7ACB0498"/>
    <w:rsid w:val="7AED0B4D"/>
    <w:rsid w:val="7B374212"/>
    <w:rsid w:val="7B7A6D1C"/>
    <w:rsid w:val="7C1E4487"/>
    <w:rsid w:val="7C215E02"/>
    <w:rsid w:val="7CAA4E01"/>
    <w:rsid w:val="7CF23764"/>
    <w:rsid w:val="7D2E0EE7"/>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2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Strong"/>
    <w:basedOn w:val="13"/>
    <w:autoRedefine/>
    <w:qFormat/>
    <w:uiPriority w:val="0"/>
    <w:rPr>
      <w:b/>
    </w:rPr>
  </w:style>
  <w:style w:type="character" w:styleId="15">
    <w:name w:val="FollowedHyperlink"/>
    <w:basedOn w:val="13"/>
    <w:autoRedefine/>
    <w:qFormat/>
    <w:uiPriority w:val="0"/>
    <w:rPr>
      <w:color w:val="333333"/>
      <w:u w:val="none"/>
    </w:rPr>
  </w:style>
  <w:style w:type="character" w:styleId="16">
    <w:name w:val="Emphasis"/>
    <w:basedOn w:val="13"/>
    <w:autoRedefine/>
    <w:qFormat/>
    <w:uiPriority w:val="0"/>
    <w:rPr>
      <w:b/>
    </w:rPr>
  </w:style>
  <w:style w:type="character" w:styleId="17">
    <w:name w:val="HTML Definition"/>
    <w:basedOn w:val="13"/>
    <w:autoRedefine/>
    <w:qFormat/>
    <w:uiPriority w:val="0"/>
  </w:style>
  <w:style w:type="character" w:styleId="18">
    <w:name w:val="HTML Acronym"/>
    <w:basedOn w:val="13"/>
    <w:autoRedefine/>
    <w:qFormat/>
    <w:uiPriority w:val="0"/>
  </w:style>
  <w:style w:type="character" w:styleId="19">
    <w:name w:val="HTML Variable"/>
    <w:basedOn w:val="13"/>
    <w:autoRedefine/>
    <w:qFormat/>
    <w:uiPriority w:val="0"/>
  </w:style>
  <w:style w:type="character" w:styleId="20">
    <w:name w:val="Hyperlink"/>
    <w:basedOn w:val="13"/>
    <w:autoRedefine/>
    <w:qFormat/>
    <w:uiPriority w:val="0"/>
    <w:rPr>
      <w:color w:val="333333"/>
      <w:u w:val="none"/>
    </w:rPr>
  </w:style>
  <w:style w:type="character" w:styleId="21">
    <w:name w:val="HTML Code"/>
    <w:basedOn w:val="13"/>
    <w:autoRedefine/>
    <w:qFormat/>
    <w:uiPriority w:val="0"/>
    <w:rPr>
      <w:rFonts w:ascii="Courier New" w:hAnsi="Courier New"/>
      <w:sz w:val="20"/>
    </w:rPr>
  </w:style>
  <w:style w:type="character" w:styleId="22">
    <w:name w:val="HTML Cite"/>
    <w:basedOn w:val="13"/>
    <w:autoRedefine/>
    <w:qFormat/>
    <w:uiPriority w:val="0"/>
  </w:style>
  <w:style w:type="paragraph" w:customStyle="1" w:styleId="2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4">
    <w:name w:val="标题 2 Char"/>
    <w:link w:val="3"/>
    <w:autoRedefine/>
    <w:qFormat/>
    <w:uiPriority w:val="0"/>
    <w:rPr>
      <w:rFonts w:ascii="Arial" w:hAnsi="Arial" w:eastAsia="楷体"/>
      <w:b/>
      <w:sz w:val="32"/>
    </w:rPr>
  </w:style>
  <w:style w:type="paragraph" w:customStyle="1" w:styleId="25">
    <w:name w:val="WPSOffice手动目录 1"/>
    <w:autoRedefine/>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 w:type="paragraph" w:customStyle="1" w:styleId="27">
    <w:name w:val="WPSOffice手动目录 3"/>
    <w:autoRedefine/>
    <w:qFormat/>
    <w:uiPriority w:val="0"/>
    <w:pPr>
      <w:ind w:leftChars="400"/>
    </w:pPr>
    <w:rPr>
      <w:rFonts w:ascii="Times New Roman" w:hAnsi="Times New Roman" w:eastAsia="宋体" w:cs="Times New Roman"/>
      <w:sz w:val="20"/>
      <w:szCs w:val="20"/>
    </w:rPr>
  </w:style>
  <w:style w:type="character" w:customStyle="1" w:styleId="28">
    <w:name w:val="font81"/>
    <w:basedOn w:val="13"/>
    <w:autoRedefine/>
    <w:qFormat/>
    <w:uiPriority w:val="0"/>
    <w:rPr>
      <w:rFonts w:hint="eastAsia" w:ascii="宋体" w:hAnsi="宋体" w:eastAsia="宋体" w:cs="宋体"/>
      <w:color w:val="000000"/>
      <w:sz w:val="20"/>
      <w:szCs w:val="20"/>
      <w:u w:val="none"/>
    </w:rPr>
  </w:style>
  <w:style w:type="character" w:customStyle="1" w:styleId="29">
    <w:name w:val="now1"/>
    <w:basedOn w:val="13"/>
    <w:autoRedefine/>
    <w:qFormat/>
    <w:uiPriority w:val="0"/>
    <w:rPr>
      <w:color w:val="FFFFFF"/>
      <w:shd w:val="clear" w:fill="4E4E4E"/>
    </w:rPr>
  </w:style>
  <w:style w:type="character" w:customStyle="1" w:styleId="30">
    <w:name w:val="current4"/>
    <w:basedOn w:val="13"/>
    <w:autoRedefine/>
    <w:qFormat/>
    <w:uiPriority w:val="0"/>
    <w:rPr>
      <w:color w:val="FFFFFF"/>
      <w:shd w:val="clear" w:fill="4E4E4E"/>
    </w:rPr>
  </w:style>
  <w:style w:type="character" w:customStyle="1" w:styleId="31">
    <w:name w:val="current6"/>
    <w:basedOn w:val="13"/>
    <w:autoRedefine/>
    <w:qFormat/>
    <w:uiPriority w:val="0"/>
    <w:rPr>
      <w:color w:val="FFFFFF"/>
      <w:shd w:val="clear" w:fill="4E4E4E"/>
    </w:rPr>
  </w:style>
  <w:style w:type="character" w:customStyle="1" w:styleId="32">
    <w:name w:val="layui-layer-tabnow"/>
    <w:basedOn w:val="13"/>
    <w:autoRedefine/>
    <w:qFormat/>
    <w:uiPriority w:val="0"/>
    <w:rPr>
      <w:bdr w:val="single" w:color="CCCCCC" w:sz="6" w:space="0"/>
      <w:shd w:val="clear" w:fill="FFFFFF"/>
    </w:rPr>
  </w:style>
  <w:style w:type="character" w:customStyle="1" w:styleId="33">
    <w:name w:val="exap"/>
    <w:basedOn w:val="13"/>
    <w:autoRedefine/>
    <w:qFormat/>
    <w:uiPriority w:val="0"/>
    <w:rPr>
      <w:sz w:val="24"/>
      <w:szCs w:val="24"/>
    </w:rPr>
  </w:style>
  <w:style w:type="character" w:customStyle="1" w:styleId="34">
    <w:name w:val="first-child1"/>
    <w:basedOn w:val="13"/>
    <w:autoRedefine/>
    <w:qFormat/>
    <w:uiPriority w:val="0"/>
  </w:style>
  <w:style w:type="character" w:customStyle="1" w:styleId="35">
    <w:name w:val="a_p_1"/>
    <w:basedOn w:val="13"/>
    <w:autoRedefine/>
    <w:qFormat/>
    <w:uiPriority w:val="0"/>
    <w:rPr>
      <w:sz w:val="24"/>
      <w:szCs w:val="24"/>
    </w:rPr>
  </w:style>
  <w:style w:type="character" w:customStyle="1" w:styleId="36">
    <w:name w:val="a_p_3"/>
    <w:basedOn w:val="13"/>
    <w:autoRedefine/>
    <w:qFormat/>
    <w:uiPriority w:val="0"/>
    <w:rPr>
      <w:sz w:val="24"/>
      <w:szCs w:val="24"/>
    </w:rPr>
  </w:style>
  <w:style w:type="character" w:customStyle="1" w:styleId="37">
    <w:name w:val="ul_li_a_1"/>
    <w:basedOn w:val="13"/>
    <w:autoRedefine/>
    <w:qFormat/>
    <w:uiPriority w:val="0"/>
    <w:rPr>
      <w:color w:val="FFFFFF"/>
    </w:rPr>
  </w:style>
  <w:style w:type="character" w:customStyle="1" w:styleId="38">
    <w:name w:val="a_p_2"/>
    <w:basedOn w:val="13"/>
    <w:autoRedefine/>
    <w:qFormat/>
    <w:uiPriority w:val="0"/>
  </w:style>
  <w:style w:type="character" w:customStyle="1" w:styleId="39">
    <w:name w:val="a_p_21"/>
    <w:basedOn w:val="13"/>
    <w:autoRedefine/>
    <w:qFormat/>
    <w:uiPriority w:val="0"/>
    <w:rPr>
      <w:sz w:val="24"/>
      <w:szCs w:val="24"/>
    </w:rPr>
  </w:style>
  <w:style w:type="character" w:customStyle="1" w:styleId="40">
    <w:name w:val="font61"/>
    <w:basedOn w:val="13"/>
    <w:autoRedefine/>
    <w:qFormat/>
    <w:uiPriority w:val="0"/>
    <w:rPr>
      <w:rFonts w:ascii="宋体" w:hAnsi="宋体" w:eastAsia="宋体" w:cs="宋体"/>
      <w:color w:val="000000"/>
      <w:sz w:val="20"/>
      <w:szCs w:val="20"/>
      <w:u w:val="none"/>
    </w:rPr>
  </w:style>
  <w:style w:type="character" w:customStyle="1" w:styleId="41">
    <w:name w:val="font4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8685</Words>
  <Characters>9091</Characters>
  <Lines>0</Lines>
  <Paragraphs>0</Paragraphs>
  <TotalTime>2</TotalTime>
  <ScaleCrop>false</ScaleCrop>
  <LinksUpToDate>false</LinksUpToDate>
  <CharactersWithSpaces>9110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2024-10-10T07:07:14Z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