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2021年阜康市义务教育薄弱环节改善与能力提升补助资金</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w:t>
      </w:r>
      <w:r>
        <w:rPr>
          <w:rFonts w:hint="eastAsia" w:ascii="宋体" w:hAnsi="宋体" w:eastAsia="宋体" w:cs="宋体"/>
          <w:b/>
          <w:snapToGrid w:val="0"/>
          <w:color w:val="000000" w:themeColor="text1"/>
          <w:w w:val="90"/>
          <w:kern w:val="0"/>
          <w:sz w:val="28"/>
          <w:szCs w:val="28"/>
          <w:highlight w:val="none"/>
          <w:shd w:val="clear" w:color="auto" w:fill="auto"/>
          <w:lang w:val="en-US" w:eastAsia="zh-CN"/>
          <w14:textFill>
            <w14:solidFill>
              <w14:schemeClr w14:val="tx1"/>
            </w14:solidFill>
          </w14:textFill>
        </w:rPr>
        <w:t>2021年阜康市义务教育薄弱环节改善与能力提升补助资金</w:t>
      </w:r>
      <w:r>
        <w:rPr>
          <w:rFonts w:hint="eastAsia" w:cs="宋体"/>
          <w:b/>
          <w:snapToGrid w:val="0"/>
          <w:color w:val="000000" w:themeColor="text1"/>
          <w:w w:val="90"/>
          <w:kern w:val="0"/>
          <w:sz w:val="28"/>
          <w:szCs w:val="28"/>
          <w:highlight w:val="none"/>
          <w:shd w:val="clear" w:color="auto" w:fill="auto"/>
          <w:lang w:val="en-US" w:eastAsia="zh-CN"/>
          <w14:textFill>
            <w14:solidFill>
              <w14:schemeClr w14:val="tx1"/>
            </w14:solidFill>
          </w14:textFill>
        </w:rPr>
        <w:t>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阜康市教育局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阜康市教育局</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cs="宋体"/>
          <w:b/>
          <w:bCs/>
          <w:color w:val="auto"/>
          <w:sz w:val="36"/>
          <w:szCs w:val="36"/>
          <w:highlight w:val="none"/>
          <w:shd w:val="clear" w:color="auto" w:fill="auto"/>
          <w:lang w:val="en-US" w:eastAsia="zh-CN"/>
        </w:rPr>
      </w:pPr>
      <w:r>
        <w:rPr>
          <w:rFonts w:hint="eastAsia" w:cs="宋体"/>
          <w:b/>
          <w:bCs/>
          <w:color w:val="auto"/>
          <w:sz w:val="36"/>
          <w:szCs w:val="36"/>
          <w:highlight w:val="none"/>
          <w:shd w:val="clear" w:color="auto" w:fill="auto"/>
          <w:lang w:val="en-US" w:eastAsia="zh-CN"/>
        </w:rPr>
        <w:t>2021年阜康市义务教育薄弱环节改善与能力</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提升补助资金项目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国家教育事业发展“十四五”规划纲要》指出全面普及和巩固九年义务教育教育，初中毛入学率达到98%以上，初中三年保留率达到95%。青壮年文盲率降到2%左右。高中阶段教育普及程度明显提高，在校生规模达到4510万人，毛入学率达到80%左右。为了达到上述目标，国家对初中及高中两个阶段的教育给予了较多的政策支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新疆维吾尔自治区教育事业“十四五”发展规划指出：“要聚焦推动新疆教育高质量发展，坚持问题导向、补齐短板弱项，扎实做好教育系统各项重点工作。要统筹推进学前教育、义务教育、高中教育、职业教育、高等教育协调发展，在提升教育教学质量、加强师资队伍建设等方面下功夫，进一步夯实教育发展根基。要高度重视发展职业教育，加强规划引导，科学合理布局，充分利用教育援疆资源，优化专业设置、强化师资队伍、推动产教融合，支持引导职业院校办出特色办出水平，培育更多具有工匠精神的技能人才，更好服务新疆经济社会发展。</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对阜康市第三小学进行提升改造，包括：教学楼及综合楼（实验楼、教室宿舍、食堂、其他用房）、田径场、篮球场、乒乓球场、公共厕所、景观及绿化工程、道路及室外地坪、室外配电、室外给排水工程、智慧校园建设等</w:t>
      </w:r>
      <w:r>
        <w:rPr>
          <w:rFonts w:hint="eastAsia"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rPr>
        <w:t>为确保我单位该项目的顺利实施，我单位成立项目实施小组，组长为郑东育，副组长为刘军，项目负责人为</w:t>
      </w:r>
      <w:r>
        <w:rPr>
          <w:rFonts w:hint="eastAsia"/>
          <w:lang w:val="en-US" w:eastAsia="zh-CN"/>
        </w:rPr>
        <w:t>张鹏飞</w:t>
      </w:r>
      <w:r>
        <w:rPr>
          <w:rFonts w:hint="eastAsia"/>
        </w:rPr>
        <w:t>，成员为汪江</w:t>
      </w:r>
      <w:r>
        <w:rPr>
          <w:rFonts w:hint="eastAsia"/>
          <w:lang w:eastAsia="zh-CN"/>
        </w:rPr>
        <w:t>、</w:t>
      </w:r>
      <w:r>
        <w:rPr>
          <w:rFonts w:hint="eastAsia"/>
          <w:lang w:val="en-US" w:eastAsia="zh-CN"/>
        </w:rPr>
        <w:t>吴彦彪</w:t>
      </w:r>
      <w:r>
        <w:rPr>
          <w:rFonts w:hint="eastAsia"/>
        </w:rPr>
        <w:t>，主要负责土建及设备采购项目工作。</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2021年阜康市义务教育薄弱环节改善与能力提升补助资金项目</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927</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金927</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927</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截止2022年12月31日，2021年阜康市义务教育薄弱环节改善与能力提升补助资金项目实</w:t>
      </w:r>
      <w:r>
        <w:rPr>
          <w:rFonts w:hint="eastAsia" w:ascii="宋体" w:hAnsi="宋体" w:eastAsia="宋体" w:cs="宋体"/>
          <w:color w:val="auto"/>
          <w:highlight w:val="none"/>
          <w:shd w:val="clear" w:color="auto" w:fill="auto"/>
        </w:rPr>
        <w:t>际支付资金</w:t>
      </w:r>
      <w:r>
        <w:rPr>
          <w:rFonts w:hint="eastAsia" w:cs="宋体"/>
          <w:color w:val="auto"/>
          <w:highlight w:val="none"/>
          <w:shd w:val="clear" w:color="auto" w:fill="auto"/>
          <w:lang w:val="en-US" w:eastAsia="zh-CN"/>
        </w:rPr>
        <w:t>927</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ascii="宋体" w:hAnsi="宋体" w:eastAsia="宋体" w:cs="宋体"/>
          <w:color w:val="auto"/>
          <w:highlight w:val="none"/>
          <w:shd w:val="clear" w:color="auto" w:fill="auto"/>
          <w:lang w:val="en-US" w:eastAsia="zh-CN"/>
        </w:rPr>
        <w:t>阜康市第三小学进行提升改造，包括：教学楼及综合楼（实验楼、教室宿舍、食堂、其他用房）、田径场、篮球场、乒乓球场、公共厕所、景观及绿化工程、道路及室外地坪、室外配电、室外给排水工程、智慧校园建设等</w:t>
      </w:r>
      <w:r>
        <w:rPr>
          <w:rFonts w:hint="eastAsia" w:cs="宋体"/>
          <w:color w:val="auto"/>
          <w:highlight w:val="none"/>
          <w:shd w:val="clear" w:color="auto" w:fill="auto"/>
          <w:lang w:val="en-US" w:eastAsia="zh-CN"/>
        </w:rPr>
        <w:t>项目的前期费用方面。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FF0000"/>
          <w:highlight w:val="none"/>
          <w:shd w:val="clear" w:color="auto" w:fill="auto"/>
          <w:lang w:val="en-US" w:eastAsia="zh-CN"/>
        </w:rPr>
      </w:pPr>
      <w:r>
        <w:rPr>
          <w:rFonts w:hint="eastAsia" w:cs="宋体"/>
          <w:color w:val="auto"/>
          <w:highlight w:val="none"/>
          <w:shd w:val="clear" w:color="auto" w:fill="auto"/>
          <w:lang w:val="en-US" w:eastAsia="zh-CN"/>
        </w:rPr>
        <w:t>2021年阜康市义务教育薄弱环节改善与能力提升补助资金项目绩效总体目标为：教育局负责全市各级各类教育的统筹和综合协调，为全面改善我市各学校基本办学条件，推进义务教育学校标准化建设，我市计划对阜康市第三小学进行提升改造，包括：教学楼及综合楼（实验楼、教室宿舍、食堂、其他用房）、田径场、篮球场、乒乓球场、公共厕所、景观及绿化工程、道路及室外地坪、室外配电、室外给排水工程、智慧校园建设等。推进义务教育学校标准化建设，改善学校硬件设施设备，长期改善义务教育阶段办学条件。</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000000" w:themeColor="text1"/>
          <w:highlight w:val="none"/>
          <w:shd w:val="clear" w:color="auto" w:fill="auto"/>
          <w:lang w:eastAsia="zh-CN"/>
          <w14:textFill>
            <w14:solidFill>
              <w14:schemeClr w14:val="tx1"/>
            </w14:solidFill>
          </w14:textFill>
        </w:rPr>
      </w:pP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根据《预算法》、《财政支出绩效评价管理暂行办法》（财预〔20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号）、《自治区党委自治区人民政府关于全面实施预算绩效管理的实施意见》（新党发〔2018〕30号）、</w:t>
      </w:r>
      <w:r>
        <w:rPr>
          <w:rFonts w:hint="eastAsia" w:ascii="宋体" w:hAnsi="宋体" w:eastAsia="宋体" w:cs="宋体"/>
          <w:color w:val="000000" w:themeColor="text1"/>
          <w:highlight w:val="none"/>
          <w:shd w:val="clear" w:color="auto" w:fill="auto"/>
          <w14:textFill>
            <w14:solidFill>
              <w14:schemeClr w14:val="tx1"/>
            </w14:solidFill>
          </w14:textFill>
        </w:rPr>
        <w:t>《自治区财政支出绩效评价管理暂行办法》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新财预〔2018〕189号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等文件</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后</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w:t>
      </w:r>
      <w:r>
        <w:rPr>
          <w:rFonts w:hint="eastAsia" w:ascii="宋体" w:hAnsi="宋体" w:eastAsia="宋体" w:cs="宋体"/>
          <w:color w:val="auto"/>
          <w:highlight w:val="none"/>
          <w:shd w:val="clear" w:color="auto" w:fill="auto"/>
          <w:lang w:val="en-US" w:eastAsia="zh-CN"/>
        </w:rPr>
        <w:t>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办学条件改善项目数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项目实施学校数</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指标，预期指标值为≥1</w:t>
      </w:r>
      <w:r>
        <w:rPr>
          <w:rFonts w:hint="eastAsia" w:cs="宋体"/>
          <w:color w:val="auto"/>
          <w:highlight w:val="none"/>
          <w:shd w:val="clear" w:color="auto" w:fill="auto"/>
          <w:lang w:val="en-US" w:eastAsia="zh-CN"/>
        </w:rPr>
        <w:t>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工程项目验收合格率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设施设备采购质量合格率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时效</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资金支付及时率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资金支付工作完成时限</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2022年7月底前。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义务教育薄弱环节改善与能力提升补助资金</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指标，预期指标值为≤927万元</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义务教育学校标准化建设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指标，预期指标值为推进；</w:t>
      </w:r>
    </w:p>
    <w:p>
      <w:pPr>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学校硬件设施设备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改善。</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③</w:t>
      </w:r>
      <w:r>
        <w:rPr>
          <w:rFonts w:hint="eastAsia" w:cs="宋体"/>
          <w:color w:val="000000" w:themeColor="text1"/>
          <w:highlight w:val="none"/>
          <w:shd w:val="clear" w:color="auto" w:fill="auto"/>
          <w:lang w:val="en-US" w:eastAsia="zh-CN"/>
          <w14:textFill>
            <w14:solidFill>
              <w14:schemeClr w14:val="tx1"/>
            </w14:solidFill>
          </w14:textFill>
        </w:rPr>
        <w:t>生态效益指标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本项目不存在生态效益。</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④可持续影响</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改善义务教育阶段办学条件</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长期。</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cs="宋体"/>
          <w:color w:val="000000" w:themeColor="text1"/>
          <w:highlight w:val="none"/>
          <w:shd w:val="clear" w:color="auto" w:fill="auto"/>
          <w:lang w:val="en-US" w:eastAsia="zh-CN"/>
          <w14:textFill>
            <w14:solidFill>
              <w14:schemeClr w14:val="tx1"/>
            </w14:solidFill>
          </w14:textFill>
        </w:rPr>
        <w:t>⑤</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学生满意度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教师</w:t>
      </w:r>
      <w:r>
        <w:rPr>
          <w:rFonts w:hint="eastAsia" w:ascii="宋体" w:hAnsi="宋体" w:eastAsia="宋体" w:cs="宋体"/>
          <w:color w:val="auto"/>
          <w:highlight w:val="none"/>
          <w:shd w:val="clear" w:color="auto" w:fill="auto"/>
          <w:lang w:val="en-US" w:eastAsia="zh-CN"/>
        </w:rPr>
        <w:t>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lang w:val="en-US" w:eastAsia="zh-CN"/>
        </w:rPr>
      </w:pPr>
      <w:r>
        <w:rPr>
          <w:rFonts w:hint="eastAsia" w:ascii="宋体" w:hAnsi="宋体" w:eastAsia="宋体" w:cs="宋体"/>
          <w:b/>
          <w:bCs/>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5462343"/>
      <w:bookmarkStart w:id="1" w:name="_Toc21664"/>
      <w:bookmarkStart w:id="2" w:name="_Toc5258"/>
      <w:bookmarkStart w:id="3" w:name="_Toc480473081"/>
      <w:bookmarkStart w:id="4" w:name="_Toc22169_WPSOffice_Level2"/>
      <w:bookmarkStart w:id="5" w:name="_Toc12868"/>
      <w:bookmarkStart w:id="6" w:name="_Toc22922"/>
      <w:bookmarkStart w:id="7" w:name="_Toc26632"/>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此次我单位根据</w:t>
      </w:r>
      <w:r>
        <w:rPr>
          <w:rFonts w:hint="eastAsia" w:ascii="宋体" w:hAnsi="宋体" w:eastAsia="宋体" w:cs="宋体"/>
          <w:color w:val="000000" w:themeColor="text1"/>
          <w:highlight w:val="none"/>
          <w:shd w:val="clear" w:color="auto" w:fill="auto"/>
          <w14:textFill>
            <w14:solidFill>
              <w14:schemeClr w14:val="tx1"/>
            </w14:solidFill>
          </w14:textFill>
        </w:rPr>
        <w:t>《财政支出绩效评价管理暂行办法》（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财预〔2020〕10号</w:t>
      </w: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文件要求对</w:t>
      </w:r>
      <w:r>
        <w:rPr>
          <w:rFonts w:hint="eastAsia" w:cs="宋体"/>
          <w:color w:val="000000" w:themeColor="text1"/>
          <w:highlight w:val="none"/>
          <w:shd w:val="clear" w:color="auto" w:fill="auto"/>
          <w:lang w:val="en-US" w:eastAsia="zh-CN"/>
          <w14:textFill>
            <w14:solidFill>
              <w14:schemeClr w14:val="tx1"/>
            </w14:solidFill>
          </w14:textFill>
        </w:rPr>
        <w:t>2022</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年度我单位实施的</w:t>
      </w:r>
      <w:r>
        <w:rPr>
          <w:rFonts w:hint="eastAsia" w:cs="宋体"/>
          <w:color w:val="auto"/>
          <w:highlight w:val="none"/>
          <w:shd w:val="clear" w:color="auto" w:fill="auto"/>
          <w:lang w:val="en-US" w:eastAsia="zh-CN"/>
        </w:rPr>
        <w:t>2021年阜康市义务教育薄弱环节改善与能力提升补助资金项目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《财政支出绩效评价管理暂行办法》（财预〔20</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20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000000" w:themeColor="text1"/>
          <w:highlight w:val="none"/>
          <w:shd w:val="clear" w:color="auto" w:fill="auto"/>
          <w:lang w:val="en-US" w:eastAsia="zh-CN"/>
          <w14:textFill>
            <w14:solidFill>
              <w14:schemeClr w14:val="tx1"/>
            </w14:solidFill>
          </w14:textFill>
        </w:rPr>
        <w:t>10</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号）</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2021年阜康市义务教育薄弱环节改善与能力提升补助资金项目</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1</w:t>
      </w:r>
      <w:r>
        <w:rPr>
          <w:rFonts w:hint="eastAsia"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26131"/>
      <w:bookmarkStart w:id="9" w:name="_Toc428278230"/>
      <w:bookmarkStart w:id="10" w:name="_Toc419984722"/>
      <w:bookmarkStart w:id="11" w:name="_Toc1913"/>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jc w:val="center"/>
        <w:rPr>
          <w:rFonts w:hint="default"/>
          <w:b/>
          <w:bCs/>
          <w:sz w:val="28"/>
          <w:szCs w:val="28"/>
          <w:lang w:val="en-US" w:eastAsia="zh-CN"/>
        </w:rPr>
      </w:pPr>
      <w:r>
        <w:rPr>
          <w:rFonts w:hint="eastAsia"/>
          <w:b/>
          <w:bCs/>
          <w:sz w:val="28"/>
          <w:szCs w:val="28"/>
          <w:lang w:val="zh-TW" w:eastAsia="zh-TW"/>
        </w:rPr>
        <w:t>项目绩效评价指标体系</w:t>
      </w:r>
    </w:p>
    <w:tbl>
      <w:tblPr>
        <w:tblStyle w:val="11"/>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2021年阜康市义务教育薄弱环节改善与能力提升补助资金项目</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进行评价。</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（3）历史标准。指参照历史数据制定的评价标准，为体现绩效改进的原则，在可实现的条件下应当确定相对较高的评价标准。</w:t>
      </w:r>
    </w:p>
    <w:p>
      <w:pP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据此次绩效评价受委托内容，对拟评价的项目实施前期调研。通过调研对2021年阜康市义务教育薄弱环节改善与能力提升补助资金项目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绩效评价项目小组根据有关规定和评价对象的特点以及前期调研收集的一些信息，拟定详细的绩效评价工作方案</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此次绩效评价</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通过组论证的评价指标体系及评分标准，</w:t>
      </w:r>
      <w:r>
        <w:rPr>
          <w:rFonts w:hint="eastAsia" w:ascii="宋体" w:hAnsi="宋体" w:eastAsia="宋体" w:cs="宋体"/>
          <w:color w:val="000000" w:themeColor="text1"/>
          <w:highlight w:val="none"/>
          <w:shd w:val="clear" w:color="auto" w:fill="auto"/>
          <w14:textFill>
            <w14:solidFill>
              <w14:schemeClr w14:val="tx1"/>
            </w14:solidFill>
          </w14:textFill>
        </w:rPr>
        <w:t>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2021年阜康市义务教育薄弱环节改善与能力提升补助资金项目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1"/>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snapToGrid w:val="0"/>
                <w:color w:val="FF0000"/>
                <w:w w:val="90"/>
                <w:kern w:val="0"/>
                <w:sz w:val="28"/>
                <w:szCs w:val="28"/>
                <w:highlight w:val="none"/>
                <w:shd w:val="clear" w:color="auto" w:fill="auto"/>
                <w:lang w:val="en-US" w:eastAsia="zh-CN"/>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ascii="宋体" w:hAnsi="宋体" w:eastAsia="宋体" w:cs="宋体"/>
                <w:b/>
                <w:bCs/>
                <w:snapToGrid w:val="0"/>
                <w:color w:val="auto"/>
                <w:w w:val="93"/>
                <w:kern w:val="0"/>
                <w:sz w:val="28"/>
                <w:szCs w:val="28"/>
                <w:highlight w:val="none"/>
                <w:shd w:val="clear" w:color="auto" w:fill="auto"/>
                <w:lang w:val="en-US" w:eastAsia="zh-CN"/>
              </w:rPr>
              <w:t>2021年阜康市义务教育薄弱环节改善与能力提升补助资金项目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snapToGrid w:val="0"/>
                <w:color w:val="000000" w:themeColor="text1"/>
                <w:w w:val="100"/>
                <w:kern w:val="0"/>
                <w:sz w:val="28"/>
                <w:szCs w:val="28"/>
                <w:highlight w:val="none"/>
                <w:shd w:val="clear" w:color="auto" w:fill="auto"/>
                <w:lang w:val="en-US" w:eastAsia="zh-CN"/>
                <w14:textFill>
                  <w14:solidFill>
                    <w14:schemeClr w14:val="tx1"/>
                  </w14:solidFill>
                </w14:textFill>
              </w:rPr>
              <w:t>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FF0000"/>
                <w:kern w:val="0"/>
                <w:sz w:val="21"/>
                <w:szCs w:val="21"/>
                <w:highlight w:val="none"/>
                <w:shd w:val="clear" w:color="auto" w:fill="auto"/>
                <w:lang w:val="en-US" w:eastAsia="zh-CN"/>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color w:val="auto"/>
                <w:kern w:val="0"/>
                <w:sz w:val="21"/>
                <w:szCs w:val="21"/>
                <w:highlight w:val="none"/>
                <w:shd w:val="clear" w:color="auto" w:fill="auto"/>
                <w:lang w:val="en-US" w:eastAsia="zh-CN"/>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color w:val="auto"/>
                <w:kern w:val="0"/>
                <w:sz w:val="21"/>
                <w:szCs w:val="21"/>
                <w:highlight w:val="none"/>
                <w:shd w:val="clear" w:color="auto" w:fill="auto"/>
                <w:lang w:val="en-US" w:eastAsia="zh-CN"/>
              </w:rPr>
            </w:pPr>
            <w:r>
              <w:rPr>
                <w:rFonts w:hint="eastAsia"/>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color w:val="FF0000"/>
                <w:kern w:val="0"/>
                <w:sz w:val="21"/>
                <w:szCs w:val="21"/>
                <w:highlight w:val="none"/>
                <w:shd w:val="clear" w:color="auto" w:fill="auto"/>
                <w:lang w:val="en-US" w:eastAsia="zh-CN"/>
              </w:rPr>
            </w:pPr>
            <w:r>
              <w:rPr>
                <w:rFonts w:hint="eastAsia"/>
                <w:kern w:val="0"/>
                <w:sz w:val="21"/>
                <w:szCs w:val="21"/>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color w:val="FF0000"/>
                <w:kern w:val="0"/>
                <w:sz w:val="21"/>
                <w:szCs w:val="21"/>
                <w:highlight w:val="none"/>
                <w:shd w:val="clear" w:color="auto" w:fill="auto"/>
                <w:lang w:val="en-US" w:eastAsia="zh-CN"/>
              </w:rPr>
            </w:pPr>
            <w:r>
              <w:rPr>
                <w:rFonts w:hint="eastAsia"/>
                <w:kern w:val="0"/>
                <w:sz w:val="21"/>
                <w:szCs w:val="21"/>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ascii="宋体" w:hAnsi="宋体" w:eastAsia="宋体" w:cs="宋体"/>
                <w:color w:val="FF0000"/>
                <w:kern w:val="0"/>
                <w:sz w:val="21"/>
                <w:szCs w:val="21"/>
                <w:highlight w:val="none"/>
                <w:shd w:val="clear" w:color="auto" w:fill="auto"/>
                <w:lang w:val="en-US" w:eastAsia="zh-CN"/>
              </w:rPr>
            </w:pPr>
            <w:r>
              <w:rPr>
                <w:rFonts w:hint="eastAsia"/>
                <w:kern w:val="0"/>
                <w:sz w:val="21"/>
                <w:szCs w:val="21"/>
              </w:rPr>
              <w:t>100%</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1"/>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1.立项依据充分性</w:t>
      </w:r>
    </w:p>
    <w:p>
      <w:pPr>
        <w:ind w:firstLine="560"/>
        <w:rPr>
          <w:rFonts w:hint="eastAsia"/>
          <w:color w:val="auto"/>
          <w:lang w:eastAsia="zh-CN"/>
        </w:rPr>
      </w:pPr>
      <w:r>
        <w:rPr>
          <w:rFonts w:hint="eastAsia"/>
          <w:color w:val="auto"/>
        </w:rPr>
        <w:t>2021年阜康市义务教育薄弱环节改善与能力提升补助资金</w:t>
      </w:r>
      <w:r>
        <w:rPr>
          <w:rFonts w:hint="eastAsia"/>
          <w:color w:val="auto"/>
          <w:lang w:val="en-US" w:eastAsia="zh-CN"/>
        </w:rPr>
        <w:t>项目</w:t>
      </w:r>
      <w:r>
        <w:rPr>
          <w:rFonts w:hint="eastAsia"/>
          <w:color w:val="auto"/>
        </w:rPr>
        <w:t>根据《关于&lt;阜康市第三小学基础教育附属设施及设备建设项目可行性研究报告&gt;的批复》（阜发改投资[2019] 282号）进行实施。</w:t>
      </w:r>
    </w:p>
    <w:p>
      <w:pPr>
        <w:ind w:firstLine="560"/>
        <w:rPr>
          <w:color w:val="auto"/>
        </w:rPr>
      </w:pPr>
      <w:r>
        <w:rPr>
          <w:rFonts w:hint="eastAsia"/>
          <w:color w:val="auto"/>
        </w:rPr>
        <w:t>①项目立项符合《关于重申严格执行基本建设程序和审批规定的通知》、国民经济发展规划</w:t>
      </w:r>
      <w:r>
        <w:rPr>
          <w:rFonts w:hint="eastAsia"/>
          <w:color w:val="auto"/>
          <w:lang w:eastAsia="zh-CN"/>
        </w:rPr>
        <w:t>、</w:t>
      </w:r>
      <w:r>
        <w:rPr>
          <w:rFonts w:hint="eastAsia"/>
          <w:color w:val="auto"/>
        </w:rPr>
        <w:t>《政府采购法》及《招标投标法》；</w:t>
      </w:r>
    </w:p>
    <w:p>
      <w:pPr>
        <w:ind w:firstLine="560"/>
        <w:rPr>
          <w:color w:val="auto"/>
        </w:rPr>
      </w:pPr>
      <w:r>
        <w:rPr>
          <w:rFonts w:hint="eastAsia"/>
          <w:color w:val="auto"/>
        </w:rPr>
        <w:t>②项目立项符合行业发展规划和政策要求；</w:t>
      </w:r>
    </w:p>
    <w:p>
      <w:pPr>
        <w:ind w:firstLine="560"/>
        <w:rPr>
          <w:color w:val="auto"/>
        </w:rPr>
      </w:pPr>
      <w:r>
        <w:rPr>
          <w:rFonts w:hint="eastAsia"/>
          <w:color w:val="auto"/>
        </w:rPr>
        <w:t>③项目立项与部门职责范围相符，属于部门履职所需；</w:t>
      </w:r>
    </w:p>
    <w:p>
      <w:pPr>
        <w:ind w:firstLine="560"/>
        <w:rPr>
          <w:color w:val="auto"/>
        </w:rPr>
      </w:pPr>
      <w:r>
        <w:rPr>
          <w:rFonts w:hint="eastAsia"/>
          <w:color w:val="auto"/>
        </w:rPr>
        <w:t>④项目属于公共财政支持范围，符合中央、地方事权支出责任划分原则；</w:t>
      </w:r>
    </w:p>
    <w:p>
      <w:pPr>
        <w:ind w:firstLine="560"/>
        <w:rPr>
          <w:color w:val="auto"/>
        </w:rPr>
      </w:pPr>
      <w:r>
        <w:rPr>
          <w:rFonts w:hint="eastAsia"/>
          <w:color w:val="auto"/>
        </w:rPr>
        <w:t>⑤项目与相关部门同类项目或部门内部相关项目不重复。</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lang w:eastAsia="zh-CN"/>
        </w:rPr>
      </w:pPr>
      <w:r>
        <w:rPr>
          <w:rFonts w:hint="eastAsia"/>
        </w:rPr>
        <w:t>该项目立项提供的资料有《关于&lt;阜康市第三小学基础教育附属设施及设备建设项目可行性研究报告&gt;的批复》（阜发改投资[2019] 282号）。</w:t>
      </w:r>
    </w:p>
    <w:p>
      <w:pPr>
        <w:ind w:firstLine="560"/>
      </w:pPr>
      <w:r>
        <w:rPr>
          <w:rFonts w:hint="eastAsia"/>
        </w:rPr>
        <w:t>①项目按照规定的程序申请设立；</w:t>
      </w:r>
    </w:p>
    <w:p>
      <w:pPr>
        <w:ind w:firstLine="560"/>
      </w:pPr>
      <w:r>
        <w:rPr>
          <w:rFonts w:hint="eastAsia"/>
        </w:rPr>
        <w:t>②审批文件、材料符合相关要求；</w:t>
      </w:r>
    </w:p>
    <w:p>
      <w:pPr>
        <w:ind w:firstLine="560"/>
        <w:rPr>
          <w:color w:val="auto"/>
        </w:rPr>
      </w:pPr>
      <w:r>
        <w:rPr>
          <w:rFonts w:hint="eastAsia"/>
        </w:rPr>
        <w:t>③事前已经过必要的可行性研究、专家论证、风险评估、绩效评估、集体决策。</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lang w:val="en-US" w:eastAsia="zh-CN"/>
        </w:rPr>
      </w:pPr>
      <w:r>
        <w:rPr>
          <w:rFonts w:hint="eastAsia"/>
          <w:b/>
          <w:bCs/>
          <w:lang w:val="en-US" w:eastAsia="zh-CN"/>
        </w:rPr>
        <w:t>3.绩效目标合理性</w:t>
      </w:r>
    </w:p>
    <w:p>
      <w:pPr>
        <w:ind w:firstLine="560"/>
      </w:pPr>
      <w:r>
        <w:rPr>
          <w:rFonts w:hint="eastAsia"/>
        </w:rPr>
        <w:t>①项目有绩效目标，已上报绩效目标表；</w:t>
      </w:r>
    </w:p>
    <w:p>
      <w:pPr>
        <w:ind w:firstLine="560"/>
      </w:pPr>
      <w:r>
        <w:rPr>
          <w:rFonts w:hint="eastAsia"/>
        </w:rPr>
        <w:t>②项目绩效目标与实际工作内容具有相关性；</w:t>
      </w:r>
    </w:p>
    <w:p>
      <w:pPr>
        <w:ind w:firstLine="560"/>
        <w:rPr>
          <w:color w:val="auto"/>
        </w:rPr>
      </w:pPr>
      <w:r>
        <w:rPr>
          <w:rFonts w:hint="eastAsia"/>
        </w:rPr>
        <w:t>③项目预期产出效益</w:t>
      </w:r>
      <w:r>
        <w:rPr>
          <w:rFonts w:hint="eastAsia"/>
          <w:color w:val="auto"/>
        </w:rPr>
        <w:t>和效果符合正常的业绩水平；</w:t>
      </w:r>
    </w:p>
    <w:p>
      <w:pPr>
        <w:ind w:firstLine="560"/>
        <w:rPr>
          <w:color w:val="auto"/>
        </w:rPr>
      </w:pPr>
      <w:r>
        <w:rPr>
          <w:rFonts w:hint="eastAsia"/>
          <w:color w:val="auto"/>
        </w:rPr>
        <w:t>④与预算确定的项目投资额或资金量相匹配。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lang w:val="en-US" w:eastAsia="zh-CN"/>
        </w:rPr>
      </w:pPr>
      <w:r>
        <w:rPr>
          <w:rFonts w:hint="eastAsia"/>
          <w:b/>
          <w:bCs/>
          <w:lang w:val="en-US" w:eastAsia="zh-CN"/>
        </w:rPr>
        <w:t>4.绩效指标明确性</w:t>
      </w:r>
    </w:p>
    <w:p>
      <w:pPr>
        <w:ind w:firstLine="560"/>
      </w:pPr>
      <w:r>
        <w:rPr>
          <w:rFonts w:hint="eastAsia"/>
        </w:rPr>
        <w:t>①将项目绩效目标细化分解为具体的绩效指标；</w:t>
      </w:r>
    </w:p>
    <w:p>
      <w:pPr>
        <w:ind w:firstLine="560"/>
      </w:pPr>
      <w:r>
        <w:rPr>
          <w:rFonts w:hint="eastAsia"/>
        </w:rPr>
        <w:t>②通过清晰、可衡量的指标值予以体现，指标数共计1</w:t>
      </w:r>
      <w:r>
        <w:rPr>
          <w:rFonts w:hint="eastAsia"/>
          <w:lang w:val="en-US" w:eastAsia="zh-CN"/>
        </w:rPr>
        <w:t>2</w:t>
      </w:r>
      <w:r>
        <w:rPr>
          <w:rFonts w:hint="eastAsia"/>
        </w:rPr>
        <w:t>个，其中产出指标</w:t>
      </w:r>
      <w:r>
        <w:rPr>
          <w:rFonts w:hint="eastAsia"/>
          <w:lang w:val="en-US" w:eastAsia="zh-CN"/>
        </w:rPr>
        <w:t>7</w:t>
      </w:r>
      <w:r>
        <w:rPr>
          <w:rFonts w:hint="eastAsia"/>
        </w:rPr>
        <w:t>个，效益指标3个，满意度指标2个；</w:t>
      </w:r>
    </w:p>
    <w:p>
      <w:pPr>
        <w:ind w:firstLine="560"/>
        <w:rPr>
          <w:rFonts w:hint="eastAsia"/>
          <w:color w:val="auto"/>
          <w:lang w:eastAsia="zh-CN"/>
        </w:rPr>
      </w:pPr>
      <w:r>
        <w:rPr>
          <w:rFonts w:hint="eastAsia"/>
        </w:rPr>
        <w:t>③与项目目标任务数或计</w:t>
      </w:r>
      <w:r>
        <w:rPr>
          <w:rFonts w:hint="eastAsia"/>
          <w:color w:val="auto"/>
        </w:rPr>
        <w:t>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lang w:val="en-US" w:eastAsia="zh-CN"/>
        </w:rPr>
      </w:pPr>
      <w:r>
        <w:rPr>
          <w:rFonts w:hint="eastAsia"/>
          <w:b/>
          <w:bCs/>
          <w:lang w:val="en-US" w:eastAsia="zh-CN"/>
        </w:rPr>
        <w:t>5.预算编制科学性</w:t>
      </w:r>
    </w:p>
    <w:p>
      <w:pPr>
        <w:ind w:firstLine="560"/>
      </w:pPr>
      <w:r>
        <w:rPr>
          <w:rFonts w:hint="eastAsia"/>
        </w:rPr>
        <w:t>①预算编制经过科学论证；</w:t>
      </w:r>
    </w:p>
    <w:p>
      <w:pPr>
        <w:ind w:firstLine="560"/>
      </w:pPr>
      <w:r>
        <w:rPr>
          <w:rFonts w:hint="eastAsia"/>
        </w:rPr>
        <w:t>②预算内容与项目内容匹配；</w:t>
      </w:r>
    </w:p>
    <w:p>
      <w:pPr>
        <w:ind w:firstLine="560"/>
      </w:pPr>
      <w:r>
        <w:rPr>
          <w:rFonts w:hint="eastAsia"/>
        </w:rPr>
        <w:t>③预算额度测算依据充分，按照标准编制；</w:t>
      </w:r>
    </w:p>
    <w:p>
      <w:pPr>
        <w:ind w:firstLine="560"/>
      </w:pPr>
      <w:r>
        <w:rPr>
          <w:rFonts w:hint="eastAsia"/>
        </w:rPr>
        <w:t>④预算确定的项目投资额或资金量与工作任务相匹配。</w:t>
      </w:r>
    </w:p>
    <w:p>
      <w:pPr>
        <w:bidi w:val="0"/>
        <w:rPr>
          <w:rFonts w:hint="eastAsia"/>
          <w:lang w:eastAsia="zh-CN"/>
        </w:rPr>
      </w:pPr>
      <w:r>
        <w:rPr>
          <w:rFonts w:hint="eastAsia"/>
          <w:b/>
          <w:bCs/>
          <w:lang w:val="en-US" w:eastAsia="zh-CN"/>
        </w:rPr>
        <w:t>综上，该项指标满</w:t>
      </w:r>
      <w:r>
        <w:rPr>
          <w:rFonts w:hint="eastAsia"/>
          <w:b/>
          <w:bCs/>
          <w:color w:val="auto"/>
          <w:lang w:val="en-US" w:eastAsia="zh-CN"/>
        </w:rPr>
        <w:t>分2分，得分2分。</w:t>
      </w:r>
    </w:p>
    <w:p>
      <w:pPr>
        <w:bidi w:val="0"/>
        <w:rPr>
          <w:rFonts w:hint="default"/>
          <w:b/>
          <w:bCs/>
          <w:lang w:val="en-US" w:eastAsia="zh-CN"/>
        </w:rPr>
      </w:pPr>
      <w:r>
        <w:rPr>
          <w:rFonts w:hint="eastAsia"/>
          <w:b/>
          <w:bCs/>
          <w:lang w:val="en-US" w:eastAsia="zh-CN"/>
        </w:rPr>
        <w:t>6.资金分配合理性</w:t>
      </w:r>
    </w:p>
    <w:p>
      <w:pPr>
        <w:ind w:firstLine="560"/>
      </w:pPr>
      <w:r>
        <w:rPr>
          <w:rFonts w:hint="eastAsia"/>
        </w:rPr>
        <w:t>①预算资金分配依据充分；</w:t>
      </w:r>
    </w:p>
    <w:p>
      <w:pPr>
        <w:ind w:firstLine="560"/>
        <w:rPr>
          <w:color w:val="auto"/>
        </w:rPr>
      </w:pPr>
      <w:r>
        <w:rPr>
          <w:rFonts w:hint="eastAsia"/>
        </w:rPr>
        <w:t>②资金分配额度合理</w:t>
      </w:r>
      <w:r>
        <w:rPr>
          <w:rFonts w:hint="eastAsia"/>
          <w:color w:val="auto"/>
        </w:rPr>
        <w:t>，与项目单位或地方实际相适应。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二</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439"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345"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345"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345"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345"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345"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345"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w:t>
      </w:r>
    </w:p>
    <w:p>
      <w:pPr>
        <w:bidi w:val="0"/>
        <w:rPr>
          <w:rFonts w:hint="default"/>
          <w:b/>
          <w:bCs/>
          <w:color w:val="auto"/>
          <w:lang w:val="en-US" w:eastAsia="zh-CN"/>
        </w:rPr>
      </w:pPr>
      <w:r>
        <w:rPr>
          <w:rFonts w:hint="eastAsia"/>
          <w:color w:val="auto"/>
          <w:lang w:eastAsia="zh-CN"/>
        </w:rPr>
        <w:t>资金到位率=（</w:t>
      </w:r>
      <w:r>
        <w:rPr>
          <w:rFonts w:hint="eastAsia"/>
          <w:color w:val="auto"/>
          <w:lang w:val="en-US" w:eastAsia="zh-CN"/>
        </w:rPr>
        <w:t>927</w:t>
      </w:r>
      <w:r>
        <w:rPr>
          <w:rFonts w:hint="eastAsia"/>
          <w:color w:val="auto"/>
          <w:lang w:eastAsia="zh-CN"/>
        </w:rPr>
        <w:t>/</w:t>
      </w:r>
      <w:r>
        <w:rPr>
          <w:rFonts w:hint="eastAsia"/>
          <w:color w:val="auto"/>
          <w:lang w:val="en-US" w:eastAsia="zh-CN"/>
        </w:rPr>
        <w:t>927</w:t>
      </w:r>
      <w:r>
        <w:rPr>
          <w:rFonts w:hint="eastAsia"/>
          <w:color w:val="auto"/>
          <w:lang w:eastAsia="zh-CN"/>
        </w:rPr>
        <w:t>）×100%</w:t>
      </w:r>
      <w:r>
        <w:rPr>
          <w:rFonts w:hint="eastAsia"/>
          <w:color w:val="auto"/>
        </w:rPr>
        <w:t>=100%。</w:t>
      </w:r>
    </w:p>
    <w:p>
      <w:pPr>
        <w:bidi w:val="0"/>
        <w:rPr>
          <w:rFonts w:hint="eastAsia"/>
          <w:lang w:eastAsia="zh-CN"/>
        </w:rPr>
      </w:pPr>
      <w:r>
        <w:rPr>
          <w:rFonts w:hint="eastAsia"/>
          <w:b/>
          <w:bCs/>
          <w:lang w:val="en-US" w:eastAsia="zh-CN"/>
        </w:rPr>
        <w:t>综上，该项指标</w:t>
      </w:r>
      <w:r>
        <w:rPr>
          <w:rFonts w:hint="eastAsia"/>
          <w:b/>
          <w:bCs/>
          <w:color w:val="auto"/>
          <w:lang w:val="en-US" w:eastAsia="zh-CN"/>
        </w:rPr>
        <w:t>满分4分，得分4分。</w:t>
      </w:r>
    </w:p>
    <w:p>
      <w:pPr>
        <w:bidi w:val="0"/>
        <w:rPr>
          <w:rFonts w:hint="default"/>
          <w:b/>
          <w:bCs/>
          <w:lang w:val="en-US" w:eastAsia="zh-CN"/>
        </w:rPr>
      </w:pPr>
      <w:r>
        <w:rPr>
          <w:rFonts w:hint="eastAsia"/>
          <w:b/>
          <w:bCs/>
          <w:lang w:val="en-US" w:eastAsia="zh-CN"/>
        </w:rPr>
        <w:t>2.预算执行率</w:t>
      </w:r>
    </w:p>
    <w:p>
      <w:pPr>
        <w:bidi w:val="0"/>
        <w:rPr>
          <w:rFonts w:hint="default"/>
          <w:lang w:val="en-US" w:eastAsia="zh-CN"/>
        </w:rPr>
      </w:pPr>
      <w:r>
        <w:rPr>
          <w:rFonts w:hint="eastAsia"/>
          <w:lang w:eastAsia="zh-CN"/>
        </w:rPr>
        <w:t>预算执行率=</w:t>
      </w:r>
      <w:r>
        <w:rPr>
          <w:rFonts w:hint="eastAsia"/>
          <w:color w:val="auto"/>
          <w:lang w:eastAsia="zh-CN"/>
        </w:rPr>
        <w:t>（</w:t>
      </w:r>
      <w:r>
        <w:rPr>
          <w:rFonts w:hint="eastAsia"/>
          <w:color w:val="auto"/>
          <w:lang w:val="en-US" w:eastAsia="zh-CN"/>
        </w:rPr>
        <w:t>927</w:t>
      </w:r>
      <w:r>
        <w:rPr>
          <w:rFonts w:hint="eastAsia"/>
          <w:color w:val="auto"/>
          <w:lang w:eastAsia="zh-CN"/>
        </w:rPr>
        <w:t>/</w:t>
      </w:r>
      <w:r>
        <w:rPr>
          <w:rFonts w:hint="eastAsia"/>
          <w:color w:val="auto"/>
          <w:lang w:val="en-US" w:eastAsia="zh-CN"/>
        </w:rPr>
        <w:t>927</w:t>
      </w:r>
      <w:r>
        <w:rPr>
          <w:rFonts w:hint="eastAsia"/>
          <w:color w:val="auto"/>
          <w:lang w:eastAsia="zh-CN"/>
        </w:rPr>
        <w:t>）×100%</w:t>
      </w:r>
      <w:r>
        <w:rPr>
          <w:rFonts w:hint="eastAsia"/>
          <w:color w:val="auto"/>
        </w:rPr>
        <w:t>=100%。</w:t>
      </w:r>
    </w:p>
    <w:p>
      <w:pPr>
        <w:bidi w:val="0"/>
        <w:rPr>
          <w:rFonts w:hint="eastAsia"/>
          <w:lang w:eastAsia="zh-CN"/>
        </w:rPr>
      </w:pPr>
      <w:r>
        <w:rPr>
          <w:rFonts w:hint="eastAsia"/>
          <w:b/>
          <w:bCs/>
          <w:lang w:val="en-US" w:eastAsia="zh-CN"/>
        </w:rPr>
        <w:t>综上，该项指标满</w:t>
      </w:r>
      <w:r>
        <w:rPr>
          <w:rFonts w:hint="eastAsia"/>
          <w:b/>
          <w:bCs/>
          <w:color w:val="auto"/>
          <w:lang w:val="en-US" w:eastAsia="zh-CN"/>
        </w:rPr>
        <w:t>满分4分，得分4分。</w:t>
      </w:r>
    </w:p>
    <w:p>
      <w:pPr>
        <w:bidi w:val="0"/>
        <w:rPr>
          <w:rFonts w:hint="default"/>
          <w:b/>
          <w:bCs/>
          <w:lang w:val="en-US" w:eastAsia="zh-CN"/>
        </w:rPr>
      </w:pPr>
      <w:r>
        <w:rPr>
          <w:rFonts w:hint="eastAsia"/>
          <w:b/>
          <w:bCs/>
          <w:lang w:val="en-US" w:eastAsia="zh-CN"/>
        </w:rPr>
        <w:t>3.资金使用合规性</w:t>
      </w:r>
    </w:p>
    <w:p>
      <w:pPr>
        <w:ind w:firstLine="560"/>
      </w:pPr>
      <w:r>
        <w:rPr>
          <w:rFonts w:hint="eastAsia"/>
        </w:rPr>
        <w:t>①符合国家财经法规和财务管理制度以及有关专项资金管理办法的规定；</w:t>
      </w:r>
    </w:p>
    <w:p>
      <w:pPr>
        <w:ind w:firstLine="560"/>
      </w:pPr>
      <w:r>
        <w:rPr>
          <w:rFonts w:hint="eastAsia"/>
        </w:rPr>
        <w:t>②资金的拨付有完整的审批程序和手续，按照地方政府一般债专项资金要求，我单位根据《关于&lt;阜康市第三小学基础教育附属设施及设备建设项目可行性研究报告&gt;的批复》（阜发改投资[2019] 282号）文件向市财政局以书面报告形式申请资金，市财政局审核通过后拨付资金。</w:t>
      </w:r>
    </w:p>
    <w:p>
      <w:pPr>
        <w:ind w:firstLine="560"/>
      </w:pPr>
      <w:r>
        <w:rPr>
          <w:rFonts w:hint="eastAsia"/>
        </w:rPr>
        <w:t>③符合项目预算批复或合同规定的用途；</w:t>
      </w:r>
    </w:p>
    <w:p>
      <w:pPr>
        <w:ind w:firstLine="560"/>
      </w:pPr>
      <w:r>
        <w:rPr>
          <w:rFonts w:hint="eastAsia"/>
        </w:rPr>
        <w:t>④该项目不存在截留、挤占、挪用、虚列支出等情况。</w:t>
      </w:r>
    </w:p>
    <w:p>
      <w:pPr>
        <w:bidi w:val="0"/>
        <w:rPr>
          <w:rFonts w:hint="eastAsia"/>
          <w:lang w:eastAsia="zh-CN"/>
        </w:rPr>
      </w:pPr>
      <w:r>
        <w:rPr>
          <w:rFonts w:hint="eastAsia"/>
          <w:b/>
          <w:bCs/>
          <w:lang w:val="en-US" w:eastAsia="zh-CN"/>
        </w:rPr>
        <w:t>综上，该项指标</w:t>
      </w:r>
      <w:r>
        <w:rPr>
          <w:rFonts w:hint="eastAsia"/>
          <w:b/>
          <w:bCs/>
          <w:color w:val="auto"/>
          <w:lang w:val="en-US" w:eastAsia="zh-CN"/>
        </w:rPr>
        <w:t>满分4分，得分4分。</w:t>
      </w:r>
    </w:p>
    <w:p>
      <w:pPr>
        <w:bidi w:val="0"/>
        <w:rPr>
          <w:rFonts w:hint="default"/>
          <w:b/>
          <w:bCs/>
          <w:lang w:val="en-US" w:eastAsia="zh-CN"/>
        </w:rPr>
      </w:pPr>
      <w:r>
        <w:rPr>
          <w:rFonts w:hint="eastAsia"/>
          <w:b/>
          <w:bCs/>
          <w:lang w:val="en-US" w:eastAsia="zh-CN"/>
        </w:rPr>
        <w:t>4.管理制度健全性</w:t>
      </w:r>
    </w:p>
    <w:p>
      <w:pPr>
        <w:ind w:firstLine="560"/>
      </w:pPr>
      <w:r>
        <w:rPr>
          <w:rFonts w:hint="eastAsia"/>
        </w:rPr>
        <w:t>①阜康市教育局根据国家相关法规和内部控制等制度文件汇编，建立《阜康市教科局内部会计管理制度汇编》、《阜康市教科局“三公经费”预算管理和公开制度》等各项规章制度和工作程序，从制度和程序上严把资金使用、管理、绩效等各环节关口，堵塞漏洞、消除隐患，切实加强资金监管；</w:t>
      </w:r>
    </w:p>
    <w:p>
      <w:pPr>
        <w:ind w:firstLine="560"/>
      </w:pPr>
      <w:r>
        <w:rPr>
          <w:rFonts w:hint="eastAsia"/>
        </w:rPr>
        <w:t>②财务和业务管理制度合法、合规、完整。</w:t>
      </w:r>
    </w:p>
    <w:p>
      <w:pPr>
        <w:bidi w:val="0"/>
        <w:rPr>
          <w:rFonts w:hint="eastAsia"/>
          <w:lang w:eastAsia="zh-CN"/>
        </w:rPr>
      </w:pPr>
      <w:r>
        <w:rPr>
          <w:rFonts w:hint="eastAsia"/>
          <w:b/>
          <w:bCs/>
          <w:lang w:val="en-US" w:eastAsia="zh-CN"/>
        </w:rPr>
        <w:t>综上，该项指标</w:t>
      </w:r>
      <w:r>
        <w:rPr>
          <w:rFonts w:hint="eastAsia"/>
          <w:b/>
          <w:bCs/>
          <w:color w:val="auto"/>
          <w:lang w:val="en-US" w:eastAsia="zh-CN"/>
        </w:rPr>
        <w:t>满分4分，得分4分。</w:t>
      </w:r>
    </w:p>
    <w:p>
      <w:pPr>
        <w:bidi w:val="0"/>
        <w:ind w:left="1403" w:leftChars="200" w:hanging="843" w:hangingChars="300"/>
        <w:rPr>
          <w:rFonts w:hint="eastAsia"/>
          <w:b/>
          <w:bCs/>
          <w:lang w:val="en-US" w:eastAsia="zh-CN"/>
        </w:rPr>
      </w:pPr>
      <w:r>
        <w:rPr>
          <w:rFonts w:hint="eastAsia"/>
          <w:b/>
          <w:bCs/>
          <w:lang w:val="en-US" w:eastAsia="zh-CN"/>
        </w:rPr>
        <w:t>5.制度执行有效性</w:t>
      </w:r>
    </w:p>
    <w:p>
      <w:pPr>
        <w:ind w:firstLine="560"/>
      </w:pPr>
      <w:r>
        <w:rPr>
          <w:rFonts w:hint="eastAsia"/>
        </w:rPr>
        <w:t>①遵守相关法律法规和相关管理规定；</w:t>
      </w:r>
    </w:p>
    <w:p>
      <w:pPr>
        <w:ind w:firstLine="560"/>
      </w:pPr>
      <w:r>
        <w:rPr>
          <w:rFonts w:hint="eastAsia"/>
        </w:rPr>
        <w:t>②该项目无支出调整情况；</w:t>
      </w:r>
    </w:p>
    <w:p>
      <w:pPr>
        <w:ind w:firstLine="560"/>
      </w:pPr>
      <w:r>
        <w:rPr>
          <w:rFonts w:hint="eastAsia"/>
        </w:rPr>
        <w:t>③项目合同书、验收报告、技术鉴定等资料齐全并及时归档；</w:t>
      </w:r>
    </w:p>
    <w:p>
      <w:pPr>
        <w:bidi w:val="0"/>
        <w:rPr>
          <w:rFonts w:hint="eastAsia"/>
        </w:rPr>
      </w:pPr>
      <w:r>
        <w:rPr>
          <w:rFonts w:hint="eastAsia"/>
        </w:rPr>
        <w:t>④项目实施的人员条件、场地设备、信息支撑等落实到位。</w:t>
      </w:r>
    </w:p>
    <w:p>
      <w:pPr>
        <w:bidi w:val="0"/>
        <w:rPr>
          <w:rFonts w:hint="eastAsia"/>
          <w:lang w:eastAsia="zh-CN"/>
        </w:rPr>
      </w:pPr>
      <w:r>
        <w:rPr>
          <w:rFonts w:hint="eastAsia"/>
          <w:b/>
          <w:bCs/>
          <w:lang w:val="en-US" w:eastAsia="zh-CN"/>
        </w:rPr>
        <w:t>综上，该项指标满</w:t>
      </w:r>
      <w:r>
        <w:rPr>
          <w:rFonts w:hint="eastAsia"/>
          <w:b/>
          <w:bCs/>
          <w:color w:val="auto"/>
          <w:lang w:val="en-US" w:eastAsia="zh-CN"/>
        </w:rPr>
        <w:t>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7</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1"/>
        <w:tblW w:w="8518" w:type="dxa"/>
        <w:tblInd w:w="0" w:type="dxa"/>
        <w:shd w:val="clear" w:color="auto" w:fill="auto"/>
        <w:tblLayout w:type="fixed"/>
        <w:tblCellMar>
          <w:top w:w="0" w:type="dxa"/>
          <w:left w:w="0" w:type="dxa"/>
          <w:bottom w:w="0" w:type="dxa"/>
          <w:right w:w="0" w:type="dxa"/>
        </w:tblCellMar>
      </w:tblPr>
      <w:tblGrid>
        <w:gridCol w:w="634"/>
        <w:gridCol w:w="928"/>
        <w:gridCol w:w="2321"/>
        <w:gridCol w:w="1590"/>
        <w:gridCol w:w="585"/>
        <w:gridCol w:w="1935"/>
        <w:gridCol w:w="525"/>
      </w:tblGrid>
      <w:tr>
        <w:tblPrEx>
          <w:shd w:val="clear" w:color="auto" w:fill="auto"/>
          <w:tblCellMar>
            <w:top w:w="0" w:type="dxa"/>
            <w:left w:w="0" w:type="dxa"/>
            <w:bottom w:w="0" w:type="dxa"/>
            <w:right w:w="0" w:type="dxa"/>
          </w:tblCellMar>
        </w:tblPrEx>
        <w:trPr>
          <w:trHeight w:val="63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32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9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办学条件改善项目数</w:t>
            </w:r>
          </w:p>
        </w:tc>
        <w:tc>
          <w:tcPr>
            <w:tcW w:w="1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≥1个</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1个</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项目实施学校数</w:t>
            </w:r>
          </w:p>
        </w:tc>
        <w:tc>
          <w:tcPr>
            <w:tcW w:w="1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≥1所</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1所</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工程项目验收合格率</w:t>
            </w:r>
          </w:p>
        </w:tc>
        <w:tc>
          <w:tcPr>
            <w:tcW w:w="1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设施设备采购质量合格率</w:t>
            </w:r>
          </w:p>
        </w:tc>
        <w:tc>
          <w:tcPr>
            <w:tcW w:w="1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资金支付工作完成时限</w:t>
            </w:r>
          </w:p>
        </w:tc>
        <w:tc>
          <w:tcPr>
            <w:tcW w:w="1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2022年7月底前</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snapToGrid w:val="0"/>
                <w:color w:val="auto"/>
                <w:w w:val="100"/>
                <w:kern w:val="0"/>
                <w:sz w:val="20"/>
                <w:szCs w:val="20"/>
                <w:highlight w:val="none"/>
                <w:shd w:val="clear" w:color="auto" w:fill="auto"/>
                <w:lang w:val="en-US" w:eastAsia="zh-CN"/>
              </w:rPr>
              <w:t>2022</w:t>
            </w:r>
            <w:r>
              <w:rPr>
                <w:rFonts w:hint="eastAsia" w:cs="宋体"/>
                <w:snapToGrid w:val="0"/>
                <w:color w:val="auto"/>
                <w:w w:val="100"/>
                <w:kern w:val="0"/>
                <w:sz w:val="20"/>
                <w:szCs w:val="20"/>
                <w:highlight w:val="none"/>
                <w:shd w:val="clear" w:color="auto" w:fill="auto"/>
                <w:lang w:val="en-US" w:eastAsia="zh-CN"/>
              </w:rPr>
              <w:t>年6月</w:t>
            </w:r>
            <w:r>
              <w:rPr>
                <w:rFonts w:hint="eastAsia" w:ascii="宋体" w:hAnsi="宋体" w:eastAsia="宋体" w:cs="宋体"/>
                <w:snapToGrid w:val="0"/>
                <w:color w:val="auto"/>
                <w:w w:val="100"/>
                <w:kern w:val="0"/>
                <w:sz w:val="20"/>
                <w:szCs w:val="20"/>
                <w:highlight w:val="none"/>
                <w:shd w:val="clear" w:color="auto" w:fill="auto"/>
                <w:lang w:val="en-US" w:eastAsia="zh-CN"/>
              </w:rPr>
              <w:t>3</w:t>
            </w:r>
            <w:r>
              <w:rPr>
                <w:rFonts w:hint="eastAsia" w:cs="宋体"/>
                <w:snapToGrid w:val="0"/>
                <w:color w:val="auto"/>
                <w:w w:val="100"/>
                <w:kern w:val="0"/>
                <w:sz w:val="20"/>
                <w:szCs w:val="20"/>
                <w:highlight w:val="none"/>
                <w:shd w:val="clear" w:color="auto" w:fill="auto"/>
                <w:lang w:val="en-US" w:eastAsia="zh-CN"/>
              </w:rPr>
              <w:t>0日</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义务教育薄弱环节改善与能力提升补助资金</w:t>
            </w:r>
          </w:p>
        </w:tc>
        <w:tc>
          <w:tcPr>
            <w:tcW w:w="1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≤927万元</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927</w:t>
            </w:r>
            <w:r>
              <w:rPr>
                <w:rFonts w:hint="eastAsia" w:ascii="宋体" w:hAnsi="宋体" w:eastAsia="宋体" w:cs="宋体"/>
                <w:color w:val="auto"/>
                <w:kern w:val="0"/>
                <w:sz w:val="20"/>
                <w:szCs w:val="20"/>
                <w:highlight w:val="none"/>
                <w:shd w:val="clear" w:color="auto" w:fill="auto"/>
                <w:lang w:val="en-US" w:eastAsia="zh-CN"/>
              </w:rPr>
              <w:t>万元</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03" w:hRule="atLeast"/>
        </w:trPr>
        <w:tc>
          <w:tcPr>
            <w:tcW w:w="54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eastAsia"/>
          <w:b/>
          <w:bCs/>
          <w:lang w:val="en-US" w:eastAsia="zh-CN"/>
        </w:rPr>
      </w:pPr>
      <w:r>
        <w:rPr>
          <w:rFonts w:hint="eastAsia"/>
          <w:b/>
          <w:bCs/>
          <w:lang w:val="en-US" w:eastAsia="zh-CN"/>
        </w:rPr>
        <w:t>1.项目完成数量</w:t>
      </w:r>
    </w:p>
    <w:p>
      <w:pPr>
        <w:ind w:firstLine="560"/>
      </w:pPr>
      <w:r>
        <w:rPr>
          <w:rFonts w:hint="eastAsia"/>
        </w:rPr>
        <w:t>“办学条件改善项目数”指标，预期指标值为≥</w:t>
      </w:r>
      <w:r>
        <w:rPr>
          <w:rFonts w:hint="eastAsia"/>
          <w:lang w:val="en-US" w:eastAsia="zh-CN"/>
        </w:rPr>
        <w:t>1</w:t>
      </w:r>
      <w:r>
        <w:rPr>
          <w:rFonts w:hint="eastAsia"/>
        </w:rPr>
        <w:t>个，实际完成为</w:t>
      </w:r>
      <w:r>
        <w:rPr>
          <w:rFonts w:hint="eastAsia"/>
          <w:lang w:val="en-US" w:eastAsia="zh-CN"/>
        </w:rPr>
        <w:t>1</w:t>
      </w:r>
      <w:r>
        <w:rPr>
          <w:rFonts w:hint="eastAsia"/>
        </w:rPr>
        <w:t>个。实际完成率=（</w:t>
      </w:r>
      <w:r>
        <w:rPr>
          <w:rFonts w:hint="eastAsia"/>
          <w:lang w:val="en-US" w:eastAsia="zh-CN"/>
        </w:rPr>
        <w:t>1</w:t>
      </w:r>
      <w:r>
        <w:rPr>
          <w:rFonts w:hint="eastAsia"/>
        </w:rPr>
        <w:t>/</w:t>
      </w:r>
      <w:r>
        <w:rPr>
          <w:rFonts w:hint="eastAsia"/>
          <w:lang w:val="en-US" w:eastAsia="zh-CN"/>
        </w:rPr>
        <w:t>1</w:t>
      </w:r>
      <w:r>
        <w:rPr>
          <w:rFonts w:hint="eastAsia"/>
        </w:rPr>
        <w:t>）×100%=100%。</w:t>
      </w:r>
    </w:p>
    <w:p>
      <w:pPr>
        <w:ind w:firstLine="560"/>
        <w:rPr>
          <w:color w:val="auto"/>
        </w:rPr>
      </w:pPr>
      <w:r>
        <w:rPr>
          <w:rFonts w:hint="eastAsia"/>
        </w:rPr>
        <w:t>“项目实施学校数”指</w:t>
      </w:r>
      <w:r>
        <w:rPr>
          <w:rFonts w:hint="eastAsia"/>
          <w:color w:val="auto"/>
        </w:rPr>
        <w:t>标，预期指标值为</w:t>
      </w:r>
      <w:r>
        <w:rPr>
          <w:rFonts w:hint="eastAsia"/>
        </w:rPr>
        <w:t>≥</w:t>
      </w:r>
      <w:r>
        <w:rPr>
          <w:rFonts w:hint="eastAsia"/>
          <w:color w:val="auto"/>
        </w:rPr>
        <w:t>1个，实际完成为1个。实际完成率=（1/1）×100%=100%。</w:t>
      </w:r>
    </w:p>
    <w:p>
      <w:pPr>
        <w:bidi w:val="0"/>
        <w:rPr>
          <w:rFonts w:hint="eastAsia"/>
          <w:color w:val="auto"/>
          <w:lang w:eastAsia="zh-CN"/>
        </w:rPr>
      </w:pPr>
      <w:r>
        <w:rPr>
          <w:rFonts w:hint="eastAsia"/>
          <w:b/>
          <w:bCs/>
          <w:color w:val="auto"/>
          <w:lang w:val="en-US" w:eastAsia="zh-CN"/>
        </w:rPr>
        <w:t>综上，该项指标满分8分，得分8分。</w:t>
      </w:r>
    </w:p>
    <w:p>
      <w:pPr>
        <w:bidi w:val="0"/>
        <w:rPr>
          <w:rFonts w:hint="default"/>
          <w:b/>
          <w:bCs/>
          <w:lang w:val="en-US" w:eastAsia="zh-CN"/>
        </w:rPr>
      </w:pPr>
      <w:r>
        <w:rPr>
          <w:rFonts w:hint="eastAsia"/>
          <w:b/>
          <w:bCs/>
          <w:lang w:val="en-US" w:eastAsia="zh-CN"/>
        </w:rPr>
        <w:t>2.项目完成质量</w:t>
      </w:r>
    </w:p>
    <w:p>
      <w:pPr>
        <w:ind w:firstLine="560"/>
      </w:pPr>
      <w:r>
        <w:rPr>
          <w:rFonts w:hint="eastAsia"/>
        </w:rPr>
        <w:t>“工程项目验收合格率”指标，预期指标值为</w:t>
      </w:r>
      <w:r>
        <w:rPr>
          <w:rFonts w:hint="eastAsia"/>
          <w:lang w:val="en-US" w:eastAsia="zh-CN"/>
        </w:rPr>
        <w:t>=</w:t>
      </w:r>
      <w:r>
        <w:rPr>
          <w:rFonts w:hint="eastAsia"/>
        </w:rPr>
        <w:t>100%，实际完成为100%。</w:t>
      </w:r>
    </w:p>
    <w:p>
      <w:pPr>
        <w:bidi w:val="0"/>
        <w:rPr>
          <w:rFonts w:hint="eastAsia"/>
        </w:rPr>
      </w:pPr>
      <w:r>
        <w:rPr>
          <w:rFonts w:hint="eastAsia"/>
        </w:rPr>
        <w:t>“设施设备采购质量合格率”指标，预期指标值为</w:t>
      </w:r>
      <w:r>
        <w:rPr>
          <w:rFonts w:hint="eastAsia"/>
          <w:lang w:val="en-US" w:eastAsia="zh-CN"/>
        </w:rPr>
        <w:t>=</w:t>
      </w:r>
      <w:r>
        <w:rPr>
          <w:rFonts w:hint="eastAsia"/>
        </w:rPr>
        <w:t>100%，实际完成为100%。</w:t>
      </w:r>
    </w:p>
    <w:p>
      <w:pPr>
        <w:bidi w:val="0"/>
        <w:rPr>
          <w:rFonts w:hint="eastAsia"/>
          <w:lang w:eastAsia="zh-CN"/>
        </w:rPr>
      </w:pPr>
      <w:r>
        <w:rPr>
          <w:rFonts w:hint="eastAsia"/>
          <w:b/>
          <w:bCs/>
          <w:lang w:val="en-US" w:eastAsia="zh-CN"/>
        </w:rPr>
        <w:t>综上，该项指标满</w:t>
      </w:r>
      <w:r>
        <w:rPr>
          <w:rFonts w:hint="eastAsia"/>
          <w:b/>
          <w:bCs/>
          <w:color w:val="auto"/>
          <w:lang w:val="en-US" w:eastAsia="zh-CN"/>
        </w:rPr>
        <w:t>分8分，得分8分。</w:t>
      </w:r>
    </w:p>
    <w:p>
      <w:pPr>
        <w:bidi w:val="0"/>
        <w:rPr>
          <w:rFonts w:hint="default"/>
          <w:b/>
          <w:bCs/>
          <w:lang w:val="en-US" w:eastAsia="zh-CN"/>
        </w:rPr>
      </w:pPr>
      <w:r>
        <w:rPr>
          <w:rFonts w:hint="eastAsia"/>
          <w:b/>
          <w:bCs/>
          <w:lang w:val="en-US" w:eastAsia="zh-CN"/>
        </w:rPr>
        <w:t>3.项目完成时效</w:t>
      </w:r>
    </w:p>
    <w:p>
      <w:pPr>
        <w:ind w:firstLine="560"/>
      </w:pPr>
      <w:r>
        <w:rPr>
          <w:rFonts w:hint="eastAsia"/>
        </w:rPr>
        <w:t>“资金支付及时率”指标，预期指标值为</w:t>
      </w:r>
      <w:r>
        <w:rPr>
          <w:rFonts w:hint="eastAsia"/>
          <w:lang w:val="en-US" w:eastAsia="zh-CN"/>
        </w:rPr>
        <w:t>=</w:t>
      </w:r>
      <w:r>
        <w:rPr>
          <w:rFonts w:hint="eastAsia"/>
        </w:rPr>
        <w:t>100%，实际完成为100%。</w:t>
      </w:r>
    </w:p>
    <w:p>
      <w:pPr>
        <w:ind w:firstLine="560"/>
      </w:pPr>
      <w:r>
        <w:rPr>
          <w:rFonts w:hint="eastAsia"/>
        </w:rPr>
        <w:t>“资金支付工作完成时限”指标，预期指标值为2022年7月底前，实际完成为2021年</w:t>
      </w:r>
      <w:r>
        <w:rPr>
          <w:rFonts w:hint="eastAsia"/>
          <w:lang w:val="en-US" w:eastAsia="zh-CN"/>
        </w:rPr>
        <w:t>6</w:t>
      </w:r>
      <w:r>
        <w:rPr>
          <w:rFonts w:hint="eastAsia"/>
        </w:rPr>
        <w:t>月3</w:t>
      </w:r>
      <w:r>
        <w:rPr>
          <w:rFonts w:hint="eastAsia"/>
          <w:lang w:val="en-US" w:eastAsia="zh-CN"/>
        </w:rPr>
        <w:t>0</w:t>
      </w:r>
      <w:r>
        <w:rPr>
          <w:rFonts w:hint="eastAsia"/>
        </w:rPr>
        <w:t>日。</w:t>
      </w:r>
    </w:p>
    <w:p>
      <w:pPr>
        <w:bidi w:val="0"/>
        <w:rPr>
          <w:rFonts w:hint="eastAsia"/>
          <w:lang w:eastAsia="zh-CN"/>
        </w:rPr>
      </w:pPr>
      <w:r>
        <w:rPr>
          <w:rFonts w:hint="eastAsia"/>
          <w:b/>
          <w:bCs/>
          <w:lang w:val="en-US" w:eastAsia="zh-CN"/>
        </w:rPr>
        <w:t>综上，该项指标满</w:t>
      </w:r>
      <w:r>
        <w:rPr>
          <w:rFonts w:hint="eastAsia"/>
          <w:b/>
          <w:bCs/>
          <w:color w:val="auto"/>
          <w:lang w:val="en-US" w:eastAsia="zh-CN"/>
        </w:rPr>
        <w:t>分9分，得分9分。</w:t>
      </w:r>
    </w:p>
    <w:p>
      <w:pPr>
        <w:bidi w:val="0"/>
        <w:rPr>
          <w:rFonts w:hint="default"/>
          <w:b/>
          <w:bCs/>
          <w:lang w:val="en-US" w:eastAsia="zh-CN"/>
        </w:rPr>
      </w:pPr>
      <w:r>
        <w:rPr>
          <w:rFonts w:hint="eastAsia"/>
          <w:b/>
          <w:bCs/>
          <w:lang w:val="en-US" w:eastAsia="zh-CN"/>
        </w:rPr>
        <w:t>4.项目完成成本</w:t>
      </w:r>
    </w:p>
    <w:p>
      <w:pPr>
        <w:bidi w:val="0"/>
        <w:rPr>
          <w:rFonts w:hint="eastAsia"/>
          <w:lang w:eastAsia="zh-CN"/>
        </w:rPr>
      </w:pPr>
      <w:r>
        <w:rPr>
          <w:rFonts w:hint="eastAsia"/>
          <w:lang w:eastAsia="zh-CN"/>
        </w:rPr>
        <w:t>“义务教育薄弱环节改善与能力提升补助资金”指标，预期指标值为</w:t>
      </w:r>
      <w:r>
        <w:rPr>
          <w:rFonts w:hint="eastAsia" w:ascii="宋体" w:hAnsi="宋体" w:eastAsia="宋体" w:cs="宋体"/>
          <w:color w:val="auto"/>
          <w:kern w:val="0"/>
          <w:sz w:val="20"/>
          <w:szCs w:val="20"/>
          <w:highlight w:val="none"/>
          <w:shd w:val="clear" w:color="auto" w:fill="auto"/>
          <w:lang w:val="en-US" w:eastAsia="zh-CN"/>
        </w:rPr>
        <w:t>≤</w:t>
      </w:r>
      <w:r>
        <w:rPr>
          <w:rFonts w:hint="eastAsia"/>
          <w:lang w:val="en-US" w:eastAsia="zh-CN"/>
        </w:rPr>
        <w:t>927</w:t>
      </w:r>
      <w:r>
        <w:rPr>
          <w:rFonts w:hint="eastAsia"/>
          <w:lang w:eastAsia="zh-CN"/>
        </w:rPr>
        <w:t>万元，实际完成为</w:t>
      </w:r>
      <w:r>
        <w:rPr>
          <w:rFonts w:hint="eastAsia"/>
          <w:lang w:val="en-US" w:eastAsia="zh-CN"/>
        </w:rPr>
        <w:t>927</w:t>
      </w:r>
      <w:r>
        <w:rPr>
          <w:rFonts w:hint="eastAsia"/>
          <w:lang w:eastAsia="zh-CN"/>
        </w:rPr>
        <w:t>万元。实际完成率=（</w:t>
      </w:r>
      <w:r>
        <w:rPr>
          <w:rFonts w:hint="eastAsia"/>
          <w:lang w:val="en-US" w:eastAsia="zh-CN"/>
        </w:rPr>
        <w:t>927</w:t>
      </w:r>
      <w:r>
        <w:rPr>
          <w:rFonts w:hint="eastAsia"/>
          <w:lang w:eastAsia="zh-CN"/>
        </w:rPr>
        <w:t>/</w:t>
      </w:r>
      <w:r>
        <w:rPr>
          <w:rFonts w:hint="eastAsia"/>
          <w:lang w:val="en-US" w:eastAsia="zh-CN"/>
        </w:rPr>
        <w:t>927</w:t>
      </w:r>
      <w:r>
        <w:rPr>
          <w:rFonts w:hint="eastAsia"/>
          <w:lang w:eastAsia="zh-CN"/>
        </w:rPr>
        <w:t>）×100%=100%。</w:t>
      </w:r>
    </w:p>
    <w:p>
      <w:pPr>
        <w:bidi w:val="0"/>
        <w:rPr>
          <w:rFonts w:hint="eastAsia"/>
          <w:lang w:eastAsia="zh-CN"/>
        </w:rPr>
      </w:pPr>
      <w:r>
        <w:rPr>
          <w:rFonts w:hint="eastAsia"/>
          <w:b/>
          <w:bCs/>
          <w:lang w:val="en-US" w:eastAsia="zh-CN"/>
        </w:rPr>
        <w:t>综上，该项指</w:t>
      </w:r>
      <w:r>
        <w:rPr>
          <w:rFonts w:hint="eastAsia"/>
          <w:b/>
          <w:bCs/>
          <w:color w:val="auto"/>
          <w:lang w:val="en-US" w:eastAsia="zh-CN"/>
        </w:rPr>
        <w:t>标满分5分，得分5分。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四</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w:t>
      </w:r>
      <w:r>
        <w:rPr>
          <w:rFonts w:hint="eastAsia" w:ascii="宋体" w:hAnsi="宋体" w:eastAsia="宋体" w:cs="宋体"/>
          <w:color w:val="auto"/>
          <w:highlight w:val="none"/>
          <w:shd w:val="clear" w:color="auto" w:fill="auto"/>
        </w:rPr>
        <w:t>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1"/>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义务教育学校标准化建设</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推进</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学校硬件设施设备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改善义务教育阶段办学条件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≥98%</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≥98%</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lang w:val="en-US" w:eastAsia="zh-CN"/>
        </w:rPr>
      </w:pPr>
      <w:r>
        <w:rPr>
          <w:rFonts w:hint="eastAsia"/>
          <w:b/>
          <w:bCs/>
          <w:lang w:val="en-US" w:eastAsia="zh-CN"/>
        </w:rPr>
        <w:t>1.社会效益指标</w:t>
      </w:r>
    </w:p>
    <w:p>
      <w:pPr>
        <w:ind w:firstLine="560"/>
      </w:pPr>
      <w:r>
        <w:rPr>
          <w:rFonts w:hint="eastAsia"/>
        </w:rPr>
        <w:t>“义务教育学校标准化建设”指标，预期指标值为推进，实际完成为100%。</w:t>
      </w:r>
    </w:p>
    <w:p>
      <w:pPr>
        <w:ind w:firstLine="560"/>
      </w:pPr>
      <w:r>
        <w:rPr>
          <w:rFonts w:hint="eastAsia"/>
        </w:rPr>
        <w:t>通过项目的实施，</w:t>
      </w:r>
      <w:r>
        <w:rPr>
          <w:rFonts w:hint="eastAsia"/>
          <w:lang w:val="en-US" w:eastAsia="zh-CN"/>
        </w:rPr>
        <w:t>对</w:t>
      </w:r>
      <w:r>
        <w:rPr>
          <w:rFonts w:hint="eastAsia"/>
        </w:rPr>
        <w:t>阜康市第三小学进行提升改造，包括：教学楼及综合楼（实验楼、教室宿舍、食堂、其他用房）、田径场、篮球场、乒乓球场、公共厕所、景观及绿化工程、道路及室外地坪、室外配电、室外给排水工程、智慧校园建设等</w:t>
      </w:r>
      <w:r>
        <w:rPr>
          <w:rFonts w:hint="eastAsia"/>
          <w:lang w:eastAsia="zh-CN"/>
        </w:rPr>
        <w:t>，</w:t>
      </w:r>
      <w:r>
        <w:rPr>
          <w:rFonts w:hint="eastAsia"/>
        </w:rPr>
        <w:t>推进义务教育学校标准化建设。</w:t>
      </w:r>
    </w:p>
    <w:p>
      <w:pPr>
        <w:ind w:firstLine="560"/>
      </w:pPr>
      <w:r>
        <w:rPr>
          <w:rFonts w:hint="eastAsia"/>
        </w:rPr>
        <w:t>“学校硬件设施设备”指标，预期指标值为改善，实际完成为100%。</w:t>
      </w:r>
    </w:p>
    <w:p>
      <w:pPr>
        <w:ind w:firstLine="560"/>
      </w:pPr>
      <w:r>
        <w:rPr>
          <w:rFonts w:hint="eastAsia"/>
        </w:rPr>
        <w:t>通过项目的实施，</w:t>
      </w:r>
      <w:r>
        <w:rPr>
          <w:rFonts w:hint="eastAsia"/>
          <w:lang w:val="en-US" w:eastAsia="zh-CN"/>
        </w:rPr>
        <w:t>对</w:t>
      </w:r>
      <w:r>
        <w:rPr>
          <w:rFonts w:hint="eastAsia"/>
        </w:rPr>
        <w:t>阜康市第三小学进行提升改造，包括：教学楼及综合楼（实验楼、教室宿舍、食堂、其他用房）、田径场、篮球场、乒乓球场、公共厕所、景观及绿化工程、道路及室外地坪、室外配电、室外给排水工程、智慧校园建设等</w:t>
      </w:r>
      <w:r>
        <w:rPr>
          <w:rFonts w:hint="eastAsia"/>
          <w:lang w:eastAsia="zh-CN"/>
        </w:rPr>
        <w:t>，</w:t>
      </w:r>
      <w:r>
        <w:rPr>
          <w:rFonts w:hint="eastAsia"/>
        </w:rPr>
        <w:t>改善学校硬件设施设备</w:t>
      </w:r>
    </w:p>
    <w:p>
      <w:pPr>
        <w:bidi w:val="0"/>
        <w:rPr>
          <w:rFonts w:hint="eastAsia"/>
          <w:color w:val="auto"/>
          <w:lang w:val="en-US" w:eastAsia="zh-CN"/>
        </w:rPr>
      </w:pPr>
      <w:r>
        <w:rPr>
          <w:rFonts w:hint="eastAsia"/>
          <w:b/>
          <w:bCs/>
          <w:lang w:val="en-US" w:eastAsia="zh-CN"/>
        </w:rPr>
        <w:t>综上，该项指标</w:t>
      </w:r>
      <w:r>
        <w:rPr>
          <w:rFonts w:hint="eastAsia"/>
          <w:b/>
          <w:bCs/>
          <w:color w:val="auto"/>
          <w:lang w:val="en-US" w:eastAsia="zh-CN"/>
        </w:rPr>
        <w:t>满分12分，得分12分。</w:t>
      </w:r>
    </w:p>
    <w:p>
      <w:pPr>
        <w:bidi w:val="0"/>
        <w:rPr>
          <w:rFonts w:hint="eastAsia"/>
          <w:b/>
          <w:bCs/>
          <w:color w:val="auto"/>
          <w:lang w:val="en-US" w:eastAsia="zh-CN"/>
        </w:rPr>
      </w:pPr>
      <w:r>
        <w:rPr>
          <w:rFonts w:hint="eastAsia"/>
          <w:b/>
          <w:bCs/>
          <w:color w:val="auto"/>
          <w:lang w:val="en-US" w:eastAsia="zh-CN"/>
        </w:rPr>
        <w:t>2.可持续影响指标</w:t>
      </w:r>
    </w:p>
    <w:p>
      <w:pPr>
        <w:ind w:firstLine="560"/>
        <w:rPr>
          <w:color w:val="auto"/>
        </w:rPr>
      </w:pPr>
      <w:r>
        <w:rPr>
          <w:rFonts w:hint="eastAsia"/>
          <w:color w:val="auto"/>
        </w:rPr>
        <w:t>“改善义务教育阶段办学条件”指标，预期指标值为长期，实际完成为100%。</w:t>
      </w:r>
    </w:p>
    <w:p>
      <w:pPr>
        <w:bidi w:val="0"/>
        <w:rPr>
          <w:rFonts w:hint="eastAsia"/>
          <w:color w:val="auto"/>
        </w:rPr>
      </w:pPr>
      <w:r>
        <w:rPr>
          <w:rFonts w:hint="eastAsia"/>
          <w:color w:val="auto"/>
        </w:rPr>
        <w:t>通过项目的实施，</w:t>
      </w:r>
      <w:r>
        <w:rPr>
          <w:rFonts w:hint="eastAsia"/>
          <w:lang w:val="en-US" w:eastAsia="zh-CN"/>
        </w:rPr>
        <w:t>对</w:t>
      </w:r>
      <w:r>
        <w:rPr>
          <w:rFonts w:hint="eastAsia"/>
        </w:rPr>
        <w:t>阜康市第三小学进行提升改造，包括：教学楼及综合楼（实验楼、教室宿舍、食堂、其他用房）、田径场、篮球场、乒乓球场、公共厕所、景观及绿化工程、道路及室外地坪、室外配电、室外给排水工程、智慧校园建设等</w:t>
      </w:r>
      <w:r>
        <w:rPr>
          <w:rFonts w:hint="eastAsia"/>
          <w:lang w:eastAsia="zh-CN"/>
        </w:rPr>
        <w:t>，</w:t>
      </w:r>
      <w:r>
        <w:rPr>
          <w:rFonts w:hint="eastAsia"/>
          <w:color w:val="auto"/>
        </w:rPr>
        <w:t>长期改善义务教育阶段办学条件</w:t>
      </w:r>
    </w:p>
    <w:p>
      <w:pPr>
        <w:bidi w:val="0"/>
        <w:rPr>
          <w:rFonts w:hint="eastAsia"/>
          <w:color w:val="auto"/>
          <w:lang w:val="en-US" w:eastAsia="zh-CN"/>
        </w:rPr>
      </w:pPr>
      <w:r>
        <w:rPr>
          <w:rFonts w:hint="eastAsia"/>
          <w:b/>
          <w:bCs/>
          <w:color w:val="auto"/>
          <w:lang w:val="en-US" w:eastAsia="zh-CN"/>
        </w:rPr>
        <w:t>综上，该项指标满分6分，得分6分。</w:t>
      </w:r>
    </w:p>
    <w:p>
      <w:pPr>
        <w:bidi w:val="0"/>
        <w:rPr>
          <w:rFonts w:hint="eastAsia"/>
          <w:b/>
          <w:bCs/>
          <w:lang w:val="en-US" w:eastAsia="zh-CN"/>
        </w:rPr>
      </w:pPr>
      <w:r>
        <w:rPr>
          <w:rFonts w:hint="eastAsia"/>
          <w:b/>
          <w:bCs/>
          <w:lang w:val="en-US" w:eastAsia="zh-CN"/>
        </w:rPr>
        <w:t>5.满意度指标</w:t>
      </w:r>
    </w:p>
    <w:p>
      <w:pPr>
        <w:ind w:firstLine="560"/>
      </w:pPr>
      <w:r>
        <w:rPr>
          <w:rFonts w:hint="eastAsia"/>
        </w:rPr>
        <w:t>“学生满意度”指标，预期指标值为≥9</w:t>
      </w:r>
      <w:r>
        <w:rPr>
          <w:rFonts w:hint="eastAsia"/>
          <w:lang w:val="en-US" w:eastAsia="zh-CN"/>
        </w:rPr>
        <w:t>0</w:t>
      </w:r>
      <w:r>
        <w:rPr>
          <w:rFonts w:hint="eastAsia"/>
        </w:rPr>
        <w:t>%，实际完成为100%。</w:t>
      </w:r>
    </w:p>
    <w:p>
      <w:pPr>
        <w:ind w:firstLine="560"/>
      </w:pPr>
      <w:r>
        <w:rPr>
          <w:rFonts w:hint="eastAsia"/>
        </w:rPr>
        <w:t>“教师满意度”指标，预期指标值为≥9</w:t>
      </w:r>
      <w:r>
        <w:rPr>
          <w:rFonts w:hint="eastAsia"/>
          <w:lang w:val="en-US" w:eastAsia="zh-CN"/>
        </w:rPr>
        <w:t>0</w:t>
      </w:r>
      <w:r>
        <w:rPr>
          <w:rFonts w:hint="eastAsia"/>
        </w:rPr>
        <w:t>%，实际完成为100%。</w:t>
      </w:r>
    </w:p>
    <w:p>
      <w:pPr>
        <w:bidi w:val="0"/>
        <w:rPr>
          <w:rFonts w:hint="eastAsia"/>
          <w:b/>
          <w:bCs/>
          <w:lang w:val="en-US" w:eastAsia="zh-CN"/>
        </w:rPr>
      </w:pPr>
      <w:r>
        <w:rPr>
          <w:rFonts w:hint="eastAsia"/>
          <w:b/>
          <w:bCs/>
          <w:lang w:val="en-US" w:eastAsia="zh-CN"/>
        </w:rPr>
        <w:t>综上，该项指标满</w:t>
      </w:r>
      <w:r>
        <w:rPr>
          <w:rFonts w:hint="eastAsia"/>
          <w:b/>
          <w:bCs/>
          <w:color w:val="auto"/>
          <w:lang w:val="en-US" w:eastAsia="zh-CN"/>
        </w:rPr>
        <w:t>分12分，得分12分。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000000" w:themeColor="text1"/>
          <w:sz w:val="28"/>
          <w:szCs w:val="32"/>
          <w:highlight w:val="none"/>
          <w:shd w:val="clear" w:color="auto" w:fill="auto"/>
          <w:lang w:val="en-US" w:eastAsia="zh-CN"/>
          <w14:textFill>
            <w14:solidFill>
              <w14:schemeClr w14:val="tx1"/>
            </w14:solidFill>
          </w14:textFill>
        </w:rPr>
      </w:pPr>
      <w:r>
        <w:rPr>
          <w:rFonts w:hint="eastAsia" w:cs="宋体"/>
          <w:b/>
          <w:bCs/>
          <w:color w:val="000000" w:themeColor="text1"/>
          <w:sz w:val="28"/>
          <w:szCs w:val="32"/>
          <w:highlight w:val="none"/>
          <w:shd w:val="clear" w:color="auto" w:fill="auto"/>
          <w:lang w:val="en-US" w:eastAsia="zh-CN"/>
          <w14:textFill>
            <w14:solidFill>
              <w14:schemeClr w14:val="tx1"/>
            </w14:solidFill>
          </w14:textFill>
        </w:rPr>
        <w:t>五、</w:t>
      </w:r>
      <w:r>
        <w:rPr>
          <w:rFonts w:hint="eastAsia" w:ascii="宋体" w:hAnsi="宋体" w:eastAsia="宋体" w:cs="宋体"/>
          <w:b/>
          <w:bCs/>
          <w:color w:val="000000" w:themeColor="text1"/>
          <w:sz w:val="28"/>
          <w:szCs w:val="32"/>
          <w:highlight w:val="none"/>
          <w:shd w:val="clear" w:color="auto" w:fill="auto"/>
          <w:lang w:val="en-US" w:eastAsia="zh-CN"/>
          <w14:textFill>
            <w14:solidFill>
              <w14:schemeClr w14:val="tx1"/>
            </w14:solidFill>
          </w14:textFill>
        </w:rPr>
        <w:t>预算执行进度与指标偏差</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仿宋_GB2312" w:hAnsi="仿宋_GB2312" w:cs="仿宋_GB2312"/>
          <w:color w:val="000000" w:themeColor="text1"/>
          <w:sz w:val="28"/>
          <w:szCs w:val="28"/>
          <w14:textFill>
            <w14:solidFill>
              <w14:schemeClr w14:val="tx1"/>
            </w14:solidFill>
          </w14:textFill>
        </w:rPr>
      </w:pPr>
      <w:r>
        <w:rPr>
          <w:rFonts w:hint="eastAsia" w:cs="仿宋_GB2312"/>
          <w:color w:val="000000" w:themeColor="text1"/>
          <w:sz w:val="28"/>
          <w:szCs w:val="28"/>
          <w:lang w:val="en-US" w:eastAsia="zh-CN"/>
          <w14:textFill>
            <w14:solidFill>
              <w14:schemeClr w14:val="tx1"/>
            </w14:solidFill>
          </w14:textFill>
        </w:rPr>
        <w:t>该</w:t>
      </w:r>
      <w:r>
        <w:rPr>
          <w:rFonts w:hint="eastAsia" w:cs="仿宋_GB2312"/>
          <w:color w:val="000000" w:themeColor="text1"/>
          <w:sz w:val="28"/>
          <w:szCs w:val="28"/>
          <w:lang w:eastAsia="zh-CN"/>
          <w14:textFill>
            <w14:solidFill>
              <w14:schemeClr w14:val="tx1"/>
            </w14:solidFill>
          </w14:textFill>
        </w:rPr>
        <w:t>项目预算资金总额为</w:t>
      </w:r>
      <w:r>
        <w:rPr>
          <w:rFonts w:hint="eastAsia" w:cs="仿宋_GB2312"/>
          <w:color w:val="000000" w:themeColor="text1"/>
          <w:sz w:val="28"/>
          <w:szCs w:val="28"/>
          <w:lang w:val="en-US" w:eastAsia="zh-CN"/>
          <w14:textFill>
            <w14:solidFill>
              <w14:schemeClr w14:val="tx1"/>
            </w14:solidFill>
          </w14:textFill>
        </w:rPr>
        <w:t>927万元，全年执行数为927万元，预算执行率为100%，</w:t>
      </w:r>
      <w:r>
        <w:rPr>
          <w:rFonts w:hint="eastAsia" w:cs="仿宋_GB2312"/>
          <w:color w:val="000000" w:themeColor="text1"/>
          <w:sz w:val="28"/>
          <w:szCs w:val="28"/>
          <w:lang w:eastAsia="zh-CN"/>
          <w14:textFill>
            <w14:solidFill>
              <w14:schemeClr w14:val="tx1"/>
            </w14:solidFill>
          </w14:textFill>
        </w:rPr>
        <w:t>总体完成率为</w:t>
      </w:r>
      <w:r>
        <w:rPr>
          <w:rFonts w:hint="eastAsia" w:cs="仿宋_GB2312"/>
          <w:color w:val="000000" w:themeColor="text1"/>
          <w:sz w:val="28"/>
          <w:szCs w:val="28"/>
          <w:lang w:val="en-US" w:eastAsia="zh-CN"/>
          <w14:textFill>
            <w14:solidFill>
              <w14:schemeClr w14:val="tx1"/>
            </w14:solidFill>
          </w14:textFill>
        </w:rPr>
        <w:t>100</w:t>
      </w:r>
      <w:r>
        <w:rPr>
          <w:rFonts w:hint="eastAsia" w:cs="仿宋_GB2312"/>
          <w:color w:val="000000" w:themeColor="text1"/>
          <w:sz w:val="28"/>
          <w:szCs w:val="28"/>
          <w:lang w:val="zh-TW" w:eastAsia="zh-TW"/>
          <w14:textFill>
            <w14:solidFill>
              <w14:schemeClr w14:val="tx1"/>
            </w14:solidFill>
          </w14:textFill>
        </w:rPr>
        <w:t>%。</w:t>
      </w:r>
      <w:r>
        <w:rPr>
          <w:rFonts w:hint="eastAsia" w:cs="仿宋_GB2312"/>
          <w:color w:val="000000" w:themeColor="text1"/>
          <w:sz w:val="28"/>
          <w:szCs w:val="28"/>
          <w:lang w:val="en-US" w:eastAsia="zh-CN"/>
          <w14:textFill>
            <w14:solidFill>
              <w14:schemeClr w14:val="tx1"/>
            </w14:solidFill>
          </w14:textFill>
        </w:rPr>
        <w:t>预算执行率与总体完成率之间的偏差为0%，无</w:t>
      </w:r>
      <w:r>
        <w:rPr>
          <w:rFonts w:hint="eastAsia"/>
          <w:color w:val="000000" w:themeColor="text1"/>
          <w14:textFill>
            <w14:solidFill>
              <w14:schemeClr w14:val="tx1"/>
            </w14:solidFill>
          </w14:textFill>
        </w:rPr>
        <w:t>偏差</w:t>
      </w:r>
      <w:r>
        <w:rPr>
          <w:rFonts w:hint="eastAsia" w:ascii="仿宋_GB2312" w:hAnsi="仿宋_GB2312" w:cs="仿宋_GB2312"/>
          <w:color w:val="000000" w:themeColor="text1"/>
          <w:sz w:val="28"/>
          <w:szCs w:val="28"/>
          <w14:textFill>
            <w14:solidFill>
              <w14:schemeClr w14:val="tx1"/>
            </w14:solidFill>
          </w14:textFill>
        </w:rPr>
        <w:t>。</w:t>
      </w:r>
    </w:p>
    <w:p>
      <w:pPr>
        <w:pStyle w:val="3"/>
        <w:pageBreakBefore w:val="0"/>
        <w:kinsoku/>
        <w:wordWrap/>
        <w:overflowPunct/>
        <w:topLinePunct w:val="0"/>
        <w:autoSpaceDE/>
        <w:autoSpaceDN/>
        <w:bidi w:val="0"/>
        <w:adjustRightInd/>
        <w:spacing w:beforeLines="0" w:afterLines="0" w:line="360" w:lineRule="auto"/>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numPr>
          <w:ilvl w:val="0"/>
          <w:numId w:val="0"/>
        </w:numPr>
        <w:bidi w:val="0"/>
        <w:ind w:left="560" w:leftChars="0"/>
        <w:rPr>
          <w:rFonts w:hint="eastAsia"/>
          <w:b/>
          <w:bCs/>
          <w:color w:val="auto"/>
          <w:lang w:eastAsia="zh-CN"/>
        </w:rPr>
      </w:pPr>
      <w:bookmarkStart w:id="12" w:name="_Toc1921"/>
      <w:bookmarkStart w:id="13" w:name="_Toc28290"/>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2021年阜康市义务教育薄弱环节改善与能力提升补助资金项目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927</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927</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p>
      <w:pPr>
        <w:bidi w:val="0"/>
        <w:rPr>
          <w:rFonts w:hint="eastAsia"/>
          <w:lang w:eastAsia="zh-CN"/>
        </w:rPr>
      </w:pPr>
      <w:r>
        <w:rPr>
          <w:rFonts w:hint="eastAsia"/>
          <w:color w:val="auto"/>
        </w:rPr>
        <w:t>阜康市教育局</w:t>
      </w:r>
      <w:r>
        <w:rPr>
          <w:rFonts w:hint="eastAsia"/>
          <w:color w:val="auto"/>
          <w:lang w:eastAsia="zh-CN"/>
        </w:rPr>
        <w:t>建立健全</w:t>
      </w:r>
      <w:r>
        <w:rPr>
          <w:rFonts w:hint="eastAsia"/>
          <w:lang w:eastAsia="zh-CN"/>
        </w:rPr>
        <w:t>了预算管理规章制度，各部门严格按预算编制的原则和要求做好当年预算编制工作，在预算绩效管理工作中，做到合理安排各项资金，重点保障基本支出，按轻重缓急顺序原则，优先安排</w:t>
      </w:r>
      <w:r>
        <w:rPr>
          <w:rFonts w:hint="eastAsia"/>
          <w:lang w:val="en-US" w:eastAsia="zh-CN"/>
        </w:rPr>
        <w:t>了</w:t>
      </w:r>
      <w:r>
        <w:rPr>
          <w:rFonts w:hint="eastAsia"/>
        </w:rPr>
        <w:t>阜康市教育局</w:t>
      </w:r>
      <w:r>
        <w:rPr>
          <w:rFonts w:hint="eastAsia"/>
          <w:lang w:eastAsia="zh-CN"/>
        </w:rPr>
        <w:t>事业发展中关系民生与稳定的项目，切实优化资源配置，提高了资金使用的效率和效果。</w:t>
      </w:r>
    </w:p>
    <w:bookmarkEnd w:id="12"/>
    <w:bookmarkEnd w:id="13"/>
    <w:p>
      <w:pPr>
        <w:bidi w:val="0"/>
        <w:rPr>
          <w:rFonts w:hint="eastAsia"/>
          <w:b/>
          <w:bCs/>
          <w:lang w:eastAsia="zh-CN"/>
        </w:rPr>
      </w:pPr>
      <w:r>
        <w:rPr>
          <w:rFonts w:hint="eastAsia"/>
          <w:b/>
          <w:bCs/>
          <w:lang w:eastAsia="zh-CN"/>
        </w:rPr>
        <w:t>（</w:t>
      </w:r>
      <w:r>
        <w:rPr>
          <w:rFonts w:hint="eastAsia"/>
          <w:b/>
          <w:bCs/>
          <w:lang w:val="en-US" w:eastAsia="zh-CN"/>
        </w:rPr>
        <w:t>二</w:t>
      </w:r>
      <w:r>
        <w:rPr>
          <w:rFonts w:hint="eastAsia"/>
          <w:b/>
          <w:bCs/>
          <w:lang w:eastAsia="zh-CN"/>
        </w:rPr>
        <w:t>）</w:t>
      </w:r>
      <w:r>
        <w:rPr>
          <w:rFonts w:hint="eastAsia"/>
          <w:b/>
          <w:bCs/>
        </w:rPr>
        <w:t>存在的问题及原因分析</w:t>
      </w:r>
    </w:p>
    <w:p>
      <w:pPr>
        <w:ind w:firstLine="560"/>
      </w:pPr>
      <w:r>
        <w:rPr>
          <w:rFonts w:hint="eastAsia"/>
        </w:rPr>
        <w:t>1.单位内控职责不够细化，项目预算的绩效设定与实际的项目支出存在些许差距，争取在今后工作中准确把握项目资金支出，达到资金的最大效益。</w:t>
      </w:r>
    </w:p>
    <w:p>
      <w:pPr>
        <w:ind w:firstLine="560"/>
      </w:pPr>
      <w:r>
        <w:rPr>
          <w:rFonts w:hint="eastAsia"/>
        </w:rPr>
        <w:t>2.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ind w:firstLine="560"/>
      </w:pPr>
      <w:r>
        <w:rPr>
          <w:rFonts w:hint="eastAsia"/>
        </w:rPr>
        <w:t>（一）加强绩效目标编制培训，强化目标审核</w:t>
      </w:r>
    </w:p>
    <w:p>
      <w:pPr>
        <w:ind w:firstLine="560"/>
      </w:pPr>
      <w:r>
        <w:rPr>
          <w:rFonts w:hint="eastAsia"/>
        </w:rPr>
        <w:t>一是加强预算绩效目标编制的培训学习。如：财政部《中央部门项目支出核心绩效目标和指标设臵及取值指引（试行）》（财预〔2021〕101号）、《自治区分行业分领域共性项目绩效指标体系（2021年度）》、2021年9月3日自治区财政厅绩效评价中心下发的《关于2022年度部门预算项目支出绩效目标设置及审核要求的提示通知》，提高绩效目标编制质量，确保绩效目标“够得着、能实现”。</w:t>
      </w:r>
    </w:p>
    <w:p>
      <w:pPr>
        <w:ind w:firstLine="560"/>
      </w:pPr>
      <w:r>
        <w:rPr>
          <w:rFonts w:hint="eastAsia"/>
        </w:rPr>
        <w:t>（二）细化预算编制工作，认真做好预算的编制。进一步加强单位内部机构的预算管理意识，严格按照预算编制的相关制度和要求进行预算编制。</w:t>
      </w:r>
    </w:p>
    <w:p>
      <w:pPr>
        <w:ind w:firstLine="560"/>
      </w:pPr>
      <w:r>
        <w:rPr>
          <w:rFonts w:hint="eastAsia"/>
        </w:rPr>
        <w:t>（三）加强财务管理，严格财务审核。加强单位财务管理，健全单位财务管理制度体系，规范单位财务行为。在费用报账支付时，按照预算规定的费用项目和用途进行资金使用审核、列报支付、财务核算，杜绝超支现象的发生。</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八</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bidi w:val="0"/>
        <w:rPr>
          <w:rFonts w:hint="eastAsia" w:ascii="宋体" w:hAnsi="宋体" w:eastAsia="宋体" w:cs="宋体"/>
          <w:lang w:val="en-US" w:eastAsia="zh-CN"/>
        </w:rPr>
      </w:pPr>
      <w:r>
        <w:rPr>
          <w:rFonts w:hint="eastAsia" w:ascii="宋体" w:hAnsi="宋体" w:eastAsia="宋体" w:cs="宋体"/>
          <w:lang w:val="en-US" w:eastAsia="zh-CN"/>
        </w:rPr>
        <w:t>无其他需要说明的问题。</w:t>
      </w:r>
    </w:p>
    <w:p>
      <w:pPr>
        <w:pStyle w:val="2"/>
        <w:rPr>
          <w:rFonts w:hint="eastAsia" w:ascii="宋体" w:hAnsi="宋体" w:eastAsia="宋体" w:cs="宋体"/>
          <w:lang w:val="en-US" w:eastAsia="zh-CN"/>
        </w:rPr>
      </w:pPr>
    </w:p>
    <w:p>
      <w:pPr>
        <w:rPr>
          <w:rFonts w:hint="eastAsia" w:ascii="宋体" w:hAnsi="宋体" w:eastAsia="宋体" w:cs="宋体"/>
          <w:lang w:val="en-US" w:eastAsia="zh-CN"/>
        </w:rPr>
      </w:pPr>
    </w:p>
    <w:p>
      <w:pPr>
        <w:pStyle w:val="2"/>
        <w:ind w:left="0" w:leftChars="0" w:firstLine="0" w:firstLineChars="0"/>
        <w:rPr>
          <w:rFonts w:hint="eastAsia" w:ascii="宋体" w:hAnsi="宋体" w:eastAsia="宋体" w:cs="宋体"/>
          <w:lang w:val="en-US" w:eastAsia="zh-CN"/>
        </w:rPr>
      </w:pPr>
    </w:p>
    <w:p>
      <w:pPr>
        <w:rPr>
          <w:rFonts w:hint="eastAsia" w:ascii="宋体" w:hAnsi="宋体" w:eastAsia="宋体" w:cs="宋体"/>
          <w:lang w:val="en-US" w:eastAsia="zh-CN"/>
        </w:rPr>
      </w:pPr>
    </w:p>
    <w:p>
      <w:pPr>
        <w:pStyle w:val="2"/>
        <w:rPr>
          <w:rFonts w:hint="eastAsia" w:ascii="宋体" w:hAnsi="宋体" w:eastAsia="宋体" w:cs="宋体"/>
          <w:lang w:val="en-US" w:eastAsia="zh-CN"/>
        </w:rPr>
      </w:pPr>
    </w:p>
    <w:p>
      <w:pPr>
        <w:rPr>
          <w:rFonts w:hint="eastAsia" w:ascii="宋体" w:hAnsi="宋体" w:eastAsia="宋体" w:cs="宋体"/>
          <w:lang w:val="en-US" w:eastAsia="zh-CN"/>
        </w:rPr>
      </w:pPr>
    </w:p>
    <w:p>
      <w:pPr>
        <w:pStyle w:val="2"/>
        <w:rPr>
          <w:rFonts w:hint="eastAsia" w:ascii="宋体" w:hAnsi="宋体" w:eastAsia="宋体" w:cs="宋体"/>
          <w:lang w:val="en-US" w:eastAsia="zh-CN"/>
        </w:rPr>
      </w:pPr>
    </w:p>
    <w:p>
      <w:pPr>
        <w:rPr>
          <w:rFonts w:hint="eastAsia" w:ascii="宋体" w:hAnsi="宋体" w:eastAsia="宋体" w:cs="宋体"/>
          <w:lang w:val="en-US" w:eastAsia="zh-CN"/>
        </w:rPr>
      </w:pPr>
    </w:p>
    <w:p>
      <w:pPr>
        <w:pStyle w:val="2"/>
        <w:rPr>
          <w:rFonts w:hint="eastAsia" w:ascii="宋体" w:hAnsi="宋体" w:eastAsia="宋体" w:cs="宋体"/>
          <w:lang w:val="en-US" w:eastAsia="zh-CN"/>
        </w:rPr>
      </w:pPr>
    </w:p>
    <w:p>
      <w:pPr>
        <w:rPr>
          <w:rFonts w:hint="eastAsia"/>
          <w:lang w:val="en-US" w:eastAsia="zh-CN"/>
        </w:rPr>
      </w:pPr>
    </w:p>
    <w:p>
      <w:pPr>
        <w:pStyle w:val="2"/>
        <w:ind w:left="0" w:leftChars="0" w:firstLine="0" w:firstLineChars="0"/>
        <w:rPr>
          <w:rFonts w:hint="default"/>
          <w:lang w:val="en-US" w:eastAsia="zh-CN"/>
        </w:rPr>
      </w:pPr>
    </w:p>
    <w:tbl>
      <w:tblPr>
        <w:tblStyle w:val="11"/>
        <w:tblW w:w="9667" w:type="dxa"/>
        <w:jc w:val="center"/>
        <w:tblLayout w:type="fixed"/>
        <w:tblCellMar>
          <w:top w:w="0" w:type="dxa"/>
          <w:left w:w="108" w:type="dxa"/>
          <w:bottom w:w="0" w:type="dxa"/>
          <w:right w:w="108" w:type="dxa"/>
        </w:tblCellMar>
      </w:tblPr>
      <w:tblGrid>
        <w:gridCol w:w="373"/>
        <w:gridCol w:w="1167"/>
        <w:gridCol w:w="1320"/>
        <w:gridCol w:w="585"/>
        <w:gridCol w:w="872"/>
        <w:gridCol w:w="787"/>
        <w:gridCol w:w="1462"/>
        <w:gridCol w:w="1273"/>
        <w:gridCol w:w="510"/>
        <w:gridCol w:w="510"/>
        <w:gridCol w:w="139"/>
        <w:gridCol w:w="669"/>
      </w:tblGrid>
      <w:tr>
        <w:tblPrEx>
          <w:tblCellMar>
            <w:top w:w="0" w:type="dxa"/>
            <w:left w:w="108" w:type="dxa"/>
            <w:bottom w:w="0" w:type="dxa"/>
            <w:right w:w="108" w:type="dxa"/>
          </w:tblCellMar>
        </w:tblPrEx>
        <w:trPr>
          <w:trHeight w:val="529" w:hRule="exact"/>
          <w:jc w:val="center"/>
        </w:trPr>
        <w:tc>
          <w:tcPr>
            <w:tcW w:w="9667" w:type="dxa"/>
            <w:gridSpan w:val="12"/>
            <w:tcBorders>
              <w:top w:val="nil"/>
              <w:left w:val="nil"/>
              <w:bottom w:val="nil"/>
              <w:right w:val="nil"/>
            </w:tcBorders>
            <w:vAlign w:val="center"/>
          </w:tcPr>
          <w:p>
            <w:pPr>
              <w:widowControl/>
              <w:spacing w:line="320" w:lineRule="exact"/>
              <w:ind w:firstLine="0" w:firstLineChars="0"/>
              <w:rPr>
                <w:b/>
                <w:bCs/>
                <w:kern w:val="0"/>
                <w:sz w:val="32"/>
                <w:szCs w:val="32"/>
              </w:rPr>
            </w:pPr>
            <w:r>
              <w:rPr>
                <w:rFonts w:hint="eastAsia"/>
                <w:b/>
                <w:bCs/>
                <w:kern w:val="0"/>
                <w:sz w:val="32"/>
                <w:szCs w:val="32"/>
              </w:rPr>
              <w:t>附件一             项目支出绩效自评表</w:t>
            </w:r>
          </w:p>
        </w:tc>
      </w:tr>
      <w:tr>
        <w:tblPrEx>
          <w:tblCellMar>
            <w:top w:w="0" w:type="dxa"/>
            <w:left w:w="108" w:type="dxa"/>
            <w:bottom w:w="0" w:type="dxa"/>
            <w:right w:w="108" w:type="dxa"/>
          </w:tblCellMar>
        </w:tblPrEx>
        <w:trPr>
          <w:trHeight w:val="348" w:hRule="atLeast"/>
          <w:jc w:val="center"/>
        </w:trPr>
        <w:tc>
          <w:tcPr>
            <w:tcW w:w="9667" w:type="dxa"/>
            <w:gridSpan w:val="12"/>
            <w:tcBorders>
              <w:top w:val="nil"/>
              <w:left w:val="nil"/>
              <w:bottom w:val="nil"/>
              <w:right w:val="nil"/>
            </w:tcBorders>
          </w:tcPr>
          <w:p>
            <w:pPr>
              <w:widowControl/>
              <w:spacing w:line="240" w:lineRule="auto"/>
              <w:ind w:firstLine="0" w:firstLineChars="0"/>
              <w:jc w:val="center"/>
              <w:rPr>
                <w:kern w:val="0"/>
                <w:sz w:val="22"/>
                <w:szCs w:val="22"/>
              </w:rPr>
            </w:pPr>
            <w:r>
              <w:rPr>
                <w:rFonts w:hint="eastAsia"/>
                <w:kern w:val="0"/>
                <w:sz w:val="22"/>
                <w:szCs w:val="22"/>
              </w:rPr>
              <w:t>（2021年度）</w:t>
            </w:r>
          </w:p>
        </w:tc>
      </w:tr>
      <w:tr>
        <w:tblPrEx>
          <w:tblCellMar>
            <w:top w:w="0" w:type="dxa"/>
            <w:left w:w="108" w:type="dxa"/>
            <w:bottom w:w="0" w:type="dxa"/>
            <w:right w:w="108" w:type="dxa"/>
          </w:tblCellMar>
        </w:tblPrEx>
        <w:trPr>
          <w:trHeight w:val="340" w:hRule="exact"/>
          <w:jc w:val="center"/>
        </w:trPr>
        <w:tc>
          <w:tcPr>
            <w:tcW w:w="154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项目名称</w:t>
            </w:r>
          </w:p>
        </w:tc>
        <w:tc>
          <w:tcPr>
            <w:tcW w:w="8127" w:type="dxa"/>
            <w:gridSpan w:val="10"/>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2021年阜康市义务教育薄弱环节改善与能力提升补助资金</w:t>
            </w:r>
          </w:p>
        </w:tc>
      </w:tr>
      <w:tr>
        <w:tblPrEx>
          <w:tblCellMar>
            <w:top w:w="0" w:type="dxa"/>
            <w:left w:w="108" w:type="dxa"/>
            <w:bottom w:w="0" w:type="dxa"/>
            <w:right w:w="108" w:type="dxa"/>
          </w:tblCellMar>
        </w:tblPrEx>
        <w:trPr>
          <w:trHeight w:val="300" w:hRule="exact"/>
          <w:jc w:val="center"/>
        </w:trPr>
        <w:tc>
          <w:tcPr>
            <w:tcW w:w="154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主管部门</w:t>
            </w:r>
          </w:p>
        </w:tc>
        <w:tc>
          <w:tcPr>
            <w:tcW w:w="3564" w:type="dxa"/>
            <w:gridSpan w:val="4"/>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阜康市教育局</w:t>
            </w:r>
          </w:p>
        </w:tc>
        <w:tc>
          <w:tcPr>
            <w:tcW w:w="2735" w:type="dxa"/>
            <w:gridSpan w:val="2"/>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实施单位</w:t>
            </w:r>
          </w:p>
        </w:tc>
        <w:tc>
          <w:tcPr>
            <w:tcW w:w="1828" w:type="dxa"/>
            <w:gridSpan w:val="4"/>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阜康市教育局</w:t>
            </w:r>
          </w:p>
        </w:tc>
      </w:tr>
      <w:tr>
        <w:tblPrEx>
          <w:tblCellMar>
            <w:top w:w="0" w:type="dxa"/>
            <w:left w:w="108" w:type="dxa"/>
            <w:bottom w:w="0" w:type="dxa"/>
            <w:right w:w="108" w:type="dxa"/>
          </w:tblCellMar>
        </w:tblPrEx>
        <w:trPr>
          <w:trHeight w:val="535" w:hRule="exact"/>
          <w:jc w:val="center"/>
        </w:trPr>
        <w:tc>
          <w:tcPr>
            <w:tcW w:w="154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项目资金</w:t>
            </w:r>
            <w:r>
              <w:rPr>
                <w:rFonts w:hint="eastAsia"/>
                <w:kern w:val="0"/>
                <w:sz w:val="18"/>
                <w:szCs w:val="18"/>
              </w:rPr>
              <w:br w:type="textWrapping"/>
            </w:r>
            <w:r>
              <w:rPr>
                <w:rFonts w:hint="eastAsia"/>
                <w:kern w:val="0"/>
                <w:sz w:val="18"/>
                <w:szCs w:val="18"/>
              </w:rPr>
              <w:t>（万元）</w:t>
            </w: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87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年初预算数</w:t>
            </w:r>
          </w:p>
        </w:tc>
        <w:tc>
          <w:tcPr>
            <w:tcW w:w="787"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全年预算数</w:t>
            </w:r>
          </w:p>
        </w:tc>
        <w:tc>
          <w:tcPr>
            <w:tcW w:w="2735" w:type="dxa"/>
            <w:gridSpan w:val="2"/>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全年执行数</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649"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执行率</w:t>
            </w:r>
          </w:p>
        </w:tc>
        <w:tc>
          <w:tcPr>
            <w:tcW w:w="669"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得分</w:t>
            </w:r>
          </w:p>
        </w:tc>
      </w:tr>
      <w:tr>
        <w:tblPrEx>
          <w:tblCellMar>
            <w:top w:w="0" w:type="dxa"/>
            <w:left w:w="108" w:type="dxa"/>
            <w:bottom w:w="0" w:type="dxa"/>
            <w:right w:w="108" w:type="dxa"/>
          </w:tblCellMar>
        </w:tblPrEx>
        <w:trPr>
          <w:trHeight w:val="300" w:hRule="exact"/>
          <w:jc w:val="center"/>
        </w:trPr>
        <w:tc>
          <w:tcPr>
            <w:tcW w:w="15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rPr>
                <w:kern w:val="0"/>
                <w:sz w:val="18"/>
                <w:szCs w:val="18"/>
              </w:rPr>
            </w:pPr>
            <w:r>
              <w:rPr>
                <w:rFonts w:hint="eastAsia"/>
                <w:kern w:val="0"/>
                <w:sz w:val="18"/>
                <w:szCs w:val="18"/>
              </w:rPr>
              <w:t>年度资金总额</w:t>
            </w:r>
          </w:p>
        </w:tc>
        <w:tc>
          <w:tcPr>
            <w:tcW w:w="87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927</w:t>
            </w:r>
          </w:p>
        </w:tc>
        <w:tc>
          <w:tcPr>
            <w:tcW w:w="787"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927</w:t>
            </w:r>
          </w:p>
        </w:tc>
        <w:tc>
          <w:tcPr>
            <w:tcW w:w="2735" w:type="dxa"/>
            <w:gridSpan w:val="2"/>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927</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649"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669"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w:t>
            </w:r>
          </w:p>
        </w:tc>
      </w:tr>
      <w:tr>
        <w:tblPrEx>
          <w:tblCellMar>
            <w:top w:w="0" w:type="dxa"/>
            <w:left w:w="108" w:type="dxa"/>
            <w:bottom w:w="0" w:type="dxa"/>
            <w:right w:w="108" w:type="dxa"/>
          </w:tblCellMar>
        </w:tblPrEx>
        <w:trPr>
          <w:trHeight w:val="300" w:hRule="exact"/>
          <w:jc w:val="center"/>
        </w:trPr>
        <w:tc>
          <w:tcPr>
            <w:tcW w:w="15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其中：当年财政拨款</w:t>
            </w:r>
          </w:p>
        </w:tc>
        <w:tc>
          <w:tcPr>
            <w:tcW w:w="87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927</w:t>
            </w:r>
          </w:p>
        </w:tc>
        <w:tc>
          <w:tcPr>
            <w:tcW w:w="787"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927</w:t>
            </w:r>
          </w:p>
        </w:tc>
        <w:tc>
          <w:tcPr>
            <w:tcW w:w="2735" w:type="dxa"/>
            <w:gridSpan w:val="2"/>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927</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649"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 xml:space="preserve">      上年结转资金</w:t>
            </w:r>
          </w:p>
        </w:tc>
        <w:tc>
          <w:tcPr>
            <w:tcW w:w="87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787"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2735" w:type="dxa"/>
            <w:gridSpan w:val="2"/>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649"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4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905"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 xml:space="preserve">  其他资金</w:t>
            </w:r>
          </w:p>
        </w:tc>
        <w:tc>
          <w:tcPr>
            <w:tcW w:w="87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787"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2735" w:type="dxa"/>
            <w:gridSpan w:val="2"/>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649"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669"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50" w:hRule="exact"/>
          <w:jc w:val="center"/>
        </w:trPr>
        <w:tc>
          <w:tcPr>
            <w:tcW w:w="373" w:type="dxa"/>
            <w:vMerge w:val="restart"/>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年度总体目标</w:t>
            </w:r>
          </w:p>
        </w:tc>
        <w:tc>
          <w:tcPr>
            <w:tcW w:w="4731" w:type="dxa"/>
            <w:gridSpan w:val="5"/>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预期目标</w:t>
            </w:r>
          </w:p>
        </w:tc>
        <w:tc>
          <w:tcPr>
            <w:tcW w:w="4563"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实际完成情况</w:t>
            </w:r>
          </w:p>
        </w:tc>
      </w:tr>
      <w:tr>
        <w:tblPrEx>
          <w:tblCellMar>
            <w:top w:w="0" w:type="dxa"/>
            <w:left w:w="108" w:type="dxa"/>
            <w:bottom w:w="0" w:type="dxa"/>
            <w:right w:w="108" w:type="dxa"/>
          </w:tblCellMar>
        </w:tblPrEx>
        <w:trPr>
          <w:trHeight w:val="2282" w:hRule="exact"/>
          <w:jc w:val="center"/>
        </w:trPr>
        <w:tc>
          <w:tcPr>
            <w:tcW w:w="373" w:type="dxa"/>
            <w:vMerge w:val="continue"/>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4731" w:type="dxa"/>
            <w:gridSpan w:val="5"/>
            <w:tcBorders>
              <w:top w:val="single" w:color="auto" w:sz="4" w:space="0"/>
              <w:left w:val="nil"/>
              <w:bottom w:val="single" w:color="auto" w:sz="4" w:space="0"/>
              <w:right w:val="single" w:color="auto" w:sz="4" w:space="0"/>
            </w:tcBorders>
            <w:vAlign w:val="center"/>
          </w:tcPr>
          <w:p>
            <w:pPr>
              <w:widowControl/>
              <w:spacing w:line="240" w:lineRule="exact"/>
              <w:ind w:firstLine="0" w:firstLineChars="0"/>
              <w:rPr>
                <w:kern w:val="0"/>
                <w:sz w:val="18"/>
                <w:szCs w:val="18"/>
              </w:rPr>
            </w:pPr>
            <w:r>
              <w:rPr>
                <w:rFonts w:hint="eastAsia"/>
                <w:kern w:val="0"/>
                <w:sz w:val="18"/>
                <w:szCs w:val="18"/>
              </w:rPr>
              <w:t>教育局负责全市各级各类教育的统筹和综合协调，为全面改善我市各学校基本办学条件，推进义务教育学校标准化建设，我市计划对阜康市第三小学进行提升改造，包括：教学楼及综合楼（实验楼、教室宿舍、食堂、其他用房）、田径场、篮球场、乒乓球场、公共厕所、景观及绿化工程、道路及室外地坪、室外配电、室外给排水工程、智慧校园建设等。推进义务教育学校标准化建设，改善学校硬件设施设备，长期改善义务教育阶段办学条件。</w:t>
            </w:r>
          </w:p>
        </w:tc>
        <w:tc>
          <w:tcPr>
            <w:tcW w:w="4563" w:type="dxa"/>
            <w:gridSpan w:val="6"/>
            <w:tcBorders>
              <w:top w:val="single" w:color="auto" w:sz="4" w:space="0"/>
              <w:left w:val="nil"/>
              <w:bottom w:val="single" w:color="auto" w:sz="4" w:space="0"/>
              <w:right w:val="single" w:color="auto" w:sz="4" w:space="0"/>
            </w:tcBorders>
            <w:vAlign w:val="center"/>
          </w:tcPr>
          <w:p>
            <w:pPr>
              <w:widowControl/>
              <w:spacing w:line="240" w:lineRule="exact"/>
              <w:ind w:firstLine="0" w:firstLineChars="0"/>
              <w:rPr>
                <w:kern w:val="0"/>
                <w:sz w:val="18"/>
                <w:szCs w:val="18"/>
              </w:rPr>
            </w:pPr>
            <w:r>
              <w:rPr>
                <w:rFonts w:hint="eastAsia"/>
                <w:kern w:val="0"/>
                <w:sz w:val="18"/>
                <w:szCs w:val="18"/>
              </w:rPr>
              <w:t>截止2022年12月底，本单位完成阜康市第三小学维修改造项目，工程项目验收100%合格、设施设备采购质量验收100%合格，项目资金927万元已全部到位，并已全部及时支付完毕。达到推进义务教育学校标准化建设，改善学校硬件设施设备，长期改善义务教育阶段办学条件的效益，满意度达100%。</w:t>
            </w:r>
          </w:p>
        </w:tc>
      </w:tr>
      <w:tr>
        <w:tblPrEx>
          <w:tblCellMar>
            <w:top w:w="0" w:type="dxa"/>
            <w:left w:w="108" w:type="dxa"/>
            <w:bottom w:w="0" w:type="dxa"/>
            <w:right w:w="108" w:type="dxa"/>
          </w:tblCellMar>
        </w:tblPrEx>
        <w:trPr>
          <w:trHeight w:val="1088" w:hRule="exact"/>
          <w:jc w:val="center"/>
        </w:trPr>
        <w:tc>
          <w:tcPr>
            <w:tcW w:w="373" w:type="dxa"/>
            <w:vMerge w:val="restart"/>
            <w:tcBorders>
              <w:top w:val="nil"/>
              <w:left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绩</w:t>
            </w:r>
            <w:r>
              <w:rPr>
                <w:rFonts w:hint="eastAsia"/>
                <w:kern w:val="0"/>
                <w:sz w:val="18"/>
                <w:szCs w:val="18"/>
              </w:rPr>
              <w:br w:type="textWrapping"/>
            </w:r>
            <w:r>
              <w:rPr>
                <w:rFonts w:hint="eastAsia"/>
                <w:kern w:val="0"/>
                <w:sz w:val="18"/>
                <w:szCs w:val="18"/>
              </w:rPr>
              <w:t>效</w:t>
            </w:r>
            <w:r>
              <w:rPr>
                <w:rFonts w:hint="eastAsia"/>
                <w:kern w:val="0"/>
                <w:sz w:val="18"/>
                <w:szCs w:val="18"/>
              </w:rPr>
              <w:br w:type="textWrapping"/>
            </w:r>
            <w:r>
              <w:rPr>
                <w:rFonts w:hint="eastAsia"/>
                <w:kern w:val="0"/>
                <w:sz w:val="18"/>
                <w:szCs w:val="18"/>
              </w:rPr>
              <w:t>指</w:t>
            </w:r>
            <w:r>
              <w:rPr>
                <w:rFonts w:hint="eastAsia"/>
                <w:kern w:val="0"/>
                <w:sz w:val="18"/>
                <w:szCs w:val="18"/>
              </w:rPr>
              <w:br w:type="textWrapping"/>
            </w:r>
            <w:r>
              <w:rPr>
                <w:rFonts w:hint="eastAsia"/>
                <w:kern w:val="0"/>
                <w:sz w:val="18"/>
                <w:szCs w:val="18"/>
              </w:rPr>
              <w:t>标</w:t>
            </w:r>
          </w:p>
        </w:tc>
        <w:tc>
          <w:tcPr>
            <w:tcW w:w="1167"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一级指标</w:t>
            </w:r>
          </w:p>
        </w:tc>
        <w:tc>
          <w:tcPr>
            <w:tcW w:w="132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二级指标</w:t>
            </w: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三级指标</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年度</w:t>
            </w:r>
          </w:p>
          <w:p>
            <w:pPr>
              <w:widowControl/>
              <w:spacing w:line="240" w:lineRule="exact"/>
              <w:ind w:firstLine="0" w:firstLineChars="0"/>
              <w:jc w:val="center"/>
              <w:rPr>
                <w:kern w:val="0"/>
                <w:sz w:val="18"/>
                <w:szCs w:val="18"/>
              </w:rPr>
            </w:pPr>
            <w:r>
              <w:rPr>
                <w:rFonts w:hint="eastAsia"/>
                <w:kern w:val="0"/>
                <w:sz w:val="18"/>
                <w:szCs w:val="18"/>
              </w:rPr>
              <w:t>指标值</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实际</w:t>
            </w:r>
          </w:p>
          <w:p>
            <w:pPr>
              <w:widowControl/>
              <w:spacing w:line="240" w:lineRule="exact"/>
              <w:ind w:firstLine="0" w:firstLineChars="0"/>
              <w:jc w:val="center"/>
              <w:rPr>
                <w:kern w:val="0"/>
                <w:sz w:val="18"/>
                <w:szCs w:val="18"/>
              </w:rPr>
            </w:pPr>
            <w:r>
              <w:rPr>
                <w:rFonts w:hint="eastAsia"/>
                <w:kern w:val="0"/>
                <w:sz w:val="18"/>
                <w:szCs w:val="18"/>
              </w:rPr>
              <w:t>完成值</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得分</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偏差原因分析及改进措施</w:t>
            </w: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产出指标</w:t>
            </w:r>
          </w:p>
        </w:tc>
        <w:tc>
          <w:tcPr>
            <w:tcW w:w="1320" w:type="dxa"/>
            <w:vMerge w:val="restart"/>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数量指标</w:t>
            </w: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办学条件改善项目数</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w:t>
            </w:r>
            <w:r>
              <w:rPr>
                <w:rFonts w:hint="eastAsia"/>
                <w:kern w:val="0"/>
                <w:sz w:val="18"/>
                <w:szCs w:val="18"/>
                <w:lang w:val="en-US" w:eastAsia="zh-CN"/>
              </w:rPr>
              <w:t>1</w:t>
            </w:r>
            <w:r>
              <w:rPr>
                <w:rFonts w:hint="eastAsia"/>
                <w:kern w:val="0"/>
                <w:sz w:val="18"/>
                <w:szCs w:val="18"/>
              </w:rPr>
              <w:t>个</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lang w:val="en-US" w:eastAsia="zh-CN"/>
              </w:rPr>
              <w:t>1个</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vMerge w:val="continue"/>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项目实施学校数</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≥1所</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所</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vMerge w:val="restart"/>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质量指标</w:t>
            </w: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lang w:val="en-US" w:eastAsia="zh-CN"/>
              </w:rPr>
              <w:t>工</w:t>
            </w:r>
            <w:r>
              <w:rPr>
                <w:rFonts w:hint="eastAsia"/>
                <w:color w:val="000000"/>
                <w:kern w:val="0"/>
                <w:sz w:val="18"/>
                <w:szCs w:val="18"/>
              </w:rPr>
              <w:t>程项目验收合格率</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w:t>
            </w:r>
            <w:r>
              <w:rPr>
                <w:rFonts w:hint="eastAsia"/>
                <w:kern w:val="0"/>
                <w:sz w:val="18"/>
                <w:szCs w:val="18"/>
              </w:rPr>
              <w:t>100%</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vMerge w:val="continue"/>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设施设备采购质量合格率</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w:t>
            </w:r>
            <w:r>
              <w:rPr>
                <w:rFonts w:hint="eastAsia"/>
                <w:kern w:val="0"/>
                <w:sz w:val="18"/>
                <w:szCs w:val="18"/>
              </w:rPr>
              <w:t>100%</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vMerge w:val="restart"/>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时效指标</w:t>
            </w: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资金支付及时率</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w:t>
            </w:r>
            <w:r>
              <w:rPr>
                <w:rFonts w:hint="eastAsia"/>
                <w:kern w:val="0"/>
                <w:sz w:val="18"/>
                <w:szCs w:val="18"/>
              </w:rPr>
              <w:t>100%</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vMerge w:val="continue"/>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资金支付工作完成时限</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rPr>
              <w:t>202</w:t>
            </w:r>
            <w:r>
              <w:rPr>
                <w:rFonts w:hint="eastAsia"/>
                <w:kern w:val="0"/>
                <w:sz w:val="18"/>
                <w:szCs w:val="18"/>
                <w:lang w:val="en-US" w:eastAsia="zh-CN"/>
              </w:rPr>
              <w:t>2</w:t>
            </w:r>
            <w:r>
              <w:rPr>
                <w:rFonts w:hint="eastAsia"/>
                <w:kern w:val="0"/>
                <w:sz w:val="18"/>
                <w:szCs w:val="18"/>
              </w:rPr>
              <w:t>年</w:t>
            </w:r>
            <w:r>
              <w:rPr>
                <w:rFonts w:hint="eastAsia"/>
                <w:kern w:val="0"/>
                <w:sz w:val="18"/>
                <w:szCs w:val="18"/>
                <w:lang w:val="en-US" w:eastAsia="zh-CN"/>
              </w:rPr>
              <w:t>7月底前</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202</w:t>
            </w:r>
            <w:r>
              <w:rPr>
                <w:rFonts w:hint="eastAsia"/>
                <w:kern w:val="0"/>
                <w:sz w:val="18"/>
                <w:szCs w:val="18"/>
                <w:lang w:val="en-US" w:eastAsia="zh-CN"/>
              </w:rPr>
              <w:t>2</w:t>
            </w:r>
            <w:r>
              <w:rPr>
                <w:rFonts w:hint="eastAsia"/>
                <w:kern w:val="0"/>
                <w:sz w:val="18"/>
                <w:szCs w:val="18"/>
              </w:rPr>
              <w:t>年</w:t>
            </w:r>
            <w:r>
              <w:rPr>
                <w:rFonts w:hint="eastAsia"/>
                <w:kern w:val="0"/>
                <w:sz w:val="18"/>
                <w:szCs w:val="18"/>
                <w:lang w:val="en-US" w:eastAsia="zh-CN"/>
              </w:rPr>
              <w:t>6月30</w:t>
            </w:r>
            <w:r>
              <w:rPr>
                <w:rFonts w:hint="eastAsia"/>
                <w:kern w:val="0"/>
                <w:sz w:val="18"/>
                <w:szCs w:val="18"/>
              </w:rPr>
              <w:t>日</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成本指标</w:t>
            </w: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义务教育薄弱环节改善与能力提升补助资金</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≤9</w:t>
            </w:r>
            <w:r>
              <w:rPr>
                <w:rFonts w:hint="eastAsia"/>
                <w:kern w:val="0"/>
                <w:sz w:val="18"/>
                <w:szCs w:val="18"/>
                <w:lang w:val="en-US" w:eastAsia="zh-CN"/>
              </w:rPr>
              <w:t>27</w:t>
            </w:r>
            <w:r>
              <w:rPr>
                <w:rFonts w:hint="eastAsia"/>
                <w:kern w:val="0"/>
                <w:sz w:val="18"/>
                <w:szCs w:val="18"/>
              </w:rPr>
              <w:t>万元</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9</w:t>
            </w:r>
            <w:r>
              <w:rPr>
                <w:rFonts w:hint="eastAsia"/>
                <w:kern w:val="0"/>
                <w:sz w:val="18"/>
                <w:szCs w:val="18"/>
                <w:lang w:val="en-US" w:eastAsia="zh-CN"/>
              </w:rPr>
              <w:t>27</w:t>
            </w:r>
            <w:r>
              <w:rPr>
                <w:rFonts w:hint="eastAsia"/>
                <w:kern w:val="0"/>
                <w:sz w:val="18"/>
                <w:szCs w:val="18"/>
              </w:rPr>
              <w:t>万元</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eastAsia" w:eastAsia="宋体"/>
                <w:kern w:val="0"/>
                <w:sz w:val="18"/>
                <w:szCs w:val="18"/>
                <w:lang w:eastAsia="zh-CN"/>
              </w:rPr>
            </w:pPr>
            <w:r>
              <w:rPr>
                <w:rFonts w:hint="eastAsia"/>
                <w:kern w:val="0"/>
                <w:sz w:val="18"/>
                <w:szCs w:val="18"/>
                <w:lang w:val="en-US" w:eastAsia="zh-CN"/>
              </w:rPr>
              <w:t>0</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效益指标</w:t>
            </w:r>
          </w:p>
        </w:tc>
        <w:tc>
          <w:tcPr>
            <w:tcW w:w="1320" w:type="dxa"/>
            <w:vMerge w:val="restart"/>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社会效益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义务教育学校标准化建设</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推进</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vMerge w:val="continue"/>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学校硬件设施设备</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改善</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可持续影响指标</w:t>
            </w: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改善义务教育阶段办学条件</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长期</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rFonts w:hint="default" w:eastAsia="宋体"/>
                <w:kern w:val="0"/>
                <w:sz w:val="18"/>
                <w:szCs w:val="18"/>
                <w:lang w:val="en-US" w:eastAsia="zh-CN"/>
              </w:rPr>
            </w:pPr>
            <w:r>
              <w:rPr>
                <w:rFonts w:hint="eastAsia"/>
                <w:kern w:val="0"/>
                <w:sz w:val="18"/>
                <w:szCs w:val="18"/>
                <w:lang w:val="en-US" w:eastAsia="zh-CN"/>
              </w:rPr>
              <w:t>10</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满意度</w:t>
            </w:r>
          </w:p>
          <w:p>
            <w:pPr>
              <w:widowControl/>
              <w:spacing w:line="240" w:lineRule="exact"/>
              <w:ind w:firstLine="0" w:firstLineChars="0"/>
              <w:jc w:val="center"/>
              <w:rPr>
                <w:kern w:val="0"/>
                <w:sz w:val="18"/>
                <w:szCs w:val="18"/>
              </w:rPr>
            </w:pPr>
            <w:r>
              <w:rPr>
                <w:rFonts w:hint="eastAsia"/>
                <w:kern w:val="0"/>
                <w:sz w:val="18"/>
                <w:szCs w:val="18"/>
              </w:rPr>
              <w:t>指标</w:t>
            </w:r>
          </w:p>
        </w:tc>
        <w:tc>
          <w:tcPr>
            <w:tcW w:w="1320" w:type="dxa"/>
            <w:vMerge w:val="restart"/>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服务对象满意度指标</w:t>
            </w: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学生满意度</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≥9</w:t>
            </w:r>
            <w:r>
              <w:rPr>
                <w:rFonts w:hint="eastAsia"/>
                <w:kern w:val="0"/>
                <w:sz w:val="18"/>
                <w:szCs w:val="18"/>
                <w:lang w:val="en-US" w:eastAsia="zh-CN"/>
              </w:rPr>
              <w:t>0</w:t>
            </w:r>
            <w:r>
              <w:rPr>
                <w:rFonts w:hint="eastAsia"/>
                <w:kern w:val="0"/>
                <w:sz w:val="18"/>
                <w:szCs w:val="18"/>
              </w:rPr>
              <w:t>%</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518" w:hRule="atLeast"/>
          <w:jc w:val="center"/>
        </w:trPr>
        <w:tc>
          <w:tcPr>
            <w:tcW w:w="373" w:type="dxa"/>
            <w:vMerge w:val="continue"/>
            <w:tcBorders>
              <w:left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16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1320" w:type="dxa"/>
            <w:vMerge w:val="continue"/>
            <w:tcBorders>
              <w:top w:val="nil"/>
              <w:left w:val="single" w:color="auto" w:sz="4" w:space="0"/>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c>
          <w:tcPr>
            <w:tcW w:w="2244" w:type="dxa"/>
            <w:gridSpan w:val="3"/>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教师满意度</w:t>
            </w:r>
          </w:p>
        </w:tc>
        <w:tc>
          <w:tcPr>
            <w:tcW w:w="1462"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≥9</w:t>
            </w:r>
            <w:r>
              <w:rPr>
                <w:rFonts w:hint="eastAsia"/>
                <w:kern w:val="0"/>
                <w:sz w:val="18"/>
                <w:szCs w:val="18"/>
                <w:lang w:val="en-US" w:eastAsia="zh-CN"/>
              </w:rPr>
              <w:t>0</w:t>
            </w:r>
            <w:r>
              <w:rPr>
                <w:rFonts w:hint="eastAsia"/>
                <w:kern w:val="0"/>
                <w:sz w:val="18"/>
                <w:szCs w:val="18"/>
              </w:rPr>
              <w:t>%</w:t>
            </w:r>
          </w:p>
        </w:tc>
        <w:tc>
          <w:tcPr>
            <w:tcW w:w="1273"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r>
        <w:tblPrEx>
          <w:tblCellMar>
            <w:top w:w="0" w:type="dxa"/>
            <w:left w:w="108" w:type="dxa"/>
            <w:bottom w:w="0" w:type="dxa"/>
            <w:right w:w="108" w:type="dxa"/>
          </w:tblCellMar>
        </w:tblPrEx>
        <w:trPr>
          <w:trHeight w:val="480" w:hRule="exact"/>
          <w:jc w:val="center"/>
        </w:trPr>
        <w:tc>
          <w:tcPr>
            <w:tcW w:w="783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ind w:firstLine="0" w:firstLineChars="0"/>
              <w:jc w:val="center"/>
              <w:rPr>
                <w:color w:val="000000"/>
                <w:kern w:val="0"/>
                <w:sz w:val="18"/>
                <w:szCs w:val="18"/>
              </w:rPr>
            </w:pPr>
            <w:r>
              <w:rPr>
                <w:rFonts w:hint="eastAsia"/>
                <w:color w:val="000000"/>
                <w:kern w:val="0"/>
                <w:sz w:val="18"/>
                <w:szCs w:val="18"/>
              </w:rPr>
              <w:t>总分</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color w:val="000000"/>
                <w:kern w:val="0"/>
                <w:sz w:val="18"/>
                <w:szCs w:val="18"/>
              </w:rPr>
            </w:pPr>
            <w:r>
              <w:rPr>
                <w:rFonts w:hint="eastAsia"/>
                <w:color w:val="000000"/>
                <w:kern w:val="0"/>
                <w:sz w:val="18"/>
                <w:szCs w:val="18"/>
              </w:rPr>
              <w:t>100</w:t>
            </w:r>
          </w:p>
        </w:tc>
        <w:tc>
          <w:tcPr>
            <w:tcW w:w="510" w:type="dxa"/>
            <w:tcBorders>
              <w:top w:val="nil"/>
              <w:left w:val="nil"/>
              <w:bottom w:val="single" w:color="auto" w:sz="4" w:space="0"/>
              <w:right w:val="single" w:color="auto" w:sz="4" w:space="0"/>
            </w:tcBorders>
            <w:vAlign w:val="center"/>
          </w:tcPr>
          <w:p>
            <w:pPr>
              <w:widowControl/>
              <w:spacing w:line="240" w:lineRule="exact"/>
              <w:ind w:firstLine="0" w:firstLineChars="0"/>
              <w:jc w:val="center"/>
              <w:rPr>
                <w:color w:val="000000"/>
                <w:kern w:val="0"/>
                <w:sz w:val="18"/>
                <w:szCs w:val="18"/>
              </w:rPr>
            </w:pPr>
            <w:r>
              <w:rPr>
                <w:rFonts w:hint="eastAsia"/>
                <w:color w:val="000000"/>
                <w:kern w:val="0"/>
                <w:sz w:val="18"/>
                <w:szCs w:val="18"/>
              </w:rPr>
              <w:t>100</w:t>
            </w:r>
          </w:p>
        </w:tc>
        <w:tc>
          <w:tcPr>
            <w:tcW w:w="808" w:type="dxa"/>
            <w:gridSpan w:val="2"/>
            <w:tcBorders>
              <w:top w:val="single" w:color="auto" w:sz="4" w:space="0"/>
              <w:left w:val="nil"/>
              <w:bottom w:val="single" w:color="auto" w:sz="4" w:space="0"/>
              <w:right w:val="single" w:color="auto" w:sz="4" w:space="0"/>
            </w:tcBorders>
            <w:vAlign w:val="center"/>
          </w:tcPr>
          <w:p>
            <w:pPr>
              <w:widowControl/>
              <w:spacing w:line="240" w:lineRule="exact"/>
              <w:ind w:firstLine="0" w:firstLineChars="0"/>
              <w:jc w:val="center"/>
              <w:rPr>
                <w:kern w:val="0"/>
                <w:sz w:val="18"/>
                <w:szCs w:val="18"/>
              </w:rPr>
            </w:pPr>
          </w:p>
        </w:tc>
      </w:tr>
    </w:tbl>
    <w:p>
      <w:pPr>
        <w:rPr>
          <w:rFonts w:hint="eastAsia"/>
          <w:lang w:val="en-US" w:eastAsia="zh-CN"/>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11"/>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jc w:val="center"/>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18</w:t>
            </w:r>
          </w:p>
        </w:tc>
        <w:tc>
          <w:tcPr>
            <w:tcW w:w="769" w:type="dxa"/>
            <w:shd w:val="clear" w:color="auto" w:fill="FFFFFF"/>
            <w:noWrap w:val="0"/>
            <w:vAlign w:val="center"/>
          </w:tcPr>
          <w:p>
            <w:pPr>
              <w:widowControl/>
              <w:spacing w:line="0" w:lineRule="atLeast"/>
              <w:ind w:firstLine="0" w:firstLineChars="0"/>
              <w:jc w:val="center"/>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jc w:val="center"/>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12</w:t>
            </w:r>
          </w:p>
        </w:tc>
        <w:tc>
          <w:tcPr>
            <w:tcW w:w="769" w:type="dxa"/>
            <w:shd w:val="clear" w:color="000000" w:fill="FFFFFF"/>
            <w:noWrap w:val="0"/>
            <w:vAlign w:val="center"/>
          </w:tcPr>
          <w:p>
            <w:pPr>
              <w:widowControl/>
              <w:spacing w:line="0" w:lineRule="atLeast"/>
              <w:ind w:firstLine="0" w:firstLineChars="0"/>
              <w:jc w:val="center"/>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12</w:t>
            </w:r>
          </w:p>
        </w:tc>
      </w:tr>
    </w:tbl>
    <w:p>
      <w:pPr>
        <w:spacing w:line="240" w:lineRule="auto"/>
        <w:ind w:firstLine="0" w:firstLineChars="0"/>
        <w:rPr>
          <w:rFonts w:ascii="Times New Roman" w:hAnsi="Times New Roman" w:eastAsia="仿宋_GB2312" w:cs="Times New Roman"/>
          <w:sz w:val="30"/>
          <w:szCs w:val="24"/>
        </w:rPr>
      </w:pPr>
    </w:p>
    <w:p>
      <w:pPr>
        <w:rPr>
          <w:rFonts w:hint="default"/>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18A1427"/>
    <w:rsid w:val="02200440"/>
    <w:rsid w:val="02284B43"/>
    <w:rsid w:val="02B015E2"/>
    <w:rsid w:val="039C3BA0"/>
    <w:rsid w:val="03A845BB"/>
    <w:rsid w:val="04D63993"/>
    <w:rsid w:val="053E33E3"/>
    <w:rsid w:val="07890F4F"/>
    <w:rsid w:val="08B362C0"/>
    <w:rsid w:val="09781BD6"/>
    <w:rsid w:val="0D4452F3"/>
    <w:rsid w:val="0F5E5042"/>
    <w:rsid w:val="10510571"/>
    <w:rsid w:val="11FA6155"/>
    <w:rsid w:val="12CF0947"/>
    <w:rsid w:val="12F1313F"/>
    <w:rsid w:val="136C678E"/>
    <w:rsid w:val="13EB2FF5"/>
    <w:rsid w:val="165825BC"/>
    <w:rsid w:val="176F36D7"/>
    <w:rsid w:val="17F53983"/>
    <w:rsid w:val="18456B1E"/>
    <w:rsid w:val="1C1171C5"/>
    <w:rsid w:val="1DA41A79"/>
    <w:rsid w:val="1DF53469"/>
    <w:rsid w:val="1E58492F"/>
    <w:rsid w:val="1E5B6757"/>
    <w:rsid w:val="1ED10AC6"/>
    <w:rsid w:val="1FC0575D"/>
    <w:rsid w:val="21B00C1D"/>
    <w:rsid w:val="22D313B5"/>
    <w:rsid w:val="23031BEB"/>
    <w:rsid w:val="23917691"/>
    <w:rsid w:val="244D65B8"/>
    <w:rsid w:val="244F2F88"/>
    <w:rsid w:val="245E1E24"/>
    <w:rsid w:val="26C23EA3"/>
    <w:rsid w:val="27661469"/>
    <w:rsid w:val="27900EAD"/>
    <w:rsid w:val="279B538A"/>
    <w:rsid w:val="286F545C"/>
    <w:rsid w:val="29165C05"/>
    <w:rsid w:val="29314FBC"/>
    <w:rsid w:val="2AB875F0"/>
    <w:rsid w:val="2C927671"/>
    <w:rsid w:val="2D7C5CD6"/>
    <w:rsid w:val="2E483E7E"/>
    <w:rsid w:val="2F454B19"/>
    <w:rsid w:val="31624550"/>
    <w:rsid w:val="31E3230A"/>
    <w:rsid w:val="33356F64"/>
    <w:rsid w:val="33944516"/>
    <w:rsid w:val="34B62907"/>
    <w:rsid w:val="38782EDD"/>
    <w:rsid w:val="391D15F3"/>
    <w:rsid w:val="3B42664A"/>
    <w:rsid w:val="3C660E9A"/>
    <w:rsid w:val="3D836A4E"/>
    <w:rsid w:val="3E8203B6"/>
    <w:rsid w:val="3FBE0BC5"/>
    <w:rsid w:val="4048103A"/>
    <w:rsid w:val="40526F5C"/>
    <w:rsid w:val="435241E2"/>
    <w:rsid w:val="439E3FA7"/>
    <w:rsid w:val="44B32266"/>
    <w:rsid w:val="44FC64F4"/>
    <w:rsid w:val="467F4585"/>
    <w:rsid w:val="470628CB"/>
    <w:rsid w:val="47555BD4"/>
    <w:rsid w:val="48E12B50"/>
    <w:rsid w:val="499441BE"/>
    <w:rsid w:val="4A2138F0"/>
    <w:rsid w:val="4A583887"/>
    <w:rsid w:val="4B9F6E02"/>
    <w:rsid w:val="4E6E48A8"/>
    <w:rsid w:val="4EEC036B"/>
    <w:rsid w:val="4FFA60B8"/>
    <w:rsid w:val="501D2673"/>
    <w:rsid w:val="51852833"/>
    <w:rsid w:val="53555F0F"/>
    <w:rsid w:val="57EE072D"/>
    <w:rsid w:val="583C7AE0"/>
    <w:rsid w:val="59216F96"/>
    <w:rsid w:val="5B746D92"/>
    <w:rsid w:val="5B9D2CCD"/>
    <w:rsid w:val="5DFF69AB"/>
    <w:rsid w:val="60CE455D"/>
    <w:rsid w:val="67394C7D"/>
    <w:rsid w:val="68126B38"/>
    <w:rsid w:val="68291A1A"/>
    <w:rsid w:val="691B1594"/>
    <w:rsid w:val="6A17429C"/>
    <w:rsid w:val="6A567EA3"/>
    <w:rsid w:val="6B4B4368"/>
    <w:rsid w:val="6E557973"/>
    <w:rsid w:val="6F0D6C22"/>
    <w:rsid w:val="6F47657F"/>
    <w:rsid w:val="70670707"/>
    <w:rsid w:val="720E3691"/>
    <w:rsid w:val="724D4112"/>
    <w:rsid w:val="72BD0BFC"/>
    <w:rsid w:val="72D51646"/>
    <w:rsid w:val="732764B3"/>
    <w:rsid w:val="75E5007C"/>
    <w:rsid w:val="77770A26"/>
    <w:rsid w:val="77861774"/>
    <w:rsid w:val="788E258A"/>
    <w:rsid w:val="79300B45"/>
    <w:rsid w:val="794D3E18"/>
    <w:rsid w:val="79DC152E"/>
    <w:rsid w:val="79F3729A"/>
    <w:rsid w:val="7ACB0498"/>
    <w:rsid w:val="7AED0B4D"/>
    <w:rsid w:val="7C1E4487"/>
    <w:rsid w:val="7C215E02"/>
    <w:rsid w:val="7C4D196E"/>
    <w:rsid w:val="7C575CFB"/>
    <w:rsid w:val="7CF23764"/>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Body Text"/>
    <w:basedOn w:val="1"/>
    <w:next w:val="8"/>
    <w:qFormat/>
    <w:uiPriority w:val="0"/>
    <w:pPr>
      <w:spacing w:before="240" w:after="240" w:line="360" w:lineRule="auto"/>
      <w:jc w:val="center"/>
    </w:pPr>
    <w:rPr>
      <w:b/>
      <w:sz w:val="44"/>
    </w:rPr>
  </w:style>
  <w:style w:type="paragraph" w:styleId="8">
    <w:name w:val="Body Text 2"/>
    <w:basedOn w:val="1"/>
    <w:qFormat/>
    <w:uiPriority w:val="0"/>
    <w:pPr>
      <w:spacing w:after="120" w:line="480" w:lineRule="auto"/>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13277</Words>
  <Characters>13871</Characters>
  <Lines>0</Lines>
  <Paragraphs>0</Paragraphs>
  <TotalTime>0</TotalTime>
  <ScaleCrop>false</ScaleCrop>
  <LinksUpToDate>false</LinksUpToDate>
  <CharactersWithSpaces>13921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