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阜康市畜牧兽医综合执法大队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阜康市畜牧兽医综合执法大队单位概况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一、关于阜康市畜牧兽医综合执法大队2020年收支预算情况的总体说明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二、关于阜康市畜牧兽医综合执法大队2020年收入预算情况说明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三、关于阜康市畜牧兽医综合执法大队2020年年支出预算情况说明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阜康市畜牧兽医综合执法大队2020年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五、关于阜康市畜牧兽医综合执法大队2020年一般公共预算当年拨款情况说明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六、关于阜康市畜牧兽医综合执法大队2020年一般公共预算基本支出情况说明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七、关于阜康市畜牧兽医综合执法大队2020年项目支出情况说明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八、关于阜康市畜牧兽医综合执法大队2020年一般公共预算“三公”经费预算情况说明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九、关于阜康市畜牧兽医综合执法大队2020年政府性基金预算拨款情况说明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阜康市畜牧兽医综合执法大队概况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（1）承担本市区域内动物防疫检疫监督工作，负责动物防疫检疫法律、法规执行情况的监督检查，对违反动物防疫法律、法规的行为进行查处。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（2）做好本市范围内动物防疫检疫，兽药饲料监督的具体管理工作，承担市动物防疫检疫办公室的日常工作，依法查处动物防疫检疫饲料经营等案件。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（3）承办动物防疫、检疫监督检查，动物防疫和检疫票证管理，兽药、饲料经营监督管理工作。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（4）承担本市区域内草原管理工作，负责草原法律、法规执行情况的监督检查，对违反草原法律、法规的行为进行查处。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（5）做好本市范围内草原预防火灾的具体管理工作，承担市草原防火指挥部办公室的日常工作，依法查处草原火灾案件。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（6）承办草原野生植物资源保护管理和合理开发利用工作。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6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阜康市畜牧兽医综合执法大队无下属预算单位，下设科室3个，分别是：办公室、草原执法科、动物执法科。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畜牧兽医综合执法大队编制数8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，实有人数1</w:t>
      </w:r>
      <w:r>
        <w:rPr>
          <w:rFonts w:ascii="仿宋_GB2312" w:hAnsi="宋体" w:eastAsia="仿宋_GB2312" w:cs="宋体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人，其中：在职12人，减少6人；退休5人，增加1人；离休0人，减少0人。</w:t>
      </w:r>
    </w:p>
    <w:p>
      <w:pPr>
        <w:widowControl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2020年阜康市畜牧兽医综合执法大队预算公开表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编制部门：阜康市畜牧兽医综合执法大队                        单位：万元</w:t>
      </w:r>
    </w:p>
    <w:tbl>
      <w:tblPr>
        <w:tblStyle w:val="7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15.4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7.16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126.97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13.36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162.89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ind w:firstLine="643" w:firstLineChars="200"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填报部门：阜康市畜牧兽医综合执法大队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单位：万元</w:t>
      </w:r>
    </w:p>
    <w:tbl>
      <w:tblPr>
        <w:tblStyle w:val="7"/>
        <w:tblW w:w="9740" w:type="dxa"/>
        <w:tblInd w:w="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417"/>
        <w:gridCol w:w="417"/>
        <w:gridCol w:w="2145"/>
        <w:gridCol w:w="820"/>
        <w:gridCol w:w="1120"/>
        <w:gridCol w:w="633"/>
        <w:gridCol w:w="567"/>
        <w:gridCol w:w="567"/>
        <w:gridCol w:w="709"/>
        <w:gridCol w:w="484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 阜康市畜牧兽医综合执法大队   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7"/>
        <w:tblW w:w="925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480"/>
        <w:gridCol w:w="529"/>
        <w:gridCol w:w="2282"/>
        <w:gridCol w:w="29"/>
        <w:gridCol w:w="1826"/>
        <w:gridCol w:w="29"/>
        <w:gridCol w:w="1827"/>
        <w:gridCol w:w="29"/>
        <w:gridCol w:w="1684"/>
        <w:gridCol w:w="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80" w:hRule="atLeast"/>
        </w:trPr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8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1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补助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事业运行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162.89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ind w:firstLine="1928" w:firstLineChars="6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编制部门： 阜康市畜牧兽医综合执法大队         </w:t>
      </w:r>
      <w:r>
        <w:rPr>
          <w:rFonts w:ascii="仿宋_GB2312" w:hAnsi="宋体" w:eastAsia="仿宋_GB2312" w:cs="宋体"/>
          <w:color w:val="000000"/>
          <w:kern w:val="0"/>
          <w:sz w:val="24"/>
        </w:rPr>
        <w:t xml:space="preserve">        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        单位：万元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52"/>
        <w:gridCol w:w="1276"/>
        <w:gridCol w:w="1275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15.4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7.16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7.16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126.97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126.97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13.36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13.36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162.89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419"/>
        <w:gridCol w:w="417"/>
        <w:gridCol w:w="2614"/>
        <w:gridCol w:w="556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编制部门：阜康市畜牧综合执法大队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1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8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补助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事业运行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104.57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162.89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162.89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033"/>
        <w:gridCol w:w="853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编制部门：阜康市畜牧综合执法大队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3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3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91.88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91.88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00" w:firstLineChars="3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00" w:firstLineChars="3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公用取暖费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162.89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152.12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10.77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370"/>
        <w:gridCol w:w="19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编制部门：阜康市畜牧兽医综合执法大队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备注：阜康市畜牧兽医综合执法大队2020年无项目支出安排，此表为空表。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编制单位：阜康市畜牧兽医综合执法大队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编制单位：阜康市畜牧综合执法大队 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备注：阜康市畜牧兽医综合执法大队2020年无政府性基金预算安排，此表为空表。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关于阜康市畜牧兽医综合执法大队2020年收支预算情况的总体说明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按照全口径预算的原则，阜康市畜牧兽医综合执法大队2020年所有收入和支出均纳入部门预算管理。收支总预算162.89万元。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收入预算包括：一般公共预算162.89万元，政府性基金预算0万元。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支出预算包括：社会保障和就业支出15.4万元、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医疗卫生与计划生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支出7.16万元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、农林水支出126.97万元、住房保障支出13.36万元。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二、关于阜康市畜牧兽医综合执法大队2020年收入预算情况说明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阜康市畜牧兽医综合执法大队收入预算162.89万元，其中：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一般公共预算162.89万元，占100%，比上年减少154.03万元，主要原因是机构改革，原草原站人员、职能划拨自然资源局，人员工资及社保缴费等预算减少。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三、关于阜康市畜牧兽医综合执法大队单位2020年支出预算情况说明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阜康市畜牧兽医综合执法大队单位2020年支出预算162.89万元，其中：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基本支出162.89万元，占100%，比上年减少154.03万元，主要原因是机构改革，原草原站人员、职能划拨自然资源局，人员工资及社保缴费等预算减少。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四、关于阜康市畜牧兽医综合执法大队2020年财政拨款收支预算情况的总体说明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2020年财政拨款收支总预算162.89万元。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支出预算包括：社会保障和就业支出15.4万元，主要用于机关事业单位基本养老保险缴费、离休人员工资、离休人员护理费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卫生健康支出7.16万元，主要用于事业单位基本医疗及公务员补助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农林水支出126.97万元，主要用于保障机关正常运行的人员经费、公用经费。住房保障支出13.36万元，主要用于个人的住房公积金缴纳。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五、关于阜康市畜牧兽医综合执法大队2020年一般公共预算当年拨款情况说明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阜康市畜牧兽医综合执法大队2020年一般公共预算拨款基本支出162.89万元，比上年执行数减少91.12万元，下降35.87%。主要原因是：机构改革，原草原站人员、职能划拨自然资源局，人员工资及社保缴费等预算减少。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1．社会保障和就业支出（208类）15.4万元，占9.45%。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2．卫生健康支出（210类）7.16万元，占4.4%。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3．农林水支出（213类）126.97万元，占77.95%。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4．住房保障支出（221类）13.36万元，占8.2%。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（208类）行政事业单位离退休（05款）机关事业单位基本养老保险缴费支出（05项）：2020年预算数为15.4万元，比上年执行数减少9.48万元，下降38.10%，主要原因是：机构改革，原草原站人员、职能划拨自然资源局，减少了社保缴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（210类）行政单位医疗（11款）行政单位医疗（01项）：2020年预算数为4.56万元，比上年执行数减少2.5万元，下降35.41%，主要原因是：机构改革，原草原站人员、职能划拨自然资源局，减少了人员医疗缴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3、卫生健康支出（210类）行政单位医疗（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11款）公务员医疗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补助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（03项）：2020年预算数为2.6万元，比上年执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2.91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52.81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%，主要原因是：机构改革，原草原站人员、职能划拨自然资源局，减少了社保缴费等预算。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（213类）农业（01款）行政运行（01项）：2020年预算数为22.40万元，比上年执行数减少20.59万元，下降47.89%，主要原因是：机构改革，原草原站人员、职能划拨自然资源局，减少了人员工资、社保缴费、人均办公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（213类）农业（01款）事业运行（04项）：2020年预算数为104.57万元，比上年执行数减少41.47万元，下降28.40%，主要原因是：机构改革，原草原站人员、职能划拨自然资源局，减少了人员工资、人均办公费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、住房保障支出（221类）住房改革支出（02款）住房公积金（01项）：2020年预算数为13.36万元，比上年执行数减少2.25万元，下降14.30%，主要原因是：机构改革，原草原站人员、职能划拨自然资源局，减少了人员住房公积金等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六、关于阜康市畜牧兽医综合执法大队2020年一般公共预算基本支出情况说明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阜康市畜牧兽医综合执法大队2020年一般公共预算基本支出162.89万元，其中：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152.12万元，主要包括：基本工资91.88万元、机关事业单位基本养老保险缴费15.39万元、职工基本医疗保险缴费12.28万元、公务员医疗补助缴费2.6万元、其他社会保障缴费0.8万元、住房公积金13.36万元、其他工资福利支出15.12万元、奖励金0.44万元、其他对个人和家庭的补助0.25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公用经费10.77万元，主要包括：办公费1.44万元、水费0.36万元、电费0.6万元、邮电费0.6万元、差旅费3.6万元、公务接待费1万元、工会经费0.92万元、公务用车运行维护费2.25万元。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七、关于阜康市畜牧兽医综合执法大队2020年项目支出情况说明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我单位本年无项目支出安排。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八、关于阜康市畜牧兽医综合执法大队2020年一般公共预算“三公”经费预算情况说明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阜康市畜牧兽医综合执法大队2020年“三公”经费财政拨款预算数为3.25万元，其中：因公出国（境）费0万元，公务用车购置0万元，公务用车运行费2.25万元，公务接待费1万元。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2020年“三公”经费财政拨款预算比上年增加0万元，其中：因公出国（境）费增加0万元，主要原因是较上年无变化；公务用车购置费增加0万元，主要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较上年无变化；公务用车运行费增加0万元，主要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较上年无变化；公务接待费增加0万元，主要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原因是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九、关于阜康市畜牧兽医综合执法大队2020年政府性基金预算拨款情况说明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阜康市畜牧兽医综合执法大队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的机关运行经费财政拨款预算10.77万元，比上年预算增加10.77万元，增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100%。主要原因是上年未作公用经费预算安排，本年因机构改革，主要安排办公费、水电费、邮电费、差旅费、工会经费等。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2020年，阜康市畜牧兽医综合执法大队政府采购预算0万元，其中：政府采购货物预算0万元，政府采购工程预算0万元，政府采购服务预算0万元。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，阜康市畜牧兽医综合执法大队占用使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1.房屋341平方米，价值6.64万元。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2.车辆3辆，价值77.31万元；其中：一般公务用车2辆，价值38.98万元；执法执勤用车1辆，价值38.25万元；其他车辆0辆，价值0万元。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3.办公家具价值8.88万元。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4.其他资产价值116.09万元。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7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阜康市畜牧兽医综合执法大队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6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6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阜康市畜牧兽医综合执法大队</w:t>
      </w: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B5144"/>
    <w:rsid w:val="000242A1"/>
    <w:rsid w:val="00027C6C"/>
    <w:rsid w:val="001833B0"/>
    <w:rsid w:val="00232B10"/>
    <w:rsid w:val="002B5144"/>
    <w:rsid w:val="00325B17"/>
    <w:rsid w:val="00334CC7"/>
    <w:rsid w:val="004C6790"/>
    <w:rsid w:val="00541B3E"/>
    <w:rsid w:val="00571B27"/>
    <w:rsid w:val="005E3C2E"/>
    <w:rsid w:val="006373EF"/>
    <w:rsid w:val="006677E9"/>
    <w:rsid w:val="00742330"/>
    <w:rsid w:val="00757310"/>
    <w:rsid w:val="007A7F5F"/>
    <w:rsid w:val="007B318F"/>
    <w:rsid w:val="007C42F9"/>
    <w:rsid w:val="00841512"/>
    <w:rsid w:val="008B725E"/>
    <w:rsid w:val="009D4F7C"/>
    <w:rsid w:val="00AB09AD"/>
    <w:rsid w:val="00B707C8"/>
    <w:rsid w:val="00BE591F"/>
    <w:rsid w:val="00D61AC6"/>
    <w:rsid w:val="00D64230"/>
    <w:rsid w:val="00D95B2F"/>
    <w:rsid w:val="00DE40D3"/>
    <w:rsid w:val="00DF76A8"/>
    <w:rsid w:val="00E43E4B"/>
    <w:rsid w:val="00EE458B"/>
    <w:rsid w:val="00F03CB5"/>
    <w:rsid w:val="00F449A9"/>
    <w:rsid w:val="00F72C2C"/>
    <w:rsid w:val="00FC6ABD"/>
    <w:rsid w:val="02C305BA"/>
    <w:rsid w:val="03885336"/>
    <w:rsid w:val="058A11F0"/>
    <w:rsid w:val="05C0409D"/>
    <w:rsid w:val="09D3475B"/>
    <w:rsid w:val="0BE443B3"/>
    <w:rsid w:val="0F6B2163"/>
    <w:rsid w:val="150D7918"/>
    <w:rsid w:val="18591149"/>
    <w:rsid w:val="186F6494"/>
    <w:rsid w:val="1A94332C"/>
    <w:rsid w:val="1AE17348"/>
    <w:rsid w:val="1BB766B4"/>
    <w:rsid w:val="1D5C446B"/>
    <w:rsid w:val="1ED72818"/>
    <w:rsid w:val="23376AA1"/>
    <w:rsid w:val="23476DF5"/>
    <w:rsid w:val="24280B9B"/>
    <w:rsid w:val="24907C1A"/>
    <w:rsid w:val="250F2BC6"/>
    <w:rsid w:val="2662028F"/>
    <w:rsid w:val="29482BF3"/>
    <w:rsid w:val="2A66543A"/>
    <w:rsid w:val="2BE03950"/>
    <w:rsid w:val="2D6B70D2"/>
    <w:rsid w:val="2D7D2E46"/>
    <w:rsid w:val="2F0A370E"/>
    <w:rsid w:val="2F1C2141"/>
    <w:rsid w:val="31E15190"/>
    <w:rsid w:val="34E521C3"/>
    <w:rsid w:val="35450A2E"/>
    <w:rsid w:val="368C525D"/>
    <w:rsid w:val="371324DE"/>
    <w:rsid w:val="37892EB7"/>
    <w:rsid w:val="39122053"/>
    <w:rsid w:val="3AB95104"/>
    <w:rsid w:val="3C0962C4"/>
    <w:rsid w:val="3CEC09FF"/>
    <w:rsid w:val="3F611D03"/>
    <w:rsid w:val="42CE4CE8"/>
    <w:rsid w:val="430012CB"/>
    <w:rsid w:val="48C7790F"/>
    <w:rsid w:val="49D87C6F"/>
    <w:rsid w:val="4AA974E6"/>
    <w:rsid w:val="4D0714C3"/>
    <w:rsid w:val="5036290C"/>
    <w:rsid w:val="507066C1"/>
    <w:rsid w:val="50762225"/>
    <w:rsid w:val="50E04081"/>
    <w:rsid w:val="51967D4E"/>
    <w:rsid w:val="52FB702F"/>
    <w:rsid w:val="533D17B4"/>
    <w:rsid w:val="55A4631D"/>
    <w:rsid w:val="59214B29"/>
    <w:rsid w:val="59856A9D"/>
    <w:rsid w:val="59A547FC"/>
    <w:rsid w:val="59C75008"/>
    <w:rsid w:val="5C0B1AAC"/>
    <w:rsid w:val="5C465D0E"/>
    <w:rsid w:val="5C6E6CE1"/>
    <w:rsid w:val="6098478A"/>
    <w:rsid w:val="60CA6832"/>
    <w:rsid w:val="63E8299A"/>
    <w:rsid w:val="66624328"/>
    <w:rsid w:val="66DF7226"/>
    <w:rsid w:val="692557B2"/>
    <w:rsid w:val="718C5C8D"/>
    <w:rsid w:val="72057235"/>
    <w:rsid w:val="768D42EF"/>
    <w:rsid w:val="770A69E3"/>
    <w:rsid w:val="7A096C50"/>
    <w:rsid w:val="7A3A34C2"/>
    <w:rsid w:val="7AFE09DC"/>
    <w:rsid w:val="7D55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字符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字符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字符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1564</Words>
  <Characters>8916</Characters>
  <Lines>74</Lines>
  <Paragraphs>20</Paragraphs>
  <TotalTime>5</TotalTime>
  <ScaleCrop>false</ScaleCrop>
  <LinksUpToDate>false</LinksUpToDate>
  <CharactersWithSpaces>10460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2020-09-29T04:24:00Z</dcterms:created>
  <dc:creator>王怡</dc:creator>
  <cp:lastModifiedBy>飞一样的城</cp:lastModifiedBy>
  <cp:lastPrinted>2021-05-29T02:44:00Z</cp:lastPrinted>
  <dcterms:modified xsi:type="dcterms:W3CDTF">2025-11-21T03:44:17Z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2823DCA85B464DB090F9D5DBFB58E217</vt:lpwstr>
  </property>
</Properties>
</file>