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阜康市供销合作社联合社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阜康市供销合作社联合社部门单位概况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阜康市供销合作社联合社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二、关于阜康市供销合作社联合社2020年收入预算情况说明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三、关于阜康市供销合作社联合社2020年支出预算情况说明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四、关于阜康市供销合作社联合社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五、关于阜康市供销合作社联合社2020年一般公共预算当年拨款情况说明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六、关于阜康市供销合作社联合社2020年一般公共预算基本支出情况说明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七、关于阜康市供销合作社联合社2020年项目支出情况说明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八、关于阜康市供销合作社联合社2020年一般公共预算“三公”经费预算情况说明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九、关于阜康市供销合作社联合社2020年政府性基金预算拨款情况说明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阜康市供销合作社联合社单位概况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0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>阜康市供销社是为农服务的合作经济组织，由市人民政府领导，受上级行业主管部门的业务指导。主要职责是：对本级社有资产行使出资人代表和管理职能，监督社有资产保值增值；围绕建立和完善农业社会化服务体系，做好为农业、农村、农民服务的工作。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阜康市供销合作社联合社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无下属预算单位，下设3个科室，分别是：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办公室、财务科、业务科。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阜康市供销合作社联合社编制数6人，实有人数9人，其中：在职6人，增加0人；退休3人，增加0人；离休0人，减少0人。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编制部门：阜康市供销合作社联合社      </w:t>
      </w:r>
      <w:r>
        <w:rPr>
          <w:rFonts w:ascii="仿宋_GB2312" w:hAnsi="宋体" w:eastAsia="仿宋_GB2312"/>
          <w:kern w:val="0"/>
          <w:sz w:val="24"/>
        </w:rPr>
        <w:t xml:space="preserve">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86.94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86.94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8.13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7.98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63.82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  <w:t>7.01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86.94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86.94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86.94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填报部门：阜康市供销合作社联合社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435"/>
        <w:gridCol w:w="465"/>
        <w:gridCol w:w="1945"/>
        <w:gridCol w:w="820"/>
        <w:gridCol w:w="1020"/>
        <w:gridCol w:w="851"/>
        <w:gridCol w:w="708"/>
        <w:gridCol w:w="426"/>
        <w:gridCol w:w="708"/>
        <w:gridCol w:w="426"/>
        <w:gridCol w:w="621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216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50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63.82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63.82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8.13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8.13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6.58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6.58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1.4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1.4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7.01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86.94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86.94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编制部门：阜康市供销合作社联合社     </w:t>
      </w:r>
      <w:r>
        <w:rPr>
          <w:rFonts w:ascii="仿宋_GB2312" w:hAnsi="宋体" w:eastAsia="仿宋_GB2312"/>
          <w:kern w:val="0"/>
          <w:sz w:val="24"/>
        </w:rPr>
        <w:t xml:space="preserve">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单位：万元</w:t>
      </w:r>
    </w:p>
    <w:tbl>
      <w:tblPr>
        <w:tblStyle w:val="8"/>
        <w:tblW w:w="9441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435"/>
        <w:gridCol w:w="465"/>
        <w:gridCol w:w="2354"/>
        <w:gridCol w:w="1855"/>
        <w:gridCol w:w="1856"/>
        <w:gridCol w:w="1904"/>
        <w:gridCol w:w="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80" w:hRule="atLeast"/>
        </w:trPr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5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70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5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216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50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63.82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63.82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6.58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6.58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7.01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05" w:hRule="atLeast"/>
        </w:trPr>
        <w:tc>
          <w:tcPr>
            <w:tcW w:w="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86.94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86.94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阜康市供销合作社联合社 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86.94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86.94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8.13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8.13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7.98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7.98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63.82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63.82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7.01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center" w:pos="529"/>
                <w:tab w:val="right" w:pos="1359"/>
              </w:tabs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7.01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86.94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86.94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86.94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编制部门：阜康市供销合作社联合社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216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50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63.82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63.82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8.13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6.58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6.58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221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86.94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86.94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67"/>
        <w:gridCol w:w="3118"/>
        <w:gridCol w:w="995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编制部门：阜康市供销合作社联合社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11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1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48.32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48.32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8.13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86.94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80.36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6.58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编制部门：阜康市供销合作社联合社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spacing w:line="375" w:lineRule="atLeast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备注：阜康市供销社2020年未安排项目支出预算，因此没有使用项目支出预算拨款安排的支出，项目支出情况表为空表。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编制单位：阜康市供销合作社联合社  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0.5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编制单位：阜康市供销合作社联合社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 xml:space="preserve">  备注：阜康市供销社2020年未安排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，因此没有使用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拨款安排的支出，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情况表为空表。</w:t>
      </w:r>
    </w:p>
    <w:p>
      <w:pPr>
        <w:widowControl/>
        <w:spacing w:line="375" w:lineRule="atLeast"/>
        <w:jc w:val="left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关于阜康市供销合作社联合社2020年收支预算情况的总体说明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按照全口径预算的原则，阜康市供销合作社联合社2020年所有收入和支出均纳入部门预算管理。收支总预算86.94万元。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收入预算包括：一般公共预算86.94万元、政府性基金预算0万元。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支出预算包括：社会保障和就业支出8.13万元、卫生健康支出7.98万元、商业服务业等支出63.82万元、住房保障支出7.01万元。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二、关于阜康市供销合作社联合社2020年收入预算情况说明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阜康市供销合作社联合社收入预算86.94万元，其中：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一般公共预算86.94万元，占100%，比上年减少107.22万元，主要原因是人员变动；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三、关于阜康市供销合作社联合社单位2020年支出预算情况说明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阜康市供销合作社联合社2020年支出预算86.94万元，其中：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基本支出86.94万元，占100%，比上年减少39.17万元，主要原因是人员变动。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项目支出0万元，占0%，比上年减少68.05万元，主要原因是预算未作安排。</w:t>
      </w:r>
    </w:p>
    <w:p>
      <w:pPr>
        <w:spacing w:line="560" w:lineRule="exact"/>
        <w:ind w:firstLine="619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四、关于阜康市供销合作社联合社2020年财政拨款收支预算情况的总体说明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2020年财政拨款收支总预算86.94万元。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为一般公共预算拨款，无政府性基金预算拨款。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支出预算包括：商业服务业等支出63.82万元，主要用于保障机关正常运行的人员经费、公用经费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社会保障和就业支出8.13万元，主要用于机关事业单位养老保险缴费；卫生健康支出7.98万元，主要用于个人基本医疗及公务员医疗补助；住房保障支出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7.01万元，主要用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于住房公积金的单位承担部分。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五、关于阜康市供销合作社联合社2020年一般公共预算当年拨款情况说明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供销合作社联合社2020年一般公共预算拨款基本支出86.94万元，比上年执行数减少39.17万元，下降31.06%。主要原因是上年执行数有业务费支出，用于基层社综合服务社建设资金，以及财务代理人员的工资补助，本年年初无此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1.商业服务业等支出（216类）63.82万元，占73.41 %。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2.社会保障和就业支出（208类）8.13万元，占9.35%。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210</w:t>
      </w:r>
      <w:r>
        <w:rPr>
          <w:rFonts w:hint="eastAsia" w:ascii="仿宋_GB2312" w:eastAsia="仿宋_GB2312"/>
          <w:sz w:val="32"/>
          <w:szCs w:val="32"/>
        </w:rPr>
        <w:t>类）7.98万元，占9.18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</w:rPr>
        <w:t>住房保障支出（</w:t>
      </w:r>
      <w:r>
        <w:rPr>
          <w:rFonts w:ascii="仿宋_GB2312" w:eastAsia="仿宋_GB2312"/>
          <w:sz w:val="32"/>
          <w:szCs w:val="32"/>
        </w:rPr>
        <w:t>221</w:t>
      </w:r>
      <w:r>
        <w:rPr>
          <w:rFonts w:hint="eastAsia" w:ascii="仿宋_GB2312" w:eastAsia="仿宋_GB2312"/>
          <w:sz w:val="32"/>
          <w:szCs w:val="32"/>
        </w:rPr>
        <w:t>类）7.01万元，占8.06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1.商业服务业支出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216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商业流通事务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事业</w:t>
      </w:r>
      <w:r>
        <w:rPr>
          <w:rFonts w:ascii="仿宋_GB2312" w:hAnsi="宋体" w:eastAsia="仿宋_GB2312" w:cs="宋体"/>
          <w:kern w:val="0"/>
          <w:sz w:val="32"/>
          <w:szCs w:val="32"/>
        </w:rPr>
        <w:t>运行（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50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63.82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比上年执行数减少8.49万元，下降11.74%，主要原因是：上年执行数有业务费支出，用于基层社综合服务社建设资金，以及财务代理人员的工资补助，本年年初无此预算安排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sz w:val="32"/>
          <w:szCs w:val="32"/>
        </w:rPr>
        <w:t>社会保障和就业支出（</w:t>
      </w:r>
      <w:r>
        <w:rPr>
          <w:rFonts w:ascii="仿宋_GB2312" w:hAnsi="宋体" w:eastAsia="仿宋_GB2312" w:cs="宋体"/>
          <w:sz w:val="32"/>
          <w:szCs w:val="32"/>
        </w:rPr>
        <w:t>208</w:t>
      </w:r>
      <w:r>
        <w:rPr>
          <w:rFonts w:hint="eastAsia" w:ascii="仿宋_GB2312" w:hAnsi="宋体" w:eastAsia="仿宋_GB2312" w:cs="宋体"/>
          <w:sz w:val="32"/>
          <w:szCs w:val="32"/>
        </w:rPr>
        <w:t>类）行政事业单位离退休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款）机关事业单位基本养老保险缴费支出（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年预算数为8.13万元，比上年执行数减少1.19万元，下降12.77</w:t>
      </w:r>
      <w:r>
        <w:rPr>
          <w:rFonts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，主要原因是：本年养老保险缴费费率下降。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年预算数为6.58万元，比上年执行数增加0.71万元，增长12.10</w:t>
      </w:r>
      <w:r>
        <w:rPr>
          <w:rFonts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，主要原因是：本年人员医疗补助缴费基数提高。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款）公务员医疗补助（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年预算数为1.4万元，比上年执行数减少1.21万元，下降46.36</w:t>
      </w:r>
      <w:r>
        <w:rPr>
          <w:rFonts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，主要原因是：公务员医疗缴费费率由原来4%下降为2%，预算安排减少。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6.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住房保障支出（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221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类）住房改革支出（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款）住房公积金（</w:t>
      </w:r>
      <w:r>
        <w:rPr>
          <w:rFonts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项）：</w:t>
      </w:r>
      <w:r>
        <w:rPr>
          <w:rFonts w:ascii="仿宋_GB2312" w:hAnsi="宋体" w:eastAsia="仿宋_GB2312" w:cs="宋体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年预算数为7.01万元，比上年执行数增加0.75万元，增长11.98</w:t>
      </w:r>
      <w:r>
        <w:rPr>
          <w:rFonts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，主要原因是：住房公积金缴费基数提高。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六、关于阜康市供销合作社联合社2020年一般公共预算基本支出情况说明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阜康市供销合作社联合社2020年一般公共预算基本支出86.94万元，其中：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人员经费80.36万元，主要包括：基本工资48.32万元、机关事业单位基本养老保险缴费8.13万元、职工基本医疗保险缴费6.63万元、公务员医疗补助缴费1.4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万元、其他社会保障缴费0.34万元、住房公积金7.01万元、其他工资福利支出7.56万元、生活补助0.4万元、奖励金0.41万元、其他对个人和家庭的补助0.15万元。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公用经费6.58万元，主要包括：办公费0.9万元、水费0.24万元、电费0.3万元、邮电费0.36万元、差旅费1.8万元、公务接待费0.5万元、工会经费0.48万元、其他交通费用2万元。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七、关于阜康市供销合作社联合社2020年项目支出情况说明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我单位本年无项目支出预算安排。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八、关于阜康市供销合作社联合社2020年一般公共预算“三公”经费预算情况说明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阜康市供销合作社联合社2020年“三公”经费财政拨款预算数为0.5万元，其中：因公出国（境）费0万元，公务用车购置0万元，公务用车运行费0万元，公务接待费0.5万元。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减少0万元，其中：因公出国（境）费增加0万元，主要原因是本年无因公出国费预算安排；公务用车购置费增加0万元，主要原因是本年无购置车辆预算安排；公务用车运行费增加0万元，主要原因是本年无车辆运行维护费预算，减少车辆燃油费预算安排，控制三公经费支出预算安排；公务接待费增加0万元，主要原因是与上年持平，控制三公经费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九、关于阜康市供销合作社联合社2020年政府性基金预算拨款情况说明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阜康市供销合作社联合社2020年没有使用政府性基金预算拨款安排的支出，政府性基金预算支出情况表为空表。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2020年，阜康市供销合作社联合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社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运行经费财政拨款预算6.58万元，比上年预算增加0.54万元，增长8.94%。主要原因是本年接待费、工会经费预算增加。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2020年，阜康市供销合作社联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合社政府采购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截止2019年底，阜康市供销合作社联合社预算单位占用使用国有资产总体情况为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2.车辆0辆，价值0万元；其中：一般公务用车0辆，价值0万元；执法执勤用车0辆，价值0万元；其他车辆0辆，价值0万元。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3.办公家具价值2.18万元。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4.其他资产价值7.41万元。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 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阜康市供销合作社联合社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20" w:lineRule="exact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阜康市供销合作社联合社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6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150"/>
    <w:rsid w:val="0003663A"/>
    <w:rsid w:val="00046D89"/>
    <w:rsid w:val="00051F31"/>
    <w:rsid w:val="00055826"/>
    <w:rsid w:val="00093228"/>
    <w:rsid w:val="000A7039"/>
    <w:rsid w:val="000B479F"/>
    <w:rsid w:val="000C7EBA"/>
    <w:rsid w:val="000E518A"/>
    <w:rsid w:val="001329D9"/>
    <w:rsid w:val="0015259B"/>
    <w:rsid w:val="001708A3"/>
    <w:rsid w:val="00172A27"/>
    <w:rsid w:val="001851CC"/>
    <w:rsid w:val="001A53A0"/>
    <w:rsid w:val="001A6ACB"/>
    <w:rsid w:val="001B0782"/>
    <w:rsid w:val="001C74E7"/>
    <w:rsid w:val="002268EE"/>
    <w:rsid w:val="00234493"/>
    <w:rsid w:val="00261DC0"/>
    <w:rsid w:val="002822ED"/>
    <w:rsid w:val="002C33B6"/>
    <w:rsid w:val="002C5068"/>
    <w:rsid w:val="002D655F"/>
    <w:rsid w:val="002F654A"/>
    <w:rsid w:val="002F7841"/>
    <w:rsid w:val="00327BBC"/>
    <w:rsid w:val="00333C66"/>
    <w:rsid w:val="00335855"/>
    <w:rsid w:val="00351FAA"/>
    <w:rsid w:val="00370F49"/>
    <w:rsid w:val="00373E81"/>
    <w:rsid w:val="00377F4C"/>
    <w:rsid w:val="003B6047"/>
    <w:rsid w:val="003D5B37"/>
    <w:rsid w:val="003E6015"/>
    <w:rsid w:val="00407D79"/>
    <w:rsid w:val="0041557F"/>
    <w:rsid w:val="00446F41"/>
    <w:rsid w:val="00493CDF"/>
    <w:rsid w:val="004B31EE"/>
    <w:rsid w:val="004C5A0F"/>
    <w:rsid w:val="004D2CF0"/>
    <w:rsid w:val="004D41C8"/>
    <w:rsid w:val="004F0D25"/>
    <w:rsid w:val="004F7E44"/>
    <w:rsid w:val="00532E32"/>
    <w:rsid w:val="00562270"/>
    <w:rsid w:val="00570F05"/>
    <w:rsid w:val="00581F45"/>
    <w:rsid w:val="005B30B6"/>
    <w:rsid w:val="005B4FB5"/>
    <w:rsid w:val="005F2A75"/>
    <w:rsid w:val="005F2EEE"/>
    <w:rsid w:val="005F754F"/>
    <w:rsid w:val="0060579C"/>
    <w:rsid w:val="00616E36"/>
    <w:rsid w:val="0062518F"/>
    <w:rsid w:val="00631F3D"/>
    <w:rsid w:val="00652756"/>
    <w:rsid w:val="00667801"/>
    <w:rsid w:val="00691F68"/>
    <w:rsid w:val="00697A06"/>
    <w:rsid w:val="006A7B0E"/>
    <w:rsid w:val="006C1337"/>
    <w:rsid w:val="006C6B29"/>
    <w:rsid w:val="006E6780"/>
    <w:rsid w:val="00717B3D"/>
    <w:rsid w:val="007273BB"/>
    <w:rsid w:val="00733CAA"/>
    <w:rsid w:val="007663F1"/>
    <w:rsid w:val="00773BBC"/>
    <w:rsid w:val="00782245"/>
    <w:rsid w:val="007A06F7"/>
    <w:rsid w:val="007B523B"/>
    <w:rsid w:val="007B7A45"/>
    <w:rsid w:val="007D0FDE"/>
    <w:rsid w:val="007E56CE"/>
    <w:rsid w:val="007F42A4"/>
    <w:rsid w:val="00841BD6"/>
    <w:rsid w:val="008735B9"/>
    <w:rsid w:val="0088500A"/>
    <w:rsid w:val="008879BE"/>
    <w:rsid w:val="00893BA8"/>
    <w:rsid w:val="008A3735"/>
    <w:rsid w:val="008B1ABD"/>
    <w:rsid w:val="008B1FEB"/>
    <w:rsid w:val="008B46B5"/>
    <w:rsid w:val="008C251E"/>
    <w:rsid w:val="008D2D67"/>
    <w:rsid w:val="008E2148"/>
    <w:rsid w:val="008E492F"/>
    <w:rsid w:val="008F5187"/>
    <w:rsid w:val="00906960"/>
    <w:rsid w:val="0092227A"/>
    <w:rsid w:val="00947A57"/>
    <w:rsid w:val="0096224C"/>
    <w:rsid w:val="009A29CB"/>
    <w:rsid w:val="009A2DA4"/>
    <w:rsid w:val="009A6792"/>
    <w:rsid w:val="009E0834"/>
    <w:rsid w:val="00A17546"/>
    <w:rsid w:val="00A3409E"/>
    <w:rsid w:val="00A361C8"/>
    <w:rsid w:val="00A36992"/>
    <w:rsid w:val="00A4568B"/>
    <w:rsid w:val="00A649D2"/>
    <w:rsid w:val="00A675D6"/>
    <w:rsid w:val="00A74DEC"/>
    <w:rsid w:val="00A82EA2"/>
    <w:rsid w:val="00A91B14"/>
    <w:rsid w:val="00A92AB0"/>
    <w:rsid w:val="00A93CA8"/>
    <w:rsid w:val="00A95CF7"/>
    <w:rsid w:val="00AB1C6C"/>
    <w:rsid w:val="00AF3BF5"/>
    <w:rsid w:val="00B00AA9"/>
    <w:rsid w:val="00B34A0E"/>
    <w:rsid w:val="00B57FC6"/>
    <w:rsid w:val="00B66B75"/>
    <w:rsid w:val="00B91517"/>
    <w:rsid w:val="00BA6844"/>
    <w:rsid w:val="00BD6FD8"/>
    <w:rsid w:val="00C05A6B"/>
    <w:rsid w:val="00C1778D"/>
    <w:rsid w:val="00C86845"/>
    <w:rsid w:val="00C9313A"/>
    <w:rsid w:val="00CB041F"/>
    <w:rsid w:val="00CD14BC"/>
    <w:rsid w:val="00CD364B"/>
    <w:rsid w:val="00CE0D5E"/>
    <w:rsid w:val="00CE76F9"/>
    <w:rsid w:val="00D55963"/>
    <w:rsid w:val="00D74C34"/>
    <w:rsid w:val="00D75F10"/>
    <w:rsid w:val="00D769AA"/>
    <w:rsid w:val="00D846ED"/>
    <w:rsid w:val="00D97B29"/>
    <w:rsid w:val="00DA0808"/>
    <w:rsid w:val="00DE1BFA"/>
    <w:rsid w:val="00E309BF"/>
    <w:rsid w:val="00E3422B"/>
    <w:rsid w:val="00E4042E"/>
    <w:rsid w:val="00E83C6E"/>
    <w:rsid w:val="00E90922"/>
    <w:rsid w:val="00E970E1"/>
    <w:rsid w:val="00EA564E"/>
    <w:rsid w:val="00EB3E79"/>
    <w:rsid w:val="00EB6AD0"/>
    <w:rsid w:val="00ED761C"/>
    <w:rsid w:val="00F045BC"/>
    <w:rsid w:val="00F05640"/>
    <w:rsid w:val="00F203DB"/>
    <w:rsid w:val="00F24B97"/>
    <w:rsid w:val="00F37381"/>
    <w:rsid w:val="00F51D34"/>
    <w:rsid w:val="00F61D29"/>
    <w:rsid w:val="00F913B0"/>
    <w:rsid w:val="00FA23E9"/>
    <w:rsid w:val="00FC4E99"/>
    <w:rsid w:val="00FD20A1"/>
    <w:rsid w:val="00FF5F8A"/>
    <w:rsid w:val="06AC7DC1"/>
    <w:rsid w:val="137F31B7"/>
    <w:rsid w:val="20710F4D"/>
    <w:rsid w:val="276E354E"/>
    <w:rsid w:val="30AD0A3D"/>
    <w:rsid w:val="3EE05911"/>
    <w:rsid w:val="492F60E6"/>
    <w:rsid w:val="73055EF5"/>
    <w:rsid w:val="7EC360FD"/>
    <w:rsid w:val="7F487E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字符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字符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1491</Words>
  <Characters>8499</Characters>
  <Lines>70</Lines>
  <Paragraphs>19</Paragraphs>
  <TotalTime>1</TotalTime>
  <ScaleCrop>false</ScaleCrop>
  <LinksUpToDate>false</LinksUpToDate>
  <CharactersWithSpaces>9971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A凤颜国际-张倩</cp:lastModifiedBy>
  <cp:lastPrinted>2019-12-30T11:43:00Z</cp:lastPrinted>
  <dcterms:modified xsi:type="dcterms:W3CDTF">2021-07-07T03:59:34Z</dcterms:modified>
  <dc:title>哈密地区财政局           发文稿纸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2E921D4277C344E68D341F54BBE0F2F8</vt:lpwstr>
  </property>
</Properties>
</file>