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560" w:lineRule="exact"/>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pageBreakBefore w:val="0"/>
        <w:kinsoku/>
        <w:wordWrap/>
        <w:overflowPunct/>
        <w:topLinePunct w:val="0"/>
        <w:autoSpaceDE/>
        <w:autoSpaceDN/>
        <w:bidi w:val="0"/>
        <w:adjustRightIn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29123"/>
      <w:bookmarkStart w:id="1" w:name="_Toc25575"/>
      <w:bookmarkStart w:id="2" w:name="_Toc1949"/>
      <w:bookmarkStart w:id="3" w:name="_Toc15679"/>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党校搬迁改造项目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bookmarkEnd w:id="1"/>
      <w:bookmarkEnd w:id="2"/>
      <w:bookmarkEnd w:id="3"/>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pPr>
        <w:spacing w:line="360" w:lineRule="auto"/>
        <w:ind w:left="1680" w:leftChars="600" w:firstLine="0" w:firstLineChars="0"/>
        <w:jc w:val="left"/>
        <w:rPr>
          <w:rFonts w:ascii="黑体" w:hAnsi="Times New Roman" w:eastAsia="黑体"/>
          <w:b w:val="0"/>
          <w:bCs/>
          <w:color w:val="000000"/>
          <w:sz w:val="30"/>
          <w:szCs w:val="30"/>
        </w:rPr>
      </w:pPr>
      <w:r>
        <w:rPr>
          <w:rFonts w:hint="eastAsia" w:ascii="黑体" w:hAnsi="Times New Roman" w:eastAsia="黑体"/>
          <w:b w:val="0"/>
          <w:bCs/>
          <w:color w:val="000000"/>
          <w:sz w:val="30"/>
          <w:szCs w:val="30"/>
        </w:rPr>
        <w:t>项目名称：党校搬迁改造项目</w:t>
      </w:r>
    </w:p>
    <w:p>
      <w:pPr>
        <w:spacing w:line="360" w:lineRule="auto"/>
        <w:ind w:left="1680" w:leftChars="600" w:firstLine="0" w:firstLineChars="0"/>
        <w:jc w:val="left"/>
        <w:rPr>
          <w:rFonts w:hint="eastAsia" w:ascii="黑体" w:hAnsi="Times New Roman" w:eastAsia="黑体"/>
          <w:b w:val="0"/>
          <w:bCs/>
          <w:color w:val="000000"/>
          <w:sz w:val="30"/>
          <w:szCs w:val="30"/>
        </w:rPr>
      </w:pPr>
      <w:r>
        <w:rPr>
          <w:rFonts w:hint="eastAsia" w:ascii="黑体" w:hAnsi="Times New Roman" w:eastAsia="黑体"/>
          <w:b w:val="0"/>
          <w:bCs/>
          <w:color w:val="000000"/>
          <w:sz w:val="30"/>
          <w:szCs w:val="30"/>
        </w:rPr>
        <w:t>实施单位：中共阜康市委员会党校</w:t>
      </w:r>
    </w:p>
    <w:p>
      <w:pPr>
        <w:spacing w:line="360" w:lineRule="auto"/>
        <w:ind w:left="1680" w:leftChars="600" w:firstLine="0" w:firstLineChars="0"/>
        <w:jc w:val="left"/>
        <w:rPr>
          <w:rFonts w:hint="eastAsia" w:ascii="黑体" w:hAnsi="Times New Roman" w:eastAsia="黑体"/>
          <w:b w:val="0"/>
          <w:bCs/>
          <w:color w:val="000000"/>
          <w:sz w:val="30"/>
          <w:szCs w:val="30"/>
        </w:rPr>
      </w:pPr>
      <w:r>
        <w:rPr>
          <w:rFonts w:hint="eastAsia" w:ascii="黑体" w:hAnsi="Times New Roman" w:eastAsia="黑体"/>
          <w:b w:val="0"/>
          <w:bCs/>
          <w:color w:val="000000"/>
          <w:sz w:val="30"/>
          <w:szCs w:val="30"/>
        </w:rPr>
        <w:t>主管部门：中共阜康市委员会党校</w:t>
      </w:r>
    </w:p>
    <w:p>
      <w:pPr>
        <w:spacing w:line="360" w:lineRule="auto"/>
        <w:ind w:left="1680" w:leftChars="600" w:firstLine="0" w:firstLineChars="0"/>
        <w:jc w:val="left"/>
        <w:rPr>
          <w:rFonts w:hint="eastAsia" w:ascii="黑体" w:hAnsi="Times New Roman" w:eastAsia="黑体"/>
          <w:b w:val="0"/>
          <w:bCs/>
          <w:color w:val="000000"/>
          <w:sz w:val="30"/>
          <w:szCs w:val="30"/>
          <w:lang w:eastAsia="zh-CN"/>
        </w:rPr>
      </w:pPr>
      <w:r>
        <w:rPr>
          <w:rFonts w:hint="eastAsia" w:ascii="黑体" w:hAnsi="Times New Roman" w:eastAsia="黑体"/>
          <w:b w:val="0"/>
          <w:bCs/>
          <w:color w:val="000000"/>
          <w:sz w:val="30"/>
          <w:szCs w:val="30"/>
          <w:lang w:eastAsia="zh-CN"/>
        </w:rPr>
        <w:t>项目负责人：</w:t>
      </w:r>
      <w:r>
        <w:rPr>
          <w:rFonts w:hint="eastAsia" w:ascii="黑体" w:hAnsi="Times New Roman" w:eastAsia="黑体" w:cs="宋体"/>
          <w:b w:val="0"/>
          <w:bCs/>
          <w:color w:val="000000"/>
          <w:sz w:val="30"/>
          <w:szCs w:val="30"/>
          <w:lang w:val="en-US" w:eastAsia="zh-CN"/>
        </w:rPr>
        <w:t>王寅生</w:t>
      </w:r>
    </w:p>
    <w:p>
      <w:pPr>
        <w:spacing w:line="360" w:lineRule="auto"/>
        <w:ind w:left="1680" w:leftChars="600" w:firstLine="0" w:firstLineChars="0"/>
        <w:jc w:val="left"/>
        <w:rPr>
          <w:rFonts w:hint="default"/>
          <w:b w:val="0"/>
          <w:bCs/>
          <w:color w:val="auto"/>
          <w:lang w:val="en-US" w:eastAsia="zh-CN"/>
        </w:rPr>
      </w:pPr>
      <w:r>
        <w:rPr>
          <w:rFonts w:hint="eastAsia" w:ascii="黑体" w:hAnsi="Times New Roman" w:eastAsia="黑体"/>
          <w:b w:val="0"/>
          <w:bCs/>
          <w:color w:val="auto"/>
          <w:sz w:val="30"/>
          <w:szCs w:val="30"/>
          <w:lang w:eastAsia="zh-CN"/>
        </w:rPr>
        <w:t>填报时间：</w:t>
      </w:r>
      <w:r>
        <w:rPr>
          <w:rFonts w:hint="eastAsia" w:ascii="黑体" w:hAnsi="Times New Roman" w:eastAsia="黑体"/>
          <w:b w:val="0"/>
          <w:bCs/>
          <w:color w:val="auto"/>
          <w:sz w:val="30"/>
          <w:szCs w:val="30"/>
          <w:lang w:val="en-US" w:eastAsia="zh-CN"/>
        </w:rPr>
        <w:t>2025年4月27日</w:t>
      </w:r>
    </w:p>
    <w:p>
      <w:pPr>
        <w:pStyle w:val="14"/>
        <w:pageBreakBefore w:val="0"/>
        <w:kinsoku/>
        <w:wordWrap/>
        <w:overflowPunct/>
        <w:topLinePunct w:val="0"/>
        <w:autoSpaceDE/>
        <w:autoSpaceDN/>
        <w:bidi w:val="0"/>
        <w:spacing w:line="560" w:lineRule="exact"/>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pPr>
        <w:pageBreakBefore w:val="0"/>
        <w:kinsoku/>
        <w:wordWrap/>
        <w:overflowPunct/>
        <w:topLinePunct w:val="0"/>
        <w:autoSpaceDE/>
        <w:autoSpaceDN/>
        <w:bidi w:val="0"/>
        <w:spacing w:line="560" w:lineRule="exact"/>
        <w:textAlignment w:val="auto"/>
        <w:rPr>
          <w:rFonts w:hint="eastAsia"/>
          <w:lang w:val="en-US" w:eastAsia="zh-CN"/>
        </w:rPr>
      </w:pPr>
      <w:r>
        <w:rPr>
          <w:rFonts w:hint="eastAsia"/>
          <w:lang w:val="en-US" w:eastAsia="zh-CN"/>
        </w:rPr>
        <w:br w:type="page"/>
      </w:r>
    </w:p>
    <w:p>
      <w:pPr>
        <w:pageBreakBefore w:val="0"/>
        <w:kinsoku/>
        <w:wordWrap/>
        <w:overflowPunct/>
        <w:topLinePunct w:val="0"/>
        <w:autoSpaceDE/>
        <w:autoSpaceDN/>
        <w:bidi w:val="0"/>
        <w:spacing w:line="560" w:lineRule="exact"/>
        <w:textAlignment w:val="auto"/>
        <w:rPr>
          <w:rFonts w:hint="eastAsia"/>
          <w:lang w:val="en-US" w:eastAsia="zh-CN"/>
        </w:rPr>
      </w:pPr>
    </w:p>
    <w:sdt>
      <w:sdtPr>
        <w:rPr>
          <w:rFonts w:ascii="宋体" w:hAnsi="宋体" w:eastAsia="宋体" w:cs="宋体"/>
          <w:b/>
          <w:bCs/>
          <w:kern w:val="2"/>
          <w:sz w:val="28"/>
          <w:szCs w:val="40"/>
          <w:lang w:val="en-US" w:eastAsia="zh-CN" w:bidi="ar-SA"/>
        </w:rPr>
        <w:id w:val="147474046"/>
        <w15:color w:val="DBDBDB"/>
        <w:docPartObj>
          <w:docPartGallery w:val="Table of Contents"/>
          <w:docPartUnique/>
        </w:docPartObj>
      </w:sdtPr>
      <w:sdtEndPr>
        <w:rPr>
          <w:rFonts w:hint="eastAsia" w:ascii="宋体" w:hAnsi="宋体" w:eastAsia="宋体" w:cs="宋体"/>
          <w:b/>
          <w:bCs/>
          <w:kern w:val="2"/>
          <w:sz w:val="28"/>
          <w:szCs w:val="28"/>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b/>
              <w:bCs/>
              <w:sz w:val="40"/>
              <w:szCs w:val="40"/>
            </w:rPr>
          </w:pPr>
          <w:r>
            <w:rPr>
              <w:rFonts w:ascii="宋体" w:hAnsi="宋体" w:eastAsia="宋体"/>
              <w:b/>
              <w:bCs/>
              <w:sz w:val="40"/>
              <w:szCs w:val="40"/>
            </w:rPr>
            <w:t>目录</w:t>
          </w:r>
        </w:p>
        <w:p>
          <w:pPr>
            <w:pStyle w:val="10"/>
            <w:tabs>
              <w:tab w:val="right" w:leader="dot" w:pos="8844"/>
            </w:tabs>
          </w:pPr>
          <w:r>
            <w:rPr>
              <w:rFonts w:hint="eastAsia"/>
              <w:sz w:val="28"/>
              <w:szCs w:val="28"/>
              <w:lang w:val="en-US" w:eastAsia="zh-CN"/>
            </w:rPr>
            <w:fldChar w:fldCharType="begin"/>
          </w:r>
          <w:r>
            <w:rPr>
              <w:rFonts w:hint="eastAsia"/>
              <w:sz w:val="28"/>
              <w:szCs w:val="28"/>
              <w:lang w:val="en-US" w:eastAsia="zh-CN"/>
            </w:rPr>
            <w:instrText xml:space="preserve">TOC \o "1-3" \h \u </w:instrText>
          </w:r>
          <w:r>
            <w:rPr>
              <w:rFonts w:hint="eastAsia"/>
              <w:sz w:val="28"/>
              <w:szCs w:val="28"/>
              <w:lang w:val="en-US" w:eastAsia="zh-CN"/>
            </w:rPr>
            <w:fldChar w:fldCharType="separate"/>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_Toc18485 </w:instrText>
          </w:r>
          <w:r>
            <w:rPr>
              <w:rFonts w:hint="eastAsia"/>
              <w:szCs w:val="28"/>
              <w:lang w:val="en-US" w:eastAsia="zh-CN"/>
            </w:rPr>
            <w:fldChar w:fldCharType="separate"/>
          </w:r>
          <w:r>
            <w:rPr>
              <w:rFonts w:hint="eastAsia" w:ascii="黑体" w:hAnsi="黑体" w:eastAsia="黑体" w:cs="黑体"/>
              <w:bCs w:val="0"/>
              <w:highlight w:val="none"/>
              <w:shd w:val="clear" w:color="auto" w:fill="auto"/>
            </w:rPr>
            <w:t>一、基本情况</w:t>
          </w:r>
          <w:r>
            <w:tab/>
          </w:r>
          <w:r>
            <w:fldChar w:fldCharType="begin"/>
          </w:r>
          <w:r>
            <w:instrText xml:space="preserve"> PAGEREF _Toc18485 \h </w:instrText>
          </w:r>
          <w:r>
            <w:fldChar w:fldCharType="separate"/>
          </w:r>
          <w:r>
            <w:t>4</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_Toc23184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（一）项目概况</w:t>
          </w:r>
          <w:r>
            <w:tab/>
          </w:r>
          <w:r>
            <w:fldChar w:fldCharType="begin"/>
          </w:r>
          <w:r>
            <w:instrText xml:space="preserve"> PAGEREF _Toc23184 \h </w:instrText>
          </w:r>
          <w:r>
            <w:fldChar w:fldCharType="separate"/>
          </w:r>
          <w:r>
            <w:t>4</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_Toc9109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（二）项目绩效目标</w:t>
          </w:r>
          <w:r>
            <w:tab/>
          </w:r>
          <w:r>
            <w:fldChar w:fldCharType="begin"/>
          </w:r>
          <w:r>
            <w:instrText xml:space="preserve"> PAGEREF _Toc9109 \h </w:instrText>
          </w:r>
          <w:r>
            <w:fldChar w:fldCharType="separate"/>
          </w:r>
          <w:r>
            <w:t>5</w:t>
          </w:r>
          <w:r>
            <w:fldChar w:fldCharType="end"/>
          </w:r>
          <w:r>
            <w:rPr>
              <w:rFonts w:hint="eastAsia"/>
              <w:szCs w:val="28"/>
              <w:lang w:val="en-US" w:eastAsia="zh-CN"/>
            </w:rPr>
            <w:fldChar w:fldCharType="end"/>
          </w:r>
        </w:p>
        <w:p>
          <w:pPr>
            <w:pStyle w:val="10"/>
            <w:tabs>
              <w:tab w:val="right" w:leader="dot" w:pos="8844"/>
            </w:tabs>
            <w:rPr>
              <w:rFonts w:hint="eastAsia" w:ascii="黑体" w:hAnsi="黑体" w:eastAsia="黑体" w:cs="黑体"/>
            </w:rPr>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_Toc26567 </w:instrText>
          </w:r>
          <w:r>
            <w:rPr>
              <w:rFonts w:hint="eastAsia" w:ascii="黑体" w:hAnsi="黑体" w:eastAsia="黑体" w:cs="黑体"/>
              <w:szCs w:val="28"/>
              <w:lang w:val="en-US" w:eastAsia="zh-CN"/>
            </w:rPr>
            <w:fldChar w:fldCharType="separate"/>
          </w:r>
          <w:r>
            <w:rPr>
              <w:rFonts w:hint="eastAsia" w:ascii="黑体" w:hAnsi="黑体" w:eastAsia="黑体" w:cs="黑体"/>
              <w:bCs/>
              <w:highlight w:val="none"/>
              <w:shd w:val="clear" w:color="auto" w:fill="auto"/>
            </w:rPr>
            <w:t>二、绩效评价工作开展情况</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_Toc26567 \h </w:instrText>
          </w:r>
          <w:r>
            <w:rPr>
              <w:rFonts w:hint="eastAsia" w:ascii="黑体" w:hAnsi="黑体" w:eastAsia="黑体" w:cs="黑体"/>
            </w:rPr>
            <w:fldChar w:fldCharType="separate"/>
          </w:r>
          <w:r>
            <w:rPr>
              <w:rFonts w:hint="eastAsia" w:ascii="黑体" w:hAnsi="黑体" w:eastAsia="黑体" w:cs="黑体"/>
            </w:rPr>
            <w:t>7</w:t>
          </w:r>
          <w:r>
            <w:rPr>
              <w:rFonts w:hint="eastAsia" w:ascii="黑体" w:hAnsi="黑体" w:eastAsia="黑体" w:cs="黑体"/>
            </w:rPr>
            <w:fldChar w:fldCharType="end"/>
          </w:r>
          <w:r>
            <w:rPr>
              <w:rFonts w:hint="eastAsia" w:ascii="黑体" w:hAnsi="黑体" w:eastAsia="黑体" w:cs="黑体"/>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_Toc22839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（一）绩效评价的目的、对象和范围</w:t>
          </w:r>
          <w:r>
            <w:tab/>
          </w:r>
          <w:r>
            <w:fldChar w:fldCharType="begin"/>
          </w:r>
          <w:r>
            <w:instrText xml:space="preserve"> PAGEREF _Toc22839 \h </w:instrText>
          </w:r>
          <w:r>
            <w:fldChar w:fldCharType="separate"/>
          </w:r>
          <w:r>
            <w:t>7</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_Toc29785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（二）绩效评价原则、评价指标体系（</w:t>
          </w:r>
          <w:r>
            <w:rPr>
              <w:rFonts w:hint="default" w:ascii="Times New Roman" w:hAnsi="Times New Roman" w:eastAsia="楷体_GB2312" w:cs="Times New Roman"/>
              <w:kern w:val="28"/>
              <w:lang w:val="en-US" w:eastAsia="zh-CN"/>
            </w:rPr>
            <w:t>详情见</w:t>
          </w:r>
          <w:r>
            <w:rPr>
              <w:rFonts w:hint="eastAsia" w:ascii="Times New Roman" w:hAnsi="Times New Roman" w:eastAsia="楷体_GB2312" w:cs="Times New Roman"/>
              <w:kern w:val="28"/>
              <w:lang w:val="en-US" w:eastAsia="zh-CN"/>
            </w:rPr>
            <w:t>附件二）、评价方法、评价标准</w:t>
          </w:r>
          <w:r>
            <w:tab/>
          </w:r>
          <w:r>
            <w:fldChar w:fldCharType="begin"/>
          </w:r>
          <w:r>
            <w:instrText xml:space="preserve"> PAGEREF _Toc29785 \h </w:instrText>
          </w:r>
          <w:r>
            <w:fldChar w:fldCharType="separate"/>
          </w:r>
          <w:r>
            <w:t>11</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_Toc21435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（三）绩效评价工作过程</w:t>
          </w:r>
          <w:r>
            <w:tab/>
          </w:r>
          <w:r>
            <w:fldChar w:fldCharType="begin"/>
          </w:r>
          <w:r>
            <w:instrText xml:space="preserve"> PAGEREF _Toc21435 \h </w:instrText>
          </w:r>
          <w:r>
            <w:fldChar w:fldCharType="separate"/>
          </w:r>
          <w:r>
            <w:t>14</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_Toc19261 </w:instrText>
          </w:r>
          <w:r>
            <w:rPr>
              <w:rFonts w:hint="eastAsia"/>
              <w:szCs w:val="28"/>
              <w:lang w:val="en-US" w:eastAsia="zh-CN"/>
            </w:rPr>
            <w:fldChar w:fldCharType="separate"/>
          </w:r>
          <w:r>
            <w:rPr>
              <w:rFonts w:hint="eastAsia" w:ascii="黑体" w:hAnsi="黑体" w:eastAsia="黑体" w:cs="黑体"/>
              <w:bCs w:val="0"/>
              <w:highlight w:val="none"/>
              <w:shd w:val="clear" w:color="auto" w:fill="auto"/>
              <w:lang w:val="en-US" w:eastAsia="zh-CN"/>
            </w:rPr>
            <w:t>三、</w:t>
          </w:r>
          <w:r>
            <w:rPr>
              <w:rFonts w:hint="eastAsia" w:ascii="黑体" w:hAnsi="黑体" w:eastAsia="黑体" w:cs="黑体"/>
              <w:bCs w:val="0"/>
              <w:highlight w:val="none"/>
              <w:shd w:val="clear" w:color="auto" w:fill="auto"/>
            </w:rPr>
            <w:t>综合评价情况及评价结论</w:t>
          </w:r>
          <w:r>
            <w:tab/>
          </w:r>
          <w:r>
            <w:fldChar w:fldCharType="begin"/>
          </w:r>
          <w:r>
            <w:instrText xml:space="preserve"> PAGEREF _Toc19261 \h </w:instrText>
          </w:r>
          <w:r>
            <w:fldChar w:fldCharType="separate"/>
          </w:r>
          <w:r>
            <w:t>16</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_Toc23319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（一）综合评价情况及评价结论</w:t>
          </w:r>
          <w:r>
            <w:tab/>
          </w:r>
          <w:r>
            <w:fldChar w:fldCharType="begin"/>
          </w:r>
          <w:r>
            <w:instrText xml:space="preserve"> PAGEREF _Toc23319 \h </w:instrText>
          </w:r>
          <w:r>
            <w:fldChar w:fldCharType="separate"/>
          </w:r>
          <w:r>
            <w:t>16</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_Toc11863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（二）相关评分表</w:t>
          </w:r>
          <w:r>
            <w:tab/>
          </w:r>
          <w:r>
            <w:fldChar w:fldCharType="begin"/>
          </w:r>
          <w:r>
            <w:instrText xml:space="preserve"> PAGEREF _Toc11863 \h </w:instrText>
          </w:r>
          <w:r>
            <w:fldChar w:fldCharType="separate"/>
          </w:r>
          <w:r>
            <w:t>17</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_Toc14941 </w:instrText>
          </w:r>
          <w:r>
            <w:rPr>
              <w:rFonts w:hint="eastAsia"/>
              <w:szCs w:val="28"/>
              <w:lang w:val="en-US" w:eastAsia="zh-CN"/>
            </w:rPr>
            <w:fldChar w:fldCharType="separate"/>
          </w:r>
          <w:r>
            <w:rPr>
              <w:rFonts w:hint="eastAsia" w:ascii="黑体" w:hAnsi="黑体" w:eastAsia="黑体" w:cs="黑体"/>
              <w:bCs w:val="0"/>
              <w:highlight w:val="none"/>
              <w:shd w:val="clear" w:color="auto" w:fill="auto"/>
              <w:lang w:val="en-US" w:eastAsia="zh-CN"/>
            </w:rPr>
            <w:t>四、绩效评价指标分析</w:t>
          </w:r>
          <w:r>
            <w:tab/>
          </w:r>
          <w:r>
            <w:fldChar w:fldCharType="begin"/>
          </w:r>
          <w:r>
            <w:instrText xml:space="preserve"> PAGEREF _Toc14941 \h </w:instrText>
          </w:r>
          <w:r>
            <w:fldChar w:fldCharType="separate"/>
          </w:r>
          <w:r>
            <w:t>18</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_Toc6759 </w:instrText>
          </w:r>
          <w:r>
            <w:rPr>
              <w:rFonts w:hint="eastAsia"/>
              <w:szCs w:val="28"/>
              <w:lang w:val="en-US" w:eastAsia="zh-CN"/>
            </w:rPr>
            <w:fldChar w:fldCharType="separate"/>
          </w:r>
          <w:r>
            <w:rPr>
              <w:rFonts w:hint="eastAsia" w:ascii="Times New Roman" w:hAnsi="Times New Roman" w:eastAsia="楷体_GB2312" w:cs="Times New Roman"/>
              <w:kern w:val="28"/>
            </w:rPr>
            <w:t>（一）项目决策情况</w:t>
          </w:r>
          <w:r>
            <w:tab/>
          </w:r>
          <w:r>
            <w:fldChar w:fldCharType="begin"/>
          </w:r>
          <w:r>
            <w:instrText xml:space="preserve"> PAGEREF _Toc6759 \h </w:instrText>
          </w:r>
          <w:r>
            <w:fldChar w:fldCharType="separate"/>
          </w:r>
          <w:r>
            <w:t>18</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_Toc10564 </w:instrText>
          </w:r>
          <w:r>
            <w:rPr>
              <w:rFonts w:hint="eastAsia"/>
              <w:szCs w:val="28"/>
              <w:lang w:val="en-US" w:eastAsia="zh-CN"/>
            </w:rPr>
            <w:fldChar w:fldCharType="separate"/>
          </w:r>
          <w:r>
            <w:rPr>
              <w:rFonts w:hint="eastAsia" w:ascii="Times New Roman" w:hAnsi="Times New Roman" w:eastAsia="楷体" w:cs="Times New Roman"/>
              <w:kern w:val="28"/>
              <w:lang w:eastAsia="zh-CN"/>
            </w:rPr>
            <w:t>（</w:t>
          </w:r>
          <w:r>
            <w:rPr>
              <w:rFonts w:hint="eastAsia" w:ascii="Times New Roman" w:hAnsi="Times New Roman" w:eastAsia="楷体" w:cs="Times New Roman"/>
              <w:kern w:val="28"/>
              <w:lang w:val="en-US" w:eastAsia="zh-CN"/>
            </w:rPr>
            <w:t>二</w:t>
          </w:r>
          <w:r>
            <w:rPr>
              <w:rFonts w:hint="eastAsia" w:ascii="Times New Roman" w:hAnsi="Times New Roman" w:eastAsia="楷体" w:cs="Times New Roman"/>
              <w:kern w:val="28"/>
              <w:lang w:eastAsia="zh-CN"/>
            </w:rPr>
            <w:t>）</w:t>
          </w:r>
          <w:r>
            <w:rPr>
              <w:rFonts w:hint="eastAsia" w:ascii="Times New Roman" w:hAnsi="Times New Roman" w:eastAsia="楷体" w:cs="Times New Roman"/>
              <w:kern w:val="28"/>
            </w:rPr>
            <w:t>项目过程情况</w:t>
          </w:r>
          <w:r>
            <w:tab/>
          </w:r>
          <w:r>
            <w:fldChar w:fldCharType="begin"/>
          </w:r>
          <w:r>
            <w:instrText xml:space="preserve"> PAGEREF _Toc10564 \h </w:instrText>
          </w:r>
          <w:r>
            <w:fldChar w:fldCharType="separate"/>
          </w:r>
          <w:r>
            <w:t>21</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_Toc2441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（三）项目产出情况</w:t>
          </w:r>
          <w:r>
            <w:tab/>
          </w:r>
          <w:r>
            <w:fldChar w:fldCharType="begin"/>
          </w:r>
          <w:r>
            <w:instrText xml:space="preserve"> PAGEREF _Toc2441 \h </w:instrText>
          </w:r>
          <w:r>
            <w:fldChar w:fldCharType="separate"/>
          </w:r>
          <w:r>
            <w:t>24</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_Toc19424 </w:instrText>
          </w:r>
          <w:r>
            <w:rPr>
              <w:rFonts w:hint="eastAsia"/>
              <w:szCs w:val="28"/>
              <w:lang w:val="en-US" w:eastAsia="zh-CN"/>
            </w:rPr>
            <w:fldChar w:fldCharType="separate"/>
          </w:r>
          <w:r>
            <w:rPr>
              <w:rFonts w:hint="eastAsia" w:ascii="Times New Roman" w:hAnsi="Times New Roman" w:eastAsia="楷体_GB2312" w:cs="Times New Roman"/>
              <w:kern w:val="28"/>
              <w:lang w:val="en-US" w:eastAsia="zh-CN"/>
            </w:rPr>
            <w:t>（四）项目效益情况</w:t>
          </w:r>
          <w:r>
            <w:tab/>
          </w:r>
          <w:r>
            <w:fldChar w:fldCharType="begin"/>
          </w:r>
          <w:r>
            <w:instrText xml:space="preserve"> PAGEREF _Toc19424 \h </w:instrText>
          </w:r>
          <w:r>
            <w:fldChar w:fldCharType="separate"/>
          </w:r>
          <w:r>
            <w:t>26</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_Toc23313 </w:instrText>
          </w:r>
          <w:r>
            <w:rPr>
              <w:rFonts w:hint="eastAsia"/>
              <w:szCs w:val="28"/>
              <w:lang w:val="en-US" w:eastAsia="zh-CN"/>
            </w:rPr>
            <w:fldChar w:fldCharType="separate"/>
          </w:r>
          <w:r>
            <w:rPr>
              <w:rFonts w:hint="eastAsia" w:ascii="Times New Roman" w:hAnsi="Times New Roman" w:eastAsia="楷体_GB2312" w:cs="Times New Roman"/>
              <w:bCs/>
              <w:kern w:val="28"/>
              <w:highlight w:val="none"/>
              <w:lang w:val="en-US" w:eastAsia="zh-CN"/>
            </w:rPr>
            <w:t>（五）满意度指标完成情况分析</w:t>
          </w:r>
          <w:r>
            <w:tab/>
          </w:r>
          <w:r>
            <w:fldChar w:fldCharType="begin"/>
          </w:r>
          <w:r>
            <w:instrText xml:space="preserve"> PAGEREF _Toc23313 \h </w:instrText>
          </w:r>
          <w:r>
            <w:fldChar w:fldCharType="separate"/>
          </w:r>
          <w:r>
            <w:t>27</w:t>
          </w:r>
          <w:r>
            <w:fldChar w:fldCharType="end"/>
          </w:r>
          <w:r>
            <w:rPr>
              <w:rFonts w:hint="eastAsia"/>
              <w:szCs w:val="28"/>
              <w:lang w:val="en-US" w:eastAsia="zh-CN"/>
            </w:rPr>
            <w:fldChar w:fldCharType="end"/>
          </w:r>
        </w:p>
        <w:p>
          <w:pPr>
            <w:pStyle w:val="10"/>
            <w:tabs>
              <w:tab w:val="right" w:leader="dot" w:pos="8844"/>
            </w:tabs>
            <w:rPr>
              <w:rFonts w:hint="eastAsia" w:ascii="黑体" w:hAnsi="黑体" w:eastAsia="黑体" w:cs="黑体"/>
            </w:rPr>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_Toc6622 </w:instrText>
          </w:r>
          <w:r>
            <w:rPr>
              <w:rFonts w:hint="eastAsia" w:ascii="黑体" w:hAnsi="黑体" w:eastAsia="黑体" w:cs="黑体"/>
              <w:szCs w:val="28"/>
              <w:lang w:val="en-US" w:eastAsia="zh-CN"/>
            </w:rPr>
            <w:fldChar w:fldCharType="separate"/>
          </w:r>
          <w:r>
            <w:rPr>
              <w:rFonts w:hint="eastAsia" w:ascii="黑体" w:hAnsi="黑体" w:eastAsia="黑体" w:cs="黑体"/>
              <w:bCs w:val="0"/>
              <w:highlight w:val="none"/>
              <w:shd w:val="clear" w:color="auto" w:fill="auto"/>
              <w:lang w:val="en-US" w:eastAsia="zh-CN"/>
            </w:rPr>
            <w:t>五、主要经验及做法、存在的问题及原因分析</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_Toc6622 \h </w:instrText>
          </w:r>
          <w:r>
            <w:rPr>
              <w:rFonts w:hint="eastAsia" w:ascii="黑体" w:hAnsi="黑体" w:eastAsia="黑体" w:cs="黑体"/>
            </w:rPr>
            <w:fldChar w:fldCharType="separate"/>
          </w:r>
          <w:r>
            <w:rPr>
              <w:rFonts w:hint="eastAsia" w:ascii="黑体" w:hAnsi="黑体" w:eastAsia="黑体" w:cs="黑体"/>
            </w:rPr>
            <w:t>27</w:t>
          </w:r>
          <w:r>
            <w:rPr>
              <w:rFonts w:hint="eastAsia" w:ascii="黑体" w:hAnsi="黑体" w:eastAsia="黑体" w:cs="黑体"/>
            </w:rPr>
            <w:fldChar w:fldCharType="end"/>
          </w:r>
          <w:r>
            <w:rPr>
              <w:rFonts w:hint="eastAsia" w:ascii="黑体" w:hAnsi="黑体" w:eastAsia="黑体" w:cs="黑体"/>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_Toc15449 </w:instrText>
          </w:r>
          <w:r>
            <w:rPr>
              <w:rFonts w:hint="eastAsia"/>
              <w:szCs w:val="28"/>
              <w:lang w:val="en-US" w:eastAsia="zh-CN"/>
            </w:rPr>
            <w:fldChar w:fldCharType="separate"/>
          </w:r>
          <w:r>
            <w:rPr>
              <w:rFonts w:hint="eastAsia" w:ascii="Times New Roman" w:hAnsi="Times New Roman" w:eastAsia="楷体_GB2312" w:cs="Times New Roman"/>
              <w:bCs/>
              <w:kern w:val="28"/>
              <w:highlight w:val="none"/>
              <w:lang w:val="en-US" w:eastAsia="zh-CN"/>
            </w:rPr>
            <w:t>（一）主要经验及做法</w:t>
          </w:r>
          <w:r>
            <w:tab/>
          </w:r>
          <w:r>
            <w:fldChar w:fldCharType="begin"/>
          </w:r>
          <w:r>
            <w:instrText xml:space="preserve"> PAGEREF _Toc15449 \h </w:instrText>
          </w:r>
          <w:r>
            <w:fldChar w:fldCharType="separate"/>
          </w:r>
          <w:r>
            <w:t>27</w:t>
          </w:r>
          <w:r>
            <w:fldChar w:fldCharType="end"/>
          </w:r>
          <w:r>
            <w:rPr>
              <w:rFonts w:hint="eastAsia"/>
              <w:szCs w:val="28"/>
              <w:lang w:val="en-US" w:eastAsia="zh-CN"/>
            </w:rPr>
            <w:fldChar w:fldCharType="end"/>
          </w:r>
        </w:p>
        <w:p>
          <w:pPr>
            <w:pStyle w:val="10"/>
            <w:tabs>
              <w:tab w:val="right" w:leader="dot" w:pos="8844"/>
            </w:tabs>
          </w:pPr>
          <w:r>
            <w:rPr>
              <w:rFonts w:hint="eastAsia"/>
              <w:szCs w:val="28"/>
              <w:lang w:val="en-US" w:eastAsia="zh-CN"/>
            </w:rPr>
            <w:fldChar w:fldCharType="begin"/>
          </w:r>
          <w:r>
            <w:rPr>
              <w:rFonts w:hint="eastAsia"/>
              <w:szCs w:val="28"/>
              <w:lang w:val="en-US" w:eastAsia="zh-CN"/>
            </w:rPr>
            <w:instrText xml:space="preserve"> HYPERLINK \l _Toc29168 </w:instrText>
          </w:r>
          <w:r>
            <w:rPr>
              <w:rFonts w:hint="eastAsia"/>
              <w:szCs w:val="28"/>
              <w:lang w:val="en-US" w:eastAsia="zh-CN"/>
            </w:rPr>
            <w:fldChar w:fldCharType="separate"/>
          </w:r>
          <w:r>
            <w:rPr>
              <w:rFonts w:hint="eastAsia" w:ascii="Times New Roman" w:hAnsi="Times New Roman" w:eastAsia="楷体_GB2312" w:cs="Times New Roman"/>
              <w:bCs/>
              <w:kern w:val="28"/>
              <w:highlight w:val="none"/>
              <w:lang w:val="en-US" w:eastAsia="zh-CN"/>
            </w:rPr>
            <w:t>（二）存在的问题及原因分析</w:t>
          </w:r>
          <w:r>
            <w:tab/>
          </w:r>
          <w:r>
            <w:fldChar w:fldCharType="begin"/>
          </w:r>
          <w:r>
            <w:instrText xml:space="preserve"> PAGEREF _Toc29168 \h </w:instrText>
          </w:r>
          <w:r>
            <w:fldChar w:fldCharType="separate"/>
          </w:r>
          <w:r>
            <w:t>28</w:t>
          </w:r>
          <w:r>
            <w:fldChar w:fldCharType="end"/>
          </w:r>
          <w:r>
            <w:rPr>
              <w:rFonts w:hint="eastAsia"/>
              <w:szCs w:val="28"/>
              <w:lang w:val="en-US" w:eastAsia="zh-CN"/>
            </w:rPr>
            <w:fldChar w:fldCharType="end"/>
          </w:r>
        </w:p>
        <w:p>
          <w:pPr>
            <w:pStyle w:val="10"/>
            <w:tabs>
              <w:tab w:val="right" w:leader="dot" w:pos="8844"/>
            </w:tabs>
            <w:rPr>
              <w:rFonts w:hint="eastAsia" w:ascii="黑体" w:hAnsi="黑体" w:eastAsia="黑体" w:cs="黑体"/>
            </w:rPr>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_Toc3333 </w:instrText>
          </w:r>
          <w:r>
            <w:rPr>
              <w:rFonts w:hint="eastAsia" w:ascii="黑体" w:hAnsi="黑体" w:eastAsia="黑体" w:cs="黑体"/>
              <w:szCs w:val="28"/>
              <w:lang w:val="en-US" w:eastAsia="zh-CN"/>
            </w:rPr>
            <w:fldChar w:fldCharType="separate"/>
          </w:r>
          <w:r>
            <w:rPr>
              <w:rFonts w:hint="eastAsia" w:ascii="黑体" w:hAnsi="黑体" w:eastAsia="黑体" w:cs="黑体"/>
              <w:bCs w:val="0"/>
              <w:highlight w:val="none"/>
              <w:shd w:val="clear" w:color="auto" w:fill="auto"/>
              <w:lang w:val="en-US" w:eastAsia="zh-CN"/>
            </w:rPr>
            <w:t>六、有关建议</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_Toc3333 \h </w:instrText>
          </w:r>
          <w:r>
            <w:rPr>
              <w:rFonts w:hint="eastAsia" w:ascii="黑体" w:hAnsi="黑体" w:eastAsia="黑体" w:cs="黑体"/>
            </w:rPr>
            <w:fldChar w:fldCharType="separate"/>
          </w:r>
          <w:r>
            <w:rPr>
              <w:rFonts w:hint="eastAsia" w:ascii="黑体" w:hAnsi="黑体" w:eastAsia="黑体" w:cs="黑体"/>
            </w:rPr>
            <w:t>28</w:t>
          </w:r>
          <w:r>
            <w:rPr>
              <w:rFonts w:hint="eastAsia" w:ascii="黑体" w:hAnsi="黑体" w:eastAsia="黑体" w:cs="黑体"/>
            </w:rPr>
            <w:fldChar w:fldCharType="end"/>
          </w:r>
          <w:r>
            <w:rPr>
              <w:rFonts w:hint="eastAsia" w:ascii="黑体" w:hAnsi="黑体" w:eastAsia="黑体" w:cs="黑体"/>
              <w:szCs w:val="28"/>
              <w:lang w:val="en-US" w:eastAsia="zh-CN"/>
            </w:rPr>
            <w:fldChar w:fldCharType="end"/>
          </w:r>
        </w:p>
        <w:p>
          <w:pPr>
            <w:pStyle w:val="10"/>
            <w:tabs>
              <w:tab w:val="right" w:leader="dot" w:pos="8844"/>
            </w:tabs>
            <w:rPr>
              <w:rFonts w:hint="eastAsia" w:ascii="黑体" w:hAnsi="黑体" w:eastAsia="黑体" w:cs="黑体"/>
            </w:rPr>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_Toc14256 </w:instrText>
          </w:r>
          <w:r>
            <w:rPr>
              <w:rFonts w:hint="eastAsia" w:ascii="黑体" w:hAnsi="黑体" w:eastAsia="黑体" w:cs="黑体"/>
              <w:szCs w:val="28"/>
              <w:lang w:val="en-US" w:eastAsia="zh-CN"/>
            </w:rPr>
            <w:fldChar w:fldCharType="separate"/>
          </w:r>
          <w:r>
            <w:rPr>
              <w:rFonts w:hint="eastAsia" w:ascii="黑体" w:hAnsi="黑体" w:eastAsia="黑体" w:cs="黑体"/>
              <w:bCs w:val="0"/>
              <w:highlight w:val="none"/>
              <w:shd w:val="clear" w:color="auto" w:fill="auto"/>
              <w:lang w:val="en-US" w:eastAsia="zh-CN"/>
            </w:rPr>
            <w:t>七、其他需要说明的问题</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_Toc14256 \h </w:instrText>
          </w:r>
          <w:r>
            <w:rPr>
              <w:rFonts w:hint="eastAsia" w:ascii="黑体" w:hAnsi="黑体" w:eastAsia="黑体" w:cs="黑体"/>
            </w:rPr>
            <w:fldChar w:fldCharType="separate"/>
          </w:r>
          <w:r>
            <w:rPr>
              <w:rFonts w:hint="eastAsia" w:ascii="黑体" w:hAnsi="黑体" w:eastAsia="黑体" w:cs="黑体"/>
            </w:rPr>
            <w:t>29</w:t>
          </w:r>
          <w:r>
            <w:rPr>
              <w:rFonts w:hint="eastAsia" w:ascii="黑体" w:hAnsi="黑体" w:eastAsia="黑体" w:cs="黑体"/>
            </w:rPr>
            <w:fldChar w:fldCharType="end"/>
          </w:r>
          <w:r>
            <w:rPr>
              <w:rFonts w:hint="eastAsia" w:ascii="黑体" w:hAnsi="黑体" w:eastAsia="黑体" w:cs="黑体"/>
              <w:szCs w:val="28"/>
              <w:lang w:val="en-US" w:eastAsia="zh-CN"/>
            </w:rPr>
            <w:fldChar w:fldCharType="end"/>
          </w:r>
        </w:p>
        <w:p>
          <w:pPr>
            <w:pStyle w:val="10"/>
            <w:tabs>
              <w:tab w:val="right" w:leader="dot" w:pos="8844"/>
            </w:tabs>
            <w:rPr>
              <w:rFonts w:hint="eastAsia" w:ascii="黑体" w:hAnsi="黑体" w:eastAsia="黑体" w:cs="黑体"/>
            </w:rPr>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_Toc28971 </w:instrText>
          </w:r>
          <w:r>
            <w:rPr>
              <w:rFonts w:hint="eastAsia" w:ascii="黑体" w:hAnsi="黑体" w:eastAsia="黑体" w:cs="黑体"/>
              <w:szCs w:val="28"/>
              <w:lang w:val="en-US" w:eastAsia="zh-CN"/>
            </w:rPr>
            <w:fldChar w:fldCharType="separate"/>
          </w:r>
          <w:r>
            <w:rPr>
              <w:rFonts w:hint="eastAsia" w:ascii="黑体" w:hAnsi="黑体" w:eastAsia="黑体" w:cs="黑体"/>
              <w:bCs/>
              <w:highlight w:val="none"/>
              <w:shd w:val="clear" w:color="auto" w:fill="auto"/>
              <w:lang w:val="en-US" w:eastAsia="zh-CN"/>
            </w:rPr>
            <w:t>附件一、项目支出绩效自评表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_Toc28971 \h </w:instrText>
          </w:r>
          <w:r>
            <w:rPr>
              <w:rFonts w:hint="eastAsia" w:ascii="黑体" w:hAnsi="黑体" w:eastAsia="黑体" w:cs="黑体"/>
            </w:rPr>
            <w:fldChar w:fldCharType="separate"/>
          </w:r>
          <w:r>
            <w:rPr>
              <w:rFonts w:hint="eastAsia" w:ascii="黑体" w:hAnsi="黑体" w:eastAsia="黑体" w:cs="黑体"/>
            </w:rPr>
            <w:t>30</w:t>
          </w:r>
          <w:r>
            <w:rPr>
              <w:rFonts w:hint="eastAsia" w:ascii="黑体" w:hAnsi="黑体" w:eastAsia="黑体" w:cs="黑体"/>
            </w:rPr>
            <w:fldChar w:fldCharType="end"/>
          </w:r>
          <w:r>
            <w:rPr>
              <w:rFonts w:hint="eastAsia" w:ascii="黑体" w:hAnsi="黑体" w:eastAsia="黑体" w:cs="黑体"/>
              <w:szCs w:val="28"/>
              <w:lang w:val="en-US" w:eastAsia="zh-CN"/>
            </w:rPr>
            <w:fldChar w:fldCharType="end"/>
          </w:r>
        </w:p>
        <w:p>
          <w:pPr>
            <w:pStyle w:val="10"/>
            <w:tabs>
              <w:tab w:val="right" w:leader="dot" w:pos="8844"/>
            </w:tabs>
            <w:rPr>
              <w:rFonts w:hint="eastAsia" w:ascii="黑体" w:hAnsi="黑体" w:eastAsia="黑体" w:cs="黑体"/>
            </w:rPr>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_Toc11223 </w:instrText>
          </w:r>
          <w:r>
            <w:rPr>
              <w:rFonts w:hint="eastAsia" w:ascii="黑体" w:hAnsi="黑体" w:eastAsia="黑体" w:cs="黑体"/>
              <w:szCs w:val="28"/>
              <w:lang w:val="en-US" w:eastAsia="zh-CN"/>
            </w:rPr>
            <w:fldChar w:fldCharType="separate"/>
          </w:r>
          <w:r>
            <w:rPr>
              <w:rFonts w:hint="eastAsia" w:ascii="黑体" w:hAnsi="黑体" w:eastAsia="黑体" w:cs="黑体"/>
              <w:bCs/>
              <w:highlight w:val="none"/>
              <w:shd w:val="clear" w:color="auto" w:fill="auto"/>
              <w:lang w:val="en-US" w:eastAsia="zh-CN"/>
            </w:rPr>
            <w:t>附件二、项目支出绩效评价指标体系打分表</w:t>
          </w:r>
          <w:r>
            <w:rPr>
              <w:rFonts w:hint="eastAsia" w:ascii="黑体" w:hAnsi="黑体" w:eastAsia="黑体" w:cs="黑体"/>
            </w:rPr>
            <w:tab/>
          </w:r>
          <w:r>
            <w:rPr>
              <w:rFonts w:hint="eastAsia" w:ascii="黑体" w:hAnsi="黑体" w:eastAsia="黑体" w:cs="黑体"/>
            </w:rPr>
            <w:fldChar w:fldCharType="begin"/>
          </w:r>
          <w:r>
            <w:rPr>
              <w:rFonts w:hint="eastAsia" w:ascii="黑体" w:hAnsi="黑体" w:eastAsia="黑体" w:cs="黑体"/>
            </w:rPr>
            <w:instrText xml:space="preserve"> PAGEREF _Toc11223 \h </w:instrText>
          </w:r>
          <w:r>
            <w:rPr>
              <w:rFonts w:hint="eastAsia" w:ascii="黑体" w:hAnsi="黑体" w:eastAsia="黑体" w:cs="黑体"/>
            </w:rPr>
            <w:fldChar w:fldCharType="separate"/>
          </w:r>
          <w:r>
            <w:rPr>
              <w:rFonts w:hint="eastAsia" w:ascii="黑体" w:hAnsi="黑体" w:eastAsia="黑体" w:cs="黑体"/>
            </w:rPr>
            <w:t>33</w:t>
          </w:r>
          <w:r>
            <w:rPr>
              <w:rFonts w:hint="eastAsia" w:ascii="黑体" w:hAnsi="黑体" w:eastAsia="黑体" w:cs="黑体"/>
            </w:rPr>
            <w:fldChar w:fldCharType="end"/>
          </w:r>
          <w:r>
            <w:rPr>
              <w:rFonts w:hint="eastAsia" w:ascii="黑体" w:hAnsi="黑体" w:eastAsia="黑体" w:cs="黑体"/>
              <w:szCs w:val="28"/>
              <w:lang w:val="en-US" w:eastAsia="zh-CN"/>
            </w:rPr>
            <w:fldChar w:fldCharType="end"/>
          </w:r>
        </w:p>
        <w:p>
          <w:pPr>
            <w:keepNext w:val="0"/>
            <w:keepLines w:val="0"/>
            <w:pageBreakBefore w:val="0"/>
            <w:shd w:val="clear"/>
            <w:kinsoku/>
            <w:wordWrap/>
            <w:overflowPunct/>
            <w:topLinePunct w:val="0"/>
            <w:autoSpaceDE/>
            <w:autoSpaceDN/>
            <w:bidi w:val="0"/>
            <w:adjustRightInd/>
            <w:snapToGrid/>
            <w:spacing w:line="560" w:lineRule="exact"/>
            <w:textAlignment w:val="auto"/>
            <w:rPr>
              <w:rFonts w:hint="eastAsia"/>
              <w:lang w:val="en-US" w:eastAsia="zh-CN"/>
            </w:rPr>
            <w:sectPr>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szCs w:val="28"/>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4" w:name="_Toc3663"/>
      <w:bookmarkStart w:id="5" w:name="_Toc1194"/>
      <w:bookmarkStart w:id="6" w:name="_Toc20432"/>
      <w:bookmarkStart w:id="7" w:name="_Toc22946"/>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党校搬迁改造项目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4"/>
      <w:bookmarkEnd w:id="5"/>
      <w:bookmarkEnd w:id="6"/>
      <w:bookmarkEnd w:id="7"/>
    </w:p>
    <w:p>
      <w:pPr>
        <w:pStyle w:val="2"/>
        <w:pageBreakBefore w:val="0"/>
        <w:kinsoku/>
        <w:wordWrap/>
        <w:overflowPunct/>
        <w:topLinePunct w:val="0"/>
        <w:autoSpaceDE/>
        <w:autoSpaceDN/>
        <w:bidi w:val="0"/>
        <w:adjustRightInd/>
        <w:snapToGrid/>
        <w:spacing w:beforeLines="0" w:afterLines="0" w:line="560" w:lineRule="exact"/>
        <w:textAlignment w:val="auto"/>
        <w:rPr>
          <w:rFonts w:hint="eastAsia" w:ascii="黑体" w:hAnsi="黑体" w:eastAsia="黑体" w:cs="黑体"/>
          <w:b w:val="0"/>
          <w:bCs w:val="0"/>
          <w:color w:val="000000" w:themeColor="text1"/>
          <w:highlight w:val="none"/>
          <w:shd w:val="clear" w:color="auto" w:fill="auto"/>
          <w14:textFill>
            <w14:solidFill>
              <w14:schemeClr w14:val="tx1"/>
            </w14:solidFill>
          </w14:textFill>
        </w:rPr>
      </w:pPr>
      <w:bookmarkStart w:id="8" w:name="_Toc18485"/>
      <w:r>
        <w:rPr>
          <w:rFonts w:hint="eastAsia" w:ascii="黑体" w:hAnsi="黑体" w:eastAsia="黑体" w:cs="黑体"/>
          <w:b w:val="0"/>
          <w:bCs w:val="0"/>
          <w:color w:val="000000" w:themeColor="text1"/>
          <w:highlight w:val="none"/>
          <w:shd w:val="clear" w:color="auto" w:fill="auto"/>
          <w14:textFill>
            <w14:solidFill>
              <w14:schemeClr w14:val="tx1"/>
            </w14:solidFill>
          </w14:textFill>
        </w:rPr>
        <w:t>一、基本情况</w:t>
      </w:r>
      <w:bookmarkEnd w:id="8"/>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9" w:name="_Toc23184"/>
      <w:r>
        <w:rPr>
          <w:rFonts w:hint="eastAsia" w:ascii="Times New Roman" w:hAnsi="Times New Roman" w:eastAsia="楷体_GB2312" w:cs="Times New Roman"/>
          <w:kern w:val="28"/>
          <w:sz w:val="32"/>
          <w:lang w:val="en-US" w:eastAsia="zh-CN"/>
        </w:rPr>
        <w:t>（一）项目概况</w:t>
      </w:r>
      <w:bookmarkEnd w:id="9"/>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pPr>
      <w:bookmarkStart w:id="10" w:name="_Toc10645"/>
      <w:bookmarkStart w:id="11" w:name="_Toc5043"/>
      <w:bookmarkStart w:id="12" w:name="_Toc22346"/>
      <w:bookmarkStart w:id="13" w:name="_Toc29812"/>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项目背景</w:t>
      </w:r>
      <w:bookmarkEnd w:id="10"/>
      <w:bookmarkEnd w:id="11"/>
      <w:bookmarkEnd w:id="12"/>
      <w:bookmarkEnd w:id="13"/>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根据文件《关于拨付党校搬迁改造项目资金的通知》阜财经办字[2021]81号，为了体现政策导向，盘活闲置资产，使闲置资产增加其使用率，增加党员的培训力度，确保党校符合办公、培训和食宿集一体的要求，市委市政府开会研究决定实施该项目。</w:t>
      </w:r>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pPr>
      <w:bookmarkStart w:id="14" w:name="_Toc10730"/>
      <w:bookmarkStart w:id="15" w:name="_Toc17880"/>
      <w:bookmarkStart w:id="16" w:name="_Toc27343"/>
      <w:bookmarkStart w:id="17" w:name="_Toc1630"/>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主要内容及实施情况</w:t>
      </w:r>
      <w:bookmarkEnd w:id="14"/>
      <w:bookmarkEnd w:id="15"/>
      <w:bookmarkEnd w:id="16"/>
      <w:bookmarkEnd w:id="17"/>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18" w:name="_Toc16592"/>
      <w:bookmarkStart w:id="19" w:name="_Toc27245"/>
      <w:bookmarkStart w:id="20" w:name="_Toc27409"/>
      <w:bookmarkStart w:id="21" w:name="_Toc21898"/>
      <w:r>
        <w:rPr>
          <w:rFonts w:hint="eastAsia" w:ascii="仿宋_GB2312" w:hAnsi="仿宋_GB2312" w:eastAsia="仿宋_GB2312" w:cs="仿宋_GB2312"/>
          <w:color w:val="auto"/>
          <w:sz w:val="32"/>
          <w:szCs w:val="32"/>
          <w:highlight w:val="none"/>
          <w:shd w:val="clear" w:color="auto" w:fill="auto"/>
          <w:lang w:val="en-US" w:eastAsia="zh-CN"/>
        </w:rPr>
        <w:t>项目主要内容：</w:t>
      </w:r>
      <w:bookmarkEnd w:id="18"/>
      <w:bookmarkEnd w:id="19"/>
      <w:bookmarkEnd w:id="20"/>
      <w:bookmarkEnd w:id="21"/>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为提高全市党员干部、公务员提供教育培训；培训和轮训乡科级干部；培训后备干部培训环境，阜康市委党校202</w:t>
      </w:r>
      <w:r>
        <w:rPr>
          <w:rFonts w:hint="eastAsia" w:cs="仿宋_GB2312"/>
          <w:b w:val="0"/>
          <w:bCs w:val="0"/>
          <w:color w:val="auto"/>
          <w:kern w:val="2"/>
          <w:sz w:val="32"/>
          <w:szCs w:val="32"/>
          <w:highlight w:val="none"/>
          <w:shd w:val="clear" w:color="auto" w:fill="auto"/>
          <w:lang w:val="en-US" w:eastAsia="zh-CN" w:bidi="ar-SA"/>
        </w:rPr>
        <w:t>4</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年预计完成</w:t>
      </w:r>
      <w:r>
        <w:rPr>
          <w:rFonts w:hint="eastAsia" w:cs="仿宋_GB2312"/>
          <w:b w:val="0"/>
          <w:bCs w:val="0"/>
          <w:color w:val="auto"/>
          <w:kern w:val="2"/>
          <w:sz w:val="32"/>
          <w:szCs w:val="32"/>
          <w:highlight w:val="none"/>
          <w:shd w:val="clear" w:color="auto" w:fill="auto"/>
          <w:lang w:val="en-US" w:eastAsia="zh-CN" w:bidi="ar-SA"/>
        </w:rPr>
        <w:t>党校搬迁改造项目的工程设计、土地测绘、工程勘察、施工监理、工程竣工结算各1次，完成合格率≥95%，完成办公家具购置1批，货物验收合格率为100%，项目的实施预计达到有效提升教学培训硬件条件，确保教学活动有序开展，建好党的理论研究基地，大力提高科研质量</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b/>
          <w:bCs/>
          <w:color w:val="auto"/>
          <w:sz w:val="32"/>
          <w:szCs w:val="32"/>
          <w:highlight w:val="none"/>
          <w:shd w:val="clear" w:color="auto" w:fill="auto"/>
          <w:lang w:val="en-US" w:eastAsia="zh-CN"/>
        </w:rPr>
        <w:t>项目实施情况：</w:t>
      </w:r>
      <w:r>
        <w:rPr>
          <w:rFonts w:hint="eastAsia" w:ascii="仿宋_GB2312" w:hAnsi="仿宋_GB2312" w:eastAsia="仿宋_GB2312" w:cs="仿宋_GB2312"/>
          <w:color w:val="auto"/>
          <w:sz w:val="32"/>
          <w:szCs w:val="32"/>
          <w:highlight w:val="none"/>
          <w:shd w:val="clear" w:color="auto" w:fill="auto"/>
          <w:lang w:val="en-US" w:eastAsia="zh-CN"/>
        </w:rPr>
        <w:t>本项目自2021年8月18日经“关于拨付党校搬迁改造项目资金的通知</w:t>
      </w:r>
      <w:r>
        <w:rPr>
          <w:rFonts w:hint="default" w:ascii="仿宋_GB2312" w:hAnsi="仿宋_GB2312" w:eastAsia="仿宋_GB2312" w:cs="仿宋_GB2312"/>
          <w:color w:val="auto"/>
          <w:sz w:val="32"/>
          <w:szCs w:val="32"/>
          <w:highlight w:val="none"/>
          <w:shd w:val="clear" w:color="auto" w:fill="auto"/>
          <w:lang w:val="en-US" w:eastAsia="zh-CN"/>
        </w:rPr>
        <w:t>”</w:t>
      </w:r>
      <w:r>
        <w:rPr>
          <w:rFonts w:hint="eastAsia" w:ascii="仿宋_GB2312" w:hAnsi="仿宋_GB2312" w:eastAsia="仿宋_GB2312" w:cs="仿宋_GB2312"/>
          <w:color w:val="auto"/>
          <w:sz w:val="32"/>
          <w:szCs w:val="32"/>
          <w:highlight w:val="none"/>
          <w:shd w:val="clear" w:color="auto" w:fill="auto"/>
          <w:lang w:val="en-US" w:eastAsia="zh-CN"/>
        </w:rPr>
        <w:t>阜财经办字[2021]81号文件批复，经我校三重一大会议，确定了项目领导小组，明确了责任分工：组长为王寅生，副组长为钟含，项目负责人为王寅生,组员为白振华、海国忠，其中：王寅生负责监管工作，白振华负责项目档案资料，钟含负责资金拨付工作。</w:t>
      </w:r>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pPr>
      <w:bookmarkStart w:id="22" w:name="_Toc1858"/>
      <w:bookmarkStart w:id="23" w:name="_Toc12348"/>
      <w:bookmarkStart w:id="24" w:name="_Toc569"/>
      <w:bookmarkStart w:id="25" w:name="_Toc10240"/>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本项目完成党校搬迁改造项目的工程设计、土地测绘、工程勘察、施工监理、工程竣工结算各1次，完成合格率达到100%，完成1批办公家具购置，货物验收合格率达到100%。</w:t>
      </w:r>
    </w:p>
    <w:p>
      <w:pPr>
        <w:pStyle w:val="4"/>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3.资金投入和使用情况</w:t>
      </w:r>
      <w:bookmarkEnd w:id="22"/>
      <w:bookmarkEnd w:id="23"/>
      <w:bookmarkEnd w:id="24"/>
      <w:bookmarkEnd w:id="25"/>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bookmarkStart w:id="26" w:name="_Toc23509"/>
      <w:bookmarkStart w:id="27" w:name="_Toc694"/>
      <w:bookmarkStart w:id="28" w:name="_Toc26369"/>
      <w:r>
        <w:rPr>
          <w:rFonts w:hint="eastAsia" w:ascii="仿宋_GB2312" w:hAnsi="仿宋_GB2312" w:eastAsia="仿宋_GB2312" w:cs="仿宋_GB2312"/>
          <w:sz w:val="32"/>
          <w:szCs w:val="32"/>
          <w:highlight w:val="none"/>
          <w:lang w:val="en-US" w:eastAsia="zh-CN"/>
        </w:rPr>
        <w:t>（1）资金投入情况</w:t>
      </w:r>
      <w:bookmarkEnd w:id="26"/>
      <w:bookmarkEnd w:id="27"/>
      <w:bookmarkEnd w:id="28"/>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29" w:name="_Toc29190"/>
      <w:bookmarkStart w:id="30" w:name="_Toc5573"/>
      <w:bookmarkStart w:id="31" w:name="_Toc9464"/>
      <w:r>
        <w:rPr>
          <w:rFonts w:hint="eastAsia" w:ascii="仿宋_GB2312" w:hAnsi="仿宋_GB2312" w:eastAsia="仿宋_GB2312" w:cs="仿宋_GB2312"/>
          <w:color w:val="auto"/>
          <w:sz w:val="32"/>
          <w:szCs w:val="32"/>
          <w:highlight w:val="none"/>
          <w:lang w:val="en-US" w:eastAsia="zh-CN"/>
        </w:rPr>
        <w:t>该项目年初预算数19.87万元，全年预算数19.87万元，该项目资金已全部落实到位，资金来源为财政拨款</w:t>
      </w:r>
      <w:bookmarkEnd w:id="29"/>
      <w:bookmarkEnd w:id="30"/>
      <w:bookmarkEnd w:id="31"/>
      <w:bookmarkStart w:id="32" w:name="_Toc1166"/>
      <w:bookmarkStart w:id="33" w:name="_Toc28187"/>
      <w:bookmarkStart w:id="34" w:name="_Toc3409"/>
      <w:r>
        <w:rPr>
          <w:rFonts w:hint="eastAsia" w:ascii="仿宋_GB2312" w:hAnsi="仿宋_GB2312" w:eastAsia="仿宋_GB2312" w:cs="仿宋_GB2312"/>
          <w:color w:val="auto"/>
          <w:sz w:val="32"/>
          <w:szCs w:val="32"/>
          <w:highlight w:val="none"/>
          <w:lang w:val="en-US" w:eastAsia="zh-CN"/>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bookmarkEnd w:id="32"/>
      <w:bookmarkEnd w:id="33"/>
      <w:bookmarkEnd w:id="34"/>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bookmarkStart w:id="35" w:name="_Toc1430"/>
      <w:bookmarkStart w:id="36" w:name="_Toc11647"/>
      <w:bookmarkStart w:id="37" w:name="_Toc29121"/>
      <w:r>
        <w:rPr>
          <w:rFonts w:hint="eastAsia" w:ascii="仿宋_GB2312" w:hAnsi="仿宋_GB2312" w:eastAsia="仿宋_GB2312" w:cs="仿宋_GB2312"/>
          <w:color w:val="auto"/>
          <w:sz w:val="32"/>
          <w:szCs w:val="32"/>
          <w:highlight w:val="none"/>
          <w:lang w:val="en-US" w:eastAsia="zh-CN"/>
        </w:rPr>
        <w:t>该项目年初预算数19.87万元，全年预算数19.87万元，</w:t>
      </w:r>
      <w:r>
        <w:rPr>
          <w:rFonts w:hint="eastAsia" w:ascii="仿宋_GB2312" w:hAnsi="仿宋_GB2312" w:eastAsia="仿宋_GB2312" w:cs="仿宋_GB2312"/>
          <w:color w:val="auto"/>
          <w:sz w:val="32"/>
          <w:szCs w:val="32"/>
          <w:highlight w:val="none"/>
          <w:shd w:val="clear" w:color="auto" w:fill="auto"/>
          <w:lang w:val="en-US" w:eastAsia="zh-CN"/>
        </w:rPr>
        <w:t>截至2024年12月31日，</w:t>
      </w:r>
      <w:r>
        <w:rPr>
          <w:rFonts w:hint="eastAsia" w:ascii="仿宋_GB2312" w:hAnsi="仿宋_GB2312" w:eastAsia="仿宋_GB2312" w:cs="仿宋_GB2312"/>
          <w:color w:val="auto"/>
          <w:sz w:val="32"/>
          <w:szCs w:val="32"/>
          <w:highlight w:val="none"/>
          <w:lang w:val="en-US" w:eastAsia="zh-CN"/>
        </w:rPr>
        <w:t>全年执行数19.87万元，预算执行率为100%，主要用于：党校搬迁改造项目的工程设计、土地测绘、工程勘察、施工监理、工程竣工结算支出，办公家具购置。</w:t>
      </w:r>
      <w:bookmarkEnd w:id="35"/>
      <w:bookmarkEnd w:id="36"/>
      <w:bookmarkEnd w:id="37"/>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38" w:name="_Toc9109"/>
      <w:r>
        <w:rPr>
          <w:rFonts w:hint="eastAsia" w:ascii="Times New Roman" w:hAnsi="Times New Roman" w:eastAsia="楷体_GB2312" w:cs="Times New Roman"/>
          <w:kern w:val="28"/>
          <w:sz w:val="32"/>
          <w:lang w:val="en-US" w:eastAsia="zh-CN"/>
        </w:rPr>
        <w:t>（二）项目绩效目标</w:t>
      </w:r>
      <w:bookmarkEnd w:id="38"/>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39" w:name="_Toc8528"/>
      <w:bookmarkStart w:id="40" w:name="_Toc2547"/>
      <w:bookmarkStart w:id="41" w:name="_Toc10047"/>
      <w:bookmarkStart w:id="42" w:name="_Toc14758"/>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1.总体目标</w:t>
      </w:r>
      <w:bookmarkEnd w:id="39"/>
      <w:bookmarkEnd w:id="40"/>
      <w:bookmarkEnd w:id="41"/>
      <w:bookmarkEnd w:id="42"/>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党校搬迁改造项目绩效总体目标为：要职能是为全市党员干部、公务员提供教育培训；培训和轮训乡科级干部；培训后备干部；为提高培训环境，2024年预计完成党校搬迁改造项目的工程设计、土地测绘、工程勘察、施工监理、工程竣工结算各1次，完成合格率≥95%，完成办公家具购置1批，货物验收合格率为100%，项目的实施预计达到有效提升教学培训硬件条件，确保教学活动有序开展，建好党的理论研究基地，大力提高科研质量。</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43" w:name="_Toc3255"/>
      <w:bookmarkStart w:id="44" w:name="_Toc8990"/>
      <w:bookmarkStart w:id="45" w:name="_Toc4487"/>
      <w:bookmarkStart w:id="46" w:name="_Toc4007"/>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2.阶段性目标</w:t>
      </w:r>
      <w:bookmarkEnd w:id="43"/>
      <w:bookmarkEnd w:id="44"/>
      <w:bookmarkEnd w:id="45"/>
      <w:bookmarkEnd w:id="46"/>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根据《预算法》《财政支出绩效评价管理暂行办法》（财预〔20</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20</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10</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等文件</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仿宋_GB2312" w:hAnsi="仿宋_GB2312" w:eastAsia="仿宋_GB2312" w:cs="仿宋_GB2312"/>
          <w:bCs/>
          <w:color w:val="000000" w:themeColor="text1"/>
          <w:sz w:val="32"/>
          <w:szCs w:val="32"/>
          <w:highlight w:val="none"/>
          <w:shd w:val="clear" w:color="auto" w:fill="auto"/>
          <w:lang w:val="en-US" w:eastAsia="zh-CN"/>
          <w14:textFill>
            <w14:solidFill>
              <w14:schemeClr w14:val="tx1"/>
            </w14:solidFill>
          </w14:textFill>
        </w:rPr>
        <w:t>后</w:t>
      </w:r>
      <w:r>
        <w:rPr>
          <w:rFonts w:hint="eastAsia" w:ascii="仿宋_GB2312" w:hAnsi="仿宋_GB2312" w:eastAsia="仿宋_GB2312" w:cs="仿宋_GB2312"/>
          <w:bCs/>
          <w:color w:val="000000" w:themeColor="text1"/>
          <w:sz w:val="32"/>
          <w:szCs w:val="32"/>
          <w:highlight w:val="none"/>
          <w:shd w:val="clear" w:color="auto" w:fill="auto"/>
          <w:lang w:eastAsia="zh-CN"/>
          <w14:textFill>
            <w14:solidFill>
              <w14:schemeClr w14:val="tx1"/>
            </w14:solidFill>
          </w14:textFill>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项目产出</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目标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工程设计</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土地测绘</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工程勘察</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施工监理</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工程竣工结算</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办公家具购置</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②质量指标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搬迁改造各项委托业务工作完成合格率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指标，预期目标值为≥95%；</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货物验收合格率</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③时效指标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搬迁改造各项委托业务工作完成时间</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指标，预期目标值为≤2024年3月；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货物采购完成时间</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指标，预期目标值为≤2024年3月；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（2）成本指标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搬迁改造项目委托业务支出</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指标，预期目标值为≤9.87万元；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办公家具购置支出</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指标，预期目标值为≤10万元；</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）项目效益</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目标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①经济效益指标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本项目不涉及经济效益；</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②社会效益指标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提升教学培训硬件条件，确保教学活动有序开展</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指标，预期目标值为有效提升；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建好党的理论研究基地，大力提高科研质量</w:t>
      </w:r>
      <w:r>
        <w:rPr>
          <w:rFonts w:hint="eastAsia" w:ascii="仿宋_GB2312" w:hAnsi="仿宋_GB2312" w:eastAsia="仿宋_GB2312" w:cs="仿宋_GB2312"/>
          <w:color w:val="auto"/>
          <w:sz w:val="32"/>
          <w:szCs w:val="32"/>
          <w:highlight w:val="none"/>
          <w:shd w:val="clear" w:color="auto" w:fill="auto"/>
          <w:lang w:eastAsia="zh-CN"/>
        </w:rPr>
        <w:t>”</w:t>
      </w:r>
      <w:r>
        <w:rPr>
          <w:rFonts w:hint="eastAsia" w:ascii="仿宋_GB2312" w:hAnsi="仿宋_GB2312" w:eastAsia="仿宋_GB2312" w:cs="仿宋_GB2312"/>
          <w:color w:val="auto"/>
          <w:sz w:val="32"/>
          <w:szCs w:val="32"/>
          <w:highlight w:val="none"/>
          <w:shd w:val="clear" w:color="auto" w:fill="auto"/>
          <w:lang w:val="en-US" w:eastAsia="zh-CN"/>
        </w:rPr>
        <w:t>指标，预期目标值为有效提升；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③生态效益指标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auto"/>
          <w:sz w:val="32"/>
          <w:szCs w:val="32"/>
          <w:highlight w:val="none"/>
          <w:shd w:val="clear" w:color="auto" w:fill="auto"/>
          <w:lang w:eastAsia="zh-CN"/>
        </w:rPr>
        <w:t>本项目不涉及</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生态效益；</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④满意度指标</w:t>
      </w:r>
    </w:p>
    <w:p>
      <w:pPr>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FF0000"/>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eastAsia="zh-CN"/>
        </w:rPr>
        <w:t>本项目不涉及</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满意度</w:t>
      </w:r>
      <w:r>
        <w:rPr>
          <w:rFonts w:hint="eastAsia" w:ascii="仿宋_GB2312" w:hAnsi="仿宋_GB2312" w:eastAsia="仿宋_GB2312" w:cs="仿宋_GB2312"/>
          <w:color w:val="auto"/>
          <w:sz w:val="32"/>
          <w:szCs w:val="32"/>
          <w:highlight w:val="none"/>
          <w:shd w:val="clear" w:color="auto" w:fill="auto"/>
          <w:lang w:val="en-US" w:eastAsia="zh-CN"/>
        </w:rPr>
        <w:t>。</w:t>
      </w:r>
    </w:p>
    <w:p>
      <w:pPr>
        <w:pStyle w:val="2"/>
        <w:pageBreakBefore w:val="0"/>
        <w:kinsoku/>
        <w:wordWrap/>
        <w:overflowPunct/>
        <w:topLinePunct w:val="0"/>
        <w:autoSpaceDE/>
        <w:autoSpaceDN/>
        <w:bidi w:val="0"/>
        <w:adjustRightInd/>
        <w:snapToGri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47" w:name="_Toc26567"/>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47"/>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48" w:name="_Toc21664"/>
      <w:bookmarkStart w:id="49" w:name="_Toc5462343"/>
      <w:bookmarkStart w:id="50" w:name="_Toc480473081"/>
      <w:bookmarkStart w:id="51" w:name="_Toc22169_WPSOffice_Level2"/>
      <w:bookmarkStart w:id="52" w:name="_Toc5258"/>
      <w:bookmarkStart w:id="53" w:name="_Toc26632"/>
      <w:bookmarkStart w:id="54" w:name="_Toc22922"/>
      <w:bookmarkStart w:id="55" w:name="_Toc12868"/>
      <w:bookmarkStart w:id="56" w:name="_Toc22839"/>
      <w:r>
        <w:rPr>
          <w:rFonts w:hint="eastAsia" w:ascii="Times New Roman" w:hAnsi="Times New Roman" w:eastAsia="楷体_GB2312" w:cs="Times New Roman"/>
          <w:kern w:val="28"/>
          <w:sz w:val="32"/>
          <w:lang w:val="en-US" w:eastAsia="zh-CN"/>
        </w:rPr>
        <w:t>（一）绩效评价的目的</w:t>
      </w:r>
      <w:bookmarkEnd w:id="48"/>
      <w:bookmarkEnd w:id="49"/>
      <w:bookmarkEnd w:id="50"/>
      <w:bookmarkEnd w:id="51"/>
      <w:bookmarkEnd w:id="52"/>
      <w:bookmarkEnd w:id="53"/>
      <w:bookmarkEnd w:id="54"/>
      <w:bookmarkEnd w:id="55"/>
      <w:r>
        <w:rPr>
          <w:rFonts w:hint="eastAsia" w:ascii="Times New Roman" w:hAnsi="Times New Roman" w:eastAsia="楷体_GB2312" w:cs="Times New Roman"/>
          <w:kern w:val="28"/>
          <w:sz w:val="32"/>
          <w:lang w:val="en-US" w:eastAsia="zh-CN"/>
        </w:rPr>
        <w:t>、对象和范围</w:t>
      </w:r>
      <w:bookmarkEnd w:id="56"/>
    </w:p>
    <w:p>
      <w:pPr>
        <w:pStyle w:val="14"/>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kern w:val="2"/>
          <w:sz w:val="32"/>
          <w:szCs w:val="32"/>
          <w:highlight w:val="none"/>
          <w:lang w:val="en-US" w:eastAsia="zh-CN" w:bidi="ar-SA"/>
        </w:rPr>
      </w:pPr>
      <w:bookmarkStart w:id="57" w:name="_Toc15732"/>
      <w:r>
        <w:rPr>
          <w:rFonts w:hint="default" w:ascii="Times New Roman" w:hAnsi="Times New Roman" w:eastAsia="仿宋_GB2312" w:cs="Times New Roman"/>
          <w:b/>
          <w:bCs/>
          <w:kern w:val="2"/>
          <w:sz w:val="32"/>
          <w:szCs w:val="32"/>
          <w:highlight w:val="none"/>
          <w:lang w:val="en-US" w:eastAsia="zh-CN" w:bidi="ar-SA"/>
        </w:rPr>
        <w:t>1.绩效评价完整性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58" w:name="_Toc417"/>
      <w:bookmarkStart w:id="59" w:name="_Toc21770"/>
      <w:r>
        <w:rPr>
          <w:rFonts w:hint="eastAsia" w:cs="仿宋_GB2312"/>
          <w:color w:val="000000" w:themeColor="text1"/>
          <w:sz w:val="32"/>
          <w:szCs w:val="32"/>
          <w:highlight w:val="none"/>
          <w:shd w:val="clear" w:color="auto" w:fill="auto"/>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绩效评价的目的</w:t>
      </w:r>
      <w:bookmarkEnd w:id="57"/>
      <w:bookmarkEnd w:id="58"/>
      <w:bookmarkEnd w:id="5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为全面了解</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该</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项目预算编制合理性、资金使用合规性、项目管理的规范性、</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绩效</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目标的实现情况、服务对象的满意度等，通过本次</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部门</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bookmarkStart w:id="60" w:name="_Toc30609"/>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4"/>
        <w:pageBreakBefore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61" w:name="_Toc16346"/>
      <w:bookmarkStart w:id="62" w:name="_Toc31970"/>
      <w:r>
        <w:rPr>
          <w:rFonts w:hint="eastAsia"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.绩效评价的对象</w:t>
      </w:r>
      <w:bookmarkEnd w:id="60"/>
      <w:bookmarkEnd w:id="61"/>
      <w:bookmarkEnd w:id="62"/>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此次我单位根据</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《财政支出绩效评价管理暂行办法》（</w:t>
      </w:r>
      <w:r>
        <w:rPr>
          <w:rFonts w:hint="eastAsia" w:ascii="仿宋_GB2312" w:hAnsi="仿宋_GB2312" w:eastAsia="仿宋_GB2312" w:cs="仿宋_GB2312"/>
          <w:color w:val="000000" w:themeColor="text1"/>
          <w:sz w:val="32"/>
          <w:szCs w:val="32"/>
          <w:highlight w:val="none"/>
          <w:shd w:val="clear" w:color="auto" w:fill="auto"/>
          <w:lang w:eastAsia="zh-CN"/>
          <w14:textFill>
            <w14:solidFill>
              <w14:schemeClr w14:val="tx1"/>
            </w14:solidFill>
          </w14:textFill>
        </w:rPr>
        <w:t>财预〔2020〕10号</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文件要求对2024年度我单位实施的党校搬迁改造项目</w:t>
      </w:r>
      <w:r>
        <w:rPr>
          <w:rFonts w:hint="default" w:ascii="仿宋_GB2312" w:hAnsi="仿宋_GB2312" w:eastAsia="仿宋_GB2312" w:cs="仿宋_GB2312"/>
          <w:color w:val="000000" w:themeColor="text1"/>
          <w:sz w:val="32"/>
          <w:szCs w:val="32"/>
          <w:highlight w:val="none"/>
          <w:shd w:val="clear" w:color="auto" w:fill="auto"/>
          <w14:textFill>
            <w14:solidFill>
              <w14:schemeClr w14:val="tx1"/>
            </w14:solidFill>
          </w14:textFill>
        </w:rPr>
        <w:t>及其预算执行情况</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开展部门绩效评价。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pP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该项目</w:t>
      </w:r>
      <w:r>
        <w:rPr>
          <w:rFonts w:hint="default"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由</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中共阜康市委员会党校</w:t>
      </w:r>
      <w:r>
        <w:rPr>
          <w:rFonts w:hint="default"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负责实</w:t>
      </w: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施，旨在</w:t>
      </w:r>
      <w:r>
        <w:rPr>
          <w:rFonts w:hint="eastAsia"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简述项目目标或预期成果</w:t>
      </w:r>
      <w:r>
        <w:rPr>
          <w:rFonts w:hint="eastAsia"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w:t>
      </w: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。项目</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预算涵盖从</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2024年3月1日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至</w:t>
      </w:r>
      <w:r>
        <w:rPr>
          <w:rFonts w:hint="eastAsia" w:ascii="仿宋_GB2312" w:hAnsi="仿宋_GB2312" w:eastAsia="仿宋_GB2312" w:cs="仿宋_GB2312"/>
          <w:b w:val="0"/>
          <w:bCs w:val="0"/>
          <w:color w:val="auto"/>
          <w:kern w:val="2"/>
          <w:sz w:val="32"/>
          <w:szCs w:val="32"/>
          <w:highlight w:val="none"/>
          <w:shd w:val="clear" w:color="auto" w:fill="auto"/>
          <w:lang w:val="en-US" w:eastAsia="zh-CN" w:bidi="ar-SA"/>
        </w:rPr>
        <w:t>2024年12月31日</w:t>
      </w:r>
      <w:r>
        <w:rPr>
          <w:rFonts w:hint="default" w:ascii="仿宋_GB2312" w:hAnsi="仿宋_GB2312" w:eastAsia="仿宋_GB2312" w:cs="仿宋_GB2312"/>
          <w:b w:val="0"/>
          <w:bCs w:val="0"/>
          <w:color w:val="auto"/>
          <w:kern w:val="2"/>
          <w:sz w:val="32"/>
          <w:szCs w:val="32"/>
          <w:highlight w:val="none"/>
          <w:shd w:val="clear" w:color="auto" w:fill="auto"/>
          <w:lang w:val="en-US" w:eastAsia="zh-CN" w:bidi="ar-SA"/>
        </w:rPr>
        <w:t>的全部资</w:t>
      </w: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金投入与支出，涉及资金总额为</w:t>
      </w:r>
      <w:r>
        <w:rPr>
          <w:rFonts w:hint="eastAsia"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19.87</w:t>
      </w:r>
      <w:r>
        <w:rPr>
          <w:rFonts w:hint="default" w:ascii="仿宋_GB2312" w:hAnsi="仿宋_GB2312" w:eastAsia="仿宋_GB2312" w:cs="仿宋_GB2312"/>
          <w:b w:val="0"/>
          <w:bCs w:val="0"/>
          <w:color w:val="000000" w:themeColor="text1"/>
          <w:kern w:val="2"/>
          <w:sz w:val="32"/>
          <w:szCs w:val="32"/>
          <w:highlight w:val="none"/>
          <w:shd w:val="clear" w:color="auto" w:fill="auto"/>
          <w:lang w:val="en-US" w:eastAsia="zh-CN" w:bidi="ar-SA"/>
          <w14:textFill>
            <w14:solidFill>
              <w14:schemeClr w14:val="tx1"/>
            </w14:solidFill>
          </w14:textFill>
        </w:rPr>
        <w:t>万元。</w:t>
      </w:r>
    </w:p>
    <w:p>
      <w:pPr>
        <w:pStyle w:val="4"/>
        <w:pageBreakBefore w:val="0"/>
        <w:kinsoku/>
        <w:wordWrap/>
        <w:overflowPunct/>
        <w:topLinePunct w:val="0"/>
        <w:autoSpaceDE/>
        <w:autoSpaceDN/>
        <w:bidi w:val="0"/>
        <w:adjustRightInd/>
        <w:spacing w:line="560" w:lineRule="exact"/>
        <w:textAlignment w:val="auto"/>
        <w:rPr>
          <w:rFonts w:hint="default" w:cs="仿宋_GB2312"/>
          <w:color w:val="000000" w:themeColor="text1"/>
          <w:sz w:val="32"/>
          <w:szCs w:val="32"/>
          <w:highlight w:val="none"/>
          <w:shd w:val="clear" w:color="auto" w:fill="auto"/>
          <w:lang w:val="en-US" w:eastAsia="zh-CN"/>
          <w14:textFill>
            <w14:solidFill>
              <w14:schemeClr w14:val="tx1"/>
            </w14:solidFill>
          </w14:textFill>
        </w:rPr>
      </w:pPr>
      <w:bookmarkStart w:id="63" w:name="_Toc11666"/>
      <w:bookmarkStart w:id="64" w:name="_Toc21311"/>
      <w:r>
        <w:rPr>
          <w:rFonts w:hint="default" w:cs="仿宋_GB2312"/>
          <w:color w:val="000000" w:themeColor="text1"/>
          <w:sz w:val="32"/>
          <w:szCs w:val="32"/>
          <w:highlight w:val="none"/>
          <w:shd w:val="clear" w:color="auto" w:fill="auto"/>
          <w:lang w:val="en-US" w:eastAsia="zh-CN"/>
          <w14:textFill>
            <w14:solidFill>
              <w14:schemeClr w14:val="tx1"/>
            </w14:solidFill>
          </w14:textFill>
        </w:rPr>
        <w:t>4.绩效评价的范围</w:t>
      </w:r>
      <w:bookmarkEnd w:id="63"/>
      <w:bookmarkEnd w:id="64"/>
    </w:p>
    <w:p>
      <w:pPr>
        <w:pStyle w:val="14"/>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项目预算编制与执行：全面审视项目预算的编制依据、合理性、科学性以及实际执行情况，包括预算调整的原因和效果。</w:t>
      </w:r>
    </w:p>
    <w:p>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资金管理：深入分析项目资金的分配、使用和监管情况，确保资金使用的合规性、高效性和透明度。</w:t>
      </w:r>
    </w:p>
    <w:p>
      <w:pPr>
        <w:pStyle w:val="14"/>
        <w:keepNext w:val="0"/>
        <w:keepLines w:val="0"/>
        <w:pageBreakBefore w:val="0"/>
        <w:widowControl w:val="0"/>
        <w:numPr>
          <w:ilvl w:val="0"/>
          <w:numId w:val="1"/>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项目实施进度与产出：评估项目是否按照既定计划顺利推进，各项任务是否按时完成，以及项目产出的数量、质量和时效性是否符合预期。</w:t>
      </w:r>
    </w:p>
    <w:p>
      <w:pPr>
        <w:pStyle w:val="14"/>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green"/>
          <w:lang w:eastAsia="zh-CN"/>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4</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rPr>
        <w:t>社</w:t>
      </w:r>
      <w:r>
        <w:rPr>
          <w:rFonts w:hint="eastAsia" w:ascii="仿宋_GB2312" w:hAnsi="仿宋_GB2312" w:eastAsia="仿宋_GB2312" w:cs="仿宋_GB2312"/>
          <w:b w:val="0"/>
          <w:bCs w:val="0"/>
          <w:sz w:val="32"/>
          <w:szCs w:val="32"/>
          <w:highlight w:val="none"/>
          <w:lang w:eastAsia="zh-CN"/>
        </w:rPr>
        <w:t>会</w:t>
      </w:r>
      <w:r>
        <w:rPr>
          <w:rFonts w:hint="eastAsia" w:ascii="仿宋_GB2312" w:hAnsi="仿宋_GB2312" w:eastAsia="仿宋_GB2312" w:cs="仿宋_GB2312"/>
          <w:b w:val="0"/>
          <w:bCs w:val="0"/>
          <w:sz w:val="32"/>
          <w:szCs w:val="32"/>
          <w:highlight w:val="none"/>
        </w:rPr>
        <w:t>影响：考察项目对社会的综合影响。</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65" w:name="_Toc29785"/>
      <w:bookmarkStart w:id="66" w:name="_Toc1286"/>
      <w:r>
        <w:rPr>
          <w:rFonts w:hint="eastAsia" w:ascii="Times New Roman" w:hAnsi="Times New Roman" w:eastAsia="楷体_GB2312" w:cs="Times New Roman"/>
          <w:kern w:val="28"/>
          <w:sz w:val="32"/>
          <w:lang w:val="en-US" w:eastAsia="zh-CN"/>
        </w:rPr>
        <w:t>（二）绩效评价原则、评价指标体系（</w:t>
      </w:r>
      <w:r>
        <w:rPr>
          <w:rFonts w:hint="default" w:ascii="Times New Roman" w:hAnsi="Times New Roman" w:eastAsia="楷体_GB2312" w:cs="Times New Roman"/>
          <w:kern w:val="28"/>
          <w:sz w:val="32"/>
          <w:lang w:val="en-US" w:eastAsia="zh-CN"/>
        </w:rPr>
        <w:t>详情见</w:t>
      </w:r>
      <w:r>
        <w:rPr>
          <w:rFonts w:hint="eastAsia" w:ascii="Times New Roman" w:hAnsi="Times New Roman" w:eastAsia="楷体_GB2312" w:cs="Times New Roman"/>
          <w:kern w:val="28"/>
          <w:sz w:val="32"/>
          <w:lang w:val="en-US" w:eastAsia="zh-CN"/>
        </w:rPr>
        <w:t>附件二）、评价方法、评价标准</w:t>
      </w:r>
      <w:bookmarkEnd w:id="65"/>
      <w:bookmarkEnd w:id="66"/>
    </w:p>
    <w:p>
      <w:pPr>
        <w:pStyle w:val="4"/>
        <w:pageBreakBefore w:val="0"/>
        <w:kinsoku/>
        <w:wordWrap/>
        <w:overflowPunct/>
        <w:topLinePunct w:val="0"/>
        <w:autoSpaceDE/>
        <w:autoSpaceDN/>
        <w:bidi w:val="0"/>
        <w:adjustRightInd/>
        <w:spacing w:line="560" w:lineRule="exact"/>
        <w:textAlignment w:val="auto"/>
        <w:rPr>
          <w:rFonts w:hint="eastAsia" w:ascii="Times New Roman" w:hAnsi="Times New Roman" w:eastAsia="仿宋_GB2312" w:cs="Times New Roman"/>
          <w:b/>
          <w:bCs/>
          <w:color w:val="000000"/>
          <w:kern w:val="2"/>
          <w:sz w:val="32"/>
          <w:szCs w:val="32"/>
          <w:lang w:val="en-US" w:eastAsia="zh-CN" w:bidi="ar-SA"/>
        </w:rPr>
      </w:pPr>
      <w:bookmarkStart w:id="67" w:name="_Toc5354"/>
      <w:bookmarkStart w:id="68" w:name="_Toc13694"/>
      <w:bookmarkStart w:id="69" w:name="_Toc24506"/>
      <w:r>
        <w:rPr>
          <w:rFonts w:hint="eastAsia" w:ascii="Times New Roman" w:hAnsi="Times New Roman" w:eastAsia="仿宋_GB2312" w:cs="Times New Roman"/>
          <w:b/>
          <w:bCs/>
          <w:color w:val="000000"/>
          <w:kern w:val="2"/>
          <w:sz w:val="32"/>
          <w:szCs w:val="32"/>
          <w:lang w:val="en-US" w:eastAsia="zh-CN" w:bidi="ar-SA"/>
        </w:rPr>
        <w:t>1.绩效评价原则</w:t>
      </w:r>
      <w:bookmarkEnd w:id="67"/>
      <w:bookmarkEnd w:id="68"/>
      <w:bookmarkEnd w:id="69"/>
    </w:p>
    <w:p>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依据《财政支出绩效评价管理暂行办法》（财预〔20</w:t>
      </w:r>
      <w:r>
        <w:rPr>
          <w:rFonts w:hint="eastAsia" w:ascii="Times New Roman" w:hAnsi="Times New Roman" w:eastAsia="仿宋_GB2312" w:cs="Times New Roman"/>
          <w:color w:val="000000"/>
          <w:sz w:val="32"/>
          <w:szCs w:val="32"/>
          <w:lang w:val="en-US" w:eastAsia="zh-CN"/>
        </w:rPr>
        <w:t>20</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10</w:t>
      </w:r>
      <w:r>
        <w:rPr>
          <w:rFonts w:hint="eastAsia" w:ascii="Times New Roman" w:hAnsi="Times New Roman" w:eastAsia="仿宋_GB2312" w:cs="Times New Roman"/>
          <w:color w:val="000000"/>
          <w:sz w:val="32"/>
          <w:szCs w:val="32"/>
          <w:lang w:eastAsia="zh-CN"/>
        </w:rPr>
        <w:t>号）本次绩效评价秉承科学规范、公正公开、分级分类、绩效相关等原则，按照从投入、过程到产出效果和影响的绩效逻辑路径，结合</w:t>
      </w:r>
      <w:r>
        <w:rPr>
          <w:rFonts w:hint="eastAsia" w:ascii="Times New Roman" w:hAnsi="Times New Roman" w:eastAsia="仿宋_GB2312" w:cs="Times New Roman"/>
          <w:color w:val="000000"/>
          <w:sz w:val="32"/>
          <w:szCs w:val="32"/>
          <w:lang w:val="en-US" w:eastAsia="zh-CN"/>
        </w:rPr>
        <w:t>党校搬迁改造项目</w:t>
      </w:r>
      <w:r>
        <w:rPr>
          <w:rFonts w:hint="eastAsia" w:ascii="Times New Roman" w:hAnsi="Times New Roman" w:eastAsia="仿宋_GB2312" w:cs="Times New Roman"/>
          <w:color w:val="000000"/>
          <w:sz w:val="32"/>
          <w:szCs w:val="32"/>
          <w:lang w:eastAsia="zh-CN"/>
        </w:rPr>
        <w:t>实际开展情况，运用定量和定性分析相结合的方法，总结经验做法，反思项目实施和管理中的问题，以切实提升财政资金管理的科学化、规范化和精细化水平。</w:t>
      </w:r>
    </w:p>
    <w:p>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根据以上原则，绩效评价应遵循如下要求：</w:t>
      </w:r>
    </w:p>
    <w:p>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1</w:t>
      </w:r>
      <w:r>
        <w:rPr>
          <w:rFonts w:hint="eastAsia" w:ascii="Times New Roman" w:hAnsi="Times New Roman" w:eastAsia="仿宋_GB2312" w:cs="Times New Roman"/>
          <w:color w:val="000000"/>
          <w:sz w:val="32"/>
          <w:szCs w:val="32"/>
          <w:lang w:eastAsia="zh-CN"/>
        </w:rPr>
        <w:t>）科学公正。绩效评价应当运用科学合理的方法，按照规范的程序，对项目绩效进行客观、公正的反映。</w:t>
      </w:r>
    </w:p>
    <w:p>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2</w:t>
      </w:r>
      <w:r>
        <w:rPr>
          <w:rFonts w:hint="eastAsia" w:ascii="Times New Roman" w:hAnsi="Times New Roman" w:eastAsia="仿宋_GB2312" w:cs="Times New Roman"/>
          <w:color w:val="000000"/>
          <w:sz w:val="32"/>
          <w:szCs w:val="32"/>
          <w:lang w:eastAsia="zh-CN"/>
        </w:rPr>
        <w:t>）统筹兼顾。单位自评、部门评价和财政评价应职责明确，各有侧重，相互衔接。单位自评应由项目单位自主实施，即“谁支出、谁自评”。</w:t>
      </w:r>
    </w:p>
    <w:p>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3</w:t>
      </w:r>
      <w:r>
        <w:rPr>
          <w:rFonts w:hint="eastAsia" w:ascii="Times New Roman" w:hAnsi="Times New Roman" w:eastAsia="仿宋_GB2312" w:cs="Times New Roman"/>
          <w:color w:val="000000"/>
          <w:sz w:val="32"/>
          <w:szCs w:val="32"/>
          <w:lang w:eastAsia="zh-CN"/>
        </w:rPr>
        <w:t>）激励约束。绩效评价结果应与预算安排、政策调整、改进管理实质性挂钩，体现奖优罚劣和激励相容导向，有效要安排、低效要压减、无效要问责。</w:t>
      </w:r>
    </w:p>
    <w:p>
      <w:pPr>
        <w:spacing w:line="560" w:lineRule="exact"/>
        <w:ind w:firstLine="640" w:firstLineChars="200"/>
        <w:rPr>
          <w:rFonts w:hint="eastAsia" w:ascii="Times New Roman" w:hAnsi="Times New Roman" w:eastAsia="仿宋_GB2312" w:cs="Times New Roman"/>
          <w:color w:val="000000"/>
          <w:sz w:val="32"/>
          <w:szCs w:val="32"/>
          <w:lang w:eastAsia="zh-CN"/>
        </w:rPr>
      </w:pP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4</w:t>
      </w:r>
      <w:r>
        <w:rPr>
          <w:rFonts w:hint="eastAsia" w:ascii="Times New Roman" w:hAnsi="Times New Roman" w:eastAsia="仿宋_GB2312" w:cs="Times New Roman"/>
          <w:color w:val="000000"/>
          <w:sz w:val="32"/>
          <w:szCs w:val="32"/>
          <w:lang w:eastAsia="zh-CN"/>
        </w:rPr>
        <w:t>）公开透明。绩效评价结果应依法依规公开，并自觉接受社会监督。</w:t>
      </w:r>
    </w:p>
    <w:p>
      <w:pPr>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000000"/>
          <w:sz w:val="32"/>
          <w:szCs w:val="32"/>
          <w:lang w:eastAsia="zh-CN"/>
        </w:rPr>
      </w:pPr>
      <w:bookmarkStart w:id="70" w:name="_Toc419984722"/>
      <w:bookmarkStart w:id="71" w:name="_Toc26131"/>
      <w:bookmarkStart w:id="72" w:name="_Toc1913"/>
      <w:bookmarkStart w:id="73" w:name="_Toc428278230"/>
      <w:bookmarkStart w:id="74" w:name="_Toc24396"/>
      <w:r>
        <w:rPr>
          <w:rFonts w:hint="eastAsia" w:ascii="仿宋_GB2312" w:hAnsi="仿宋_GB2312" w:eastAsia="仿宋_GB2312" w:cs="仿宋_GB2312"/>
          <w:b/>
          <w:bCs/>
          <w:color w:val="000000"/>
          <w:sz w:val="32"/>
          <w:szCs w:val="32"/>
          <w:lang w:val="en-US" w:eastAsia="zh-CN"/>
        </w:rPr>
        <w:t>2.</w:t>
      </w:r>
      <w:r>
        <w:rPr>
          <w:rFonts w:hint="eastAsia" w:ascii="仿宋_GB2312" w:hAnsi="仿宋_GB2312" w:eastAsia="仿宋_GB2312" w:cs="仿宋_GB2312"/>
          <w:b/>
          <w:bCs/>
          <w:color w:val="000000"/>
          <w:sz w:val="32"/>
          <w:szCs w:val="32"/>
          <w:lang w:eastAsia="zh-CN"/>
        </w:rPr>
        <w:t>绩效评价指标体系</w:t>
      </w:r>
      <w:bookmarkEnd w:id="70"/>
      <w:bookmarkEnd w:id="71"/>
      <w:bookmarkEnd w:id="72"/>
      <w:bookmarkEnd w:id="73"/>
      <w:bookmarkEnd w:id="74"/>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bookmarkStart w:id="75" w:name="_Toc9941"/>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FF0000"/>
          <w:spacing w:val="17"/>
          <w:sz w:val="32"/>
          <w:szCs w:val="32"/>
          <w:lang w:eastAsia="zh-CN"/>
        </w:rPr>
      </w:pPr>
      <w:r>
        <w:rPr>
          <w:rFonts w:hint="eastAsia" w:ascii="仿宋_GB2312" w:hAnsi="仿宋_GB2312" w:eastAsia="仿宋_GB2312" w:cs="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绩效评价总分值100分，根据综合评分结果，90（含）-100分为优、80（含）-90分为良、60（含）-80分为中、60分以下为差。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我单位</w:t>
      </w:r>
      <w:r>
        <w:rPr>
          <w:rFonts w:hint="eastAsia" w:ascii="仿宋_GB2312" w:hAnsi="仿宋_GB2312" w:eastAsia="仿宋_GB2312" w:cs="仿宋_GB2312"/>
          <w:color w:val="000000"/>
          <w:sz w:val="32"/>
          <w:szCs w:val="32"/>
          <w:lang w:val="zh-TW" w:eastAsia="zh-TW"/>
        </w:rPr>
        <w:t>根据项目的</w:t>
      </w:r>
      <w:r>
        <w:rPr>
          <w:rFonts w:hint="eastAsia" w:ascii="仿宋_GB2312" w:hAnsi="仿宋_GB2312" w:eastAsia="仿宋_GB2312" w:cs="仿宋_GB2312"/>
          <w:color w:val="000000"/>
          <w:sz w:val="32"/>
          <w:szCs w:val="32"/>
          <w:lang w:val="en-US" w:eastAsia="zh-CN"/>
        </w:rPr>
        <w:t>实施</w:t>
      </w:r>
      <w:r>
        <w:rPr>
          <w:rFonts w:hint="eastAsia" w:ascii="仿宋_GB2312" w:hAnsi="仿宋_GB2312" w:eastAsia="仿宋_GB2312" w:cs="仿宋_GB2312"/>
          <w:color w:val="000000"/>
          <w:sz w:val="32"/>
          <w:szCs w:val="32"/>
          <w:lang w:val="zh-TW" w:eastAsia="zh-TW"/>
        </w:rPr>
        <w:t>资料研读及前期调研，结合项目的实际开展情况，最终形成了项目绩效评价指标体系</w:t>
      </w:r>
      <w:r>
        <w:rPr>
          <w:rFonts w:hint="eastAsia" w:ascii="仿宋_GB2312" w:hAnsi="仿宋_GB2312" w:eastAsia="仿宋_GB2312" w:cs="仿宋_GB2312"/>
          <w:color w:val="000000"/>
          <w:sz w:val="32"/>
          <w:szCs w:val="32"/>
          <w:lang w:val="zh-TW" w:eastAsia="zh-CN"/>
        </w:rPr>
        <w:t>，</w:t>
      </w:r>
      <w:r>
        <w:rPr>
          <w:rFonts w:hint="eastAsia" w:ascii="仿宋_GB2312" w:hAnsi="仿宋_GB2312" w:eastAsia="仿宋_GB2312" w:cs="仿宋_GB2312"/>
          <w:color w:val="000000"/>
          <w:sz w:val="32"/>
          <w:szCs w:val="32"/>
          <w:lang w:val="en-US" w:eastAsia="zh-CN"/>
        </w:rPr>
        <w:t>详见上传的附件二。</w:t>
      </w:r>
    </w:p>
    <w:p>
      <w:pPr>
        <w:pStyle w:val="4"/>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76" w:name="_Toc5690"/>
      <w:bookmarkStart w:id="77" w:name="_Toc30114"/>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shd w:val="clear" w:color="auto" w:fill="auto"/>
          <w14:textFill>
            <w14:solidFill>
              <w14:schemeClr w14:val="tx1"/>
            </w14:solidFill>
          </w14:textFill>
        </w:rPr>
        <w:t>评价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方法</w:t>
      </w:r>
      <w:bookmarkEnd w:id="75"/>
      <w:bookmarkEnd w:id="76"/>
      <w:bookmarkEnd w:id="77"/>
    </w:p>
    <w:p>
      <w:pPr>
        <w:pageBreakBefore w:val="0"/>
        <w:widowControl w:val="0"/>
        <w:kinsoku/>
        <w:wordWrap/>
        <w:overflowPunct/>
        <w:topLinePunct w:val="0"/>
        <w:autoSpaceDE/>
        <w:autoSpaceDN/>
        <w:bidi w:val="0"/>
        <w:adjustRightInd/>
        <w:snapToGrid/>
        <w:spacing w:line="560" w:lineRule="exact"/>
        <w:ind w:firstLine="708" w:firstLineChars="200"/>
        <w:textAlignment w:val="auto"/>
        <w:rPr>
          <w:rFonts w:hint="eastAsia" w:ascii="仿宋_GB2312" w:hAnsi="仿宋_GB2312" w:eastAsia="仿宋_GB2312" w:cs="仿宋_GB2312"/>
          <w:color w:val="000000"/>
          <w:spacing w:val="17"/>
          <w:sz w:val="32"/>
          <w:szCs w:val="32"/>
        </w:rPr>
      </w:pPr>
      <w:bookmarkStart w:id="78" w:name="_Toc25391"/>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w:t>
      </w:r>
      <w:r>
        <w:rPr>
          <w:rFonts w:hint="eastAsia" w:ascii="仿宋_GB2312" w:hAnsi="仿宋_GB2312" w:eastAsia="仿宋_GB2312" w:cs="仿宋_GB2312"/>
          <w:color w:val="000000"/>
          <w:spacing w:val="17"/>
          <w:sz w:val="32"/>
          <w:szCs w:val="32"/>
          <w:lang w:eastAsia="zh-CN"/>
        </w:rPr>
        <w:t>，</w:t>
      </w:r>
      <w:r>
        <w:rPr>
          <w:rFonts w:hint="eastAsia" w:ascii="仿宋_GB2312" w:hAnsi="仿宋_GB2312" w:eastAsia="仿宋_GB2312" w:cs="仿宋_GB2312"/>
          <w:color w:val="000000"/>
          <w:spacing w:val="17"/>
          <w:sz w:val="32"/>
          <w:szCs w:val="32"/>
        </w:rPr>
        <w:t>评价核心为资金的支出完成情况和项目的产出效益。</w:t>
      </w:r>
    </w:p>
    <w:p>
      <w:pPr>
        <w:pStyle w:val="5"/>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numPr>
          <w:ilvl w:val="0"/>
          <w:numId w:val="0"/>
        </w:num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eastAsia" w:ascii="Times New Roman" w:hAnsi="Times New Roman" w:eastAsia="仿宋_GB2312" w:cs="Times New Roman"/>
          <w:color w:val="000000"/>
          <w:spacing w:val="17"/>
          <w:sz w:val="32"/>
          <w:szCs w:val="32"/>
          <w:highlight w:val="none"/>
          <w:lang w:eastAsia="zh-CN"/>
        </w:rPr>
        <w:t>（</w:t>
      </w:r>
      <w:r>
        <w:rPr>
          <w:rFonts w:hint="eastAsia" w:ascii="Times New Roman" w:hAnsi="Times New Roman" w:eastAsia="仿宋_GB2312" w:cs="Times New Roman"/>
          <w:color w:val="000000"/>
          <w:spacing w:val="17"/>
          <w:sz w:val="32"/>
          <w:szCs w:val="32"/>
          <w:highlight w:val="none"/>
          <w:lang w:val="en-US" w:eastAsia="zh-CN"/>
        </w:rPr>
        <w:t>1）</w:t>
      </w:r>
      <w:r>
        <w:rPr>
          <w:rFonts w:hint="default" w:ascii="Times New Roman" w:hAnsi="Times New Roman" w:eastAsia="仿宋_GB2312" w:cs="Times New Roman"/>
          <w:color w:val="000000"/>
          <w:spacing w:val="17"/>
          <w:sz w:val="32"/>
          <w:szCs w:val="32"/>
          <w:highlight w:val="none"/>
        </w:rPr>
        <w:t>成本效益分析法</w:t>
      </w:r>
      <w:r>
        <w:rPr>
          <w:rFonts w:hint="eastAsia"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能够全面衡量项目的成本与效益，通过量化分析帮助优化资源配置，提高资金使用效率，确保有限的资金投入到能够产生最大效益的环节</w:t>
      </w:r>
      <w:r>
        <w:rPr>
          <w:rFonts w:hint="eastAsia"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同时为项目决策提供客观依据。</w:t>
      </w:r>
    </w:p>
    <w:p>
      <w:pPr>
        <w:numPr>
          <w:ilvl w:val="0"/>
          <w:numId w:val="0"/>
        </w:num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ascii="Times New Roman" w:hAnsi="Times New Roman" w:eastAsia="仿宋_GB2312" w:cs="Times New Roman"/>
          <w:color w:val="000000"/>
          <w:spacing w:val="17"/>
          <w:sz w:val="32"/>
          <w:szCs w:val="32"/>
          <w:highlight w:val="none"/>
          <w:lang w:val="en-US" w:eastAsia="zh-CN"/>
        </w:rPr>
        <w:t>2</w:t>
      </w:r>
      <w:r>
        <w:rPr>
          <w:rFonts w:hint="default" w:ascii="Times New Roman" w:hAnsi="Times New Roman" w:eastAsia="仿宋_GB2312" w:cs="Times New Roman"/>
          <w:color w:val="000000"/>
          <w:spacing w:val="17"/>
          <w:sz w:val="32"/>
          <w:szCs w:val="32"/>
          <w:highlight w:val="none"/>
        </w:rPr>
        <w:t>）因素分析法</w:t>
      </w:r>
      <w:r>
        <w:rPr>
          <w:rFonts w:hint="eastAsia"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通过因素分析法，可以明确哪些因素对项目进度、成本控制、质量保障和教学功能提升等关键目标起到推动作用，哪些因素可能成为潜在风险点。这种方法能够帮助项目管理者精准识别关键因素，合理调配资源，优化项目实施方案，确保搬迁改造项目在满足党校功能需求的同时，实现高效、经济的发展目标。</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w:t>
      </w:r>
      <w:r>
        <w:rPr>
          <w:rFonts w:hint="eastAsia" w:ascii="Times New Roman" w:hAnsi="Times New Roman" w:eastAsia="仿宋_GB2312" w:cs="Times New Roman"/>
          <w:color w:val="000000"/>
          <w:spacing w:val="17"/>
          <w:sz w:val="32"/>
          <w:szCs w:val="32"/>
          <w:highlight w:val="none"/>
          <w:lang w:val="en-US" w:eastAsia="zh-CN"/>
        </w:rPr>
        <w:t>3</w:t>
      </w:r>
      <w:r>
        <w:rPr>
          <w:rFonts w:hint="default" w:ascii="Times New Roman" w:hAnsi="Times New Roman" w:eastAsia="仿宋_GB2312" w:cs="Times New Roman"/>
          <w:color w:val="000000"/>
          <w:spacing w:val="17"/>
          <w:sz w:val="32"/>
          <w:szCs w:val="32"/>
          <w:highlight w:val="none"/>
        </w:rPr>
        <w:t>）最低成本法</w:t>
      </w:r>
      <w:r>
        <w:rPr>
          <w:rFonts w:hint="eastAsia" w:ascii="Times New Roman" w:hAnsi="Times New Roman" w:eastAsia="仿宋_GB2312" w:cs="Times New Roman"/>
          <w:color w:val="000000"/>
          <w:spacing w:val="17"/>
          <w:sz w:val="32"/>
          <w:szCs w:val="32"/>
          <w:highlight w:val="none"/>
          <w:lang w:eastAsia="zh-CN"/>
        </w:rPr>
        <w:t>：采用最低成本法的原因在于它能够帮助在多个可选方案中，精准识别出在满足既定目标和质量标准的前提下成本最低的方案。可使党校搬迁改造项目在资源有限且需要高效利用资金的情况下开展。通过详细核算每个方案的直接和间接成本，最可以清晰地展示各方案的成本差异，避免不必要的开支，确保项目在预算范围内实现最优资源配置。</w:t>
      </w:r>
    </w:p>
    <w:p>
      <w:pPr>
        <w:pStyle w:val="4"/>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pPr>
      <w:bookmarkStart w:id="79" w:name="_Toc25651"/>
      <w:bookmarkStart w:id="80" w:name="_Toc6081"/>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4.评价标准</w:t>
      </w:r>
      <w:bookmarkEnd w:id="78"/>
      <w:bookmarkEnd w:id="79"/>
      <w:bookmarkEnd w:id="80"/>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绩效评价标准通常包括计划标准、行业标准、历史标准等，用于对绩效指标完成情况进行比较、分析、评价。本次评价主要采用了计划标准</w:t>
      </w:r>
      <w:r>
        <w:rPr>
          <w:rFonts w:hint="eastAsia" w:ascii="Times New Roman" w:hAnsi="Times New Roman" w:eastAsia="仿宋_GB2312" w:cs="Times New Roman"/>
          <w:color w:val="000000"/>
          <w:spacing w:val="17"/>
          <w:sz w:val="32"/>
          <w:szCs w:val="32"/>
          <w:highlight w:val="none"/>
          <w:lang w:eastAsia="zh-CN"/>
        </w:rPr>
        <w:t>和</w:t>
      </w:r>
      <w:r>
        <w:rPr>
          <w:rFonts w:hint="default" w:ascii="Times New Roman" w:hAnsi="Times New Roman" w:eastAsia="仿宋_GB2312" w:cs="Times New Roman"/>
          <w:color w:val="000000"/>
          <w:spacing w:val="17"/>
          <w:sz w:val="32"/>
          <w:szCs w:val="32"/>
          <w:highlight w:val="none"/>
        </w:rPr>
        <w:t>行业标准</w:t>
      </w:r>
      <w:r>
        <w:rPr>
          <w:rFonts w:hint="eastAsia" w:ascii="Times New Roman" w:hAnsi="Times New Roman" w:eastAsia="仿宋_GB2312" w:cs="Times New Roman"/>
          <w:color w:val="000000"/>
          <w:spacing w:val="17"/>
          <w:sz w:val="32"/>
          <w:szCs w:val="32"/>
          <w:highlight w:val="none"/>
          <w:lang w:eastAsia="zh-CN"/>
        </w:rPr>
        <w:t>：</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lang w:val="en-US" w:eastAsia="zh-CN"/>
        </w:rPr>
        <w:t>1</w:t>
      </w: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计划标准。指以预先制定的目标、计划、预算、定额等作为评价标准。</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lang w:val="en-US" w:eastAsia="zh-CN"/>
        </w:rPr>
        <w:t>2</w:t>
      </w:r>
      <w:r>
        <w:rPr>
          <w:rFonts w:hint="default" w:ascii="Times New Roman" w:hAnsi="Times New Roman" w:eastAsia="仿宋_GB2312" w:cs="Times New Roman"/>
          <w:color w:val="000000"/>
          <w:spacing w:val="17"/>
          <w:sz w:val="32"/>
          <w:szCs w:val="32"/>
          <w:highlight w:val="none"/>
          <w:lang w:eastAsia="zh-CN"/>
        </w:rPr>
        <w:t>）</w:t>
      </w:r>
      <w:r>
        <w:rPr>
          <w:rFonts w:hint="default" w:ascii="Times New Roman" w:hAnsi="Times New Roman" w:eastAsia="仿宋_GB2312" w:cs="Times New Roman"/>
          <w:color w:val="000000"/>
          <w:spacing w:val="17"/>
          <w:sz w:val="32"/>
          <w:szCs w:val="32"/>
          <w:highlight w:val="none"/>
        </w:rPr>
        <w:t>行业标准。指参照国家公布的行业指标数据制定的评价标准。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81" w:name="_Toc21435"/>
      <w:r>
        <w:rPr>
          <w:rFonts w:hint="eastAsia" w:ascii="Times New Roman" w:hAnsi="Times New Roman" w:eastAsia="楷体_GB2312" w:cs="Times New Roman"/>
          <w:kern w:val="28"/>
          <w:sz w:val="32"/>
          <w:lang w:val="en-US" w:eastAsia="zh-CN"/>
        </w:rPr>
        <w:t>（三）绩效评价工作过程</w:t>
      </w:r>
      <w:bookmarkEnd w:id="81"/>
    </w:p>
    <w:p>
      <w:pPr>
        <w:spacing w:line="560" w:lineRule="exact"/>
        <w:ind w:firstLine="711" w:firstLineChars="200"/>
        <w:rPr>
          <w:rFonts w:hint="eastAsia" w:ascii="Times New Roman" w:hAnsi="Times New Roman" w:eastAsia="仿宋_GB2312" w:cs="Times New Roman"/>
          <w:b/>
          <w:bCs/>
          <w:color w:val="000000"/>
          <w:spacing w:val="17"/>
          <w:sz w:val="32"/>
          <w:szCs w:val="32"/>
          <w:highlight w:val="none"/>
          <w:lang w:val="en-US" w:eastAsia="zh-CN"/>
        </w:rPr>
      </w:pPr>
      <w:bookmarkStart w:id="82" w:name="_Toc12862"/>
      <w:r>
        <w:rPr>
          <w:rFonts w:hint="eastAsia" w:ascii="Times New Roman" w:hAnsi="Times New Roman" w:eastAsia="仿宋_GB2312" w:cs="Times New Roman"/>
          <w:b/>
          <w:bCs/>
          <w:color w:val="000000"/>
          <w:spacing w:val="17"/>
          <w:sz w:val="32"/>
          <w:szCs w:val="32"/>
          <w:highlight w:val="none"/>
          <w:lang w:val="en-US" w:eastAsia="zh-CN"/>
        </w:rPr>
        <w:t>1.前期准备</w:t>
      </w:r>
      <w:bookmarkEnd w:id="82"/>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r>
        <w:rPr>
          <w:rFonts w:hint="eastAsia" w:ascii="Times New Roman" w:hAnsi="Times New Roman" w:eastAsia="仿宋_GB2312" w:cs="Times New Roman"/>
          <w:color w:val="000000"/>
          <w:spacing w:val="17"/>
          <w:sz w:val="32"/>
          <w:szCs w:val="32"/>
          <w:highlight w:val="none"/>
          <w:lang w:val="en-US" w:eastAsia="zh-CN"/>
        </w:rPr>
        <w:t>（1）成立绩效评价项目小组</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r>
        <w:rPr>
          <w:rFonts w:hint="eastAsia" w:ascii="Times New Roman" w:hAnsi="Times New Roman" w:eastAsia="仿宋_GB2312" w:cs="Times New Roman"/>
          <w:color w:val="000000"/>
          <w:spacing w:val="17"/>
          <w:sz w:val="32"/>
          <w:szCs w:val="32"/>
          <w:highlight w:val="none"/>
          <w:lang w:val="en-US" w:eastAsia="zh-CN"/>
        </w:rPr>
        <w:t>为确保该项目绩效评价的顺利实施，评价机构组建了绩效评价项目小组。项目小组负责建立联络制度、明确评价责任人、制定评价方案、实施具体评价等工作。</w:t>
      </w:r>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3" w:name="_Toc31571"/>
      <w:r>
        <w:rPr>
          <w:rFonts w:hint="eastAsia" w:ascii="Times New Roman" w:hAnsi="Times New Roman" w:eastAsia="仿宋_GB2312" w:cs="Times New Roman"/>
          <w:color w:val="000000"/>
          <w:spacing w:val="17"/>
          <w:sz w:val="32"/>
          <w:szCs w:val="32"/>
          <w:highlight w:val="none"/>
          <w:lang w:val="en-US" w:eastAsia="zh-CN"/>
        </w:rPr>
        <w:t>（2）开展前期调研</w:t>
      </w:r>
      <w:bookmarkEnd w:id="83"/>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4" w:name="_Toc21240"/>
      <w:r>
        <w:rPr>
          <w:rFonts w:hint="eastAsia" w:ascii="Times New Roman" w:hAnsi="Times New Roman" w:eastAsia="仿宋_GB2312" w:cs="Times New Roman"/>
          <w:color w:val="000000"/>
          <w:spacing w:val="17"/>
          <w:sz w:val="32"/>
          <w:szCs w:val="32"/>
          <w:highlight w:val="none"/>
          <w:lang w:val="en-US" w:eastAsia="zh-CN"/>
        </w:rPr>
        <w:t>绩效评价项目小组依据此次绩效评价受委托内容，对拟评价的项目实施前期调研。通过调研对党校搬迁改造项目实施内容、目标信息、预算信息以及其他的一些项目基本信息，有了初步了解，为制定绩效评价工作方案做好准备。</w:t>
      </w:r>
      <w:bookmarkEnd w:id="84"/>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5" w:name="_Toc27977"/>
      <w:r>
        <w:rPr>
          <w:rFonts w:hint="eastAsia" w:ascii="Times New Roman" w:hAnsi="Times New Roman" w:eastAsia="仿宋_GB2312" w:cs="Times New Roman"/>
          <w:color w:val="000000"/>
          <w:spacing w:val="17"/>
          <w:sz w:val="32"/>
          <w:szCs w:val="32"/>
          <w:highlight w:val="none"/>
          <w:lang w:val="en-US" w:eastAsia="zh-CN"/>
        </w:rPr>
        <w:t>（3）制订绩效评价工作方案</w:t>
      </w:r>
      <w:bookmarkEnd w:id="85"/>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6" w:name="_Toc19659"/>
      <w:r>
        <w:rPr>
          <w:rFonts w:hint="eastAsia" w:ascii="Times New Roman" w:hAnsi="Times New Roman" w:eastAsia="仿宋_GB2312" w:cs="Times New Roman"/>
          <w:color w:val="000000"/>
          <w:spacing w:val="17"/>
          <w:sz w:val="32"/>
          <w:szCs w:val="32"/>
          <w:highlight w:val="none"/>
          <w:lang w:val="en-US" w:eastAsia="zh-CN"/>
        </w:rPr>
        <w:t>绩效评价项目小组根据有关规定和评价对象的特点以及前期调研收集的一些信息，拟定详细的绩效评价工作方案。</w:t>
      </w:r>
      <w:bookmarkEnd w:id="86"/>
    </w:p>
    <w:p>
      <w:pPr>
        <w:spacing w:line="560" w:lineRule="exact"/>
        <w:ind w:firstLine="711" w:firstLineChars="200"/>
        <w:rPr>
          <w:rFonts w:hint="eastAsia" w:ascii="Times New Roman" w:hAnsi="Times New Roman" w:eastAsia="仿宋_GB2312" w:cs="Times New Roman"/>
          <w:b/>
          <w:bCs/>
          <w:color w:val="000000"/>
          <w:spacing w:val="17"/>
          <w:sz w:val="32"/>
          <w:szCs w:val="32"/>
          <w:highlight w:val="none"/>
          <w:lang w:val="en-US" w:eastAsia="zh-CN"/>
        </w:rPr>
      </w:pPr>
      <w:bookmarkStart w:id="87" w:name="_Toc11353"/>
      <w:r>
        <w:rPr>
          <w:rFonts w:hint="eastAsia" w:ascii="Times New Roman" w:hAnsi="Times New Roman" w:eastAsia="仿宋_GB2312" w:cs="Times New Roman"/>
          <w:b/>
          <w:bCs/>
          <w:color w:val="000000"/>
          <w:spacing w:val="17"/>
          <w:sz w:val="32"/>
          <w:szCs w:val="32"/>
          <w:highlight w:val="none"/>
          <w:lang w:val="en-US" w:eastAsia="zh-CN"/>
        </w:rPr>
        <w:t>2.具体实施</w:t>
      </w:r>
      <w:bookmarkEnd w:id="87"/>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8" w:name="_Toc14111"/>
      <w:r>
        <w:rPr>
          <w:rFonts w:hint="eastAsia" w:ascii="Times New Roman" w:hAnsi="Times New Roman" w:eastAsia="仿宋_GB2312" w:cs="Times New Roman"/>
          <w:color w:val="000000"/>
          <w:spacing w:val="17"/>
          <w:sz w:val="32"/>
          <w:szCs w:val="32"/>
          <w:highlight w:val="none"/>
          <w:lang w:val="en-US" w:eastAsia="zh-CN"/>
        </w:rPr>
        <w:t>（1）收集基础资料</w:t>
      </w:r>
      <w:bookmarkEnd w:id="88"/>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89" w:name="_Toc28524"/>
      <w:r>
        <w:rPr>
          <w:rFonts w:hint="eastAsia" w:ascii="Times New Roman" w:hAnsi="Times New Roman" w:eastAsia="仿宋_GB2312" w:cs="Times New Roman"/>
          <w:color w:val="000000"/>
          <w:spacing w:val="17"/>
          <w:sz w:val="32"/>
          <w:szCs w:val="32"/>
          <w:highlight w:val="none"/>
          <w:lang w:val="en-US" w:eastAsia="zh-CN"/>
        </w:rPr>
        <w:t>根据评价工作的需要和要求，在前期调研的基础上，通过多种渠道全面收集项目基础信息资料，主要包括：</w:t>
      </w:r>
      <w:bookmarkEnd w:id="89"/>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0" w:name="_Toc32216"/>
      <w:r>
        <w:rPr>
          <w:rFonts w:hint="eastAsia" w:ascii="Times New Roman" w:hAnsi="Times New Roman" w:eastAsia="仿宋_GB2312" w:cs="Times New Roman"/>
          <w:color w:val="000000"/>
          <w:spacing w:val="17"/>
          <w:sz w:val="32"/>
          <w:szCs w:val="32"/>
          <w:highlight w:val="none"/>
          <w:lang w:val="en-US" w:eastAsia="zh-CN"/>
        </w:rPr>
        <w:t>①被评价单位基本概况，如单位职能、事业发展规划、预决算情况、项目立项依据等；</w:t>
      </w:r>
      <w:bookmarkEnd w:id="90"/>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1" w:name="_Toc10505"/>
      <w:r>
        <w:rPr>
          <w:rFonts w:hint="eastAsia" w:ascii="Times New Roman" w:hAnsi="Times New Roman" w:eastAsia="仿宋_GB2312" w:cs="Times New Roman"/>
          <w:color w:val="000000"/>
          <w:spacing w:val="17"/>
          <w:sz w:val="32"/>
          <w:szCs w:val="32"/>
          <w:highlight w:val="none"/>
          <w:lang w:val="en-US" w:eastAsia="zh-CN"/>
        </w:rPr>
        <w:t>②绩效目标及其设立依据和调整情况；</w:t>
      </w:r>
      <w:bookmarkEnd w:id="91"/>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2" w:name="_Toc28365"/>
      <w:r>
        <w:rPr>
          <w:rFonts w:hint="eastAsia" w:ascii="Times New Roman" w:hAnsi="Times New Roman" w:eastAsia="仿宋_GB2312" w:cs="Times New Roman"/>
          <w:color w:val="000000"/>
          <w:spacing w:val="17"/>
          <w:sz w:val="32"/>
          <w:szCs w:val="32"/>
          <w:highlight w:val="none"/>
          <w:lang w:val="en-US" w:eastAsia="zh-CN"/>
        </w:rPr>
        <w:t>③管理措施及组织实施情况；</w:t>
      </w:r>
      <w:bookmarkEnd w:id="92"/>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3" w:name="_Toc10091"/>
      <w:r>
        <w:rPr>
          <w:rFonts w:hint="eastAsia" w:ascii="Times New Roman" w:hAnsi="Times New Roman" w:eastAsia="仿宋_GB2312" w:cs="Times New Roman"/>
          <w:color w:val="000000"/>
          <w:spacing w:val="17"/>
          <w:sz w:val="32"/>
          <w:szCs w:val="32"/>
          <w:highlight w:val="none"/>
          <w:lang w:val="en-US" w:eastAsia="zh-CN"/>
        </w:rPr>
        <w:t>④被评价单位总结分析的绩效目标完成情况及绩效报告；</w:t>
      </w:r>
      <w:bookmarkEnd w:id="93"/>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4" w:name="_Toc1"/>
      <w:r>
        <w:rPr>
          <w:rFonts w:hint="eastAsia" w:ascii="Times New Roman" w:hAnsi="Times New Roman" w:eastAsia="仿宋_GB2312" w:cs="Times New Roman"/>
          <w:color w:val="000000"/>
          <w:spacing w:val="17"/>
          <w:sz w:val="32"/>
          <w:szCs w:val="32"/>
          <w:highlight w:val="none"/>
          <w:lang w:val="en-US" w:eastAsia="zh-CN"/>
        </w:rPr>
        <w:t>⑤与绩效评价相关的计划标准、行业标准、历史标准等；</w:t>
      </w:r>
      <w:bookmarkEnd w:id="94"/>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5" w:name="_Toc20059"/>
      <w:r>
        <w:rPr>
          <w:rFonts w:hint="eastAsia" w:ascii="Times New Roman" w:hAnsi="Times New Roman" w:eastAsia="仿宋_GB2312" w:cs="Times New Roman"/>
          <w:color w:val="000000"/>
          <w:spacing w:val="17"/>
          <w:sz w:val="32"/>
          <w:szCs w:val="32"/>
          <w:highlight w:val="none"/>
          <w:lang w:val="en-US" w:eastAsia="zh-CN"/>
        </w:rPr>
        <w:t>⑥其他必要的相关资料等。</w:t>
      </w:r>
      <w:bookmarkEnd w:id="95"/>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6" w:name="_Toc31911"/>
      <w:r>
        <w:rPr>
          <w:rFonts w:hint="eastAsia" w:ascii="Times New Roman" w:hAnsi="Times New Roman" w:eastAsia="仿宋_GB2312" w:cs="Times New Roman"/>
          <w:color w:val="000000"/>
          <w:spacing w:val="17"/>
          <w:sz w:val="32"/>
          <w:szCs w:val="32"/>
          <w:highlight w:val="none"/>
          <w:lang w:val="en-US" w:eastAsia="zh-CN"/>
        </w:rPr>
        <w:t>（2）整理、研读基础资料</w:t>
      </w:r>
      <w:bookmarkEnd w:id="96"/>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7" w:name="_Toc167"/>
      <w:r>
        <w:rPr>
          <w:rFonts w:hint="eastAsia" w:ascii="Times New Roman" w:hAnsi="Times New Roman" w:eastAsia="仿宋_GB2312" w:cs="Times New Roman"/>
          <w:color w:val="000000"/>
          <w:spacing w:val="17"/>
          <w:sz w:val="32"/>
          <w:szCs w:val="32"/>
          <w:highlight w:val="none"/>
          <w:lang w:val="en-US" w:eastAsia="zh-CN"/>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97"/>
    </w:p>
    <w:p>
      <w:pPr>
        <w:spacing w:line="560" w:lineRule="exact"/>
        <w:ind w:firstLine="711" w:firstLineChars="200"/>
        <w:rPr>
          <w:rFonts w:hint="default" w:ascii="Times New Roman" w:hAnsi="Times New Roman" w:eastAsia="仿宋_GB2312" w:cs="Times New Roman"/>
          <w:b/>
          <w:bCs/>
          <w:color w:val="000000"/>
          <w:spacing w:val="17"/>
          <w:sz w:val="32"/>
          <w:szCs w:val="32"/>
          <w:highlight w:val="none"/>
          <w:lang w:val="en-US" w:eastAsia="zh-CN"/>
        </w:rPr>
      </w:pPr>
      <w:bookmarkStart w:id="98" w:name="_Toc30513"/>
      <w:r>
        <w:rPr>
          <w:rFonts w:hint="eastAsia" w:ascii="Times New Roman" w:hAnsi="Times New Roman" w:eastAsia="仿宋_GB2312" w:cs="Times New Roman"/>
          <w:b/>
          <w:bCs/>
          <w:color w:val="000000"/>
          <w:spacing w:val="17"/>
          <w:sz w:val="32"/>
          <w:szCs w:val="32"/>
          <w:highlight w:val="none"/>
          <w:lang w:val="en-US" w:eastAsia="zh-CN"/>
        </w:rPr>
        <w:t>3.分析评价和撰写报告</w:t>
      </w:r>
      <w:bookmarkEnd w:id="98"/>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99" w:name="_Toc15974"/>
      <w:r>
        <w:rPr>
          <w:rFonts w:hint="eastAsia" w:ascii="Times New Roman" w:hAnsi="Times New Roman" w:eastAsia="仿宋_GB2312" w:cs="Times New Roman"/>
          <w:color w:val="000000"/>
          <w:spacing w:val="17"/>
          <w:sz w:val="32"/>
          <w:szCs w:val="32"/>
          <w:highlight w:val="none"/>
          <w:lang w:eastAsia="zh-CN"/>
        </w:rPr>
        <w:t>（</w:t>
      </w:r>
      <w:r>
        <w:rPr>
          <w:rFonts w:hint="eastAsia" w:ascii="Times New Roman" w:hAnsi="Times New Roman" w:eastAsia="仿宋_GB2312" w:cs="Times New Roman"/>
          <w:color w:val="000000"/>
          <w:spacing w:val="17"/>
          <w:sz w:val="32"/>
          <w:szCs w:val="32"/>
          <w:highlight w:val="none"/>
          <w:lang w:val="en-US" w:eastAsia="zh-CN"/>
        </w:rPr>
        <w:t>1）综合分析评价</w:t>
      </w:r>
      <w:bookmarkEnd w:id="99"/>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0" w:name="_Toc4352"/>
      <w:r>
        <w:rPr>
          <w:rFonts w:hint="eastAsia" w:ascii="Times New Roman" w:hAnsi="Times New Roman" w:eastAsia="仿宋_GB2312" w:cs="Times New Roman"/>
          <w:color w:val="000000"/>
          <w:spacing w:val="17"/>
          <w:sz w:val="32"/>
          <w:szCs w:val="32"/>
          <w:highlight w:val="none"/>
          <w:lang w:val="en-US" w:eastAsia="zh-CN"/>
        </w:rPr>
        <w:t>①根据所收集的基础资料，结合现场核查的有关情况，整理出绩效评价所需的项目材料和基础数据。</w:t>
      </w:r>
      <w:bookmarkEnd w:id="100"/>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1" w:name="_Toc26231"/>
      <w:r>
        <w:rPr>
          <w:rFonts w:hint="eastAsia" w:ascii="Times New Roman" w:hAnsi="Times New Roman" w:eastAsia="仿宋_GB2312" w:cs="Times New Roman"/>
          <w:color w:val="000000"/>
          <w:spacing w:val="17"/>
          <w:sz w:val="32"/>
          <w:szCs w:val="32"/>
          <w:highlight w:val="none"/>
          <w:lang w:val="en-US" w:eastAsia="zh-CN"/>
        </w:rPr>
        <w:t>②将初步评价结论、调整事项、专家咨询意见和有关说明等提交单位内部讨论并征求意见。之后，对所征求的意见及时地进行收集和整理。</w:t>
      </w:r>
      <w:bookmarkEnd w:id="101"/>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2" w:name="_Toc27759"/>
      <w:r>
        <w:rPr>
          <w:rFonts w:hint="eastAsia" w:ascii="Times New Roman" w:hAnsi="Times New Roman" w:eastAsia="仿宋_GB2312" w:cs="Times New Roman"/>
          <w:color w:val="000000"/>
          <w:spacing w:val="17"/>
          <w:sz w:val="32"/>
          <w:szCs w:val="32"/>
          <w:highlight w:val="none"/>
          <w:lang w:val="en-US" w:eastAsia="zh-CN"/>
        </w:rPr>
        <w:t>（2）撰写报告</w:t>
      </w:r>
      <w:bookmarkEnd w:id="102"/>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en-US" w:eastAsia="zh-CN"/>
        </w:rPr>
      </w:pPr>
      <w:bookmarkStart w:id="103" w:name="_Toc15579"/>
      <w:r>
        <w:rPr>
          <w:rFonts w:hint="eastAsia" w:ascii="Times New Roman" w:hAnsi="Times New Roman" w:eastAsia="仿宋_GB2312" w:cs="Times New Roman"/>
          <w:color w:val="000000"/>
          <w:spacing w:val="17"/>
          <w:sz w:val="32"/>
          <w:szCs w:val="32"/>
          <w:highlight w:val="none"/>
          <w:lang w:val="en-US" w:eastAsia="zh-CN"/>
        </w:rPr>
        <w:t>绩效评价项目小组依照整理、分析后的项目材料、数据资料，依据评价形成的初步结论，按照既定的格式和内容要求撰写绩效评价初步报告，最终形成评价结果。</w:t>
      </w:r>
      <w:bookmarkEnd w:id="103"/>
    </w:p>
    <w:p>
      <w:pPr>
        <w:pStyle w:val="2"/>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14:textFill>
            <w14:solidFill>
              <w14:schemeClr w14:val="tx1"/>
            </w14:solidFill>
          </w14:textFill>
        </w:rPr>
      </w:pPr>
      <w:bookmarkStart w:id="104" w:name="_Toc19261"/>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三、</w:t>
      </w:r>
      <w:r>
        <w:rPr>
          <w:rFonts w:hint="eastAsia" w:ascii="黑体" w:hAnsi="黑体" w:eastAsia="黑体" w:cs="黑体"/>
          <w:b w:val="0"/>
          <w:bCs w:val="0"/>
          <w:color w:val="000000" w:themeColor="text1"/>
          <w:highlight w:val="none"/>
          <w:shd w:val="clear" w:color="auto" w:fill="auto"/>
          <w14:textFill>
            <w14:solidFill>
              <w14:schemeClr w14:val="tx1"/>
            </w14:solidFill>
          </w14:textFill>
        </w:rPr>
        <w:t>综合评价情况及评价结论</w:t>
      </w:r>
      <w:bookmarkEnd w:id="104"/>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105" w:name="_Toc23319"/>
      <w:r>
        <w:rPr>
          <w:rFonts w:hint="eastAsia" w:ascii="Times New Roman" w:hAnsi="Times New Roman" w:eastAsia="楷体_GB2312" w:cs="Times New Roman"/>
          <w:kern w:val="28"/>
          <w:sz w:val="32"/>
          <w:lang w:val="en-US" w:eastAsia="zh-CN"/>
        </w:rPr>
        <w:t>（一）综合评价情况及评价结论</w:t>
      </w:r>
      <w:bookmarkEnd w:id="105"/>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党校搬迁改造项目</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sz w:val="32"/>
          <w:szCs w:val="32"/>
          <w:highlight w:val="none"/>
          <w:lang w:val="en-US" w:eastAsia="zh-CN"/>
        </w:rPr>
        <w:t>项目产出方面完成较好</w:t>
      </w:r>
      <w:r>
        <w:rPr>
          <w:rFonts w:hint="default" w:ascii="Times New Roman" w:hAnsi="Times New Roman" w:eastAsia="仿宋_GB2312" w:cs="Times New Roman"/>
          <w:sz w:val="32"/>
          <w:szCs w:val="32"/>
          <w:highlight w:val="none"/>
        </w:rPr>
        <w:t>，达到了预期的标准与要求。</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中共阜康市委员会党校</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w:t>
      </w:r>
      <w:r>
        <w:rPr>
          <w:rFonts w:hint="default" w:ascii="Times New Roman" w:hAnsi="Times New Roman" w:eastAsia="仿宋_GB2312" w:cs="Times New Roman"/>
          <w:color w:val="auto"/>
          <w:sz w:val="32"/>
          <w:szCs w:val="32"/>
          <w:highlight w:val="none"/>
        </w:rPr>
        <w:t>本项目不仅实现了预期的社会效益方面产生了积极的影响。具体而言，</w:t>
      </w:r>
      <w:r>
        <w:rPr>
          <w:rFonts w:hint="eastAsia" w:ascii="Times New Roman" w:hAnsi="Times New Roman" w:eastAsia="仿宋_GB2312" w:cs="Times New Roman"/>
          <w:color w:val="auto"/>
          <w:sz w:val="32"/>
          <w:szCs w:val="32"/>
          <w:highlight w:val="none"/>
          <w:lang w:val="en-US" w:eastAsia="zh-CN"/>
        </w:rPr>
        <w:t>教学培训硬件条件，确保教学活动有序开展、建好党的理论研究基地，大力提高科研质量</w:t>
      </w:r>
      <w:r>
        <w:rPr>
          <w:rFonts w:hint="default" w:ascii="Times New Roman" w:hAnsi="Times New Roman" w:eastAsia="仿宋_GB2312" w:cs="Times New Roman"/>
          <w:color w:val="auto"/>
          <w:sz w:val="32"/>
          <w:szCs w:val="32"/>
          <w:highlight w:val="none"/>
        </w:rPr>
        <w:t>等方面的提升，为项目</w:t>
      </w:r>
      <w:r>
        <w:rPr>
          <w:rFonts w:hint="default" w:ascii="Times New Roman" w:hAnsi="Times New Roman" w:eastAsia="仿宋_GB2312" w:cs="Times New Roman"/>
          <w:sz w:val="32"/>
          <w:szCs w:val="32"/>
          <w:highlight w:val="none"/>
        </w:rPr>
        <w:t>的利益相关者带来了实实在在的利益。</w:t>
      </w:r>
    </w:p>
    <w:p>
      <w:pPr>
        <w:pStyle w:val="13"/>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color w:val="auto"/>
          <w:sz w:val="32"/>
          <w:szCs w:val="32"/>
          <w:highlight w:val="none"/>
          <w:lang w:val="en-US" w:eastAsia="zh-CN"/>
        </w:rPr>
        <w:t>党校搬迁改造项目</w:t>
      </w:r>
      <w:r>
        <w:rPr>
          <w:rFonts w:hint="default" w:ascii="Times New Roman" w:hAnsi="Times New Roman" w:eastAsia="仿宋_GB2312" w:cs="Times New Roman"/>
          <w:color w:val="auto"/>
          <w:sz w:val="32"/>
          <w:szCs w:val="32"/>
          <w:highlight w:val="none"/>
        </w:rPr>
        <w:t>在绩</w:t>
      </w:r>
      <w:r>
        <w:rPr>
          <w:rFonts w:hint="default" w:ascii="Times New Roman" w:hAnsi="Times New Roman" w:eastAsia="仿宋_GB2312" w:cs="Times New Roman"/>
          <w:sz w:val="32"/>
          <w:szCs w:val="32"/>
          <w:highlight w:val="none"/>
        </w:rPr>
        <w:t>效评价中表现出色，达到了项目的预期目标，并在多个方面取得了显著的成效</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评价等级为优。</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106" w:name="_Toc11863"/>
      <w:r>
        <w:rPr>
          <w:rFonts w:hint="eastAsia" w:ascii="Times New Roman" w:hAnsi="Times New Roman" w:eastAsia="楷体_GB2312" w:cs="Times New Roman"/>
          <w:kern w:val="28"/>
          <w:sz w:val="32"/>
          <w:lang w:val="en-US" w:eastAsia="zh-CN"/>
        </w:rPr>
        <w:t>（二）相关评分表</w:t>
      </w:r>
      <w:bookmarkEnd w:id="106"/>
    </w:p>
    <w:p>
      <w:pPr>
        <w:spacing w:line="560" w:lineRule="exact"/>
        <w:ind w:firstLine="708" w:firstLineChars="200"/>
        <w:rPr>
          <w:rFonts w:hint="eastAsia" w:ascii="Times New Roman" w:hAnsi="Times New Roman" w:eastAsia="仿宋_GB2312" w:cs="Times New Roman"/>
          <w:color w:val="000000"/>
          <w:spacing w:val="17"/>
          <w:sz w:val="32"/>
          <w:szCs w:val="32"/>
          <w:highlight w:val="none"/>
          <w:lang w:val="zh-TW" w:eastAsia="zh-TW"/>
        </w:rPr>
      </w:pPr>
      <w:r>
        <w:rPr>
          <w:rFonts w:hint="eastAsia" w:ascii="Times New Roman" w:hAnsi="Times New Roman" w:eastAsia="仿宋_GB2312" w:cs="Times New Roman"/>
          <w:color w:val="000000"/>
          <w:spacing w:val="17"/>
          <w:sz w:val="32"/>
          <w:szCs w:val="32"/>
          <w:highlight w:val="none"/>
          <w:lang w:val="en-US" w:eastAsia="zh-CN"/>
        </w:rPr>
        <w:t>此次绩效评价</w:t>
      </w:r>
      <w:r>
        <w:rPr>
          <w:rFonts w:hint="eastAsia" w:ascii="Times New Roman" w:hAnsi="Times New Roman" w:eastAsia="仿宋_GB2312" w:cs="Times New Roman"/>
          <w:color w:val="000000"/>
          <w:spacing w:val="17"/>
          <w:sz w:val="32"/>
          <w:szCs w:val="32"/>
          <w:highlight w:val="none"/>
          <w:lang w:val="zh-TW" w:eastAsia="zh-TW"/>
        </w:rPr>
        <w:t>通过组论证的评价指标体系及评分标准，</w:t>
      </w:r>
      <w:r>
        <w:rPr>
          <w:rFonts w:hint="eastAsia" w:ascii="Times New Roman" w:hAnsi="Times New Roman" w:eastAsia="仿宋_GB2312" w:cs="Times New Roman"/>
          <w:color w:val="000000"/>
          <w:spacing w:val="17"/>
          <w:sz w:val="32"/>
          <w:szCs w:val="32"/>
          <w:highlight w:val="none"/>
          <w:lang w:val="en-US" w:eastAsia="zh-CN"/>
        </w:rPr>
        <w:t>采用的方法比较法、因素分析法、公众评判法，</w:t>
      </w:r>
      <w:r>
        <w:rPr>
          <w:rFonts w:hint="eastAsia" w:ascii="Times New Roman" w:hAnsi="Times New Roman" w:eastAsia="仿宋_GB2312" w:cs="Times New Roman"/>
          <w:color w:val="000000"/>
          <w:spacing w:val="17"/>
          <w:sz w:val="32"/>
          <w:szCs w:val="32"/>
          <w:highlight w:val="none"/>
          <w:lang w:val="zh-TW" w:eastAsia="zh-TW"/>
        </w:rPr>
        <w:t>对</w:t>
      </w:r>
      <w:r>
        <w:rPr>
          <w:rFonts w:hint="eastAsia" w:ascii="Times New Roman" w:hAnsi="Times New Roman" w:eastAsia="仿宋_GB2312" w:cs="Times New Roman"/>
          <w:color w:val="auto"/>
          <w:sz w:val="32"/>
          <w:szCs w:val="32"/>
          <w:highlight w:val="none"/>
          <w:lang w:val="en-US" w:eastAsia="zh-CN"/>
        </w:rPr>
        <w:t>党校搬迁改造项目</w:t>
      </w:r>
      <w:r>
        <w:rPr>
          <w:rFonts w:hint="eastAsia" w:ascii="Times New Roman" w:hAnsi="Times New Roman" w:eastAsia="仿宋_GB2312" w:cs="Times New Roman"/>
          <w:color w:val="000000"/>
          <w:spacing w:val="17"/>
          <w:sz w:val="32"/>
          <w:szCs w:val="32"/>
          <w:highlight w:val="none"/>
          <w:lang w:val="zh-TW" w:eastAsia="zh-TW"/>
        </w:rPr>
        <w:t>绩效进行客观评价，最终评分结果：</w:t>
      </w:r>
      <w:r>
        <w:rPr>
          <w:rFonts w:hint="default" w:ascii="Times New Roman" w:hAnsi="Times New Roman" w:eastAsia="仿宋_GB2312" w:cs="Times New Roman"/>
          <w:color w:val="000000"/>
          <w:spacing w:val="17"/>
          <w:sz w:val="32"/>
          <w:szCs w:val="32"/>
          <w:highlight w:val="none"/>
          <w:lang w:val="en-US" w:eastAsia="zh-CN"/>
        </w:rPr>
        <w:t>总得分</w:t>
      </w:r>
      <w:r>
        <w:rPr>
          <w:rFonts w:hint="default" w:ascii="Times New Roman" w:hAnsi="Times New Roman" w:eastAsia="仿宋_GB2312" w:cs="Times New Roman"/>
          <w:color w:val="auto"/>
          <w:spacing w:val="17"/>
          <w:sz w:val="32"/>
          <w:szCs w:val="32"/>
          <w:highlight w:val="none"/>
          <w:lang w:val="en-US" w:eastAsia="zh-CN"/>
        </w:rPr>
        <w:t>为</w:t>
      </w:r>
      <w:r>
        <w:rPr>
          <w:rFonts w:hint="eastAsia" w:ascii="Times New Roman" w:hAnsi="Times New Roman" w:eastAsia="仿宋_GB2312" w:cs="Times New Roman"/>
          <w:color w:val="auto"/>
          <w:spacing w:val="17"/>
          <w:sz w:val="32"/>
          <w:szCs w:val="32"/>
          <w:highlight w:val="none"/>
          <w:lang w:val="en-US" w:eastAsia="zh-CN"/>
        </w:rPr>
        <w:t>99.58</w:t>
      </w:r>
      <w:r>
        <w:rPr>
          <w:rFonts w:hint="default" w:ascii="Times New Roman" w:hAnsi="Times New Roman" w:eastAsia="仿宋_GB2312" w:cs="Times New Roman"/>
          <w:color w:val="auto"/>
          <w:spacing w:val="17"/>
          <w:sz w:val="32"/>
          <w:szCs w:val="32"/>
          <w:highlight w:val="none"/>
          <w:lang w:val="en-US" w:eastAsia="zh-CN"/>
        </w:rPr>
        <w:t>分，属于“优”。其中，项目决策类指标权重为20分，得分为</w:t>
      </w:r>
      <w:r>
        <w:rPr>
          <w:rFonts w:hint="eastAsia" w:ascii="Times New Roman" w:hAnsi="Times New Roman" w:eastAsia="仿宋_GB2312" w:cs="Times New Roman"/>
          <w:color w:val="auto"/>
          <w:spacing w:val="17"/>
          <w:sz w:val="32"/>
          <w:szCs w:val="32"/>
          <w:highlight w:val="none"/>
          <w:lang w:val="en-US" w:eastAsia="zh-CN"/>
        </w:rPr>
        <w:t>19</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95</w:t>
      </w:r>
      <w:r>
        <w:rPr>
          <w:rFonts w:hint="default" w:ascii="Times New Roman" w:hAnsi="Times New Roman" w:eastAsia="仿宋_GB2312" w:cs="Times New Roman"/>
          <w:color w:val="auto"/>
          <w:spacing w:val="17"/>
          <w:sz w:val="32"/>
          <w:szCs w:val="32"/>
          <w:highlight w:val="none"/>
          <w:lang w:val="en-US" w:eastAsia="zh-CN"/>
        </w:rPr>
        <w:t>%。项目过程类指标权重为20分，得分为</w:t>
      </w:r>
      <w:r>
        <w:rPr>
          <w:rFonts w:hint="eastAsia" w:ascii="Times New Roman" w:hAnsi="Times New Roman" w:eastAsia="仿宋_GB2312" w:cs="Times New Roman"/>
          <w:color w:val="auto"/>
          <w:spacing w:val="17"/>
          <w:sz w:val="32"/>
          <w:szCs w:val="32"/>
          <w:highlight w:val="none"/>
          <w:lang w:val="en-US" w:eastAsia="zh-CN"/>
        </w:rPr>
        <w:t>20</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%。项目产出类指标权重为40分，得分为</w:t>
      </w:r>
      <w:r>
        <w:rPr>
          <w:rFonts w:hint="eastAsia" w:ascii="Times New Roman" w:hAnsi="Times New Roman" w:eastAsia="仿宋_GB2312" w:cs="Times New Roman"/>
          <w:color w:val="auto"/>
          <w:spacing w:val="17"/>
          <w:sz w:val="32"/>
          <w:szCs w:val="32"/>
          <w:highlight w:val="none"/>
          <w:lang w:val="en-US" w:eastAsia="zh-CN"/>
        </w:rPr>
        <w:t>40</w:t>
      </w:r>
      <w:r>
        <w:rPr>
          <w:rFonts w:hint="default" w:ascii="Times New Roman" w:hAnsi="Times New Roman" w:eastAsia="仿宋_GB2312" w:cs="Times New Roman"/>
          <w:color w:val="auto"/>
          <w:spacing w:val="17"/>
          <w:sz w:val="32"/>
          <w:szCs w:val="32"/>
          <w:highlight w:val="none"/>
          <w:lang w:val="en-US" w:eastAsia="zh-CN"/>
        </w:rPr>
        <w:t>分，得分率为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%。项目效益类指标权重为20分，得分为</w:t>
      </w:r>
      <w:r>
        <w:rPr>
          <w:rFonts w:hint="eastAsia" w:ascii="Times New Roman" w:hAnsi="Times New Roman" w:eastAsia="仿宋_GB2312" w:cs="Times New Roman"/>
          <w:color w:val="auto"/>
          <w:spacing w:val="17"/>
          <w:sz w:val="32"/>
          <w:szCs w:val="32"/>
          <w:highlight w:val="none"/>
          <w:shd w:val="clear"/>
          <w:lang w:val="en-US" w:eastAsia="zh-CN"/>
        </w:rPr>
        <w:t>20</w:t>
      </w:r>
      <w:r>
        <w:rPr>
          <w:rFonts w:hint="default" w:ascii="Times New Roman" w:hAnsi="Times New Roman" w:eastAsia="仿宋_GB2312" w:cs="Times New Roman"/>
          <w:color w:val="auto"/>
          <w:spacing w:val="17"/>
          <w:sz w:val="32"/>
          <w:szCs w:val="32"/>
          <w:highlight w:val="none"/>
          <w:shd w:val="clear"/>
          <w:lang w:val="en-US" w:eastAsia="zh-CN"/>
        </w:rPr>
        <w:t>分，</w:t>
      </w:r>
      <w:r>
        <w:rPr>
          <w:rFonts w:hint="default" w:ascii="Times New Roman" w:hAnsi="Times New Roman" w:eastAsia="仿宋_GB2312" w:cs="Times New Roman"/>
          <w:color w:val="auto"/>
          <w:spacing w:val="17"/>
          <w:sz w:val="32"/>
          <w:szCs w:val="32"/>
          <w:highlight w:val="none"/>
          <w:lang w:val="en-US" w:eastAsia="zh-CN"/>
        </w:rPr>
        <w:t>得分率为</w:t>
      </w:r>
      <w:r>
        <w:rPr>
          <w:rFonts w:hint="eastAsia" w:ascii="Times New Roman" w:hAnsi="Times New Roman" w:eastAsia="仿宋_GB2312" w:cs="Times New Roman"/>
          <w:color w:val="auto"/>
          <w:spacing w:val="17"/>
          <w:sz w:val="32"/>
          <w:szCs w:val="32"/>
          <w:highlight w:val="none"/>
          <w:lang w:val="en-US" w:eastAsia="zh-CN"/>
        </w:rPr>
        <w:t>100</w:t>
      </w:r>
      <w:r>
        <w:rPr>
          <w:rFonts w:hint="default" w:ascii="Times New Roman" w:hAnsi="Times New Roman" w:eastAsia="仿宋_GB2312" w:cs="Times New Roman"/>
          <w:color w:val="auto"/>
          <w:spacing w:val="17"/>
          <w:sz w:val="32"/>
          <w:szCs w:val="32"/>
          <w:highlight w:val="none"/>
          <w:lang w:val="en-US" w:eastAsia="zh-CN"/>
        </w:rPr>
        <w:t>%。</w:t>
      </w:r>
      <w:r>
        <w:rPr>
          <w:rFonts w:hint="eastAsia" w:ascii="Times New Roman" w:hAnsi="Times New Roman" w:eastAsia="仿宋_GB2312" w:cs="Times New Roman"/>
          <w:color w:val="auto"/>
          <w:spacing w:val="17"/>
          <w:sz w:val="32"/>
          <w:szCs w:val="32"/>
          <w:highlight w:val="none"/>
          <w:lang w:val="zh-TW" w:eastAsia="zh-TW"/>
        </w:rPr>
        <w:t>各部分权重和绩效</w:t>
      </w:r>
      <w:r>
        <w:rPr>
          <w:rFonts w:hint="eastAsia" w:ascii="Times New Roman" w:hAnsi="Times New Roman" w:eastAsia="仿宋_GB2312" w:cs="Times New Roman"/>
          <w:color w:val="auto"/>
          <w:spacing w:val="17"/>
          <w:sz w:val="32"/>
          <w:szCs w:val="32"/>
          <w:highlight w:val="none"/>
          <w:lang w:val="en-US" w:eastAsia="zh-CN"/>
        </w:rPr>
        <w:t>汇</w:t>
      </w:r>
      <w:r>
        <w:rPr>
          <w:rFonts w:hint="eastAsia" w:ascii="Times New Roman" w:hAnsi="Times New Roman" w:eastAsia="仿宋_GB2312" w:cs="Times New Roman"/>
          <w:color w:val="000000"/>
          <w:spacing w:val="17"/>
          <w:sz w:val="32"/>
          <w:szCs w:val="32"/>
          <w:highlight w:val="none"/>
          <w:lang w:val="en-US" w:eastAsia="zh-CN"/>
        </w:rPr>
        <w:t>总</w:t>
      </w:r>
      <w:r>
        <w:rPr>
          <w:rFonts w:hint="eastAsia" w:ascii="Times New Roman" w:hAnsi="Times New Roman" w:eastAsia="仿宋_GB2312" w:cs="Times New Roman"/>
          <w:color w:val="000000"/>
          <w:spacing w:val="17"/>
          <w:sz w:val="32"/>
          <w:szCs w:val="32"/>
          <w:highlight w:val="none"/>
          <w:lang w:val="zh-TW" w:eastAsia="zh-TW"/>
        </w:rPr>
        <w:t>分值如下表</w:t>
      </w:r>
      <w:r>
        <w:rPr>
          <w:rFonts w:hint="eastAsia" w:ascii="Times New Roman" w:hAnsi="Times New Roman" w:eastAsia="仿宋_GB2312" w:cs="Times New Roman"/>
          <w:color w:val="000000"/>
          <w:spacing w:val="17"/>
          <w:sz w:val="32"/>
          <w:szCs w:val="32"/>
          <w:highlight w:val="none"/>
          <w:lang w:val="en-US" w:eastAsia="zh-CN"/>
        </w:rPr>
        <w:t>3-1</w:t>
      </w:r>
      <w:r>
        <w:rPr>
          <w:rFonts w:hint="eastAsia" w:ascii="Times New Roman" w:hAnsi="Times New Roman" w:eastAsia="仿宋_GB2312" w:cs="Times New Roman"/>
          <w:color w:val="000000"/>
          <w:spacing w:val="17"/>
          <w:sz w:val="32"/>
          <w:szCs w:val="32"/>
          <w:highlight w:val="none"/>
          <w:lang w:val="zh-TW" w:eastAsia="zh-TW"/>
        </w:rPr>
        <w:t>所示</w:t>
      </w:r>
      <w:r>
        <w:rPr>
          <w:rFonts w:hint="eastAsia" w:ascii="Times New Roman" w:hAnsi="Times New Roman" w:eastAsia="仿宋_GB2312" w:cs="Times New Roman"/>
          <w:color w:val="000000"/>
          <w:spacing w:val="17"/>
          <w:sz w:val="32"/>
          <w:szCs w:val="32"/>
          <w:highlight w:val="none"/>
          <w:lang w:val="zh-TW" w:eastAsia="zh-CN"/>
        </w:rPr>
        <w:t>（</w:t>
      </w:r>
      <w:r>
        <w:rPr>
          <w:rFonts w:hint="eastAsia" w:ascii="Times New Roman" w:hAnsi="Times New Roman" w:eastAsia="仿宋_GB2312" w:cs="Times New Roman"/>
          <w:color w:val="000000"/>
          <w:spacing w:val="17"/>
          <w:sz w:val="32"/>
          <w:szCs w:val="32"/>
          <w:highlight w:val="none"/>
          <w:lang w:val="en-US" w:eastAsia="zh-CN"/>
        </w:rPr>
        <w:t>详见上传的附件</w:t>
      </w:r>
      <w:r>
        <w:rPr>
          <w:rFonts w:hint="eastAsia" w:ascii="Times New Roman" w:hAnsi="Times New Roman" w:eastAsia="仿宋_GB2312" w:cs="Times New Roman"/>
          <w:color w:val="000000"/>
          <w:spacing w:val="17"/>
          <w:sz w:val="32"/>
          <w:szCs w:val="32"/>
          <w:highlight w:val="none"/>
          <w:lang w:val="zh-TW" w:eastAsia="zh-CN"/>
        </w:rPr>
        <w:t>）</w:t>
      </w:r>
      <w:r>
        <w:rPr>
          <w:rFonts w:hint="eastAsia" w:ascii="Times New Roman" w:hAnsi="Times New Roman" w:eastAsia="仿宋_GB2312" w:cs="Times New Roman"/>
          <w:color w:val="000000"/>
          <w:spacing w:val="17"/>
          <w:sz w:val="32"/>
          <w:szCs w:val="32"/>
          <w:highlight w:val="none"/>
          <w:lang w:val="zh-TW" w:eastAsia="zh-TW"/>
        </w:rPr>
        <w:t>：</w:t>
      </w:r>
    </w:p>
    <w:tbl>
      <w:tblPr>
        <w:tblStyle w:val="16"/>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表3-1：党校搬迁改造项目得分表</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40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pPr>
        <w:pStyle w:val="2"/>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auto"/>
          <w:highlight w:val="none"/>
          <w:shd w:val="clear" w:color="auto" w:fill="auto"/>
          <w:lang w:val="en-US" w:eastAsia="zh-CN"/>
        </w:rPr>
      </w:pPr>
      <w:bookmarkStart w:id="107" w:name="_Toc14941"/>
      <w:r>
        <w:rPr>
          <w:rFonts w:hint="eastAsia" w:ascii="黑体" w:hAnsi="黑体" w:eastAsia="黑体" w:cs="黑体"/>
          <w:b w:val="0"/>
          <w:bCs w:val="0"/>
          <w:color w:val="auto"/>
          <w:highlight w:val="none"/>
          <w:shd w:val="clear" w:color="auto" w:fill="auto"/>
          <w:lang w:val="en-US" w:eastAsia="zh-CN"/>
        </w:rPr>
        <w:t>四、绩效评价指标分析</w:t>
      </w:r>
      <w:bookmarkEnd w:id="107"/>
    </w:p>
    <w:p>
      <w:pPr>
        <w:pStyle w:val="14"/>
        <w:widowControl/>
        <w:spacing w:before="0" w:beforeLines="-2147483648" w:after="0" w:afterLines="-2147483648" w:line="560" w:lineRule="exact"/>
        <w:ind w:firstLine="643" w:firstLineChars="200"/>
        <w:jc w:val="both"/>
        <w:rPr>
          <w:rFonts w:hint="eastAsia" w:ascii="Times New Roman" w:hAnsi="Times New Roman" w:eastAsia="楷体_GB2312" w:cs="Times New Roman"/>
          <w:color w:val="auto"/>
          <w:kern w:val="28"/>
          <w:sz w:val="32"/>
        </w:rPr>
      </w:pPr>
      <w:bookmarkStart w:id="108" w:name="_Toc6759"/>
      <w:r>
        <w:rPr>
          <w:rFonts w:hint="eastAsia" w:ascii="Times New Roman" w:hAnsi="Times New Roman" w:eastAsia="楷体_GB2312" w:cs="Times New Roman"/>
          <w:color w:val="auto"/>
          <w:kern w:val="28"/>
          <w:sz w:val="32"/>
        </w:rPr>
        <w:t>（一）项目决策情况</w:t>
      </w:r>
      <w:bookmarkEnd w:id="108"/>
    </w:p>
    <w:p>
      <w:pPr>
        <w:keepNext w:val="0"/>
        <w:keepLines w:val="0"/>
        <w:pageBreakBefore w:val="0"/>
        <w:widowControl w:val="0"/>
        <w:kinsoku/>
        <w:wordWrap/>
        <w:overflowPunct/>
        <w:topLinePunct w:val="0"/>
        <w:autoSpaceDE/>
        <w:autoSpaceDN/>
        <w:bidi w:val="0"/>
        <w:adjustRightInd/>
        <w:snapToGrid/>
        <w:spacing w:line="560" w:lineRule="exact"/>
        <w:ind w:firstLine="723"/>
        <w:textAlignment w:val="auto"/>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项目决策由3个二级指标和6个三级指标构成，权重分20分，实际得分19分，</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4</w:t>
      </w:r>
      <w:r>
        <w:rPr>
          <w:rFonts w:hint="eastAsia" w:ascii="仿宋_GB2312" w:hAnsi="仿宋_GB2312" w:eastAsia="仿宋_GB2312" w:cs="仿宋_GB2312"/>
          <w:b/>
          <w:bCs/>
          <w:color w:val="auto"/>
          <w:kern w:val="2"/>
          <w:sz w:val="32"/>
          <w:szCs w:val="32"/>
          <w:highlight w:val="none"/>
          <w:u w:color="000000"/>
          <w:shd w:val="clear" w:color="auto" w:fill="auto"/>
          <w:lang w:eastAsia="zh-CN"/>
        </w:rPr>
        <w:t>-1</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b/>
          <w:bCs/>
          <w:color w:val="auto"/>
          <w:sz w:val="32"/>
          <w:szCs w:val="32"/>
          <w:highlight w:val="none"/>
          <w:shd w:val="clear" w:color="auto" w:fill="auto"/>
          <w:lang w:val="en-US" w:eastAsia="zh-CN"/>
        </w:rPr>
        <w:t>详见上传的附件二</w:t>
      </w:r>
      <w:r>
        <w:rPr>
          <w:rFonts w:hint="eastAsia" w:ascii="仿宋_GB2312" w:hAnsi="仿宋_GB2312" w:eastAsia="仿宋_GB2312" w:cs="仿宋_GB2312"/>
          <w:b/>
          <w:bCs/>
          <w:color w:val="auto"/>
          <w:sz w:val="32"/>
          <w:szCs w:val="32"/>
          <w:highlight w:val="none"/>
          <w:shd w:val="clear" w:color="auto" w:fill="auto"/>
          <w:lang w:val="zh-TW" w:eastAsia="zh-CN"/>
        </w:rPr>
        <w:t>）</w:t>
      </w:r>
      <w:r>
        <w:rPr>
          <w:rFonts w:hint="eastAsia" w:ascii="仿宋_GB2312" w:hAnsi="仿宋_GB2312" w:eastAsia="仿宋_GB2312" w:cs="仿宋_GB2312"/>
          <w:color w:val="auto"/>
          <w:sz w:val="32"/>
          <w:szCs w:val="32"/>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仿宋_GB2312" w:hAnsi="仿宋_GB2312" w:eastAsia="仿宋_GB2312" w:cs="仿宋_GB2312"/>
          <w:b/>
          <w:bCs/>
          <w:color w:val="000000" w:themeColor="text1"/>
          <w:kern w:val="0"/>
          <w:sz w:val="32"/>
          <w:szCs w:val="32"/>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bCs/>
          <w:color w:val="000000" w:themeColor="text1"/>
          <w:kern w:val="0"/>
          <w:sz w:val="32"/>
          <w:szCs w:val="32"/>
          <w:highlight w:val="none"/>
          <w:shd w:val="clear" w:color="auto" w:fill="auto"/>
          <w:lang w:val="zh-TW" w:eastAsia="zh-TW"/>
          <w14:textFill>
            <w14:solidFill>
              <w14:schemeClr w14:val="tx1"/>
            </w14:solidFill>
          </w14:textFill>
        </w:rPr>
        <w:t>表</w:t>
      </w:r>
      <w:r>
        <w:rPr>
          <w:rFonts w:hint="eastAsia" w:ascii="仿宋_GB2312" w:hAnsi="仿宋_GB2312" w:eastAsia="仿宋_GB2312" w:cs="仿宋_GB2312"/>
          <w:b/>
          <w:bCs/>
          <w:color w:val="000000" w:themeColor="text1"/>
          <w:kern w:val="0"/>
          <w:sz w:val="32"/>
          <w:szCs w:val="32"/>
          <w:highlight w:val="none"/>
          <w:shd w:val="clear" w:color="auto" w:fill="auto"/>
          <w:lang w:val="en-US" w:eastAsia="zh-CN"/>
          <w14:textFill>
            <w14:solidFill>
              <w14:schemeClr w14:val="tx1"/>
            </w14:solidFill>
          </w14:textFill>
        </w:rPr>
        <w:t>4-1</w:t>
      </w:r>
      <w:r>
        <w:rPr>
          <w:rFonts w:hint="eastAsia" w:ascii="仿宋_GB2312" w:hAnsi="仿宋_GB2312" w:eastAsia="仿宋_GB2312" w:cs="仿宋_GB2312"/>
          <w:b/>
          <w:bCs/>
          <w:color w:val="000000" w:themeColor="text1"/>
          <w:kern w:val="0"/>
          <w:sz w:val="32"/>
          <w:szCs w:val="32"/>
          <w:highlight w:val="none"/>
          <w:shd w:val="clear" w:color="auto" w:fill="auto"/>
          <w:lang w:val="zh-TW" w:eastAsia="zh-TW"/>
          <w14:textFill>
            <w14:solidFill>
              <w14:schemeClr w14:val="tx1"/>
            </w14:solidFill>
          </w14:textFill>
        </w:rPr>
        <w:t>项目决策指标及分值</w:t>
      </w:r>
    </w:p>
    <w:tbl>
      <w:tblPr>
        <w:tblStyle w:val="16"/>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lang w:val="en-US" w:eastAsia="zh-CN"/>
        </w:rPr>
      </w:pPr>
      <w:bookmarkStart w:id="109" w:name="_Toc13522"/>
      <w:bookmarkStart w:id="110" w:name="_Toc28069"/>
      <w:r>
        <w:rPr>
          <w:rFonts w:hint="eastAsia" w:ascii="仿宋_GB2312" w:hAnsi="仿宋_GB2312" w:eastAsia="仿宋_GB2312" w:cs="仿宋_GB2312"/>
          <w:b/>
          <w:bCs/>
          <w:sz w:val="32"/>
          <w:szCs w:val="32"/>
          <w:lang w:val="en-US" w:eastAsia="zh-CN"/>
        </w:rPr>
        <w:t>1.立项依据充分性</w:t>
      </w:r>
      <w:bookmarkEnd w:id="109"/>
      <w:bookmarkEnd w:id="110"/>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①项目立项符合</w:t>
      </w:r>
      <w:r>
        <w:rPr>
          <w:rFonts w:hint="eastAsia" w:ascii="仿宋_GB2312" w:hAnsi="仿宋_GB2312" w:eastAsia="仿宋_GB2312" w:cs="仿宋_GB2312"/>
          <w:color w:val="auto"/>
          <w:sz w:val="32"/>
          <w:szCs w:val="32"/>
          <w:highlight w:val="none"/>
          <w:shd w:val="clear" w:color="auto" w:fill="auto"/>
          <w:lang w:val="en-US" w:eastAsia="zh-CN"/>
        </w:rPr>
        <w:t>《关于拨付党校搬迁改造项目资金的通知》（阜财经办字[2021]81号）文件相关政策，符合《中国共产党党校（行政学院）工作条例》</w:t>
      </w:r>
      <w:r>
        <w:rPr>
          <w:rFonts w:hint="eastAsia" w:ascii="仿宋_GB2312" w:hAnsi="仿宋_GB2312" w:eastAsia="仿宋_GB2312" w:cs="仿宋_GB2312"/>
          <w:color w:val="auto"/>
          <w:sz w:val="32"/>
          <w:szCs w:val="32"/>
          <w:highlight w:val="none"/>
        </w:rPr>
        <w:t>《中华人民共和国预算法》</w:t>
      </w:r>
      <w:bookmarkStart w:id="158" w:name="_GoBack"/>
      <w:bookmarkEnd w:id="158"/>
      <w:r>
        <w:rPr>
          <w:rFonts w:hint="eastAsia" w:ascii="仿宋_GB2312" w:hAnsi="仿宋_GB2312" w:eastAsia="仿宋_GB2312" w:cs="仿宋_GB2312"/>
          <w:color w:val="auto"/>
          <w:sz w:val="32"/>
          <w:szCs w:val="32"/>
          <w:highlight w:val="none"/>
          <w:shd w:val="clear" w:color="auto" w:fill="auto"/>
          <w:lang w:val="en-US" w:eastAsia="zh-CN"/>
        </w:rPr>
        <w:t>《中华人民共和国合同法》》《中华人民共和国劳动法》等国家法律法规、国民经济发展规划和相关政策</w:t>
      </w:r>
      <w:r>
        <w:rPr>
          <w:rFonts w:hint="eastAsia" w:ascii="仿宋_GB2312" w:hAnsi="仿宋_GB2312" w:eastAsia="仿宋_GB2312" w:cs="仿宋_GB2312"/>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②项目立项符合</w:t>
      </w:r>
      <w:r>
        <w:rPr>
          <w:rFonts w:hint="eastAsia" w:ascii="仿宋_GB2312" w:hAnsi="仿宋_GB2312" w:eastAsia="仿宋_GB2312" w:cs="仿宋_GB2312"/>
          <w:color w:val="auto"/>
          <w:sz w:val="32"/>
          <w:szCs w:val="32"/>
          <w:highlight w:val="none"/>
          <w:shd w:val="clear" w:color="auto" w:fill="auto"/>
          <w:lang w:val="en-US" w:eastAsia="zh-CN"/>
        </w:rPr>
        <w:t>《关于拨付党校搬迁改造项目资金的通知》（阜财经办字[2021]81号）文件及《关于加强新时代基层党校建设的意见</w:t>
      </w:r>
      <w:r>
        <w:rPr>
          <w:rFonts w:hint="eastAsia" w:ascii="仿宋_GB2312" w:hAnsi="仿宋_GB2312" w:eastAsia="仿宋_GB2312" w:cs="仿宋_GB2312"/>
          <w:sz w:val="32"/>
          <w:szCs w:val="32"/>
          <w:lang w:val="en-US" w:eastAsia="zh-CN"/>
        </w:rPr>
        <w:t>》《关于加强和改进新时代干部教育培训工作的若干措施》等</w:t>
      </w:r>
      <w:r>
        <w:rPr>
          <w:rFonts w:hint="eastAsia" w:ascii="仿宋_GB2312" w:hAnsi="仿宋_GB2312" w:eastAsia="仿宋_GB2312" w:cs="仿宋_GB2312"/>
          <w:sz w:val="32"/>
          <w:szCs w:val="32"/>
          <w:lang w:eastAsia="zh-CN"/>
        </w:rPr>
        <w:t>行业发展规划和政策要求；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③项目立项与部门职责范围相符，党校主</w:t>
      </w:r>
      <w:r>
        <w:rPr>
          <w:rFonts w:hint="eastAsia" w:ascii="仿宋_GB2312" w:hAnsi="仿宋_GB2312" w:eastAsia="仿宋_GB2312" w:cs="仿宋_GB2312"/>
          <w:color w:val="auto"/>
          <w:sz w:val="32"/>
          <w:szCs w:val="32"/>
          <w:highlight w:val="none"/>
          <w:shd w:val="clear" w:color="auto" w:fill="auto"/>
          <w:lang w:val="en-US" w:eastAsia="zh-CN"/>
        </w:rPr>
        <w:t>要职责为全市党员干部、公务员提供教育培训；培训和轮训乡科级干部；培训后备干部，本项</w:t>
      </w:r>
      <w:r>
        <w:rPr>
          <w:rFonts w:hint="eastAsia" w:ascii="仿宋_GB2312" w:hAnsi="仿宋_GB2312" w:eastAsia="仿宋_GB2312" w:cs="仿宋_GB2312"/>
          <w:sz w:val="32"/>
          <w:szCs w:val="32"/>
          <w:lang w:val="en-US" w:eastAsia="zh-CN"/>
        </w:rPr>
        <w:t>目的实施是为提升教学培训硬件条件，属于部门履职所需；</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④项目属于公共财政支持范围，符合中央、地方事权支出责任划分原则；</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⑤项目与相关部门同类项目、部门内部相关项目</w:t>
      </w:r>
      <w:r>
        <w:rPr>
          <w:rFonts w:hint="eastAsia" w:ascii="仿宋_GB2312" w:hAnsi="仿宋_GB2312" w:eastAsia="仿宋_GB2312" w:cs="仿宋_GB2312"/>
          <w:sz w:val="32"/>
          <w:szCs w:val="32"/>
          <w:lang w:val="en-US" w:eastAsia="zh-CN"/>
        </w:rPr>
        <w:t>不</w:t>
      </w:r>
      <w:r>
        <w:rPr>
          <w:rFonts w:hint="eastAsia" w:ascii="仿宋_GB2312" w:hAnsi="仿宋_GB2312" w:eastAsia="仿宋_GB2312" w:cs="仿宋_GB2312"/>
          <w:sz w:val="32"/>
          <w:szCs w:val="32"/>
          <w:lang w:eastAsia="zh-CN"/>
        </w:rPr>
        <w:t>重复。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综上，</w:t>
      </w:r>
      <w:r>
        <w:rPr>
          <w:rFonts w:hint="eastAsia" w:ascii="仿宋_GB2312" w:hAnsi="仿宋_GB2312" w:eastAsia="仿宋_GB2312" w:cs="仿宋_GB2312"/>
          <w:b/>
          <w:bCs/>
          <w:color w:val="auto"/>
          <w:sz w:val="32"/>
          <w:szCs w:val="32"/>
          <w:lang w:val="en-US" w:eastAsia="zh-CN"/>
        </w:rPr>
        <w:t>该项指标满分2分，得分2分。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lang w:val="en-US" w:eastAsia="zh-CN"/>
        </w:rPr>
      </w:pPr>
      <w:bookmarkStart w:id="111" w:name="_Toc21976"/>
      <w:bookmarkStart w:id="112" w:name="_Toc23240"/>
      <w:r>
        <w:rPr>
          <w:rFonts w:hint="eastAsia" w:ascii="仿宋_GB2312" w:hAnsi="仿宋_GB2312" w:eastAsia="仿宋_GB2312" w:cs="仿宋_GB2312"/>
          <w:b/>
          <w:bCs/>
          <w:color w:val="auto"/>
          <w:sz w:val="32"/>
          <w:szCs w:val="32"/>
          <w:lang w:val="en-US" w:eastAsia="zh-CN"/>
        </w:rPr>
        <w:t>2.立项程序规范性</w:t>
      </w:r>
      <w:bookmarkEnd w:id="111"/>
      <w:bookmarkEnd w:id="11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①项目按照规定的程序申请设立；</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②审批文件、材料符合相关要求；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③事前经过集体决策，未进行可行性研究、专家论证、风险评估、绩效评估，扣</w:t>
      </w:r>
      <w:r>
        <w:rPr>
          <w:rFonts w:hint="eastAsia" w:ascii="仿宋_GB2312" w:hAnsi="仿宋_GB2312" w:eastAsia="仿宋_GB2312" w:cs="仿宋_GB2312"/>
          <w:color w:val="auto"/>
          <w:sz w:val="32"/>
          <w:szCs w:val="32"/>
          <w:highlight w:val="none"/>
          <w:lang w:val="en-US" w:eastAsia="zh-CN"/>
        </w:rPr>
        <w:t>1分</w:t>
      </w:r>
      <w:r>
        <w:rPr>
          <w:rFonts w:hint="eastAsia" w:ascii="仿宋_GB2312" w:hAnsi="仿宋_GB2312" w:eastAsia="仿宋_GB2312" w:cs="仿宋_GB2312"/>
          <w:color w:val="auto"/>
          <w:sz w:val="32"/>
          <w:szCs w:val="32"/>
          <w:highlight w:val="none"/>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综上，该项指标满分3分，，得分2分。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lang w:val="en-US" w:eastAsia="zh-CN"/>
        </w:rPr>
      </w:pPr>
      <w:bookmarkStart w:id="113" w:name="_Toc15382"/>
      <w:bookmarkStart w:id="114" w:name="_Toc23542"/>
      <w:r>
        <w:rPr>
          <w:rFonts w:hint="eastAsia" w:ascii="仿宋_GB2312" w:hAnsi="仿宋_GB2312" w:eastAsia="仿宋_GB2312" w:cs="仿宋_GB2312"/>
          <w:b/>
          <w:bCs/>
          <w:color w:val="auto"/>
          <w:sz w:val="32"/>
          <w:szCs w:val="32"/>
          <w:lang w:val="en-US" w:eastAsia="zh-CN"/>
        </w:rPr>
        <w:t>3.绩效目标合理性</w:t>
      </w:r>
      <w:bookmarkEnd w:id="113"/>
      <w:bookmarkEnd w:id="11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①该项目已设置年度绩效目标。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②该项目实际工作内容为：党校搬迁改造项目的工程设计、土地测绘、工程勘察、施工监理、工程竣工结算和办公家具购置，以提</w:t>
      </w:r>
      <w:r>
        <w:rPr>
          <w:rFonts w:hint="eastAsia" w:ascii="仿宋_GB2312" w:hAnsi="仿宋_GB2312" w:eastAsia="仿宋_GB2312" w:cs="仿宋_GB2312"/>
          <w:sz w:val="32"/>
          <w:szCs w:val="32"/>
          <w:highlight w:val="none"/>
          <w:lang w:val="en-US" w:eastAsia="zh-CN"/>
        </w:rPr>
        <w:t>升教学培训硬件条件</w:t>
      </w:r>
      <w:r>
        <w:rPr>
          <w:rFonts w:hint="eastAsia" w:ascii="仿宋_GB2312" w:hAnsi="仿宋_GB2312" w:eastAsia="仿宋_GB2312" w:cs="仿宋_GB2312"/>
          <w:sz w:val="32"/>
          <w:szCs w:val="32"/>
          <w:highlight w:val="none"/>
          <w:lang w:eastAsia="zh-CN"/>
        </w:rPr>
        <w:t>。绩效目标与实际工作内容一致，两者具有相关性。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③该项目按照绩效目标完成数量指标、质量指标、时效指标、成</w:t>
      </w:r>
      <w:r>
        <w:rPr>
          <w:rFonts w:hint="eastAsia" w:ascii="仿宋_GB2312" w:hAnsi="仿宋_GB2312" w:eastAsia="仿宋_GB2312" w:cs="仿宋_GB2312"/>
          <w:sz w:val="32"/>
          <w:szCs w:val="32"/>
          <w:highlight w:val="none"/>
          <w:lang w:val="en-US" w:eastAsia="zh-CN"/>
        </w:rPr>
        <w:t>本指标，完成了党校搬迁改造项目的工程设计、土地测绘、工程勘察、施工监理、工程竣工结算各1次，完成办公家具购置1批，达到有效提升教学培训硬件条件，确保教学活动有序开展，建好党的理论研究基地，大力提高科研质量的效益，</w:t>
      </w:r>
      <w:r>
        <w:rPr>
          <w:rFonts w:hint="eastAsia" w:ascii="仿宋_GB2312" w:hAnsi="仿宋_GB2312" w:eastAsia="仿宋_GB2312" w:cs="仿宋_GB2312"/>
          <w:sz w:val="32"/>
          <w:szCs w:val="32"/>
          <w:highlight w:val="none"/>
          <w:lang w:eastAsia="zh-CN"/>
        </w:rPr>
        <w:t>预期产出效益和效果是否符合正常的业绩水平。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④《项目支出绩效目标表》中</w:t>
      </w:r>
      <w:r>
        <w:rPr>
          <w:rFonts w:hint="eastAsia" w:ascii="仿宋_GB2312" w:hAnsi="仿宋_GB2312" w:eastAsia="仿宋_GB2312" w:cs="仿宋_GB2312"/>
          <w:sz w:val="32"/>
          <w:szCs w:val="32"/>
          <w:highlight w:val="none"/>
          <w:lang w:val="en-US" w:eastAsia="zh-CN"/>
        </w:rPr>
        <w:t>预算金额为19.87万元，预算确定的项目资金与预算确定的项目投资额相匹配。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综上，该项指标满</w:t>
      </w:r>
      <w:r>
        <w:rPr>
          <w:rFonts w:hint="eastAsia" w:ascii="仿宋_GB2312" w:hAnsi="仿宋_GB2312" w:eastAsia="仿宋_GB2312" w:cs="仿宋_GB2312"/>
          <w:b/>
          <w:bCs/>
          <w:color w:val="auto"/>
          <w:sz w:val="32"/>
          <w:szCs w:val="32"/>
          <w:lang w:val="en-US" w:eastAsia="zh-CN"/>
        </w:rPr>
        <w:t>分5分，得分5分。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lang w:val="en-US" w:eastAsia="zh-CN"/>
        </w:rPr>
      </w:pPr>
      <w:bookmarkStart w:id="115" w:name="_Toc18198"/>
      <w:bookmarkStart w:id="116" w:name="_Toc10650"/>
      <w:r>
        <w:rPr>
          <w:rFonts w:hint="eastAsia" w:ascii="仿宋_GB2312" w:hAnsi="仿宋_GB2312" w:eastAsia="仿宋_GB2312" w:cs="仿宋_GB2312"/>
          <w:b/>
          <w:bCs/>
          <w:sz w:val="32"/>
          <w:szCs w:val="32"/>
          <w:lang w:val="en-US" w:eastAsia="zh-CN"/>
        </w:rPr>
        <w:t>4.绩效指标明确性</w:t>
      </w:r>
      <w:bookmarkEnd w:id="115"/>
      <w:bookmarkEnd w:id="11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①将项目绩效目标细化分解为具体的绩效指标，</w:t>
      </w:r>
      <w:r>
        <w:rPr>
          <w:rFonts w:hint="eastAsia" w:ascii="仿宋_GB2312" w:hAnsi="仿宋_GB2312" w:eastAsia="仿宋_GB2312" w:cs="仿宋_GB2312"/>
          <w:sz w:val="32"/>
          <w:szCs w:val="32"/>
          <w:lang w:val="en-US" w:eastAsia="zh-CN"/>
        </w:rPr>
        <w:t>其中三级指标共</w:t>
      </w:r>
      <w:r>
        <w:rPr>
          <w:rFonts w:hint="eastAsia" w:ascii="仿宋_GB2312" w:hAnsi="仿宋_GB2312" w:eastAsia="仿宋_GB2312" w:cs="仿宋_GB2312"/>
          <w:color w:val="auto"/>
          <w:sz w:val="32"/>
          <w:szCs w:val="32"/>
          <w:lang w:val="en-US" w:eastAsia="zh-CN"/>
        </w:rPr>
        <w:t>计14个</w:t>
      </w:r>
      <w:r>
        <w:rPr>
          <w:rFonts w:hint="eastAsia" w:ascii="仿宋_GB2312" w:hAnsi="仿宋_GB2312" w:eastAsia="仿宋_GB2312" w:cs="仿宋_GB2312"/>
          <w:color w:val="auto"/>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②通过清晰、可衡量的指标值予以体现，</w:t>
      </w:r>
      <w:r>
        <w:rPr>
          <w:rFonts w:hint="eastAsia" w:ascii="仿宋_GB2312" w:hAnsi="仿宋_GB2312" w:eastAsia="仿宋_GB2312" w:cs="仿宋_GB2312"/>
          <w:color w:val="auto"/>
          <w:sz w:val="32"/>
          <w:szCs w:val="32"/>
          <w:lang w:val="en-US" w:eastAsia="zh-CN"/>
        </w:rPr>
        <w:t>量化率达到71.43%</w:t>
      </w:r>
      <w:r>
        <w:rPr>
          <w:rFonts w:hint="eastAsia" w:ascii="仿宋_GB2312" w:hAnsi="仿宋_GB2312" w:eastAsia="仿宋_GB2312" w:cs="仿宋_GB2312"/>
          <w:color w:val="auto"/>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eastAsia="zh-CN"/>
        </w:rPr>
        <w:t>③《项目绩效目标申报表》中，三级指标</w:t>
      </w:r>
      <w:r>
        <w:rPr>
          <w:rFonts w:hint="eastAsia" w:ascii="仿宋_GB2312" w:hAnsi="仿宋_GB2312" w:eastAsia="仿宋_GB2312" w:cs="仿宋_GB2312"/>
          <w:sz w:val="32"/>
          <w:szCs w:val="32"/>
          <w:lang w:eastAsia="zh-CN"/>
        </w:rPr>
        <w:t>的年度指标值与年度绩效目标中任务数一致。</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已设置的绩效目标具备明确性、可衡量性、可实现性、相关性、时限性。</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w:t>
      </w:r>
      <w:r>
        <w:rPr>
          <w:rFonts w:hint="eastAsia" w:ascii="仿宋_GB2312" w:hAnsi="仿宋_GB2312" w:eastAsia="仿宋_GB2312" w:cs="仿宋_GB2312"/>
          <w:b/>
          <w:bCs/>
          <w:color w:val="auto"/>
          <w:sz w:val="32"/>
          <w:szCs w:val="32"/>
          <w:lang w:val="en-US" w:eastAsia="zh-CN"/>
        </w:rPr>
        <w:t>标满分5分，得分5分。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lang w:val="en-US" w:eastAsia="zh-CN"/>
        </w:rPr>
      </w:pPr>
      <w:bookmarkStart w:id="117" w:name="_Toc8296"/>
      <w:bookmarkStart w:id="118" w:name="_Toc19401"/>
      <w:r>
        <w:rPr>
          <w:rFonts w:hint="eastAsia" w:ascii="仿宋_GB2312" w:hAnsi="仿宋_GB2312" w:eastAsia="仿宋_GB2312" w:cs="仿宋_GB2312"/>
          <w:b/>
          <w:bCs/>
          <w:sz w:val="32"/>
          <w:szCs w:val="32"/>
          <w:lang w:val="en-US" w:eastAsia="zh-CN"/>
        </w:rPr>
        <w:t>5.预算编制科学性</w:t>
      </w:r>
      <w:bookmarkEnd w:id="117"/>
      <w:bookmarkEnd w:id="11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sz w:val="32"/>
          <w:szCs w:val="32"/>
          <w:lang w:val="en-US" w:eastAsia="zh-CN"/>
        </w:rPr>
        <w:t>根据项目预算批复，项目的</w:t>
      </w:r>
      <w:r>
        <w:rPr>
          <w:rFonts w:hint="eastAsia" w:ascii="仿宋_GB2312" w:hAnsi="仿宋_GB2312" w:eastAsia="仿宋_GB2312" w:cs="仿宋_GB2312"/>
          <w:sz w:val="32"/>
          <w:szCs w:val="32"/>
          <w:lang w:eastAsia="zh-CN"/>
        </w:rPr>
        <w:t>预算编制经过科学论证；</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val="en-US" w:eastAsia="zh-CN"/>
        </w:rPr>
        <w:t>②</w:t>
      </w:r>
      <w:r>
        <w:rPr>
          <w:rFonts w:hint="eastAsia" w:ascii="仿宋_GB2312" w:hAnsi="仿宋_GB2312" w:eastAsia="仿宋_GB2312" w:cs="仿宋_GB2312"/>
          <w:sz w:val="32"/>
          <w:szCs w:val="32"/>
          <w:lang w:eastAsia="zh-CN"/>
        </w:rPr>
        <w:t>预算申请内</w:t>
      </w:r>
      <w:r>
        <w:rPr>
          <w:rFonts w:hint="eastAsia" w:ascii="仿宋_GB2312" w:hAnsi="仿宋_GB2312" w:eastAsia="仿宋_GB2312" w:cs="仿宋_GB2312"/>
          <w:color w:val="auto"/>
          <w:sz w:val="32"/>
          <w:szCs w:val="32"/>
          <w:lang w:eastAsia="zh-CN"/>
        </w:rPr>
        <w:t>容为党校搬迁改造前期费及办公家具购置，项目实际内容为党校搬迁改造项目的工程设计、土地测绘、工程勘察、施工监理、工程竣工结算各1次及办公家具购置，预算申请与项目内容匹配；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③</w:t>
      </w:r>
      <w:r>
        <w:rPr>
          <w:rFonts w:hint="eastAsia" w:ascii="仿宋_GB2312" w:hAnsi="仿宋_GB2312" w:eastAsia="仿宋_GB2312" w:cs="仿宋_GB2312"/>
          <w:color w:val="auto"/>
          <w:sz w:val="32"/>
          <w:szCs w:val="32"/>
          <w:lang w:eastAsia="zh-CN"/>
        </w:rPr>
        <w:t>项目预算申请资金</w:t>
      </w:r>
      <w:r>
        <w:rPr>
          <w:rFonts w:hint="eastAsia" w:ascii="仿宋_GB2312" w:hAnsi="仿宋_GB2312" w:eastAsia="仿宋_GB2312" w:cs="仿宋_GB2312"/>
          <w:color w:val="auto"/>
          <w:sz w:val="32"/>
          <w:szCs w:val="32"/>
          <w:lang w:val="en-US" w:eastAsia="zh-CN"/>
        </w:rPr>
        <w:t>19.87万</w:t>
      </w:r>
      <w:r>
        <w:rPr>
          <w:rFonts w:hint="eastAsia" w:ascii="仿宋_GB2312" w:hAnsi="仿宋_GB2312" w:eastAsia="仿宋_GB2312" w:cs="仿宋_GB2312"/>
          <w:color w:val="auto"/>
          <w:sz w:val="32"/>
          <w:szCs w:val="32"/>
          <w:lang w:eastAsia="zh-CN"/>
        </w:rPr>
        <w:t>元，我单位在预算申请中严格按照项目实施内容及测算标准进行核算，其中：搬迁改造项目委托业务费用</w:t>
      </w:r>
      <w:r>
        <w:rPr>
          <w:rFonts w:hint="eastAsia" w:ascii="仿宋_GB2312" w:hAnsi="仿宋_GB2312" w:eastAsia="仿宋_GB2312" w:cs="仿宋_GB2312"/>
          <w:color w:val="auto"/>
          <w:sz w:val="32"/>
          <w:szCs w:val="32"/>
          <w:lang w:val="en-US" w:eastAsia="zh-CN"/>
        </w:rPr>
        <w:t>9.87</w:t>
      </w:r>
      <w:r>
        <w:rPr>
          <w:rFonts w:hint="eastAsia" w:ascii="仿宋_GB2312" w:hAnsi="仿宋_GB2312" w:eastAsia="仿宋_GB2312" w:cs="仿宋_GB2312"/>
          <w:color w:val="auto"/>
          <w:sz w:val="32"/>
          <w:szCs w:val="32"/>
          <w:lang w:eastAsia="zh-CN"/>
        </w:rPr>
        <w:t>万元、办公家具购置费用</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lang w:eastAsia="zh-CN"/>
        </w:rPr>
        <w:t>万元。</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④</w:t>
      </w:r>
      <w:r>
        <w:rPr>
          <w:rFonts w:hint="eastAsia" w:ascii="仿宋_GB2312" w:hAnsi="仿宋_GB2312" w:eastAsia="仿宋_GB2312" w:cs="仿宋_GB2312"/>
          <w:sz w:val="32"/>
          <w:szCs w:val="32"/>
          <w:lang w:eastAsia="zh-CN"/>
        </w:rPr>
        <w:t>预算确定资金量与实际工作任务相匹配。项目预算额度测算依据充分，严格按照标准编制，项目资金量与</w:t>
      </w:r>
      <w:r>
        <w:rPr>
          <w:rFonts w:hint="eastAsia" w:ascii="仿宋_GB2312" w:hAnsi="仿宋_GB2312" w:eastAsia="仿宋_GB2312" w:cs="仿宋_GB2312"/>
          <w:sz w:val="32"/>
          <w:szCs w:val="32"/>
          <w:lang w:val="en-US" w:eastAsia="zh-CN"/>
        </w:rPr>
        <w:t>项目实施内容</w:t>
      </w:r>
      <w:r>
        <w:rPr>
          <w:rFonts w:hint="eastAsia" w:ascii="仿宋_GB2312" w:hAnsi="仿宋_GB2312" w:eastAsia="仿宋_GB2312" w:cs="仿宋_GB2312"/>
          <w:sz w:val="32"/>
          <w:szCs w:val="32"/>
          <w:lang w:eastAsia="zh-CN"/>
        </w:rPr>
        <w:t>相匹配。</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综上，该项指标</w:t>
      </w:r>
      <w:r>
        <w:rPr>
          <w:rFonts w:hint="eastAsia" w:ascii="仿宋_GB2312" w:hAnsi="仿宋_GB2312" w:eastAsia="仿宋_GB2312" w:cs="仿宋_GB2312"/>
          <w:b/>
          <w:bCs/>
          <w:color w:val="auto"/>
          <w:sz w:val="32"/>
          <w:szCs w:val="32"/>
          <w:lang w:val="en-US" w:eastAsia="zh-CN"/>
        </w:rPr>
        <w:t>满分2分，得分2分。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lang w:val="en-US" w:eastAsia="zh-CN"/>
        </w:rPr>
      </w:pPr>
      <w:bookmarkStart w:id="119" w:name="_Toc20556"/>
      <w:bookmarkStart w:id="120" w:name="_Toc697"/>
      <w:r>
        <w:rPr>
          <w:rFonts w:hint="eastAsia" w:ascii="仿宋_GB2312" w:hAnsi="仿宋_GB2312" w:eastAsia="仿宋_GB2312" w:cs="仿宋_GB2312"/>
          <w:b/>
          <w:bCs/>
          <w:color w:val="auto"/>
          <w:sz w:val="32"/>
          <w:szCs w:val="32"/>
          <w:lang w:val="en-US" w:eastAsia="zh-CN"/>
        </w:rPr>
        <w:t>6.资金分配合理性</w:t>
      </w:r>
      <w:bookmarkEnd w:id="119"/>
      <w:bookmarkEnd w:id="120"/>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①项目实际分配资金以</w:t>
      </w:r>
      <w:r>
        <w:rPr>
          <w:rFonts w:hint="eastAsia" w:ascii="仿宋_GB2312" w:hAnsi="仿宋_GB2312" w:eastAsia="仿宋_GB2312" w:cs="仿宋_GB2312"/>
          <w:color w:val="auto"/>
          <w:sz w:val="32"/>
          <w:szCs w:val="32"/>
          <w:lang w:eastAsia="zh-Hans"/>
        </w:rPr>
        <w:t>《关于</w:t>
      </w:r>
      <w:r>
        <w:rPr>
          <w:rFonts w:hint="eastAsia" w:ascii="仿宋_GB2312" w:hAnsi="仿宋_GB2312" w:eastAsia="仿宋_GB2312" w:cs="仿宋_GB2312"/>
          <w:color w:val="auto"/>
          <w:sz w:val="32"/>
          <w:szCs w:val="32"/>
          <w:lang w:eastAsia="zh-CN"/>
        </w:rPr>
        <w:t>申请党校搬迁改造项目资金的请示</w:t>
      </w:r>
      <w:r>
        <w:rPr>
          <w:rFonts w:hint="eastAsia" w:ascii="仿宋_GB2312" w:hAnsi="仿宋_GB2312" w:eastAsia="仿宋_GB2312" w:cs="仿宋_GB2312"/>
          <w:color w:val="auto"/>
          <w:sz w:val="32"/>
          <w:szCs w:val="32"/>
          <w:lang w:eastAsia="zh-Hans"/>
        </w:rPr>
        <w:t>》为依据进行资金分配，</w:t>
      </w:r>
      <w:r>
        <w:rPr>
          <w:rFonts w:hint="eastAsia" w:ascii="仿宋_GB2312" w:hAnsi="仿宋_GB2312" w:eastAsia="仿宋_GB2312" w:cs="仿宋_GB2312"/>
          <w:color w:val="auto"/>
          <w:sz w:val="32"/>
          <w:szCs w:val="32"/>
          <w:lang w:eastAsia="zh-CN"/>
        </w:rPr>
        <w:t>分为项目前期委托业务费和办公家具购置费，</w:t>
      </w:r>
      <w:r>
        <w:rPr>
          <w:rFonts w:hint="eastAsia" w:ascii="仿宋_GB2312" w:hAnsi="仿宋_GB2312" w:eastAsia="仿宋_GB2312" w:cs="仿宋_GB2312"/>
          <w:color w:val="auto"/>
          <w:sz w:val="32"/>
          <w:szCs w:val="32"/>
          <w:lang w:eastAsia="zh-Hans"/>
        </w:rPr>
        <w:t>预算资金分配依据充分</w:t>
      </w:r>
      <w:r>
        <w:rPr>
          <w:rFonts w:hint="eastAsia" w:ascii="仿宋_GB2312" w:hAnsi="仿宋_GB2312" w:eastAsia="仿宋_GB2312" w:cs="仿宋_GB2312"/>
          <w:color w:val="auto"/>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②项目实际到位资金</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color w:val="auto"/>
          <w:sz w:val="32"/>
          <w:szCs w:val="32"/>
          <w:lang w:eastAsia="zh-CN"/>
        </w:rPr>
        <w:t>万元，资金分配额度合理，与项目单位</w:t>
      </w:r>
      <w:r>
        <w:rPr>
          <w:rFonts w:hint="eastAsia" w:ascii="仿宋_GB2312" w:hAnsi="仿宋_GB2312" w:eastAsia="仿宋_GB2312" w:cs="仿宋_GB2312"/>
          <w:color w:val="auto"/>
          <w:sz w:val="32"/>
          <w:szCs w:val="32"/>
          <w:lang w:val="en-US" w:eastAsia="zh-CN"/>
        </w:rPr>
        <w:t>及项目实际实施情况相</w:t>
      </w:r>
      <w:r>
        <w:rPr>
          <w:rFonts w:hint="eastAsia" w:ascii="仿宋_GB2312" w:hAnsi="仿宋_GB2312" w:eastAsia="仿宋_GB2312" w:cs="仿宋_GB2312"/>
          <w:color w:val="auto"/>
          <w:sz w:val="32"/>
          <w:szCs w:val="32"/>
          <w:lang w:eastAsia="zh-CN"/>
        </w:rPr>
        <w:t>适应。</w:t>
      </w:r>
    </w:p>
    <w:p>
      <w:pPr>
        <w:pageBreakBefore w:val="0"/>
        <w:kinsoku/>
        <w:wordWrap/>
        <w:overflowPunct/>
        <w:topLinePunct w:val="0"/>
        <w:autoSpaceDE/>
        <w:autoSpaceDN/>
        <w:bidi w:val="0"/>
        <w:spacing w:line="560" w:lineRule="exact"/>
        <w:textAlignment w:val="auto"/>
        <w:rPr>
          <w:rFonts w:hint="eastAsia"/>
          <w:color w:val="auto"/>
          <w:lang w:eastAsia="zh-CN"/>
        </w:rPr>
      </w:pPr>
      <w:r>
        <w:rPr>
          <w:rFonts w:hint="eastAsia" w:ascii="仿宋_GB2312" w:hAnsi="仿宋_GB2312" w:eastAsia="仿宋_GB2312" w:cs="仿宋_GB2312"/>
          <w:b/>
          <w:bCs/>
          <w:color w:val="auto"/>
          <w:sz w:val="32"/>
          <w:szCs w:val="32"/>
          <w:lang w:val="en-US" w:eastAsia="zh-CN"/>
        </w:rPr>
        <w:t>综上，该项指标满分3分，得分3分。</w:t>
      </w:r>
    </w:p>
    <w:p>
      <w:pPr>
        <w:pStyle w:val="14"/>
        <w:widowControl/>
        <w:numPr>
          <w:ilvl w:val="0"/>
          <w:numId w:val="0"/>
        </w:numPr>
        <w:spacing w:before="0" w:beforeLines="-2147483648" w:after="0" w:afterLines="-2147483648" w:line="560" w:lineRule="exact"/>
        <w:ind w:firstLine="643" w:firstLineChars="200"/>
        <w:jc w:val="both"/>
        <w:rPr>
          <w:rFonts w:hint="eastAsia" w:ascii="Times New Roman" w:hAnsi="Times New Roman" w:eastAsia="楷体" w:cs="Times New Roman"/>
          <w:color w:val="auto"/>
          <w:kern w:val="28"/>
          <w:sz w:val="32"/>
        </w:rPr>
      </w:pPr>
      <w:bookmarkStart w:id="121" w:name="_Toc10564"/>
      <w:r>
        <w:rPr>
          <w:rFonts w:hint="eastAsia" w:ascii="Times New Roman" w:hAnsi="Times New Roman" w:eastAsia="楷体" w:cs="Times New Roman"/>
          <w:color w:val="auto"/>
          <w:kern w:val="28"/>
          <w:sz w:val="32"/>
          <w:lang w:eastAsia="zh-CN"/>
        </w:rPr>
        <w:t>（</w:t>
      </w:r>
      <w:r>
        <w:rPr>
          <w:rFonts w:hint="eastAsia" w:ascii="Times New Roman" w:hAnsi="Times New Roman" w:eastAsia="楷体" w:cs="Times New Roman"/>
          <w:color w:val="auto"/>
          <w:kern w:val="28"/>
          <w:sz w:val="32"/>
          <w:lang w:val="en-US" w:eastAsia="zh-CN"/>
        </w:rPr>
        <w:t>二</w:t>
      </w:r>
      <w:r>
        <w:rPr>
          <w:rFonts w:hint="eastAsia" w:ascii="Times New Roman" w:hAnsi="Times New Roman" w:eastAsia="楷体" w:cs="Times New Roman"/>
          <w:color w:val="auto"/>
          <w:kern w:val="28"/>
          <w:sz w:val="32"/>
          <w:lang w:eastAsia="zh-CN"/>
        </w:rPr>
        <w:t>）</w:t>
      </w:r>
      <w:r>
        <w:rPr>
          <w:rFonts w:hint="eastAsia" w:ascii="Times New Roman" w:hAnsi="Times New Roman" w:eastAsia="楷体" w:cs="Times New Roman"/>
          <w:color w:val="auto"/>
          <w:kern w:val="28"/>
          <w:sz w:val="32"/>
        </w:rPr>
        <w:t>项目过程情况</w:t>
      </w:r>
      <w:bookmarkEnd w:id="121"/>
    </w:p>
    <w:p>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rPr>
        <w:t>过程</w:t>
      </w:r>
      <w:r>
        <w:rPr>
          <w:rFonts w:hint="eastAsia" w:ascii="仿宋_GB2312" w:hAnsi="仿宋_GB2312" w:eastAsia="仿宋_GB2312" w:cs="仿宋_GB2312"/>
          <w:color w:val="auto"/>
          <w:kern w:val="2"/>
          <w:sz w:val="32"/>
          <w:szCs w:val="32"/>
          <w:highlight w:val="none"/>
          <w:u w:color="000000"/>
          <w:shd w:val="clear" w:color="auto" w:fill="auto"/>
          <w:lang w:eastAsia="zh-CN"/>
        </w:rPr>
        <w:t>管理</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类指标由</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5</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详见上传的附件二</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cs="宋体"/>
          <w:b/>
          <w:bCs/>
          <w:color w:val="000000" w:themeColor="text1"/>
          <w:kern w:val="0"/>
          <w:sz w:val="28"/>
          <w:szCs w:val="28"/>
          <w:highlight w:val="none"/>
          <w:shd w:val="clear" w:color="auto" w:fill="auto"/>
          <w:lang w:val="en-US" w:eastAsia="zh-CN"/>
          <w14:textFill>
            <w14:solidFill>
              <w14:schemeClr w14:val="tx1"/>
            </w14:solidFill>
          </w14:textFill>
        </w:rPr>
        <w:t>过程</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FF0000"/>
          <w:sz w:val="32"/>
          <w:szCs w:val="32"/>
          <w:lang w:val="en-US" w:eastAsia="zh-CN"/>
        </w:rPr>
      </w:pPr>
      <w:bookmarkStart w:id="122" w:name="_Toc20449"/>
      <w:bookmarkStart w:id="123" w:name="_Toc3886"/>
      <w:r>
        <w:rPr>
          <w:rFonts w:hint="eastAsia" w:ascii="仿宋_GB2312" w:hAnsi="仿宋_GB2312" w:eastAsia="仿宋_GB2312" w:cs="仿宋_GB2312"/>
          <w:b/>
          <w:bCs/>
          <w:sz w:val="32"/>
          <w:szCs w:val="32"/>
          <w:lang w:val="en-US" w:eastAsia="zh-CN"/>
        </w:rPr>
        <w:t>1.资金到位率</w:t>
      </w:r>
      <w:bookmarkEnd w:id="122"/>
      <w:bookmarkEnd w:id="123"/>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val="0"/>
          <w:bCs w:val="0"/>
          <w:color w:val="auto"/>
          <w:sz w:val="32"/>
          <w:szCs w:val="32"/>
        </w:rPr>
        <w:t>项目预算资金为</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b w:val="0"/>
          <w:bCs w:val="0"/>
          <w:color w:val="auto"/>
          <w:sz w:val="32"/>
          <w:szCs w:val="32"/>
        </w:rPr>
        <w:t>万元，其中：财政安排资金</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b w:val="0"/>
          <w:bCs w:val="0"/>
          <w:color w:val="auto"/>
          <w:sz w:val="32"/>
          <w:szCs w:val="32"/>
        </w:rPr>
        <w:t>万元，其他资金</w:t>
      </w:r>
      <w:r>
        <w:rPr>
          <w:rFonts w:hint="eastAsia" w:ascii="仿宋_GB2312" w:hAnsi="仿宋_GB2312" w:eastAsia="仿宋_GB2312" w:cs="仿宋_GB2312"/>
          <w:b w:val="0"/>
          <w:bCs w:val="0"/>
          <w:color w:val="auto"/>
          <w:sz w:val="32"/>
          <w:szCs w:val="32"/>
          <w:lang w:val="en-US" w:eastAsia="zh-CN"/>
        </w:rPr>
        <w:t>0</w:t>
      </w:r>
      <w:r>
        <w:rPr>
          <w:rFonts w:hint="eastAsia" w:ascii="仿宋_GB2312" w:hAnsi="仿宋_GB2312" w:eastAsia="仿宋_GB2312" w:cs="仿宋_GB2312"/>
          <w:b w:val="0"/>
          <w:bCs w:val="0"/>
          <w:color w:val="auto"/>
          <w:sz w:val="32"/>
          <w:szCs w:val="32"/>
        </w:rPr>
        <w:t>万元</w:t>
      </w:r>
      <w:r>
        <w:rPr>
          <w:rFonts w:hint="eastAsia" w:ascii="仿宋_GB2312" w:hAnsi="仿宋_GB2312" w:eastAsia="仿宋_GB2312" w:cs="仿宋_GB2312"/>
          <w:b w:val="0"/>
          <w:bCs w:val="0"/>
          <w:color w:val="auto"/>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color w:val="auto"/>
          <w:sz w:val="32"/>
          <w:szCs w:val="32"/>
          <w:lang w:eastAsia="zh-CN"/>
        </w:rPr>
        <w:t>资金到位率=（</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b w:val="0"/>
          <w:bCs w:val="0"/>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b w:val="0"/>
          <w:bCs w:val="0"/>
          <w:color w:val="auto"/>
          <w:sz w:val="32"/>
          <w:szCs w:val="32"/>
        </w:rPr>
        <w:t>万元</w:t>
      </w:r>
      <w:r>
        <w:rPr>
          <w:rFonts w:hint="eastAsia" w:ascii="仿宋_GB2312" w:hAnsi="仿宋_GB2312" w:eastAsia="仿宋_GB2312" w:cs="仿宋_GB2312"/>
          <w:color w:val="auto"/>
          <w:sz w:val="32"/>
          <w:szCs w:val="32"/>
          <w:lang w:eastAsia="zh-CN"/>
        </w:rPr>
        <w:t>）×100%</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color w:val="auto"/>
          <w:sz w:val="32"/>
          <w:szCs w:val="32"/>
          <w:lang w:eastAsia="zh-CN"/>
        </w:rPr>
        <w:t>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综上，该项指标满</w:t>
      </w:r>
      <w:r>
        <w:rPr>
          <w:rFonts w:hint="eastAsia" w:ascii="仿宋_GB2312" w:hAnsi="仿宋_GB2312" w:eastAsia="仿宋_GB2312" w:cs="仿宋_GB2312"/>
          <w:b/>
          <w:bCs/>
          <w:color w:val="auto"/>
          <w:sz w:val="32"/>
          <w:szCs w:val="32"/>
          <w:lang w:val="en-US" w:eastAsia="zh-CN"/>
        </w:rPr>
        <w:t>分4分，得分4分。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color w:val="auto"/>
          <w:sz w:val="32"/>
          <w:szCs w:val="32"/>
          <w:lang w:val="en-US" w:eastAsia="zh-CN"/>
        </w:rPr>
      </w:pPr>
      <w:bookmarkStart w:id="124" w:name="_Toc9705"/>
      <w:bookmarkStart w:id="125" w:name="_Toc17709"/>
      <w:r>
        <w:rPr>
          <w:rFonts w:hint="eastAsia" w:ascii="仿宋_GB2312" w:hAnsi="仿宋_GB2312" w:eastAsia="仿宋_GB2312" w:cs="仿宋_GB2312"/>
          <w:b/>
          <w:bCs/>
          <w:color w:val="auto"/>
          <w:sz w:val="32"/>
          <w:szCs w:val="32"/>
          <w:lang w:val="en-US" w:eastAsia="zh-CN"/>
        </w:rPr>
        <w:t>2.预算执行率</w:t>
      </w:r>
      <w:bookmarkEnd w:id="124"/>
      <w:bookmarkEnd w:id="125"/>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截至2024年12月31日，项目实际支出19.87万元。</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预算执行率=（</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b w:val="0"/>
          <w:bCs w:val="0"/>
          <w:color w:val="auto"/>
          <w:sz w:val="32"/>
          <w:szCs w:val="32"/>
        </w:rPr>
        <w:t>万元</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b w:val="0"/>
          <w:bCs w:val="0"/>
          <w:color w:val="auto"/>
          <w:sz w:val="32"/>
          <w:szCs w:val="32"/>
        </w:rPr>
        <w:t>万元</w:t>
      </w:r>
      <w:r>
        <w:rPr>
          <w:rFonts w:hint="eastAsia" w:ascii="仿宋_GB2312" w:hAnsi="仿宋_GB2312" w:eastAsia="仿宋_GB2312" w:cs="仿宋_GB2312"/>
          <w:color w:val="auto"/>
          <w:sz w:val="32"/>
          <w:szCs w:val="32"/>
          <w:lang w:eastAsia="zh-CN"/>
        </w:rPr>
        <w:t>）×100%</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color w:val="auto"/>
          <w:sz w:val="32"/>
          <w:szCs w:val="32"/>
          <w:lang w:eastAsia="zh-CN"/>
        </w:rPr>
        <w:t>100%。</w:t>
      </w:r>
      <w:r>
        <w:rPr>
          <w:rFonts w:hint="eastAsia" w:ascii="仿宋_GB2312" w:hAnsi="仿宋_GB2312" w:eastAsia="仿宋_GB2312" w:cs="仿宋_GB2312"/>
          <w:b/>
          <w:bCs/>
          <w:color w:val="auto"/>
          <w:sz w:val="32"/>
          <w:szCs w:val="32"/>
          <w:lang w:val="en-US" w:eastAsia="zh-CN"/>
        </w:rPr>
        <w:t>综上，该项指标满分4分，得分4分。</w:t>
      </w:r>
    </w:p>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lang w:val="en-US" w:eastAsia="zh-CN"/>
        </w:rPr>
      </w:pPr>
      <w:bookmarkStart w:id="126" w:name="_Toc28875"/>
      <w:bookmarkStart w:id="127" w:name="_Toc18691"/>
      <w:r>
        <w:rPr>
          <w:rFonts w:hint="eastAsia" w:ascii="仿宋_GB2312" w:hAnsi="仿宋_GB2312" w:eastAsia="仿宋_GB2312" w:cs="仿宋_GB2312"/>
          <w:b/>
          <w:bCs/>
          <w:sz w:val="32"/>
          <w:szCs w:val="32"/>
          <w:lang w:val="en-US" w:eastAsia="zh-CN"/>
        </w:rPr>
        <w:t>3.资金使用合规性</w:t>
      </w:r>
      <w:bookmarkEnd w:id="126"/>
      <w:bookmarkEnd w:id="127"/>
    </w:p>
    <w:p>
      <w:pPr>
        <w:pageBreakBefore w:val="0"/>
        <w:kinsoku/>
        <w:wordWrap/>
        <w:overflowPunct/>
        <w:topLinePunct w:val="0"/>
        <w:autoSpaceDE/>
        <w:autoSpaceDN/>
        <w:bidi w:val="0"/>
        <w:spacing w:line="560" w:lineRule="exact"/>
        <w:textAlignment w:val="auto"/>
        <w:rPr>
          <w:rFonts w:hint="eastAsia" w:ascii="方正仿宋_GBK" w:hAnsi="方正仿宋_GBK" w:eastAsia="方正仿宋_GBK" w:cs="方正仿宋_GBK"/>
          <w:color w:val="FF0000"/>
          <w:sz w:val="32"/>
          <w:szCs w:val="32"/>
        </w:rPr>
      </w:pPr>
      <w:r>
        <w:rPr>
          <w:rFonts w:hint="eastAsia" w:ascii="仿宋_GB2312" w:hAnsi="仿宋_GB2312" w:eastAsia="仿宋_GB2312" w:cs="仿宋_GB2312"/>
          <w:sz w:val="32"/>
          <w:szCs w:val="32"/>
          <w:lang w:eastAsia="zh-CN"/>
        </w:rPr>
        <w:t>①</w:t>
      </w:r>
      <w:r>
        <w:rPr>
          <w:rFonts w:hint="eastAsia" w:ascii="仿宋_GB2312" w:hAnsi="仿宋_GB2312" w:eastAsia="仿宋_GB2312" w:cs="仿宋_GB2312"/>
          <w:color w:val="auto"/>
          <w:sz w:val="32"/>
          <w:szCs w:val="32"/>
          <w:lang w:eastAsia="zh-CN"/>
        </w:rPr>
        <w:t>本项目资金支出符合国家财经法规、《政府会计制度》《中共阜康市委员会党校单位资金管理办法》《中共阜康市委员会党校专项资金管理办</w:t>
      </w:r>
      <w:r>
        <w:rPr>
          <w:rFonts w:hint="eastAsia" w:ascii="仿宋_GB2312" w:hAnsi="仿宋_GB2312" w:eastAsia="仿宋_GB2312" w:cs="仿宋_GB2312"/>
          <w:sz w:val="32"/>
          <w:szCs w:val="32"/>
          <w:lang w:eastAsia="zh-CN"/>
        </w:rPr>
        <w:t>法》；</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②资金的拨付有完整的审批程序和手续；</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③符合项目预算批复或合同规定的用途；</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④</w:t>
      </w:r>
      <w:r>
        <w:rPr>
          <w:rFonts w:hint="eastAsia" w:ascii="仿宋_GB2312" w:hAnsi="仿宋_GB2312" w:eastAsia="仿宋_GB2312" w:cs="仿宋_GB2312"/>
          <w:sz w:val="32"/>
          <w:szCs w:val="32"/>
          <w:lang w:val="en-US" w:eastAsia="zh-CN"/>
        </w:rPr>
        <w:t>不</w:t>
      </w:r>
      <w:r>
        <w:rPr>
          <w:rFonts w:hint="eastAsia" w:ascii="仿宋_GB2312" w:hAnsi="仿宋_GB2312" w:eastAsia="仿宋_GB2312" w:cs="仿宋_GB2312"/>
          <w:sz w:val="32"/>
          <w:szCs w:val="32"/>
          <w:lang w:eastAsia="zh-CN"/>
        </w:rPr>
        <w:t>存在截留、挤占、挪用、虚列支出等情况。</w:t>
      </w:r>
    </w:p>
    <w:p>
      <w:pPr>
        <w:pageBreakBefore w:val="0"/>
        <w:kinsoku/>
        <w:wordWrap/>
        <w:overflowPunct/>
        <w:topLinePunct w:val="0"/>
        <w:autoSpaceDE/>
        <w:autoSpaceDN/>
        <w:bidi w:val="0"/>
        <w:spacing w:line="560" w:lineRule="exact"/>
        <w:textAlignment w:val="auto"/>
        <w:rPr>
          <w:rFonts w:hint="default" w:ascii="仿宋_GB2312" w:hAnsi="仿宋_GB2312" w:eastAsia="仿宋_GB2312" w:cs="仿宋_GB2312"/>
          <w:b/>
          <w:bCs/>
          <w:color w:val="auto"/>
          <w:sz w:val="32"/>
          <w:szCs w:val="32"/>
          <w:lang w:val="en-US" w:eastAsia="zh-CN"/>
        </w:rPr>
      </w:pPr>
      <w:r>
        <w:rPr>
          <w:rFonts w:hint="default" w:ascii="Times New Roman" w:hAnsi="Times New Roman" w:eastAsia="仿宋_GB2312" w:cs="Times New Roman"/>
          <w:sz w:val="32"/>
          <w:szCs w:val="32"/>
          <w:highlight w:val="none"/>
          <w:lang w:eastAsia="zh-CN"/>
        </w:rPr>
        <w:t>本项目的资金使用是合规的、安全的，既符合国家相关法律法规与财务制度的要求，又满足了项目实施的实际需要。资金使用的合规性为项目的成功实施提供了有力的保障，也为项目的绩效评</w:t>
      </w:r>
      <w:r>
        <w:rPr>
          <w:rFonts w:hint="default" w:ascii="Times New Roman" w:hAnsi="Times New Roman" w:eastAsia="仿宋_GB2312" w:cs="Times New Roman"/>
          <w:color w:val="auto"/>
          <w:sz w:val="32"/>
          <w:szCs w:val="32"/>
          <w:highlight w:val="none"/>
          <w:lang w:eastAsia="zh-CN"/>
        </w:rPr>
        <w:t>价奠定了坚实的基础。</w:t>
      </w:r>
      <w:r>
        <w:rPr>
          <w:rFonts w:hint="eastAsia" w:ascii="Times New Roman" w:hAnsi="Times New Roman" w:eastAsia="仿宋_GB2312" w:cs="Times New Roman"/>
          <w:color w:val="auto"/>
          <w:sz w:val="32"/>
          <w:szCs w:val="32"/>
          <w:highlight w:val="none"/>
          <w:lang w:val="en-US" w:eastAsia="zh-CN"/>
        </w:rPr>
        <w:t xml:space="preserve"> </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综上，该项指标满分4分，得分4分。</w:t>
      </w: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kern w:val="2"/>
          <w:sz w:val="32"/>
          <w:szCs w:val="32"/>
          <w:lang w:val="en-US" w:eastAsia="zh-CN" w:bidi="ar-SA"/>
        </w:rPr>
        <w:t>4.</w:t>
      </w:r>
      <w:r>
        <w:rPr>
          <w:rFonts w:hint="eastAsia" w:ascii="仿宋_GB2312" w:hAnsi="仿宋_GB2312" w:eastAsia="仿宋_GB2312" w:cs="仿宋_GB2312"/>
          <w:b/>
          <w:bCs/>
          <w:color w:val="auto"/>
          <w:sz w:val="32"/>
          <w:szCs w:val="32"/>
          <w:lang w:val="en-US" w:eastAsia="zh-CN"/>
        </w:rPr>
        <w:t>管理制度健全性</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①</w:t>
      </w:r>
      <w:r>
        <w:rPr>
          <w:rFonts w:hint="eastAsia" w:ascii="仿宋_GB2312" w:hAnsi="仿宋_GB2312" w:eastAsia="仿宋_GB2312" w:cs="仿宋_GB2312"/>
          <w:color w:val="auto"/>
          <w:sz w:val="32"/>
          <w:szCs w:val="32"/>
          <w:lang w:eastAsia="zh-CN"/>
        </w:rPr>
        <w:t>我单位已制定《中共阜康市委员会党校资金管理办法》《中共阜康市委员会党校收支业务管理制度》《中共阜康市委员会党校政府采购业务管理制度》《中共阜康市委员会党校合同管理制度》，</w:t>
      </w:r>
      <w:r>
        <w:rPr>
          <w:rFonts w:hint="eastAsia" w:ascii="仿宋_GB2312" w:hAnsi="仿宋_GB2312" w:eastAsia="仿宋_GB2312" w:cs="仿宋_GB2312"/>
          <w:color w:val="auto"/>
          <w:sz w:val="32"/>
          <w:szCs w:val="32"/>
          <w:lang w:val="en-US" w:eastAsia="zh-CN"/>
        </w:rPr>
        <w:t>相关</w:t>
      </w:r>
      <w:r>
        <w:rPr>
          <w:rFonts w:hint="eastAsia" w:ascii="仿宋_GB2312" w:hAnsi="仿宋_GB2312" w:eastAsia="仿宋_GB2312" w:cs="仿宋_GB2312"/>
          <w:color w:val="auto"/>
          <w:sz w:val="32"/>
          <w:szCs w:val="32"/>
          <w:lang w:eastAsia="zh-CN"/>
        </w:rPr>
        <w:t>制度均符合行政事业单位内控管理要求；</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②已制定的</w:t>
      </w:r>
      <w:r>
        <w:rPr>
          <w:rFonts w:hint="eastAsia" w:ascii="仿宋_GB2312" w:hAnsi="仿宋_GB2312" w:eastAsia="仿宋_GB2312" w:cs="仿宋_GB2312"/>
          <w:color w:val="auto"/>
          <w:sz w:val="32"/>
          <w:szCs w:val="32"/>
          <w:lang w:eastAsia="zh-CN"/>
        </w:rPr>
        <w:t>财务和业务管理制度合法、合规、完整，本项目执行符合上述制度规定。</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综上，该项指标满分4分，得分4分。</w:t>
      </w:r>
    </w:p>
    <w:p>
      <w:pPr>
        <w:pageBreakBefore w:val="0"/>
        <w:kinsoku/>
        <w:wordWrap/>
        <w:overflowPunct/>
        <w:topLinePunct w:val="0"/>
        <w:autoSpaceDE/>
        <w:autoSpaceDN/>
        <w:bidi w:val="0"/>
        <w:spacing w:line="560" w:lineRule="exact"/>
        <w:ind w:left="1524" w:leftChars="200" w:hanging="964" w:hangingChars="300"/>
        <w:textAlignment w:val="auto"/>
        <w:outlineLvl w:val="2"/>
        <w:rPr>
          <w:rFonts w:hint="eastAsia" w:ascii="仿宋_GB2312" w:hAnsi="仿宋_GB2312" w:eastAsia="仿宋_GB2312" w:cs="仿宋_GB2312"/>
          <w:b/>
          <w:bCs/>
          <w:sz w:val="32"/>
          <w:szCs w:val="32"/>
          <w:lang w:val="en-US" w:eastAsia="zh-CN"/>
        </w:rPr>
      </w:pPr>
      <w:bookmarkStart w:id="128" w:name="_Toc31684"/>
      <w:bookmarkStart w:id="129" w:name="_Toc13984"/>
      <w:r>
        <w:rPr>
          <w:rFonts w:hint="eastAsia" w:ascii="仿宋_GB2312" w:hAnsi="仿宋_GB2312" w:eastAsia="仿宋_GB2312" w:cs="仿宋_GB2312"/>
          <w:b/>
          <w:bCs/>
          <w:sz w:val="32"/>
          <w:szCs w:val="32"/>
          <w:lang w:val="en-US" w:eastAsia="zh-CN"/>
        </w:rPr>
        <w:t>5.制度执行有效性</w:t>
      </w:r>
      <w:bookmarkEnd w:id="128"/>
      <w:bookmarkEnd w:id="129"/>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①党校搬迁改造</w:t>
      </w:r>
      <w:r>
        <w:rPr>
          <w:rFonts w:hint="eastAsia" w:ascii="仿宋_GB2312" w:hAnsi="仿宋_GB2312" w:eastAsia="仿宋_GB2312" w:cs="仿宋_GB2312"/>
          <w:color w:val="auto"/>
          <w:sz w:val="32"/>
          <w:szCs w:val="32"/>
        </w:rPr>
        <w:t>项目的实施</w:t>
      </w:r>
      <w:r>
        <w:rPr>
          <w:rFonts w:hint="eastAsia" w:ascii="仿宋_GB2312" w:hAnsi="仿宋_GB2312" w:eastAsia="仿宋_GB2312" w:cs="仿宋_GB2312"/>
          <w:color w:val="auto"/>
          <w:sz w:val="32"/>
          <w:szCs w:val="32"/>
          <w:lang w:eastAsia="zh-CN"/>
        </w:rPr>
        <w:t>遵守相关法律法规</w:t>
      </w:r>
      <w:r>
        <w:rPr>
          <w:rFonts w:hint="eastAsia" w:ascii="仿宋_GB2312" w:hAnsi="仿宋_GB2312" w:eastAsia="仿宋_GB2312" w:cs="仿宋_GB2312"/>
          <w:color w:val="auto"/>
          <w:sz w:val="32"/>
          <w:szCs w:val="32"/>
          <w:lang w:val="en-US" w:eastAsia="zh-CN"/>
        </w:rPr>
        <w:t>及</w:t>
      </w:r>
      <w:r>
        <w:rPr>
          <w:rFonts w:hint="eastAsia" w:ascii="仿宋_GB2312" w:hAnsi="仿宋_GB2312" w:eastAsia="仿宋_GB2312" w:cs="仿宋_GB2312"/>
          <w:color w:val="auto"/>
          <w:sz w:val="32"/>
          <w:szCs w:val="32"/>
          <w:lang w:eastAsia="zh-CN"/>
        </w:rPr>
        <w:t>相关管理规定，</w:t>
      </w:r>
      <w:r>
        <w:rPr>
          <w:rFonts w:hint="eastAsia" w:ascii="仿宋_GB2312" w:hAnsi="仿宋_GB2312" w:eastAsia="仿宋_GB2312" w:cs="仿宋_GB2312"/>
          <w:color w:val="auto"/>
          <w:sz w:val="32"/>
          <w:szCs w:val="32"/>
        </w:rPr>
        <w:t>符合</w:t>
      </w:r>
      <w:r>
        <w:rPr>
          <w:rFonts w:hint="eastAsia" w:ascii="仿宋_GB2312" w:hAnsi="仿宋_GB2312" w:eastAsia="仿宋_GB2312" w:cs="仿宋_GB2312"/>
          <w:color w:val="auto"/>
          <w:sz w:val="32"/>
          <w:szCs w:val="32"/>
          <w:lang w:eastAsia="zh-CN"/>
        </w:rPr>
        <w:t>《中共阜康市委员会党校资金管理办法》《中共阜康市委员会党校收支业务管理制度》《中共阜康市委员会党校政府采购业务管理制度》《中共阜康市委员会党校合同管理制度》</w:t>
      </w:r>
      <w:r>
        <w:rPr>
          <w:rFonts w:hint="eastAsia" w:ascii="仿宋_GB2312" w:hAnsi="仿宋_GB2312" w:eastAsia="仿宋_GB2312" w:cs="仿宋_GB2312"/>
          <w:color w:val="auto"/>
          <w:sz w:val="32"/>
          <w:szCs w:val="32"/>
        </w:rPr>
        <w:t>等管理规定，</w:t>
      </w:r>
      <w:r>
        <w:rPr>
          <w:rFonts w:hint="eastAsia" w:ascii="仿宋_GB2312" w:hAnsi="仿宋_GB2312" w:eastAsia="仿宋_GB2312" w:cs="仿宋_GB2312"/>
          <w:color w:val="auto"/>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②</w:t>
      </w:r>
      <w:r>
        <w:rPr>
          <w:rFonts w:hint="eastAsia" w:ascii="仿宋_GB2312" w:hAnsi="仿宋_GB2312" w:eastAsia="仿宋_GB2312" w:cs="仿宋_GB2312"/>
          <w:color w:val="auto"/>
          <w:sz w:val="32"/>
          <w:szCs w:val="32"/>
        </w:rPr>
        <w:t>该项目实施过程中不存在调整事项</w:t>
      </w:r>
      <w:r>
        <w:rPr>
          <w:rFonts w:hint="eastAsia" w:ascii="仿宋_GB2312" w:hAnsi="仿宋_GB2312" w:eastAsia="仿宋_GB2312" w:cs="仿宋_GB2312"/>
          <w:color w:val="auto"/>
          <w:sz w:val="32"/>
          <w:szCs w:val="32"/>
          <w:lang w:eastAsia="zh-CN"/>
        </w:rPr>
        <w:t>。</w:t>
      </w:r>
    </w:p>
    <w:p>
      <w:pPr>
        <w:pageBreakBefore w:val="0"/>
        <w:widowControl w:val="0"/>
        <w:kinsoku/>
        <w:wordWrap/>
        <w:topLinePunct w:val="0"/>
        <w:autoSpaceDE/>
        <w:autoSpaceDN/>
        <w:bidi w:val="0"/>
        <w:spacing w:line="560" w:lineRule="exact"/>
        <w:ind w:left="0" w:leftChars="0" w:firstLine="643"/>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③</w:t>
      </w:r>
      <w:r>
        <w:rPr>
          <w:rFonts w:hint="eastAsia" w:ascii="仿宋_GB2312" w:hAnsi="仿宋_GB2312" w:eastAsia="仿宋_GB2312" w:cs="仿宋_GB2312"/>
          <w:color w:val="auto"/>
          <w:sz w:val="32"/>
          <w:szCs w:val="32"/>
        </w:rPr>
        <w:t>项目合同书、验收评审表、财务支付凭证等资料齐全并及时归档。</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lang w:eastAsia="zh-CN"/>
        </w:rPr>
        <w:t>④</w:t>
      </w:r>
      <w:r>
        <w:rPr>
          <w:rFonts w:hint="eastAsia" w:ascii="仿宋_GB2312" w:hAnsi="仿宋_GB2312" w:eastAsia="仿宋_GB2312" w:cs="仿宋_GB2312"/>
          <w:color w:val="auto"/>
          <w:sz w:val="32"/>
          <w:szCs w:val="32"/>
          <w:lang w:eastAsia="zh-CN"/>
        </w:rPr>
        <w:t>项目实施所需要的项目人员和场地设备均已落实到位，具体涉及内容包括：项目资金支出严格按照自治区、地区以及本单位资金管理办法执行，项目启动实施后，为了加快本项目的实施，成立了党校搬迁改造项目工作领导小组，由王寅生任组长，负责项目的组织工作；</w:t>
      </w:r>
      <w:r>
        <w:rPr>
          <w:rFonts w:hint="eastAsia" w:ascii="仿宋_GB2312" w:hAnsi="仿宋_GB2312" w:eastAsia="仿宋_GB2312" w:cs="仿宋_GB2312"/>
          <w:color w:val="auto"/>
          <w:sz w:val="32"/>
          <w:szCs w:val="32"/>
          <w:highlight w:val="none"/>
          <w:shd w:val="clear" w:color="auto" w:fill="auto"/>
          <w:lang w:val="en-US" w:eastAsia="zh-CN"/>
        </w:rPr>
        <w:t>钟含</w:t>
      </w:r>
      <w:r>
        <w:rPr>
          <w:rFonts w:hint="eastAsia" w:ascii="仿宋_GB2312" w:hAnsi="仿宋_GB2312" w:eastAsia="仿宋_GB2312" w:cs="仿宋_GB2312"/>
          <w:color w:val="auto"/>
          <w:sz w:val="32"/>
          <w:szCs w:val="32"/>
          <w:lang w:eastAsia="zh-CN"/>
        </w:rPr>
        <w:t>任副组长，负责项目的实施工作；组员包括：</w:t>
      </w:r>
      <w:r>
        <w:rPr>
          <w:rFonts w:hint="eastAsia" w:ascii="仿宋_GB2312" w:hAnsi="仿宋_GB2312" w:eastAsia="仿宋_GB2312" w:cs="仿宋_GB2312"/>
          <w:color w:val="auto"/>
          <w:sz w:val="32"/>
          <w:szCs w:val="32"/>
          <w:highlight w:val="none"/>
          <w:shd w:val="clear" w:color="auto" w:fill="auto"/>
          <w:lang w:val="en-US" w:eastAsia="zh-CN"/>
        </w:rPr>
        <w:t>白振华和海国忠</w:t>
      </w:r>
      <w:r>
        <w:rPr>
          <w:rFonts w:hint="eastAsia" w:ascii="仿宋_GB2312" w:hAnsi="仿宋_GB2312" w:eastAsia="仿宋_GB2312" w:cs="仿宋_GB2312"/>
          <w:color w:val="auto"/>
          <w:sz w:val="32"/>
          <w:szCs w:val="32"/>
          <w:lang w:eastAsia="zh-CN"/>
        </w:rPr>
        <w:t>，主要负责项目监督管理、验收以及资金核拨等工作。</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综上，该项指标满分</w:t>
      </w:r>
      <w:r>
        <w:rPr>
          <w:rFonts w:hint="eastAsia" w:ascii="仿宋_GB2312" w:hAnsi="仿宋_GB2312" w:eastAsia="仿宋_GB2312" w:cs="仿宋_GB2312"/>
          <w:b/>
          <w:bCs/>
          <w:color w:val="auto"/>
          <w:sz w:val="32"/>
          <w:szCs w:val="32"/>
          <w:lang w:val="en-US" w:eastAsia="zh-CN"/>
        </w:rPr>
        <w:t>4分，得分4分。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color w:val="auto"/>
          <w:kern w:val="28"/>
          <w:sz w:val="32"/>
          <w:lang w:val="en-US" w:eastAsia="zh-CN"/>
        </w:rPr>
      </w:pPr>
      <w:bookmarkStart w:id="130" w:name="_Toc2441"/>
      <w:r>
        <w:rPr>
          <w:rFonts w:hint="eastAsia" w:ascii="Times New Roman" w:hAnsi="Times New Roman" w:eastAsia="楷体_GB2312" w:cs="Times New Roman"/>
          <w:color w:val="auto"/>
          <w:kern w:val="28"/>
          <w:sz w:val="32"/>
          <w:lang w:val="en-US" w:eastAsia="zh-CN"/>
        </w:rPr>
        <w:t>（三）项目产出情况</w:t>
      </w:r>
      <w:bookmarkEnd w:id="130"/>
    </w:p>
    <w:p>
      <w:pPr>
        <w:pageBreakBefore w:val="0"/>
        <w:widowControl w:val="0"/>
        <w:kinsoku/>
        <w:wordWrap/>
        <w:overflowPunct/>
        <w:topLinePunct w:val="0"/>
        <w:autoSpaceDE/>
        <w:autoSpaceDN/>
        <w:bidi w:val="0"/>
        <w:adjustRightInd/>
        <w:spacing w:line="560" w:lineRule="exact"/>
        <w:ind w:firstLine="560"/>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产出</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lang w:val="en-US" w:eastAsia="zh-CN"/>
        </w:rPr>
        <w:t>包括产出数量、产出质量、产出时效、产出成本四方面的内容，</w:t>
      </w:r>
      <w:r>
        <w:rPr>
          <w:rFonts w:hint="eastAsia" w:ascii="Times New Roman" w:hAnsi="Times New Roman" w:eastAsia="仿宋_GB2312" w:cs="Times New Roman"/>
          <w:color w:val="auto"/>
          <w:sz w:val="32"/>
          <w:szCs w:val="32"/>
          <w:lang w:val="en-US" w:eastAsia="zh-CN"/>
        </w:rPr>
        <w:t>共</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12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40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560" w:lineRule="exact"/>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6"/>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shd w:val="clear" w:color="auto" w:fill="auto"/>
          <w:tblLayout w:type="fixed"/>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tblPrEx>
          <w:tblLayout w:type="fixed"/>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工程设计</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土地测绘</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工程勘察</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施工监理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≥1项</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1项</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工程竣工结算</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1次</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415"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办公家具购置</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≥1批</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1批</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搬迁改造各项委托业务工作完成合格率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≥95%</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货物验收合格率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FF0000"/>
                <w:kern w:val="0"/>
                <w:sz w:val="20"/>
                <w:szCs w:val="20"/>
                <w:highlight w:val="none"/>
                <w:shd w:val="clear" w:color="auto" w:fill="auto"/>
                <w:lang w:val="en-US" w:eastAsia="zh-CN"/>
              </w:rPr>
            </w:pPr>
            <w:r>
              <w:rPr>
                <w:rFonts w:hint="eastAsia" w:ascii="宋体" w:hAnsi="宋体" w:eastAsia="宋体" w:cs="宋体"/>
                <w:i w:val="0"/>
                <w:iCs w:val="0"/>
                <w:color w:val="000000"/>
                <w:kern w:val="0"/>
                <w:sz w:val="20"/>
                <w:szCs w:val="20"/>
                <w:u w:val="none"/>
                <w:lang w:val="en-US" w:eastAsia="zh-CN" w:bidi="ar"/>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搬迁改造各项委托业务工作完成时间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≤2024年3月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2024年3月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货物采购完成时间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≤2024年3月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2024年3月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搬迁改造项目委托业务支出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≤9.87万元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9.87万元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办公家具购置支出</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≤10万元</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pacing w:line="240" w:lineRule="exact"/>
              <w:ind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5</w:t>
            </w:r>
          </w:p>
        </w:tc>
      </w:tr>
      <w:tr>
        <w:tblPrEx>
          <w:tblLayout w:type="fixed"/>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r>
              <w:rPr>
                <w:rFonts w:hint="eastAsia" w:ascii="宋体" w:hAnsi="宋体" w:eastAsia="宋体" w:cs="宋体"/>
                <w:color w:val="auto"/>
                <w:kern w:val="0"/>
                <w:sz w:val="20"/>
                <w:szCs w:val="20"/>
                <w:highlight w:val="none"/>
                <w:shd w:val="clear" w:color="auto" w:fill="auto"/>
                <w:lang w:val="en-US" w:eastAsia="zh-CN"/>
              </w:rPr>
              <w:t>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300" w:lineRule="exact"/>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40</w:t>
            </w:r>
          </w:p>
        </w:tc>
      </w:tr>
    </w:tbl>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FF0000"/>
          <w:sz w:val="32"/>
          <w:szCs w:val="32"/>
          <w:lang w:val="en-US" w:eastAsia="zh-CN"/>
        </w:rPr>
      </w:pPr>
      <w:bookmarkStart w:id="131" w:name="_Toc11067"/>
      <w:bookmarkStart w:id="132" w:name="_Toc26689"/>
      <w:r>
        <w:rPr>
          <w:rFonts w:hint="eastAsia" w:ascii="仿宋_GB2312" w:hAnsi="仿宋_GB2312" w:eastAsia="仿宋_GB2312" w:cs="仿宋_GB2312"/>
          <w:b/>
          <w:bCs/>
          <w:sz w:val="32"/>
          <w:szCs w:val="32"/>
          <w:lang w:val="en-US" w:eastAsia="zh-CN"/>
        </w:rPr>
        <w:t>1.数量指标完成情况</w:t>
      </w:r>
      <w:bookmarkEnd w:id="131"/>
      <w:bookmarkEnd w:id="132"/>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工程设计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指标，预期目标值为≥1次，实际完成为1次。实际完成率=（1次/1次）×100%=100%。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土地测绘</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指标，预期目标值为≥1次，实际完成为1次。实际完成率=（1次/1次）×100%=100%。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工程勘察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指标，预期目标值为≥1次，实际完成为1次。实际完成率=（1次/1次）×100%=100%。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施工监理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指标，预期目标值为≥1项，实际完成为1项。实际完成率=（1项/1项）×100%=100%。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工程竣工结算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指标，预期目标值为≥1次，实际完成为1次。实际完成率=（1次/1次）×100%=100%。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办公家具购置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指标，预期目标值为≥1批，实际完成为1批。实际完成率=（1批/1批）×100%=100%。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综上，该项指标满分</w:t>
      </w:r>
      <w:r>
        <w:rPr>
          <w:rFonts w:hint="eastAsia" w:ascii="仿宋_GB2312" w:hAnsi="仿宋_GB2312" w:eastAsia="仿宋_GB2312" w:cs="仿宋_GB2312"/>
          <w:b/>
          <w:bCs/>
          <w:color w:val="auto"/>
          <w:sz w:val="32"/>
          <w:szCs w:val="32"/>
          <w:lang w:val="en-US" w:eastAsia="zh-CN"/>
        </w:rPr>
        <w:t>12分，得分12分。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color w:val="auto"/>
          <w:sz w:val="32"/>
          <w:szCs w:val="32"/>
          <w:lang w:val="en-US" w:eastAsia="zh-CN"/>
        </w:rPr>
      </w:pPr>
      <w:bookmarkStart w:id="133" w:name="_Toc31739"/>
      <w:bookmarkStart w:id="134" w:name="_Toc14255"/>
      <w:r>
        <w:rPr>
          <w:rFonts w:hint="eastAsia" w:ascii="仿宋_GB2312" w:hAnsi="仿宋_GB2312" w:eastAsia="仿宋_GB2312" w:cs="仿宋_GB2312"/>
          <w:b/>
          <w:bCs/>
          <w:color w:val="auto"/>
          <w:sz w:val="32"/>
          <w:szCs w:val="32"/>
          <w:lang w:val="en-US" w:eastAsia="zh-CN"/>
        </w:rPr>
        <w:t>2.</w:t>
      </w:r>
      <w:bookmarkEnd w:id="133"/>
      <w:r>
        <w:rPr>
          <w:rFonts w:hint="eastAsia" w:ascii="仿宋_GB2312" w:hAnsi="仿宋_GB2312" w:eastAsia="仿宋_GB2312" w:cs="仿宋_GB2312"/>
          <w:b/>
          <w:bCs/>
          <w:color w:val="auto"/>
          <w:sz w:val="32"/>
          <w:szCs w:val="32"/>
          <w:lang w:val="en-US" w:eastAsia="zh-CN"/>
        </w:rPr>
        <w:t>质量指标完成情况</w:t>
      </w:r>
      <w:bookmarkEnd w:id="134"/>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搬迁改造各项委托业务工作完成合格率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指标，预期目标值为≥95%，实际完成为100%。实际完成率100%。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货物验收合格率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指标，预期目标值为=100%，实际完成为100%。实际完成率100%。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lang w:val="en-US" w:eastAsia="zh-CN"/>
        </w:rPr>
        <w:t>综上，该项指标满分8分，得分8分。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sz w:val="32"/>
          <w:szCs w:val="32"/>
          <w:lang w:val="en-US" w:eastAsia="zh-CN"/>
        </w:rPr>
      </w:pPr>
      <w:bookmarkStart w:id="135" w:name="_Toc18307"/>
      <w:bookmarkStart w:id="136" w:name="_Toc28885"/>
      <w:r>
        <w:rPr>
          <w:rFonts w:hint="eastAsia" w:ascii="仿宋_GB2312" w:hAnsi="仿宋_GB2312" w:eastAsia="仿宋_GB2312" w:cs="仿宋_GB2312"/>
          <w:b/>
          <w:bCs/>
          <w:sz w:val="32"/>
          <w:szCs w:val="32"/>
          <w:lang w:val="en-US" w:eastAsia="zh-CN"/>
        </w:rPr>
        <w:t>3.</w:t>
      </w:r>
      <w:bookmarkEnd w:id="135"/>
      <w:r>
        <w:rPr>
          <w:rFonts w:hint="eastAsia" w:ascii="仿宋_GB2312" w:hAnsi="仿宋_GB2312" w:eastAsia="仿宋_GB2312" w:cs="仿宋_GB2312"/>
          <w:b/>
          <w:bCs/>
          <w:sz w:val="32"/>
          <w:szCs w:val="32"/>
          <w:lang w:val="en-US" w:eastAsia="zh-CN"/>
        </w:rPr>
        <w:t>时效指标完成情况</w:t>
      </w:r>
      <w:bookmarkEnd w:id="13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搬迁改造各项委托业务工作完成时间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指标，预期目标值为≤2024年3月，实际完成为2024年3月。实际完成率100%。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货物采购完成时间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指标，预期目标值为≤2024年3月，实际完成为2024年3月。实际完成率100%。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sz w:val="32"/>
          <w:szCs w:val="32"/>
          <w:lang w:val="en-US" w:eastAsia="zh-CN"/>
        </w:rPr>
        <w:t>综上，该项指标满</w:t>
      </w:r>
      <w:r>
        <w:rPr>
          <w:rFonts w:hint="eastAsia" w:ascii="仿宋_GB2312" w:hAnsi="仿宋_GB2312" w:eastAsia="仿宋_GB2312" w:cs="仿宋_GB2312"/>
          <w:b/>
          <w:bCs/>
          <w:color w:val="auto"/>
          <w:sz w:val="32"/>
          <w:szCs w:val="32"/>
          <w:lang w:val="en-US" w:eastAsia="zh-CN"/>
        </w:rPr>
        <w:t>分10分，得分10分。</w:t>
      </w:r>
    </w:p>
    <w:p>
      <w:pPr>
        <w:pageBreakBefore w:val="0"/>
        <w:kinsoku/>
        <w:wordWrap/>
        <w:overflowPunct/>
        <w:topLinePunct w:val="0"/>
        <w:autoSpaceDE/>
        <w:autoSpaceDN/>
        <w:bidi w:val="0"/>
        <w:spacing w:line="560" w:lineRule="exact"/>
        <w:textAlignment w:val="auto"/>
        <w:outlineLvl w:val="2"/>
        <w:rPr>
          <w:rFonts w:hint="default" w:ascii="仿宋_GB2312" w:hAnsi="仿宋_GB2312" w:eastAsia="仿宋_GB2312" w:cs="仿宋_GB2312"/>
          <w:b/>
          <w:bCs/>
          <w:sz w:val="32"/>
          <w:szCs w:val="32"/>
          <w:lang w:val="en-US" w:eastAsia="zh-CN"/>
        </w:rPr>
      </w:pPr>
      <w:bookmarkStart w:id="137" w:name="_Toc32765"/>
      <w:bookmarkStart w:id="138" w:name="_Toc20607"/>
      <w:r>
        <w:rPr>
          <w:rFonts w:hint="eastAsia" w:ascii="仿宋_GB2312" w:hAnsi="仿宋_GB2312" w:eastAsia="仿宋_GB2312" w:cs="仿宋_GB2312"/>
          <w:b/>
          <w:bCs/>
          <w:sz w:val="32"/>
          <w:szCs w:val="32"/>
          <w:lang w:val="en-US" w:eastAsia="zh-CN"/>
        </w:rPr>
        <w:t>4.项目</w:t>
      </w:r>
      <w:bookmarkEnd w:id="137"/>
      <w:r>
        <w:rPr>
          <w:rFonts w:hint="eastAsia" w:ascii="仿宋_GB2312" w:hAnsi="仿宋_GB2312" w:eastAsia="仿宋_GB2312" w:cs="仿宋_GB2312"/>
          <w:b/>
          <w:bCs/>
          <w:sz w:val="32"/>
          <w:szCs w:val="32"/>
          <w:lang w:val="en-US" w:eastAsia="zh-CN"/>
        </w:rPr>
        <w:t>成本情况</w:t>
      </w:r>
      <w:bookmarkEnd w:id="138"/>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经济</w:t>
      </w:r>
      <w:r>
        <w:rPr>
          <w:rFonts w:hint="eastAsia" w:ascii="仿宋_GB2312" w:hAnsi="仿宋_GB2312" w:eastAsia="仿宋_GB2312" w:cs="仿宋_GB2312"/>
          <w:b/>
          <w:bCs/>
          <w:sz w:val="32"/>
          <w:szCs w:val="32"/>
          <w:lang w:eastAsia="zh-CN"/>
        </w:rPr>
        <w:t>成本指标完成情况</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搬迁改造项目委托业务支出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指标，预期目标值为≤9.87万元，实际完成为9.87万元。实际完成率=（9.87万元/9.87万元）×100%=100%。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办公家具购置支出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指标，预期目标值为≤10万元，实际完成为10万元。实际完成率=（10万元/10万元）×100%=100%。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综上，该项指标满分</w:t>
      </w:r>
      <w:r>
        <w:rPr>
          <w:rFonts w:hint="eastAsia" w:ascii="仿宋_GB2312" w:hAnsi="仿宋_GB2312" w:eastAsia="仿宋_GB2312" w:cs="仿宋_GB2312"/>
          <w:b/>
          <w:bCs/>
          <w:color w:val="auto"/>
          <w:sz w:val="32"/>
          <w:szCs w:val="32"/>
          <w:lang w:val="en-US" w:eastAsia="zh-CN"/>
        </w:rPr>
        <w:t>10分，得分10分。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kern w:val="28"/>
          <w:sz w:val="32"/>
          <w:lang w:val="en-US" w:eastAsia="zh-CN"/>
        </w:rPr>
      </w:pPr>
      <w:bookmarkStart w:id="139" w:name="_Toc19424"/>
      <w:r>
        <w:rPr>
          <w:rFonts w:hint="eastAsia" w:ascii="Times New Roman" w:hAnsi="Times New Roman" w:eastAsia="楷体_GB2312" w:cs="Times New Roman"/>
          <w:kern w:val="28"/>
          <w:sz w:val="32"/>
          <w:lang w:val="en-US" w:eastAsia="zh-CN"/>
        </w:rPr>
        <w:t>（四）项目效益情况</w:t>
      </w:r>
      <w:bookmarkEnd w:id="139"/>
    </w:p>
    <w:p>
      <w:pPr>
        <w:pageBreakBefore w:val="0"/>
        <w:widowControl w:val="0"/>
        <w:kinsoku/>
        <w:wordWrap/>
        <w:overflowPunct/>
        <w:topLinePunct w:val="0"/>
        <w:autoSpaceDE/>
        <w:autoSpaceDN/>
        <w:bidi w:val="0"/>
        <w:adjustRightInd/>
        <w:spacing w:line="560" w:lineRule="exact"/>
        <w:ind w:firstLine="560"/>
        <w:jc w:val="left"/>
        <w:textAlignment w:val="auto"/>
        <w:rPr>
          <w:rFonts w:hint="eastAsia" w:ascii="仿宋_GB2312" w:hAnsi="仿宋_GB2312" w:eastAsia="仿宋_GB2312" w:cs="仿宋_GB2312"/>
          <w:color w:val="auto"/>
          <w:kern w:val="2"/>
          <w:sz w:val="32"/>
          <w:szCs w:val="32"/>
          <w:highlight w:val="none"/>
          <w:u w:color="000000"/>
          <w:shd w:val="clear" w:color="auto" w:fill="auto"/>
          <w:lang w:val="zh-TW" w:eastAsia="zh-TW"/>
        </w:rPr>
      </w:pPr>
      <w:r>
        <w:rPr>
          <w:rFonts w:hint="eastAsia" w:ascii="仿宋_GB2312" w:hAnsi="仿宋_GB2312" w:eastAsia="仿宋_GB2312" w:cs="仿宋_GB2312"/>
          <w:color w:val="auto"/>
          <w:kern w:val="2"/>
          <w:sz w:val="32"/>
          <w:szCs w:val="32"/>
          <w:highlight w:val="none"/>
          <w:u w:color="000000"/>
          <w:shd w:val="clear" w:color="auto" w:fill="auto"/>
          <w:lang w:val="zh-TW" w:eastAsia="zh-TW"/>
        </w:rPr>
        <w:t>项目</w:t>
      </w:r>
      <w:r>
        <w:rPr>
          <w:rFonts w:hint="eastAsia" w:ascii="仿宋_GB2312" w:hAnsi="仿宋_GB2312" w:eastAsia="仿宋_GB2312" w:cs="仿宋_GB2312"/>
          <w:color w:val="auto"/>
          <w:sz w:val="32"/>
          <w:szCs w:val="32"/>
          <w:highlight w:val="none"/>
          <w:shd w:val="clear" w:color="auto" w:fill="auto"/>
          <w:lang w:val="en-US" w:eastAsia="zh-CN"/>
        </w:rPr>
        <w:t>效益</w:t>
      </w:r>
      <w:r>
        <w:rPr>
          <w:rFonts w:hint="eastAsia" w:ascii="仿宋_GB2312" w:hAnsi="仿宋_GB2312" w:eastAsia="仿宋_GB2312" w:cs="仿宋_GB2312"/>
          <w:color w:val="auto"/>
          <w:kern w:val="2"/>
          <w:sz w:val="32"/>
          <w:szCs w:val="32"/>
          <w:highlight w:val="none"/>
          <w:u w:color="000000"/>
          <w:shd w:val="clear" w:color="auto" w:fill="auto"/>
          <w:lang w:val="zh-TW" w:eastAsia="zh-TW"/>
        </w:rPr>
        <w:t>类指标</w:t>
      </w:r>
      <w:r>
        <w:rPr>
          <w:rFonts w:hint="default" w:ascii="Times New Roman" w:hAnsi="Times New Roman" w:eastAsia="仿宋_GB2312" w:cs="Times New Roman"/>
          <w:color w:val="auto"/>
          <w:sz w:val="32"/>
          <w:szCs w:val="32"/>
          <w:lang w:val="en-US" w:eastAsia="zh-CN"/>
        </w:rPr>
        <w:t>包括项目实施效益和满意度两方面的内容，</w:t>
      </w:r>
      <w:r>
        <w:rPr>
          <w:rFonts w:hint="eastAsia" w:ascii="仿宋_GB2312" w:hAnsi="仿宋_GB2312" w:eastAsia="仿宋_GB2312" w:cs="仿宋_GB2312"/>
          <w:color w:val="auto"/>
          <w:kern w:val="2"/>
          <w:sz w:val="32"/>
          <w:szCs w:val="32"/>
          <w:highlight w:val="none"/>
          <w:u w:color="000000"/>
          <w:shd w:val="clear" w:color="auto" w:fill="auto"/>
          <w:lang w:val="zh-TW" w:eastAsia="zh-TW"/>
        </w:rPr>
        <w:t>由</w:t>
      </w:r>
      <w:r>
        <w:rPr>
          <w:rFonts w:hint="eastAsia" w:ascii="仿宋_GB2312" w:hAnsi="仿宋_GB2312" w:eastAsia="仿宋_GB2312" w:cs="仿宋_GB2312"/>
          <w:color w:val="auto"/>
          <w:kern w:val="2"/>
          <w:sz w:val="32"/>
          <w:szCs w:val="32"/>
          <w:highlight w:val="none"/>
          <w:u w:color="000000"/>
          <w:shd w:val="clear" w:color="auto" w:fill="auto"/>
          <w:lang w:val="en-US" w:eastAsia="zh-CN"/>
        </w:rPr>
        <w:t>2</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val="zh-TW" w:eastAsia="zh-CN"/>
        </w:rPr>
        <w:t>二</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级指标和</w:t>
      </w:r>
      <w:r>
        <w:rPr>
          <w:rFonts w:hint="eastAsia" w:ascii="仿宋_GB2312" w:hAnsi="仿宋_GB2312" w:eastAsia="仿宋_GB2312" w:cs="仿宋_GB2312"/>
          <w:color w:val="auto"/>
          <w:kern w:val="2"/>
          <w:sz w:val="32"/>
          <w:szCs w:val="32"/>
          <w:highlight w:val="none"/>
          <w:u w:color="000000"/>
          <w:shd w:val="clear" w:color="auto" w:fill="auto"/>
          <w:lang w:val="en-US" w:eastAsia="zh-CN"/>
        </w:rPr>
        <w:t>3</w:t>
      </w:r>
      <w:r>
        <w:rPr>
          <w:rFonts w:hint="eastAsia" w:ascii="仿宋_GB2312" w:hAnsi="仿宋_GB2312" w:eastAsia="仿宋_GB2312" w:cs="仿宋_GB2312"/>
          <w:color w:val="auto"/>
          <w:kern w:val="2"/>
          <w:sz w:val="32"/>
          <w:szCs w:val="32"/>
          <w:highlight w:val="none"/>
          <w:u w:color="000000"/>
          <w:shd w:val="clear" w:color="auto" w:fill="auto"/>
          <w:lang w:val="zh-TW" w:eastAsia="zh-TW"/>
        </w:rPr>
        <w:t>个</w:t>
      </w:r>
      <w:r>
        <w:rPr>
          <w:rFonts w:hint="eastAsia" w:ascii="仿宋_GB2312" w:hAnsi="仿宋_GB2312" w:eastAsia="仿宋_GB2312" w:cs="仿宋_GB2312"/>
          <w:color w:val="auto"/>
          <w:kern w:val="2"/>
          <w:sz w:val="32"/>
          <w:szCs w:val="32"/>
          <w:highlight w:val="none"/>
          <w:u w:color="000000"/>
          <w:shd w:val="clear" w:color="auto" w:fill="auto"/>
          <w:lang w:eastAsia="zh-CN"/>
        </w:rPr>
        <w:t>三</w:t>
      </w:r>
      <w:r>
        <w:rPr>
          <w:rFonts w:hint="eastAsia" w:ascii="仿宋_GB2312" w:hAnsi="仿宋_GB2312" w:eastAsia="仿宋_GB2312" w:cs="仿宋_GB2312"/>
          <w:color w:val="auto"/>
          <w:kern w:val="2"/>
          <w:sz w:val="32"/>
          <w:szCs w:val="32"/>
          <w:highlight w:val="none"/>
          <w:u w:color="000000"/>
          <w:shd w:val="clear" w:color="auto" w:fill="auto"/>
          <w:lang w:val="zh-TW" w:eastAsia="zh-TW"/>
        </w:rPr>
        <w:t>级指标构成，权重分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分，实际得分</w:t>
      </w:r>
      <w:r>
        <w:rPr>
          <w:rFonts w:hint="eastAsia" w:ascii="仿宋_GB2312" w:hAnsi="仿宋_GB2312" w:eastAsia="仿宋_GB2312" w:cs="仿宋_GB2312"/>
          <w:color w:val="auto"/>
          <w:kern w:val="2"/>
          <w:sz w:val="32"/>
          <w:szCs w:val="32"/>
          <w:highlight w:val="none"/>
          <w:u w:color="000000"/>
          <w:shd w:val="clear" w:color="auto" w:fill="auto"/>
          <w:lang w:val="en-US" w:eastAsia="zh-CN"/>
        </w:rPr>
        <w:t>20</w:t>
      </w:r>
      <w:r>
        <w:rPr>
          <w:rFonts w:hint="eastAsia" w:ascii="仿宋_GB2312" w:hAnsi="仿宋_GB2312" w:eastAsia="仿宋_GB2312" w:cs="仿宋_GB2312"/>
          <w:color w:val="auto"/>
          <w:kern w:val="2"/>
          <w:sz w:val="32"/>
          <w:szCs w:val="32"/>
          <w:highlight w:val="none"/>
          <w:u w:color="000000"/>
          <w:shd w:val="clear" w:color="auto" w:fill="auto"/>
          <w:lang w:val="zh-TW" w:eastAsia="zh-TW"/>
        </w:rPr>
        <w:t>分</w:t>
      </w:r>
      <w:r>
        <w:rPr>
          <w:rFonts w:hint="eastAsia" w:ascii="仿宋_GB2312" w:hAnsi="仿宋_GB2312" w:eastAsia="仿宋_GB2312" w:cs="仿宋_GB2312"/>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各指标业绩值和绩效分值如表</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eastAsia="zh-CN"/>
        </w:rPr>
        <w:t>-</w:t>
      </w:r>
      <w:r>
        <w:rPr>
          <w:rFonts w:hint="eastAsia" w:ascii="仿宋_GB2312" w:hAnsi="仿宋_GB2312" w:eastAsia="仿宋_GB2312" w:cs="仿宋_GB2312"/>
          <w:color w:val="auto"/>
          <w:kern w:val="2"/>
          <w:sz w:val="32"/>
          <w:szCs w:val="32"/>
          <w:highlight w:val="none"/>
          <w:u w:color="000000"/>
          <w:shd w:val="clear" w:color="auto" w:fill="auto"/>
          <w:lang w:val="en-US" w:eastAsia="zh-CN"/>
        </w:rPr>
        <w:t>4</w:t>
      </w:r>
      <w:r>
        <w:rPr>
          <w:rFonts w:hint="eastAsia" w:ascii="仿宋_GB2312" w:hAnsi="仿宋_GB2312" w:eastAsia="仿宋_GB2312" w:cs="仿宋_GB2312"/>
          <w:color w:val="auto"/>
          <w:kern w:val="2"/>
          <w:sz w:val="32"/>
          <w:szCs w:val="32"/>
          <w:highlight w:val="none"/>
          <w:u w:color="000000"/>
          <w:shd w:val="clear" w:color="auto" w:fill="auto"/>
          <w:lang w:val="zh-TW" w:eastAsia="zh-TW"/>
        </w:rPr>
        <w:t>所示</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b/>
          <w:bCs/>
          <w:color w:val="auto"/>
          <w:kern w:val="2"/>
          <w:sz w:val="32"/>
          <w:szCs w:val="32"/>
          <w:highlight w:val="none"/>
          <w:u w:color="000000"/>
          <w:shd w:val="clear" w:color="auto" w:fill="auto"/>
          <w:lang w:val="en-US" w:eastAsia="zh-CN"/>
        </w:rPr>
        <w:t>详见上传的附件</w:t>
      </w:r>
      <w:r>
        <w:rPr>
          <w:rFonts w:hint="eastAsia" w:ascii="仿宋_GB2312" w:hAnsi="仿宋_GB2312" w:eastAsia="仿宋_GB2312" w:cs="仿宋_GB2312"/>
          <w:b/>
          <w:bCs/>
          <w:color w:val="auto"/>
          <w:kern w:val="2"/>
          <w:sz w:val="32"/>
          <w:szCs w:val="32"/>
          <w:highlight w:val="none"/>
          <w:u w:color="000000"/>
          <w:shd w:val="clear" w:color="auto" w:fill="auto"/>
          <w:lang w:val="zh-TW" w:eastAsia="zh-CN"/>
        </w:rPr>
        <w:t>）</w:t>
      </w:r>
      <w:r>
        <w:rPr>
          <w:rFonts w:hint="eastAsia" w:ascii="仿宋_GB2312" w:hAnsi="仿宋_GB2312" w:eastAsia="仿宋_GB2312" w:cs="仿宋_GB2312"/>
          <w:color w:val="auto"/>
          <w:kern w:val="2"/>
          <w:sz w:val="32"/>
          <w:szCs w:val="3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560" w:lineRule="exact"/>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6"/>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shd w:val="clear" w:color="auto" w:fill="auto"/>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vMerge w:val="restart"/>
            <w:tcBorders>
              <w:top w:val="single" w:color="auto"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提升教学培训硬件条件，确保教学活动有序开展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达到预期指标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建好党的理论研究基地，大力提高科研质量</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iCs w:val="0"/>
                <w:color w:val="auto"/>
                <w:kern w:val="0"/>
                <w:sz w:val="20"/>
                <w:szCs w:val="20"/>
                <w:u w:val="none"/>
                <w:lang w:val="en-US" w:eastAsia="zh-CN" w:bidi="ar"/>
              </w:rPr>
              <w:t>有效提升</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达到预期指标</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7</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教职工及学员对党校改造的满意度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r>
              <w:rPr>
                <w:rFonts w:hint="eastAsia" w:ascii="宋体" w:hAnsi="宋体" w:eastAsia="宋体" w:cs="宋体"/>
                <w:color w:val="auto"/>
                <w:kern w:val="0"/>
                <w:sz w:val="20"/>
                <w:szCs w:val="20"/>
                <w:highlight w:val="none"/>
                <w:shd w:val="clear" w:color="auto" w:fill="auto"/>
                <w:lang w:val="en-US" w:eastAsia="zh-CN"/>
              </w:rPr>
              <w:t>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pageBreakBefore w:val="0"/>
        <w:kinsoku/>
        <w:wordWrap/>
        <w:overflowPunct/>
        <w:topLinePunct w:val="0"/>
        <w:autoSpaceDE/>
        <w:autoSpaceDN/>
        <w:bidi w:val="0"/>
        <w:spacing w:line="560" w:lineRule="exact"/>
        <w:textAlignment w:val="auto"/>
        <w:outlineLvl w:val="2"/>
        <w:rPr>
          <w:rFonts w:hint="eastAsia" w:ascii="仿宋_GB2312" w:hAnsi="仿宋_GB2312" w:eastAsia="仿宋_GB2312" w:cs="仿宋_GB2312"/>
          <w:b/>
          <w:bCs/>
          <w:sz w:val="32"/>
          <w:szCs w:val="32"/>
          <w:lang w:val="en-US" w:eastAsia="zh-CN"/>
        </w:rPr>
      </w:pPr>
      <w:bookmarkStart w:id="140" w:name="_Toc5170"/>
      <w:bookmarkStart w:id="141" w:name="_Toc8010"/>
      <w:r>
        <w:rPr>
          <w:rFonts w:hint="eastAsia" w:ascii="仿宋_GB2312" w:hAnsi="仿宋_GB2312" w:eastAsia="仿宋_GB2312" w:cs="仿宋_GB2312"/>
          <w:b/>
          <w:bCs/>
          <w:sz w:val="32"/>
          <w:szCs w:val="32"/>
          <w:lang w:val="en-US" w:eastAsia="zh-CN"/>
        </w:rPr>
        <w:t>1.</w:t>
      </w:r>
      <w:bookmarkEnd w:id="140"/>
      <w:bookmarkEnd w:id="141"/>
      <w:bookmarkStart w:id="142" w:name="_Toc27006"/>
      <w:bookmarkStart w:id="143" w:name="_Toc29606"/>
      <w:r>
        <w:rPr>
          <w:rFonts w:hint="eastAsia" w:ascii="仿宋_GB2312" w:hAnsi="仿宋_GB2312" w:eastAsia="仿宋_GB2312" w:cs="仿宋_GB2312"/>
          <w:b/>
          <w:bCs/>
          <w:sz w:val="32"/>
          <w:szCs w:val="32"/>
          <w:lang w:val="en-US" w:eastAsia="zh-CN"/>
        </w:rPr>
        <w:t>社会效益指标</w:t>
      </w:r>
      <w:bookmarkEnd w:id="142"/>
      <w:r>
        <w:rPr>
          <w:rFonts w:hint="eastAsia" w:ascii="仿宋_GB2312" w:hAnsi="仿宋_GB2312" w:eastAsia="仿宋_GB2312" w:cs="仿宋_GB2312"/>
          <w:b/>
          <w:bCs/>
          <w:sz w:val="32"/>
          <w:szCs w:val="32"/>
          <w:lang w:val="en-US" w:eastAsia="zh-CN"/>
        </w:rPr>
        <w:t>完成情况</w:t>
      </w:r>
      <w:bookmarkEnd w:id="143"/>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提升教学培训硬件条件，确保教学活动有序开展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指标，预期目标值为有效提升，实际完成为达到预期指标。</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通过项目的实施，有效提升教学培训硬件条件，确保教学活动有序开展的社会效益。</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建好党的理论研究基地，大力提高科研质量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指标，预期目标值为有效提升，实际完成为达到预期指标。</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通过项目的实施，有效提升</w:t>
      </w:r>
      <w:r>
        <w:rPr>
          <w:rFonts w:hint="eastAsia" w:ascii="仿宋_GB2312" w:hAnsi="仿宋_GB2312" w:eastAsia="仿宋_GB2312" w:cs="仿宋_GB2312"/>
          <w:color w:val="auto"/>
          <w:sz w:val="32"/>
          <w:szCs w:val="32"/>
          <w:lang w:val="en-US" w:eastAsia="zh-CN"/>
        </w:rPr>
        <w:t>建好党的理论研究基地，大力提高科研质量的社会效益。</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z w:val="32"/>
          <w:szCs w:val="32"/>
          <w:lang w:val="en-US" w:eastAsia="zh-CN"/>
        </w:rPr>
        <w:t>综上，该项指标满</w:t>
      </w:r>
      <w:r>
        <w:rPr>
          <w:rFonts w:hint="eastAsia" w:ascii="仿宋_GB2312" w:hAnsi="仿宋_GB2312" w:eastAsia="仿宋_GB2312" w:cs="仿宋_GB2312"/>
          <w:b/>
          <w:bCs/>
          <w:color w:val="auto"/>
          <w:sz w:val="32"/>
          <w:szCs w:val="32"/>
          <w:lang w:val="en-US" w:eastAsia="zh-CN"/>
        </w:rPr>
        <w:t>分14分，得分14分。</w:t>
      </w:r>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default" w:ascii="Times New Roman" w:hAnsi="Times New Roman" w:eastAsia="楷体_GB2312" w:cs="Times New Roman"/>
          <w:b/>
          <w:bCs/>
          <w:color w:val="auto"/>
          <w:kern w:val="28"/>
          <w:sz w:val="32"/>
          <w:highlight w:val="none"/>
          <w:lang w:val="en-US" w:eastAsia="zh-CN"/>
        </w:rPr>
      </w:pPr>
      <w:bookmarkStart w:id="144" w:name="_Toc23313"/>
      <w:r>
        <w:rPr>
          <w:rFonts w:hint="eastAsia" w:ascii="Times New Roman" w:hAnsi="Times New Roman" w:eastAsia="楷体_GB2312" w:cs="Times New Roman"/>
          <w:b/>
          <w:bCs/>
          <w:color w:val="auto"/>
          <w:kern w:val="28"/>
          <w:sz w:val="32"/>
          <w:highlight w:val="none"/>
          <w:lang w:val="en-US" w:eastAsia="zh-CN"/>
        </w:rPr>
        <w:t>（五）满意度指标完成情况分析</w:t>
      </w:r>
      <w:bookmarkEnd w:id="144"/>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val="0"/>
          <w:bCs w:val="0"/>
          <w:color w:val="auto"/>
          <w:sz w:val="32"/>
          <w:szCs w:val="32"/>
          <w:lang w:val="en-US" w:eastAsia="zh-CN"/>
        </w:rPr>
        <w:t>“教职工及学员对党校改造的满意度”指</w:t>
      </w:r>
      <w:r>
        <w:rPr>
          <w:rFonts w:hint="eastAsia" w:ascii="仿宋_GB2312" w:hAnsi="仿宋_GB2312" w:eastAsia="仿宋_GB2312" w:cs="仿宋_GB2312"/>
          <w:color w:val="auto"/>
          <w:sz w:val="32"/>
          <w:szCs w:val="32"/>
          <w:highlight w:val="none"/>
          <w:lang w:val="en-US" w:eastAsia="zh-CN"/>
        </w:rPr>
        <w:t>标，预期目标值为≥95%，实际完成为100%。</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综上，该项指标满分6分，得分6分。</w:t>
      </w:r>
    </w:p>
    <w:p>
      <w:pPr>
        <w:pStyle w:val="2"/>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45" w:name="_Toc6622"/>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五</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、主要经验及做法、存在的问题及原因分析</w:t>
      </w:r>
      <w:bookmarkEnd w:id="145"/>
    </w:p>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bookmarkStart w:id="146" w:name="_Toc15449"/>
      <w:bookmarkStart w:id="147" w:name="_Toc1921"/>
      <w:bookmarkStart w:id="148" w:name="_Toc28290"/>
      <w:r>
        <w:rPr>
          <w:rFonts w:hint="eastAsia" w:ascii="Times New Roman" w:hAnsi="Times New Roman" w:eastAsia="楷体_GB2312" w:cs="Times New Roman"/>
          <w:b/>
          <w:bCs/>
          <w:kern w:val="28"/>
          <w:sz w:val="32"/>
          <w:highlight w:val="none"/>
          <w:lang w:val="en-US" w:eastAsia="zh-CN"/>
        </w:rPr>
        <w:t>（一）主要经验及做法</w:t>
      </w:r>
      <w:bookmarkEnd w:id="146"/>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党校搬迁改造项目</w:t>
      </w:r>
      <w:r>
        <w:rPr>
          <w:rFonts w:hint="eastAsia" w:ascii="仿宋_GB2312" w:hAnsi="仿宋_GB2312" w:eastAsia="仿宋_GB2312" w:cs="仿宋_GB2312"/>
          <w:color w:val="auto"/>
          <w:sz w:val="32"/>
          <w:szCs w:val="32"/>
          <w:lang w:eastAsia="zh-CN"/>
        </w:rPr>
        <w:t>20</w:t>
      </w: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lang w:eastAsia="zh-CN"/>
        </w:rPr>
        <w:t>年预算</w:t>
      </w:r>
      <w:r>
        <w:rPr>
          <w:rFonts w:hint="eastAsia" w:ascii="仿宋_GB2312" w:hAnsi="仿宋_GB2312" w:eastAsia="仿宋_GB2312" w:cs="仿宋_GB2312"/>
          <w:color w:val="auto"/>
          <w:sz w:val="32"/>
          <w:szCs w:val="32"/>
          <w:lang w:val="en-US" w:eastAsia="zh-CN"/>
        </w:rPr>
        <w:t>数</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color w:val="auto"/>
          <w:sz w:val="32"/>
          <w:szCs w:val="32"/>
          <w:lang w:eastAsia="zh-CN"/>
        </w:rPr>
        <w:t>万元，</w:t>
      </w:r>
      <w:r>
        <w:rPr>
          <w:rFonts w:hint="eastAsia" w:ascii="仿宋_GB2312" w:hAnsi="仿宋_GB2312" w:eastAsia="仿宋_GB2312" w:cs="仿宋_GB2312"/>
          <w:color w:val="auto"/>
          <w:sz w:val="32"/>
          <w:szCs w:val="32"/>
          <w:lang w:val="en-US" w:eastAsia="zh-CN"/>
        </w:rPr>
        <w:t>截至2024年12月31日共</w:t>
      </w:r>
      <w:r>
        <w:rPr>
          <w:rFonts w:hint="eastAsia" w:ascii="仿宋_GB2312" w:hAnsi="仿宋_GB2312" w:eastAsia="仿宋_GB2312" w:cs="仿宋_GB2312"/>
          <w:color w:val="auto"/>
          <w:sz w:val="32"/>
          <w:szCs w:val="32"/>
          <w:lang w:eastAsia="zh-CN"/>
        </w:rPr>
        <w:t>支出为</w:t>
      </w:r>
      <w:r>
        <w:rPr>
          <w:rFonts w:hint="eastAsia" w:ascii="仿宋_GB2312" w:hAnsi="仿宋_GB2312" w:eastAsia="仿宋_GB2312" w:cs="仿宋_GB2312"/>
          <w:color w:val="auto"/>
          <w:sz w:val="32"/>
          <w:szCs w:val="32"/>
          <w:lang w:val="en-US" w:eastAsia="zh-CN"/>
        </w:rPr>
        <w:t>19.87</w:t>
      </w:r>
      <w:r>
        <w:rPr>
          <w:rFonts w:hint="eastAsia" w:ascii="仿宋_GB2312" w:hAnsi="仿宋_GB2312" w:eastAsia="仿宋_GB2312" w:cs="仿宋_GB2312"/>
          <w:color w:val="auto"/>
          <w:sz w:val="32"/>
          <w:szCs w:val="32"/>
          <w:lang w:eastAsia="zh-CN"/>
        </w:rPr>
        <w:t>万元，预算</w:t>
      </w:r>
      <w:r>
        <w:rPr>
          <w:rFonts w:hint="eastAsia" w:ascii="仿宋_GB2312" w:hAnsi="仿宋_GB2312" w:eastAsia="仿宋_GB2312" w:cs="仿宋_GB2312"/>
          <w:color w:val="auto"/>
          <w:sz w:val="32"/>
          <w:szCs w:val="32"/>
          <w:lang w:val="en-US" w:eastAsia="zh-CN"/>
        </w:rPr>
        <w:t>执行</w:t>
      </w:r>
      <w:r>
        <w:rPr>
          <w:rFonts w:hint="eastAsia" w:ascii="仿宋_GB2312" w:hAnsi="仿宋_GB2312" w:eastAsia="仿宋_GB2312" w:cs="仿宋_GB2312"/>
          <w:color w:val="auto"/>
          <w:sz w:val="32"/>
          <w:szCs w:val="32"/>
          <w:lang w:eastAsia="zh-CN"/>
        </w:rPr>
        <w:t>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lang w:eastAsia="zh-CN"/>
        </w:rPr>
        <w:t>%。</w:t>
      </w:r>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val="en-US" w:eastAsia="zh-CN"/>
        </w:rPr>
        <w:t>中共阜康市委员会党校</w:t>
      </w:r>
      <w:r>
        <w:rPr>
          <w:rFonts w:hint="eastAsia" w:ascii="仿宋_GB2312" w:hAnsi="仿宋_GB2312" w:eastAsia="仿宋_GB2312" w:cs="仿宋_GB2312"/>
          <w:color w:val="auto"/>
          <w:sz w:val="32"/>
          <w:szCs w:val="32"/>
          <w:lang w:eastAsia="zh-CN"/>
        </w:rPr>
        <w:t>建立健全了预算管理规章制度，各部门严格按照预算编制的原则和要求做好当年预算编制工作，在预算绩效管理工作中，做</w:t>
      </w:r>
      <w:r>
        <w:rPr>
          <w:rFonts w:hint="eastAsia" w:ascii="仿宋_GB2312" w:hAnsi="仿宋_GB2312" w:eastAsia="仿宋_GB2312" w:cs="仿宋_GB2312"/>
          <w:sz w:val="32"/>
          <w:szCs w:val="32"/>
          <w:lang w:eastAsia="zh-CN"/>
        </w:rPr>
        <w:t>到合理安排各项资金，重点保障基本支出，按轻重缓急顺序原则，优先</w:t>
      </w:r>
      <w:r>
        <w:rPr>
          <w:rFonts w:hint="eastAsia" w:ascii="仿宋_GB2312" w:hAnsi="仿宋_GB2312" w:eastAsia="仿宋_GB2312" w:cs="仿宋_GB2312"/>
          <w:color w:val="auto"/>
          <w:sz w:val="32"/>
          <w:szCs w:val="32"/>
          <w:lang w:eastAsia="zh-CN"/>
        </w:rPr>
        <w:t>安排了</w:t>
      </w:r>
      <w:r>
        <w:rPr>
          <w:rFonts w:hint="eastAsia" w:ascii="仿宋_GB2312" w:hAnsi="仿宋_GB2312" w:eastAsia="仿宋_GB2312" w:cs="仿宋_GB2312"/>
          <w:color w:val="auto"/>
          <w:sz w:val="32"/>
          <w:szCs w:val="32"/>
          <w:lang w:val="en-US" w:eastAsia="zh-CN"/>
        </w:rPr>
        <w:t>中共阜康市委员会党校</w:t>
      </w:r>
      <w:r>
        <w:rPr>
          <w:rFonts w:hint="eastAsia" w:ascii="仿宋_GB2312" w:hAnsi="仿宋_GB2312" w:eastAsia="仿宋_GB2312" w:cs="仿宋_GB2312"/>
          <w:color w:val="auto"/>
          <w:sz w:val="32"/>
          <w:szCs w:val="32"/>
          <w:lang w:eastAsia="zh-CN"/>
        </w:rPr>
        <w:t>事业发展中关系民生与稳定的</w:t>
      </w:r>
      <w:r>
        <w:rPr>
          <w:rFonts w:hint="eastAsia" w:ascii="仿宋_GB2312" w:hAnsi="仿宋_GB2312" w:eastAsia="仿宋_GB2312" w:cs="仿宋_GB2312"/>
          <w:sz w:val="32"/>
          <w:szCs w:val="32"/>
          <w:lang w:eastAsia="zh-CN"/>
        </w:rPr>
        <w:t>项目，切实优化资源配置，提高了资金使用的效率和效果。</w:t>
      </w:r>
    </w:p>
    <w:bookmarkEnd w:id="147"/>
    <w:bookmarkEnd w:id="148"/>
    <w:p>
      <w:pPr>
        <w:pStyle w:val="14"/>
        <w:keepNext w:val="0"/>
        <w:keepLines w:val="0"/>
        <w:pageBreakBefore w:val="0"/>
        <w:widowControl/>
        <w:kinsoku/>
        <w:wordWrap/>
        <w:overflowPunct/>
        <w:topLinePunct w:val="0"/>
        <w:autoSpaceDE/>
        <w:autoSpaceDN/>
        <w:bidi w:val="0"/>
        <w:adjustRightInd/>
        <w:snapToGrid/>
        <w:spacing w:before="0" w:beforeLines="-2147483648" w:after="0" w:afterLines="-2147483648" w:line="560" w:lineRule="exact"/>
        <w:ind w:firstLine="643" w:firstLineChars="200"/>
        <w:jc w:val="both"/>
        <w:textAlignment w:val="auto"/>
        <w:rPr>
          <w:rFonts w:hint="eastAsia" w:ascii="Times New Roman" w:hAnsi="Times New Roman" w:eastAsia="楷体_GB2312" w:cs="Times New Roman"/>
          <w:b/>
          <w:bCs/>
          <w:kern w:val="28"/>
          <w:sz w:val="32"/>
          <w:highlight w:val="none"/>
          <w:lang w:val="en-US" w:eastAsia="zh-CN"/>
        </w:rPr>
      </w:pPr>
      <w:bookmarkStart w:id="149" w:name="_Toc29168"/>
      <w:r>
        <w:rPr>
          <w:rFonts w:hint="eastAsia" w:ascii="Times New Roman" w:hAnsi="Times New Roman" w:eastAsia="楷体_GB2312" w:cs="Times New Roman"/>
          <w:b/>
          <w:bCs/>
          <w:kern w:val="28"/>
          <w:sz w:val="32"/>
          <w:highlight w:val="none"/>
          <w:lang w:val="en-US" w:eastAsia="zh-CN"/>
        </w:rPr>
        <w:t>（二）存在的问题及原因分析</w:t>
      </w:r>
      <w:bookmarkEnd w:id="149"/>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1、资金拨付与项目进度的衔接不够紧密，部分资金提前拨付后闲置沉淀，而一些急需资金的环节却因审批流程繁琐而出现资金短缺，影响了项目的整体推进效率和资金使用效益。</w:t>
      </w:r>
    </w:p>
    <w:p>
      <w:pPr>
        <w:pageBreakBefore w:val="0"/>
        <w:kinsoku/>
        <w:wordWrap/>
        <w:overflowPunct/>
        <w:topLinePunct w:val="0"/>
        <w:autoSpaceDE/>
        <w:autoSpaceDN/>
        <w:bidi w:val="0"/>
        <w:spacing w:line="560" w:lineRule="exact"/>
        <w:textAlignment w:val="auto"/>
        <w:rPr>
          <w:rFonts w:hint="default"/>
          <w:lang w:val="en-US" w:eastAsia="zh-CN"/>
        </w:rPr>
      </w:pPr>
      <w:r>
        <w:rPr>
          <w:rFonts w:hint="eastAsia" w:ascii="仿宋_GB2312" w:hAnsi="仿宋_GB2312" w:eastAsia="仿宋_GB2312" w:cs="仿宋_GB2312"/>
          <w:b w:val="0"/>
          <w:kern w:val="2"/>
          <w:sz w:val="32"/>
          <w:szCs w:val="32"/>
          <w:lang w:val="en-US" w:eastAsia="zh-CN" w:bidi="ar-SA"/>
        </w:rPr>
        <w:t>2、在组织保障方面，党校搬迁改造项目涉及多个部门和环节，但在实际操作中，组织协调机制存在诸多不足。各部门之间职责划分不够清晰，导致项目推进过程中出现衔接不畅的情况。项目实施过程中的信息沟通渠道不够顺畅，相关信息传递不及时、不准确，进一步加剧了组织协调的难度，影响了项目整体的绩效管理水平。</w:t>
      </w:r>
    </w:p>
    <w:p>
      <w:pPr>
        <w:pStyle w:val="2"/>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50" w:name="_Toc3333"/>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六</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、有关建议</w:t>
      </w:r>
      <w:bookmarkEnd w:id="150"/>
    </w:p>
    <w:p>
      <w:pPr>
        <w:pageBreakBefore w:val="0"/>
        <w:kinsoku/>
        <w:wordWrap/>
        <w:overflowPunct/>
        <w:topLinePunct w:val="0"/>
        <w:autoSpaceDE/>
        <w:autoSpaceDN/>
        <w:bidi w:val="0"/>
        <w:spacing w:line="560" w:lineRule="exact"/>
        <w:textAlignment w:val="auto"/>
        <w:outlineLvl w:val="1"/>
        <w:rPr>
          <w:rFonts w:hint="eastAsia" w:ascii="仿宋_GB2312" w:hAnsi="仿宋_GB2312" w:eastAsia="仿宋_GB2312" w:cs="仿宋_GB2312"/>
          <w:b w:val="0"/>
          <w:kern w:val="2"/>
          <w:sz w:val="32"/>
          <w:szCs w:val="32"/>
          <w:lang w:val="en-US" w:eastAsia="zh-CN" w:bidi="ar-SA"/>
        </w:rPr>
      </w:pPr>
      <w:bookmarkStart w:id="151" w:name="_Toc20454"/>
      <w:bookmarkStart w:id="152" w:name="_Toc3948"/>
      <w:r>
        <w:rPr>
          <w:rFonts w:hint="eastAsia" w:ascii="仿宋_GB2312" w:hAnsi="仿宋_GB2312" w:eastAsia="仿宋_GB2312" w:cs="仿宋_GB2312"/>
          <w:b w:val="0"/>
          <w:kern w:val="2"/>
          <w:sz w:val="32"/>
          <w:szCs w:val="32"/>
          <w:lang w:val="en-US" w:eastAsia="zh-CN" w:bidi="ar-SA"/>
        </w:rPr>
        <w:t>1、建立健全资金使用的动态监控体系，对每一笔资金的流向和用途进行实时跟踪和记录。严格执行财务审批制度，确保每一笔支出都有明确的依据和合理的解释。</w:t>
      </w:r>
      <w:bookmarkEnd w:id="151"/>
      <w:bookmarkEnd w:id="152"/>
      <w:r>
        <w:rPr>
          <w:rFonts w:hint="eastAsia" w:ascii="仿宋_GB2312" w:hAnsi="仿宋_GB2312" w:eastAsia="仿宋_GB2312" w:cs="仿宋_GB2312"/>
          <w:b w:val="0"/>
          <w:kern w:val="2"/>
          <w:sz w:val="32"/>
          <w:szCs w:val="32"/>
          <w:lang w:val="en-US" w:eastAsia="zh-CN" w:bidi="ar-SA"/>
        </w:rPr>
        <w:t>建立资金拨付与项目进度的联动机制，根据项目实际完成情况和资金需求，分阶段、按比例拨付资金。提高资金拨付效率，确保项目各环节的资金需求得到及时满足。</w:t>
      </w:r>
    </w:p>
    <w:p>
      <w:pPr>
        <w:pageBreakBefore w:val="0"/>
        <w:kinsoku/>
        <w:wordWrap/>
        <w:overflowPunct/>
        <w:topLinePunct w:val="0"/>
        <w:autoSpaceDE/>
        <w:autoSpaceDN/>
        <w:bidi w:val="0"/>
        <w:spacing w:line="560" w:lineRule="exact"/>
        <w:textAlignment w:val="auto"/>
        <w:outlineLvl w:val="1"/>
        <w:rPr>
          <w:rFonts w:hint="default"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2、在项目实施初期，应通过详细的项目管理计划，明确各部门和各环节的职责和任务，避免职责不清导致的推诿现象。建立责任清单，将任务分解到具体岗位和个人，确保每个环节都有人负责、有人监督。同时，定期召开项目协调会议，及时解决跨部门协作中出现的问题，确保项目推进顺畅。定期发布项目进展情况报告，向各利益相关部门通报项目进展和存在的问题，及时调整项目实施策略，确保项目按计划推进。</w:t>
      </w:r>
    </w:p>
    <w:p>
      <w:pPr>
        <w:pStyle w:val="2"/>
        <w:pageBreakBefore w:val="0"/>
        <w:kinsoku/>
        <w:wordWrap/>
        <w:overflowPunct/>
        <w:topLinePunct w:val="0"/>
        <w:autoSpaceDE/>
        <w:autoSpaceDN/>
        <w:bidi w:val="0"/>
        <w:adjustRightInd/>
        <w:spacing w:beforeLines="0" w:afterLines="0" w:line="560" w:lineRule="exact"/>
        <w:textAlignment w:val="auto"/>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pPr>
      <w:bookmarkStart w:id="153" w:name="_Toc14256"/>
      <w:r>
        <w:rPr>
          <w:rFonts w:hint="eastAsia" w:ascii="黑体" w:hAnsi="黑体" w:cs="黑体"/>
          <w:b w:val="0"/>
          <w:bCs w:val="0"/>
          <w:color w:val="000000" w:themeColor="text1"/>
          <w:highlight w:val="none"/>
          <w:shd w:val="clear" w:color="auto" w:fill="auto"/>
          <w:lang w:val="en-US" w:eastAsia="zh-CN"/>
          <w14:textFill>
            <w14:solidFill>
              <w14:schemeClr w14:val="tx1"/>
            </w14:solidFill>
          </w14:textFill>
        </w:rPr>
        <w:t>七</w:t>
      </w:r>
      <w:r>
        <w:rPr>
          <w:rFonts w:hint="eastAsia" w:ascii="黑体" w:hAnsi="黑体" w:eastAsia="黑体" w:cs="黑体"/>
          <w:b w:val="0"/>
          <w:bCs w:val="0"/>
          <w:color w:val="000000" w:themeColor="text1"/>
          <w:highlight w:val="none"/>
          <w:shd w:val="clear" w:color="auto" w:fill="auto"/>
          <w:lang w:val="en-US" w:eastAsia="zh-CN"/>
          <w14:textFill>
            <w14:solidFill>
              <w14:schemeClr w14:val="tx1"/>
            </w14:solidFill>
          </w14:textFill>
        </w:rPr>
        <w:t>、其他需要说明的问题</w:t>
      </w:r>
      <w:bookmarkEnd w:id="153"/>
    </w:p>
    <w:p>
      <w:pPr>
        <w:pageBreakBefore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无其他需要说明的问题。</w:t>
      </w:r>
    </w:p>
    <w:p>
      <w:pPr>
        <w:pageBreakBefore w:val="0"/>
        <w:kinsoku/>
        <w:wordWrap/>
        <w:overflowPunct/>
        <w:topLinePunct w:val="0"/>
        <w:autoSpaceDE/>
        <w:autoSpaceDN/>
        <w:bidi w:val="0"/>
        <w:adjustRightInd/>
        <w:spacing w:line="560" w:lineRule="exact"/>
        <w:textAlignment w:val="auto"/>
        <w:rPr>
          <w:rFonts w:hint="eastAsia" w:cs="宋体"/>
          <w:color w:val="000000" w:themeColor="text1"/>
          <w:highlight w:val="none"/>
          <w:shd w:val="clear" w:color="auto" w:fill="auto"/>
          <w:lang w:val="en-US" w:eastAsia="zh-CN"/>
          <w14:textFill>
            <w14:solidFill>
              <w14:schemeClr w14:val="tx1"/>
            </w14:solidFill>
          </w14:textFill>
        </w:rPr>
        <w:sectPr>
          <w:footerReference r:id="rId3" w:type="default"/>
          <w:pgSz w:w="11906" w:h="16838"/>
          <w:pgMar w:top="1440" w:right="1800" w:bottom="1440" w:left="1800" w:header="737" w:footer="851" w:gutter="0"/>
          <w:pgBorders>
            <w:top w:val="none" w:sz="0" w:space="0"/>
            <w:left w:val="none" w:sz="0" w:space="0"/>
            <w:bottom w:val="none" w:sz="0" w:space="0"/>
            <w:right w:val="none" w:sz="0" w:space="0"/>
          </w:pgBorders>
          <w:pgNumType w:fmt="decimal"/>
          <w:cols w:space="720" w:num="1"/>
          <w:docGrid w:type="lines" w:linePitch="408" w:charSpace="0"/>
        </w:sectPr>
      </w:pPr>
    </w:p>
    <w:p>
      <w:pPr>
        <w:pStyle w:val="2"/>
        <w:pageBreakBefore w:val="0"/>
        <w:numPr>
          <w:ilvl w:val="0"/>
          <w:numId w:val="0"/>
        </w:numPr>
        <w:kinsoku/>
        <w:wordWrap/>
        <w:overflowPunct/>
        <w:topLinePunct w:val="0"/>
        <w:autoSpaceDE/>
        <w:autoSpaceDN/>
        <w:bidi w:val="0"/>
        <w:adjustRightInd/>
        <w:spacing w:beforeLines="0" w:afterLines="0" w:line="560" w:lineRule="exact"/>
        <w:textAlignment w:val="auto"/>
      </w:pPr>
      <w:bookmarkStart w:id="154" w:name="_Toc11349"/>
      <w:bookmarkStart w:id="155" w:name="_Toc2897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附件一、项目支出绩效自评表</w:t>
      </w:r>
      <w:bookmarkEnd w:id="154"/>
      <w:bookmarkEnd w:id="155"/>
    </w:p>
    <w:tbl>
      <w:tblPr>
        <w:tblStyle w:val="16"/>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9"/>
        <w:gridCol w:w="890"/>
        <w:gridCol w:w="890"/>
        <w:gridCol w:w="890"/>
        <w:gridCol w:w="1135"/>
        <w:gridCol w:w="1217"/>
        <w:gridCol w:w="1135"/>
        <w:gridCol w:w="1298"/>
        <w:gridCol w:w="1135"/>
        <w:gridCol w:w="890"/>
        <w:gridCol w:w="890"/>
        <w:gridCol w:w="890"/>
        <w:gridCol w:w="890"/>
        <w:gridCol w:w="1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67"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bookmarkStart w:id="156" w:name="_Toc15067"/>
            <w:bookmarkStart w:id="157" w:name="_Toc11223"/>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9"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12395" w:type="dxa"/>
            <w:gridSpan w:val="1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党校搬迁改造项目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526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中共阜康市委员会党校</w:t>
            </w:r>
          </w:p>
        </w:tc>
        <w:tc>
          <w:tcPr>
            <w:tcW w:w="2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46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中共阜康市委员会党校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2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19.87</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19.87</w:t>
            </w:r>
          </w:p>
        </w:tc>
        <w:tc>
          <w:tcPr>
            <w:tcW w:w="2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19.87</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19.87</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19.87</w:t>
            </w:r>
          </w:p>
        </w:tc>
        <w:tc>
          <w:tcPr>
            <w:tcW w:w="2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19.87</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17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24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61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71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61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共阜康市委员会党校的主要职能是为全市党员干部、公务员提供教育培训；培训和轮训乡科级干部；培训后备干部；为提高培训环境，2024年预计完成党校搬迁改造项目的工程设计、土地测绘、工程勘察、施工监理、工程竣工结算各1次，完成合格率≥95%，完成办公家具购置1批，货物验收合格率为100%，项目的实施预计达到有效提升教学培训硬件条件，确保教学活动有序开展，建好党的理论研究场地，大力提高科研质量。</w:t>
            </w:r>
          </w:p>
        </w:tc>
        <w:tc>
          <w:tcPr>
            <w:tcW w:w="71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截至2024年12月31日，本项目完成党校搬迁改造项目的工程设计、土地测绘、工程勘察、施工监理、工程竣工结算各1次，完成合格率达到100%，完成1批办公家具购置，货物验收合格率达到100%，项目的实施有效提升教学培训硬件条件，确保教学活动有序开展，建好党的理论研究场地，大力提高科研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12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12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11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2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1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工程设计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土地测绘</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工程勘察</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施工监理</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&gt;=1项</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=1项</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工程竣工结算</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&gt;=1次</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=1次</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办公家具购置</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&gt;=1批</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=1批</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搬迁改造各项委托业务工作完成合格率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105.26%</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7.58</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搬迁改造各项委托业务工作100%合格完成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货物验收合格率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搬迁改造各项委托业务工作完成时间</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&lt;=2024年3月</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=2024年3月</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货物采购完成时间</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&lt;=2024年3月</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=2024年3月</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搬迁改造项目委托业务支出</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&lt;=9.87万元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=9.87万元</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办公家具购置支出</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&lt;=10万元</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=10万元</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预算支出标准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原始凭证</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提升教学培训硬件条件，确保教学活动有序开展</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建好党的理论研究基地，大力提高科研质量</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达到预期指标</w:t>
            </w: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360" w:firstLineChars="20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trPr>
        <w:tc>
          <w:tcPr>
            <w:tcW w:w="35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217" w:type="dxa"/>
            <w:tcBorders>
              <w:top w:val="single" w:color="000000" w:sz="4" w:space="0"/>
              <w:left w:val="nil"/>
              <w:bottom w:val="single" w:color="000000" w:sz="4" w:space="0"/>
              <w:right w:val="single" w:color="000000" w:sz="4" w:space="0"/>
            </w:tcBorders>
            <w:shd w:val="clear" w:color="auto" w:fill="auto"/>
            <w:vAlign w:val="center"/>
          </w:tcPr>
          <w:p>
            <w:pPr>
              <w:rPr>
                <w:rFonts w:hint="eastAsia" w:ascii="宋体" w:hAnsi="宋体" w:eastAsia="宋体" w:cs="宋体"/>
                <w:b/>
                <w:bCs/>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99.58分</w:t>
            </w: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br w:type="page"/>
      </w:r>
    </w:p>
    <w:p>
      <w:pPr>
        <w:pStyle w:val="2"/>
        <w:pageBreakBefore w:val="0"/>
        <w:numPr>
          <w:ilvl w:val="0"/>
          <w:numId w:val="0"/>
        </w:numPr>
        <w:kinsoku/>
        <w:wordWrap/>
        <w:overflowPunct/>
        <w:topLinePunct w:val="0"/>
        <w:autoSpaceDE/>
        <w:autoSpaceDN/>
        <w:bidi w:val="0"/>
        <w:adjustRightInd/>
        <w:spacing w:beforeLines="0" w:afterLines="0" w:line="560" w:lineRule="exact"/>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156"/>
      <w:bookmarkEnd w:id="157"/>
    </w:p>
    <w:tbl>
      <w:tblPr>
        <w:tblStyle w:val="16"/>
        <w:tblW w:w="13606"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1822"/>
        <w:gridCol w:w="2213"/>
        <w:gridCol w:w="6429"/>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一级指标</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二级指标</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三级指标</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指标解释</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指标说明</w:t>
            </w:r>
          </w:p>
        </w:tc>
        <w:tc>
          <w:tcPr>
            <w:tcW w:w="785"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分值</w:t>
            </w:r>
          </w:p>
        </w:tc>
        <w:tc>
          <w:tcPr>
            <w:tcW w:w="76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b/>
                <w:bCs/>
                <w:color w:val="000000"/>
                <w:kern w:val="0"/>
                <w:sz w:val="22"/>
                <w:szCs w:val="22"/>
                <w:lang w:val="en-US" w:eastAsia="zh-CN"/>
              </w:rPr>
            </w:pPr>
            <w:r>
              <w:rPr>
                <w:rFonts w:hint="eastAsia" w:ascii="宋体" w:hAnsi="宋体" w:eastAsia="宋体" w:cs="宋体"/>
                <w:b/>
                <w:bCs/>
                <w:color w:val="000000"/>
                <w:kern w:val="0"/>
                <w:sz w:val="22"/>
                <w:szCs w:val="22"/>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　</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立项依据</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充分性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项目立项是否符合法律法规、相关政策、发展规划以及部门职责，用以反映和考核项目立项依据情况。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①项目立项是否符合国家法律法规、国民经济发展规划和相关政策；</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②项目立项是否符合行业发展规划和政策要求；</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③项目立项是否与部门职责范围相符，属于部门履职所需；</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④项目是否属于公共财政支持范围，是否符合中央、地方事权支出责任划分原则；</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⑤项目是否与相关部门同类项目或部门内部相关项目重复。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64"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立项程序</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规范性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项目申请、设立过程是否符合相关要求，用以反映和考核项目立项的规范情况。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①项目是否按照规定的程序申请设立；</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②审批文件、材料是否符合相关要求；</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③事前是否已经过必要的可行性研究、专家论证、风险评估、绩效评估、集体决策。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65"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绩效目标　</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项目所设定的绩效目标是否依据充分，是否符合客观实际，用以反映和考核项目绩效目标与项目实施的相符情况。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（如未设定预算绩效目标，也可考核其他工作任务目标）</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①项目是否有绩效目标；</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②项目绩效目标与实际工作内容是否具有相关性；</w:t>
            </w:r>
          </w:p>
          <w:p>
            <w:pPr>
              <w:pageBreakBefore w:val="0"/>
              <w:widowControl/>
              <w:kinsoku/>
              <w:wordWrap/>
              <w:overflowPunct/>
              <w:topLinePunct w:val="0"/>
              <w:autoSpaceDE/>
              <w:autoSpaceDN/>
              <w:bidi w:val="0"/>
              <w:spacing w:line="240" w:lineRule="auto"/>
              <w:ind w:firstLine="0" w:firstLineChars="0"/>
              <w:jc w:val="left"/>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③项目预期产出效益和效果是否符合正常的业绩水平；</w:t>
            </w:r>
          </w:p>
          <w:p>
            <w:pPr>
              <w:pageBreakBefore w:val="0"/>
              <w:widowControl/>
              <w:kinsoku/>
              <w:wordWrap/>
              <w:overflowPunct/>
              <w:topLinePunct w:val="0"/>
              <w:autoSpaceDE/>
              <w:autoSpaceDN/>
              <w:bidi w:val="0"/>
              <w:spacing w:line="240" w:lineRule="auto"/>
              <w:ind w:firstLine="0" w:firstLineChars="0"/>
              <w:jc w:val="left"/>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④是否与预算确定的项目投资额或资金量相匹配。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决策　</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绩效目标</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绩效指标</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明确性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依据绩效目标设定的绩效指标是否清晰、细化、可衡量等，用以反映和考核项目绩效目标的明细化情况。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①是否将项目绩效目标细化分解为具体的绩效指标；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②是否通过清晰、可衡量的指标值予以体现；</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③是否与项目目标任务数或计划数相对应。</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91"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资金投入</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预算编制</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科学性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项目预算编制是否经过科学论证、有明确标准，资金额度与年度目标是否相适应，用以反映和考核项目预算编制的科学性、合理性情况。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①预算编制是否经过科学论证；</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②预算内容与项目内容是否匹配；</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③预算额度测算依据是否充分，是否按照标准编制；</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④预算确定的项目投资额或资金量是否与工作任务相匹配。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816"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资金分配</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合理性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项目预算资金分配是否有测算依据，与补助单位或地方实际是否相适应，用以反映和考核项目预算资金分配的科学性、合理性情况。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①预算资金分配依据是否充分；</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②资金分配额度是否合理，与项目单位或地方实际是否相适应。</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513" w:hRule="atLeast"/>
          <w:jc w:val="center"/>
        </w:trPr>
        <w:tc>
          <w:tcPr>
            <w:tcW w:w="861" w:type="dxa"/>
            <w:vMerge w:val="restart"/>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过程</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实际到位资金与预算资金的比率，用以反映和考核资金落实情况对项目实施的总体保障程度。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资金到位率=（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实际到位资金/预算资金）×100%。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实际到位资金：一定时期（本年度或项目期）内落实到具体项目的资金。</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预算资金：一定时期（本年度或项目期）内预算安排到具体项目的资金。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86"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p>
        </w:tc>
        <w:tc>
          <w:tcPr>
            <w:tcW w:w="727"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预算执行率</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项目预算资金是否按照计划执行，用以反映或考核项目预算执行情况。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预算执行率=（实际支出资金/实际到位资金）×100%。</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实际支出资金：一定时期（本年度或项目期）内项目实际拨付的资金。</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670"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过程　</w:t>
            </w:r>
          </w:p>
        </w:tc>
        <w:tc>
          <w:tcPr>
            <w:tcW w:w="727"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资金管理</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资金使用</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合规性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项目资金使用是否符合相关的财务管理制度规定，用以反映和考核项目资金的规范运行情况。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①是否符合国家财经法规和财务管理制度以及有关专项资金管理办法的规定；</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②资金的拨付是否有完整的审批程序和手续；</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③是否符合项目预算批复或合同规定的用途；</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④是否存在截留、挤占、挪用、虚列支出等情况。</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组织实施</w:t>
            </w:r>
          </w:p>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管理制度</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健全性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项目实施单位的财务和业务管理制度是否健全，用以反映和考核财务和业务管理制度对项目顺利实施的保障情况。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①是否已制定或具有相应的财务和业务管理制度；</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②财务和业务管理制度是否合法、合规、完整。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80"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制度执行</w:t>
            </w:r>
          </w:p>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有效性</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项目实施是否符合相关管理规定，用以反映和考核相关管理制度的有效执行情况。</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评价要点：</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①是否遵守相关法律法规和相关管理规定；</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②项目调整及支出调整手续是否完备；</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③项目合同书、验收报告、技术鉴定等资料是否齐全并及时归档；</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④项目实施的人员条件、场地设备、信息支撑等是否落实到位。</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64"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产出数量</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工程设计</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08"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土地测绘</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71"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lang w:val="en-US" w:eastAsia="zh-CN"/>
              </w:rPr>
              <w:t>工程勘察</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114"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施工监理</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20"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工程竣工结算</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34"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yellow"/>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办公家具购置</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项目实施的实际产出数与计划产出数的比率，用以反映和考核项目产出数量目标的实现程度。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实际完成率=（实际产出数/计划产出数）×100%。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实际产出数：一定时期（本年度或项目期）内项目实际产出的产品或提供的服务数量。</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计划产出数：项目绩效目标确定的在一定时期（本年度或项目期）内计划产出的产品或提供的服务数量。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3"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产出质量</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搬迁改造各项委托业务工作完成合格率</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53"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货物验收合格率</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项目完成的质量达标产出数与实际产出数的比率，用以反映和考核项目产出质量目标的实现程度。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质量达标率=（质量达标产出数/实际产出数）×100%。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restart"/>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产出时效</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搬迁改造各项委托业务工作完成时间</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货物采购完成时间</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项目实际完成时间与计划完成时间的比较，用以反映和考核项目产出时效目标的实现程度。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rPr>
              <w:t>实际完成时间：项目实施单位完成该项目实际所耗用的时间。</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计划完成时间：按照项目实施计划或相关规定完成该项目所需的时间。</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yellow"/>
              </w:rPr>
            </w:pP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产出成本</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搬迁改造项目委托业务支出</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08" w:hRule="atLeast"/>
          <w:jc w:val="center"/>
        </w:trPr>
        <w:tc>
          <w:tcPr>
            <w:tcW w:w="861"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办公家具购置支出</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完成项目计划工作目标的实际节约成本与计划成本的比率，用以反映和考核项目的成本节约程度。</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成本节约率=[（计划成本-实际成本）/计划成本]×100%。</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lang w:eastAsia="zh-CN"/>
              </w:rPr>
            </w:pPr>
            <w:r>
              <w:rPr>
                <w:rFonts w:hint="eastAsia" w:ascii="宋体" w:hAnsi="宋体" w:eastAsia="宋体" w:cs="宋体"/>
                <w:color w:val="000000"/>
                <w:kern w:val="0"/>
                <w:sz w:val="22"/>
                <w:szCs w:val="22"/>
                <w:highlight w:val="none"/>
              </w:rPr>
              <w:t>实际成本：项目实施单位如期、保质、保量完成既定工作目标实际所耗费的支出。</w:t>
            </w:r>
          </w:p>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5" w:hRule="atLeast"/>
          <w:jc w:val="center"/>
        </w:trPr>
        <w:tc>
          <w:tcPr>
            <w:tcW w:w="861"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效益　</w:t>
            </w:r>
          </w:p>
        </w:tc>
        <w:tc>
          <w:tcPr>
            <w:tcW w:w="727" w:type="dxa"/>
            <w:vMerge w:val="restart"/>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项目效益　</w:t>
            </w: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提升教学培训硬件条件，确保教学活动有序开展</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项目实施所产生的效益。</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03"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highlight w:val="none"/>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建好党的理论研究基地，大力提高科研质量</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项目实施所产生的效益。</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highlight w:val="none"/>
              </w:rPr>
            </w:pPr>
            <w:r>
              <w:rPr>
                <w:rFonts w:hint="eastAsia" w:ascii="宋体" w:hAnsi="宋体" w:eastAsia="宋体" w:cs="宋体"/>
                <w:color w:val="000000"/>
                <w:kern w:val="0"/>
                <w:sz w:val="22"/>
                <w:szCs w:val="22"/>
                <w:highlight w:val="none"/>
              </w:rPr>
              <w:t>项目实施所产生的社会效益、经济效益、生态效益、可持续影响等。可根据项目实际情况有选择地设置和细化。</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yellow"/>
              </w:rPr>
            </w:pPr>
          </w:p>
        </w:tc>
        <w:tc>
          <w:tcPr>
            <w:tcW w:w="727" w:type="dxa"/>
            <w:vMerge w:val="continue"/>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ascii="宋体" w:hAnsi="宋体" w:eastAsia="宋体" w:cs="宋体"/>
                <w:color w:val="000000"/>
                <w:kern w:val="0"/>
                <w:sz w:val="22"/>
                <w:szCs w:val="22"/>
                <w:highlight w:val="yellow"/>
              </w:rPr>
            </w:pPr>
          </w:p>
        </w:tc>
        <w:tc>
          <w:tcPr>
            <w:tcW w:w="1822"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教职工及学员对党校改造的满意度</w:t>
            </w:r>
          </w:p>
        </w:tc>
        <w:tc>
          <w:tcPr>
            <w:tcW w:w="2213"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社会公众或服务对象对项目实施效果的满意程度。</w:t>
            </w:r>
          </w:p>
        </w:tc>
        <w:tc>
          <w:tcPr>
            <w:tcW w:w="642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ascii="宋体" w:hAnsi="宋体" w:eastAsia="宋体" w:cs="宋体"/>
                <w:color w:val="000000"/>
                <w:kern w:val="0"/>
                <w:sz w:val="22"/>
                <w:szCs w:val="22"/>
              </w:rPr>
            </w:pPr>
            <w:r>
              <w:rPr>
                <w:rFonts w:hint="eastAsia" w:ascii="宋体" w:hAnsi="宋体" w:eastAsia="宋体" w:cs="宋体"/>
                <w:color w:val="000000"/>
                <w:kern w:val="0"/>
                <w:sz w:val="22"/>
                <w:szCs w:val="22"/>
              </w:rPr>
              <w:t>社会公众或服务对象是指因该项目实施而</w:t>
            </w:r>
            <w:r>
              <w:rPr>
                <w:rFonts w:hint="eastAsia" w:ascii="宋体" w:hAnsi="宋体" w:eastAsia="宋体" w:cs="宋体"/>
                <w:color w:val="auto"/>
                <w:kern w:val="0"/>
                <w:sz w:val="20"/>
                <w:szCs w:val="20"/>
                <w:highlight w:val="none"/>
                <w:shd w:val="clear" w:color="auto" w:fill="auto"/>
                <w:lang w:val="en-US" w:eastAsia="zh-CN"/>
              </w:rPr>
              <w:t>受到</w:t>
            </w:r>
            <w:r>
              <w:rPr>
                <w:rFonts w:hint="eastAsia" w:ascii="宋体" w:hAnsi="宋体" w:eastAsia="宋体" w:cs="宋体"/>
                <w:color w:val="000000"/>
                <w:kern w:val="0"/>
                <w:sz w:val="22"/>
                <w:szCs w:val="22"/>
              </w:rPr>
              <w:t>影响的部门（单位）、群体或个人。一般采取社会调查的方式。</w:t>
            </w: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5623" w:type="dxa"/>
            <w:gridSpan w:val="4"/>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jc w:val="center"/>
              <w:textAlignment w:val="auto"/>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合计</w:t>
            </w:r>
          </w:p>
        </w:tc>
        <w:tc>
          <w:tcPr>
            <w:tcW w:w="6429" w:type="dxa"/>
            <w:shd w:val="clear" w:color="auto" w:fill="auto"/>
            <w:noWrap w:val="0"/>
            <w:vAlign w:val="center"/>
          </w:tcPr>
          <w:p>
            <w:pPr>
              <w:pageBreakBefore w:val="0"/>
              <w:widowControl/>
              <w:kinsoku/>
              <w:wordWrap/>
              <w:overflowPunct/>
              <w:topLinePunct w:val="0"/>
              <w:autoSpaceDE/>
              <w:autoSpaceDN/>
              <w:bidi w:val="0"/>
              <w:spacing w:line="240" w:lineRule="auto"/>
              <w:ind w:firstLine="0" w:firstLineChars="0"/>
              <w:textAlignment w:val="auto"/>
              <w:rPr>
                <w:rFonts w:hint="eastAsia" w:ascii="宋体" w:hAnsi="宋体" w:eastAsia="宋体" w:cs="宋体"/>
                <w:color w:val="000000"/>
                <w:kern w:val="0"/>
                <w:sz w:val="22"/>
                <w:szCs w:val="22"/>
              </w:rPr>
            </w:pPr>
          </w:p>
        </w:tc>
        <w:tc>
          <w:tcPr>
            <w:tcW w:w="785"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769" w:type="dxa"/>
            <w:shd w:val="clear" w:color="auto" w:fill="auto"/>
            <w:noWrap w:val="0"/>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w:t>
            </w:r>
            <w:r>
              <w:rPr>
                <w:rFonts w:hint="eastAsia" w:cs="宋体"/>
                <w:color w:val="auto"/>
                <w:kern w:val="0"/>
                <w:sz w:val="20"/>
                <w:szCs w:val="20"/>
                <w:highlight w:val="none"/>
                <w:shd w:val="clear" w:color="auto" w:fill="auto"/>
                <w:lang w:val="en-US" w:eastAsia="zh-CN"/>
              </w:rPr>
              <w:t>9</w:t>
            </w:r>
          </w:p>
        </w:tc>
      </w:tr>
    </w:tbl>
    <w:p>
      <w:pPr>
        <w:pageBreakBefore w:val="0"/>
        <w:kinsoku/>
        <w:wordWrap/>
        <w:overflowPunct/>
        <w:topLinePunct w:val="0"/>
        <w:autoSpaceDE/>
        <w:autoSpaceDN/>
        <w:bidi w:val="0"/>
        <w:spacing w:line="560" w:lineRule="exact"/>
        <w:textAlignment w:val="auto"/>
        <w:rPr>
          <w:rFonts w:hint="default"/>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4CD2B0F"/>
    <w:multiLevelType w:val="singleLevel"/>
    <w:tmpl w:val="F4CD2B0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NlZTAzNzU1YTMxMTkxNjU2ZDE5MmUzYjgzNzAyMTcifQ=="/>
  </w:docVars>
  <w:rsids>
    <w:rsidRoot w:val="68291A1A"/>
    <w:rsid w:val="007D6A04"/>
    <w:rsid w:val="00E23C81"/>
    <w:rsid w:val="01253350"/>
    <w:rsid w:val="01282E62"/>
    <w:rsid w:val="014029CF"/>
    <w:rsid w:val="01470C4C"/>
    <w:rsid w:val="02200440"/>
    <w:rsid w:val="02284B43"/>
    <w:rsid w:val="02B015E2"/>
    <w:rsid w:val="02DC08FA"/>
    <w:rsid w:val="030B2811"/>
    <w:rsid w:val="033B569D"/>
    <w:rsid w:val="039C3BA0"/>
    <w:rsid w:val="03A845BB"/>
    <w:rsid w:val="03B45AD1"/>
    <w:rsid w:val="04577D05"/>
    <w:rsid w:val="049A59D8"/>
    <w:rsid w:val="04A07881"/>
    <w:rsid w:val="04D12EE4"/>
    <w:rsid w:val="04D63993"/>
    <w:rsid w:val="04DB4549"/>
    <w:rsid w:val="04DB77CA"/>
    <w:rsid w:val="05BD5F77"/>
    <w:rsid w:val="076564B1"/>
    <w:rsid w:val="07890F4F"/>
    <w:rsid w:val="083D0B68"/>
    <w:rsid w:val="08892439"/>
    <w:rsid w:val="08EB30F3"/>
    <w:rsid w:val="09237408"/>
    <w:rsid w:val="09781BD6"/>
    <w:rsid w:val="09F359DF"/>
    <w:rsid w:val="0A575E65"/>
    <w:rsid w:val="0A72379C"/>
    <w:rsid w:val="0ACA0AB6"/>
    <w:rsid w:val="0B4C2E06"/>
    <w:rsid w:val="0C032502"/>
    <w:rsid w:val="0C27698C"/>
    <w:rsid w:val="0D1A0ACF"/>
    <w:rsid w:val="0D4452F3"/>
    <w:rsid w:val="0F5E5042"/>
    <w:rsid w:val="0FE95707"/>
    <w:rsid w:val="10510571"/>
    <w:rsid w:val="106A4FF5"/>
    <w:rsid w:val="10703940"/>
    <w:rsid w:val="10787A20"/>
    <w:rsid w:val="108672DE"/>
    <w:rsid w:val="10EC685A"/>
    <w:rsid w:val="11FA6155"/>
    <w:rsid w:val="12CF0947"/>
    <w:rsid w:val="12F1313F"/>
    <w:rsid w:val="136C678E"/>
    <w:rsid w:val="13753B13"/>
    <w:rsid w:val="13EB2FF5"/>
    <w:rsid w:val="14ED4CAC"/>
    <w:rsid w:val="15A46B04"/>
    <w:rsid w:val="165825BC"/>
    <w:rsid w:val="16BC5D73"/>
    <w:rsid w:val="16FE4BE3"/>
    <w:rsid w:val="176F36D7"/>
    <w:rsid w:val="1795226D"/>
    <w:rsid w:val="18456B1E"/>
    <w:rsid w:val="19157D18"/>
    <w:rsid w:val="1B2304CB"/>
    <w:rsid w:val="1BDD1351"/>
    <w:rsid w:val="1BF672D6"/>
    <w:rsid w:val="1C1171C5"/>
    <w:rsid w:val="1C453B2B"/>
    <w:rsid w:val="1CF52953"/>
    <w:rsid w:val="1D265138"/>
    <w:rsid w:val="1D7B6BCA"/>
    <w:rsid w:val="1DA41A79"/>
    <w:rsid w:val="1DF53469"/>
    <w:rsid w:val="1E2F24F2"/>
    <w:rsid w:val="1E58492F"/>
    <w:rsid w:val="1E5B6757"/>
    <w:rsid w:val="1ED10AC6"/>
    <w:rsid w:val="1F89225F"/>
    <w:rsid w:val="1F900A1F"/>
    <w:rsid w:val="1FC0575D"/>
    <w:rsid w:val="206132C7"/>
    <w:rsid w:val="21B00C1D"/>
    <w:rsid w:val="23031BEB"/>
    <w:rsid w:val="23917691"/>
    <w:rsid w:val="244D65B8"/>
    <w:rsid w:val="245E1E24"/>
    <w:rsid w:val="25AD5E5D"/>
    <w:rsid w:val="265374C3"/>
    <w:rsid w:val="2732478D"/>
    <w:rsid w:val="274146BF"/>
    <w:rsid w:val="27661469"/>
    <w:rsid w:val="27900EAD"/>
    <w:rsid w:val="279B538A"/>
    <w:rsid w:val="27EF6F5A"/>
    <w:rsid w:val="2853435A"/>
    <w:rsid w:val="28692869"/>
    <w:rsid w:val="286F545C"/>
    <w:rsid w:val="28A968F2"/>
    <w:rsid w:val="29314FBC"/>
    <w:rsid w:val="29784329"/>
    <w:rsid w:val="2AA2081A"/>
    <w:rsid w:val="2C024B86"/>
    <w:rsid w:val="2C927671"/>
    <w:rsid w:val="2CAB3E40"/>
    <w:rsid w:val="2CC6306F"/>
    <w:rsid w:val="2D7C5CD6"/>
    <w:rsid w:val="2E3B2B6D"/>
    <w:rsid w:val="2E483E7E"/>
    <w:rsid w:val="2E690493"/>
    <w:rsid w:val="2E9854BD"/>
    <w:rsid w:val="2F0D407F"/>
    <w:rsid w:val="2F454B19"/>
    <w:rsid w:val="301617F5"/>
    <w:rsid w:val="307A2F86"/>
    <w:rsid w:val="310224D9"/>
    <w:rsid w:val="31B4621C"/>
    <w:rsid w:val="31E3230A"/>
    <w:rsid w:val="32B55A55"/>
    <w:rsid w:val="330957E0"/>
    <w:rsid w:val="33356F64"/>
    <w:rsid w:val="33944516"/>
    <w:rsid w:val="34B62907"/>
    <w:rsid w:val="354A587E"/>
    <w:rsid w:val="36436E00"/>
    <w:rsid w:val="36BD137C"/>
    <w:rsid w:val="38053EDF"/>
    <w:rsid w:val="380812A4"/>
    <w:rsid w:val="385D37E7"/>
    <w:rsid w:val="38782EDD"/>
    <w:rsid w:val="3A8A6FC4"/>
    <w:rsid w:val="3B42664A"/>
    <w:rsid w:val="3BCB2252"/>
    <w:rsid w:val="3CAD1E92"/>
    <w:rsid w:val="3D836A4E"/>
    <w:rsid w:val="3D997F76"/>
    <w:rsid w:val="3E0C0098"/>
    <w:rsid w:val="3EA37E97"/>
    <w:rsid w:val="3FBE0BC5"/>
    <w:rsid w:val="4048103A"/>
    <w:rsid w:val="40736643"/>
    <w:rsid w:val="409B3F7C"/>
    <w:rsid w:val="40D24A7A"/>
    <w:rsid w:val="42621029"/>
    <w:rsid w:val="42D61B42"/>
    <w:rsid w:val="431C71E7"/>
    <w:rsid w:val="435241E2"/>
    <w:rsid w:val="43975C51"/>
    <w:rsid w:val="439E3FA7"/>
    <w:rsid w:val="44B32266"/>
    <w:rsid w:val="44FC64F4"/>
    <w:rsid w:val="45EC02D7"/>
    <w:rsid w:val="467F4585"/>
    <w:rsid w:val="470628CB"/>
    <w:rsid w:val="4729480B"/>
    <w:rsid w:val="47555BD4"/>
    <w:rsid w:val="4788761D"/>
    <w:rsid w:val="47BC2DB1"/>
    <w:rsid w:val="47DB7AD9"/>
    <w:rsid w:val="47E96399"/>
    <w:rsid w:val="47F76025"/>
    <w:rsid w:val="486E33F5"/>
    <w:rsid w:val="48E12B50"/>
    <w:rsid w:val="499441BE"/>
    <w:rsid w:val="499A6C1C"/>
    <w:rsid w:val="4A1047A2"/>
    <w:rsid w:val="4A195607"/>
    <w:rsid w:val="4A2138F0"/>
    <w:rsid w:val="4A583887"/>
    <w:rsid w:val="4B9F6E02"/>
    <w:rsid w:val="4C254AB6"/>
    <w:rsid w:val="4C89637B"/>
    <w:rsid w:val="4D6462E6"/>
    <w:rsid w:val="4E6E48A8"/>
    <w:rsid w:val="4EEC036B"/>
    <w:rsid w:val="4F574A77"/>
    <w:rsid w:val="4F714FA1"/>
    <w:rsid w:val="501D2673"/>
    <w:rsid w:val="50C80BF1"/>
    <w:rsid w:val="5173282E"/>
    <w:rsid w:val="51852833"/>
    <w:rsid w:val="51A01F02"/>
    <w:rsid w:val="51DE1270"/>
    <w:rsid w:val="52F11AC8"/>
    <w:rsid w:val="534F49D9"/>
    <w:rsid w:val="53555F0F"/>
    <w:rsid w:val="535D23D5"/>
    <w:rsid w:val="563321A4"/>
    <w:rsid w:val="56F4341A"/>
    <w:rsid w:val="575A7321"/>
    <w:rsid w:val="580C3AB9"/>
    <w:rsid w:val="583C7AE0"/>
    <w:rsid w:val="583E0633"/>
    <w:rsid w:val="586C1E9A"/>
    <w:rsid w:val="586E0800"/>
    <w:rsid w:val="58F80273"/>
    <w:rsid w:val="59216F96"/>
    <w:rsid w:val="598C4145"/>
    <w:rsid w:val="59957D1B"/>
    <w:rsid w:val="599D2AB8"/>
    <w:rsid w:val="59C03B78"/>
    <w:rsid w:val="59D4294E"/>
    <w:rsid w:val="5A9A2972"/>
    <w:rsid w:val="5AEC017E"/>
    <w:rsid w:val="5AF06A16"/>
    <w:rsid w:val="5B634312"/>
    <w:rsid w:val="5B943C2E"/>
    <w:rsid w:val="5B9D2CCD"/>
    <w:rsid w:val="5B9E71EA"/>
    <w:rsid w:val="5CEC204C"/>
    <w:rsid w:val="5D2B2127"/>
    <w:rsid w:val="5E226FBC"/>
    <w:rsid w:val="5F547B02"/>
    <w:rsid w:val="5FE72BD2"/>
    <w:rsid w:val="60120613"/>
    <w:rsid w:val="60CD6EB6"/>
    <w:rsid w:val="61891BF9"/>
    <w:rsid w:val="618D5292"/>
    <w:rsid w:val="622E78FA"/>
    <w:rsid w:val="631133A4"/>
    <w:rsid w:val="63343F70"/>
    <w:rsid w:val="64296E1C"/>
    <w:rsid w:val="64386FCC"/>
    <w:rsid w:val="649E64A2"/>
    <w:rsid w:val="65E5270A"/>
    <w:rsid w:val="660C1021"/>
    <w:rsid w:val="663D3C54"/>
    <w:rsid w:val="667A6962"/>
    <w:rsid w:val="66862C89"/>
    <w:rsid w:val="66BB486D"/>
    <w:rsid w:val="66FC4002"/>
    <w:rsid w:val="67394C7D"/>
    <w:rsid w:val="67C2316A"/>
    <w:rsid w:val="68126B38"/>
    <w:rsid w:val="68291A1A"/>
    <w:rsid w:val="68352BB8"/>
    <w:rsid w:val="686E384F"/>
    <w:rsid w:val="691327EB"/>
    <w:rsid w:val="691B1594"/>
    <w:rsid w:val="693A016B"/>
    <w:rsid w:val="6A17429C"/>
    <w:rsid w:val="6A567EA3"/>
    <w:rsid w:val="6A9F2F00"/>
    <w:rsid w:val="6AD40738"/>
    <w:rsid w:val="6B4B4368"/>
    <w:rsid w:val="6B79100E"/>
    <w:rsid w:val="6C844C00"/>
    <w:rsid w:val="6CB34986"/>
    <w:rsid w:val="6CEF69FE"/>
    <w:rsid w:val="6E10212C"/>
    <w:rsid w:val="6E43561A"/>
    <w:rsid w:val="6E557973"/>
    <w:rsid w:val="6E9568DB"/>
    <w:rsid w:val="6F0D6C22"/>
    <w:rsid w:val="6F47657F"/>
    <w:rsid w:val="6FAF23D9"/>
    <w:rsid w:val="70635CF6"/>
    <w:rsid w:val="70670707"/>
    <w:rsid w:val="71035BA5"/>
    <w:rsid w:val="720E3691"/>
    <w:rsid w:val="7249173A"/>
    <w:rsid w:val="724E244C"/>
    <w:rsid w:val="72903AFE"/>
    <w:rsid w:val="72DA6946"/>
    <w:rsid w:val="732764B3"/>
    <w:rsid w:val="74026044"/>
    <w:rsid w:val="74325A77"/>
    <w:rsid w:val="74746410"/>
    <w:rsid w:val="74BA3E42"/>
    <w:rsid w:val="753326F4"/>
    <w:rsid w:val="75C8506C"/>
    <w:rsid w:val="75E5007C"/>
    <w:rsid w:val="77636B63"/>
    <w:rsid w:val="77813724"/>
    <w:rsid w:val="77861774"/>
    <w:rsid w:val="78F31435"/>
    <w:rsid w:val="792B68F4"/>
    <w:rsid w:val="79300B45"/>
    <w:rsid w:val="794212F9"/>
    <w:rsid w:val="794D3E18"/>
    <w:rsid w:val="79F3729A"/>
    <w:rsid w:val="7A880722"/>
    <w:rsid w:val="7ABE6120"/>
    <w:rsid w:val="7ACB0498"/>
    <w:rsid w:val="7AED0B4D"/>
    <w:rsid w:val="7C1E4487"/>
    <w:rsid w:val="7C215E02"/>
    <w:rsid w:val="7CEA4968"/>
    <w:rsid w:val="7CF23764"/>
    <w:rsid w:val="7D851A94"/>
    <w:rsid w:val="7E797F74"/>
    <w:rsid w:val="7EA24A04"/>
    <w:rsid w:val="7F01514B"/>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9"/>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7">
    <w:name w:val="Default Paragraph Font"/>
    <w:semiHidden/>
    <w:qFormat/>
    <w:uiPriority w:val="0"/>
  </w:style>
  <w:style w:type="table" w:default="1" w:styleId="16">
    <w:name w:val="Normal Table"/>
    <w:semiHidden/>
    <w:qFormat/>
    <w:uiPriority w:val="0"/>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before="240" w:after="240" w:line="360" w:lineRule="auto"/>
      <w:jc w:val="center"/>
    </w:pPr>
    <w:rPr>
      <w:b/>
      <w:sz w:val="44"/>
    </w:rPr>
  </w:style>
  <w:style w:type="paragraph" w:styleId="7">
    <w:name w:val="toc 3"/>
    <w:basedOn w:val="1"/>
    <w:next w:val="1"/>
    <w:qFormat/>
    <w:uiPriority w:val="0"/>
    <w:pPr>
      <w:ind w:left="840" w:leftChars="40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Body Text 2"/>
    <w:basedOn w:val="1"/>
    <w:qFormat/>
    <w:uiPriority w:val="0"/>
    <w:pPr>
      <w:spacing w:after="120" w:line="480" w:lineRule="auto"/>
    </w:pPr>
    <w:rPr>
      <w:rFonts w:ascii="Times New Roman" w:hAnsi="Times New Roman" w:eastAsia="宋体" w:cs="Times New Roman"/>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15">
    <w:name w:val="Body Text First Indent"/>
    <w:basedOn w:val="6"/>
    <w:qFormat/>
    <w:uiPriority w:val="0"/>
    <w:pPr>
      <w:spacing w:after="0"/>
      <w:ind w:firstLine="200" w:firstLineChars="200"/>
    </w:pPr>
  </w:style>
  <w:style w:type="paragraph" w:customStyle="1" w:styleId="18">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9">
    <w:name w:val="标题 2 Char"/>
    <w:link w:val="3"/>
    <w:qFormat/>
    <w:uiPriority w:val="0"/>
    <w:rPr>
      <w:rFonts w:ascii="Arial" w:hAnsi="Arial" w:eastAsia="楷体"/>
      <w:b/>
      <w:sz w:val="32"/>
    </w:rPr>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 w:type="paragraph" w:customStyle="1" w:styleId="2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11761</Words>
  <Characters>12321</Characters>
  <Lines>0</Lines>
  <Paragraphs>0</Paragraphs>
  <TotalTime>1</TotalTime>
  <ScaleCrop>false</ScaleCrop>
  <LinksUpToDate>false</LinksUpToDate>
  <CharactersWithSpaces>12391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2025-11-21T02:36:09Z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E65F8230F4C54355855D92DF573720E3_13</vt:lpwstr>
  </property>
  <property fmtid="{D5CDD505-2E9C-101B-9397-08002B2CF9AE}" pid="4" name="KSOTemplateDocerSaveRecord">
    <vt:lpwstr>eyJoZGlkIjoiNTY3MmI4ODZmMjljZWZhNGFkN2U2N2Y4ODgwYjM5ZGIiLCJ1c2VySWQiOiIzNjI1MzY3NzcifQ==</vt:lpwstr>
  </property>
</Properties>
</file>