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5E70F">
      <w:pPr>
        <w:pageBreakBefore w:val="0"/>
        <w:kinsoku/>
        <w:wordWrap/>
        <w:overflowPunct/>
        <w:topLinePunct w:val="0"/>
        <w:autoSpaceDE/>
        <w:autoSpaceDN/>
        <w:bidi w:val="0"/>
        <w:adjustRightInd/>
        <w:spacing w:line="560" w:lineRule="exact"/>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D0CF298">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77E6288">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52CEF69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bookmarkStart w:id="1" w:name="_Toc29123"/>
      <w:bookmarkStart w:id="2" w:name="_Toc1949"/>
      <w:bookmarkStart w:id="3" w:name="_Toc25575"/>
      <w:r>
        <w:rPr>
          <w:rFonts w:hint="eastAsia" w:cs="宋体"/>
          <w:b/>
          <w:bCs/>
          <w:color w:val="auto"/>
          <w:sz w:val="40"/>
          <w:szCs w:val="40"/>
          <w:highlight w:val="none"/>
          <w:shd w:val="clear" w:color="auto" w:fill="auto"/>
          <w:lang w:val="en-US" w:eastAsia="zh-CN"/>
        </w:rPr>
        <w:t>昌州财教【2023】91号（保民生）提前下达2024年学生资助补助经费（中央直达资金）中职、技校免学费、中职、技校助学金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出绩效评价报告</w:t>
      </w:r>
      <w:bookmarkEnd w:id="0"/>
      <w:bookmarkEnd w:id="1"/>
      <w:bookmarkEnd w:id="2"/>
      <w:bookmarkEnd w:id="3"/>
    </w:p>
    <w:p w14:paraId="26A21699">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DDD8EF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C5008D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2C76B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E9326B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5A2F53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8E1AF88">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AAADC36">
      <w:pPr>
        <w:spacing w:line="360" w:lineRule="auto"/>
        <w:ind w:firstLine="0" w:firstLineChars="0"/>
        <w:jc w:val="left"/>
        <w:rPr>
          <w:rFonts w:hint="eastAsia" w:ascii="黑体" w:hAnsi="Times New Roman" w:eastAsia="黑体"/>
          <w:b w:val="0"/>
          <w:bCs/>
          <w:color w:val="auto"/>
          <w:sz w:val="30"/>
          <w:szCs w:val="30"/>
          <w:highlight w:val="none"/>
          <w:lang w:eastAsia="zh-CN"/>
        </w:rPr>
      </w:pPr>
      <w:r>
        <w:rPr>
          <w:rFonts w:hint="eastAsia" w:ascii="黑体" w:hAnsi="Times New Roman" w:eastAsia="黑体"/>
          <w:b w:val="0"/>
          <w:bCs/>
          <w:color w:val="auto"/>
          <w:sz w:val="30"/>
          <w:szCs w:val="30"/>
          <w:highlight w:val="none"/>
          <w:lang w:eastAsia="zh-CN"/>
        </w:rPr>
        <w:t>项目名称：昌州财教【2023】91号（保民生）提前下达2024年学生资助补助经费（中央直达资金）中职、技校免学费、中职、技校助学金</w:t>
      </w:r>
    </w:p>
    <w:p w14:paraId="7CB8A243">
      <w:pPr>
        <w:spacing w:line="360" w:lineRule="auto"/>
        <w:ind w:firstLine="0" w:firstLineChars="0"/>
        <w:jc w:val="left"/>
        <w:rPr>
          <w:rFonts w:hint="default"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lang w:eastAsia="zh-CN"/>
        </w:rPr>
        <w:t>实施单位：</w:t>
      </w:r>
      <w:r>
        <w:rPr>
          <w:rFonts w:hint="eastAsia" w:ascii="黑体" w:hAnsi="Times New Roman" w:eastAsia="黑体"/>
          <w:b w:val="0"/>
          <w:bCs/>
          <w:color w:val="auto"/>
          <w:sz w:val="30"/>
          <w:szCs w:val="30"/>
          <w:highlight w:val="none"/>
          <w:lang w:val="en-US" w:eastAsia="zh-CN"/>
        </w:rPr>
        <w:t>阜康市职业中等专业学校</w:t>
      </w:r>
    </w:p>
    <w:p w14:paraId="1CD13478">
      <w:pPr>
        <w:spacing w:line="360" w:lineRule="auto"/>
        <w:ind w:firstLine="0" w:firstLineChars="0"/>
        <w:jc w:val="left"/>
        <w:rPr>
          <w:rFonts w:hint="eastAsia" w:ascii="黑体" w:hAnsi="Times New Roman" w:eastAsia="黑体"/>
          <w:b w:val="0"/>
          <w:bCs/>
          <w:color w:val="auto"/>
          <w:sz w:val="30"/>
          <w:szCs w:val="30"/>
          <w:highlight w:val="none"/>
          <w:lang w:eastAsia="zh-CN"/>
        </w:rPr>
      </w:pPr>
      <w:r>
        <w:rPr>
          <w:rFonts w:hint="eastAsia" w:ascii="黑体" w:hAnsi="Times New Roman" w:eastAsia="黑体"/>
          <w:b w:val="0"/>
          <w:bCs/>
          <w:color w:val="auto"/>
          <w:sz w:val="30"/>
          <w:szCs w:val="30"/>
          <w:highlight w:val="none"/>
          <w:lang w:eastAsia="zh-CN"/>
        </w:rPr>
        <w:t>主管部门：</w:t>
      </w:r>
      <w:r>
        <w:rPr>
          <w:rFonts w:hint="eastAsia" w:ascii="黑体" w:hAnsi="Times New Roman" w:eastAsia="黑体"/>
          <w:b w:val="0"/>
          <w:bCs/>
          <w:color w:val="auto"/>
          <w:sz w:val="30"/>
          <w:szCs w:val="30"/>
          <w:highlight w:val="none"/>
          <w:lang w:val="en-US" w:eastAsia="zh-CN"/>
        </w:rPr>
        <w:t>阜康市教育局</w:t>
      </w:r>
    </w:p>
    <w:p w14:paraId="065BEE39">
      <w:pPr>
        <w:spacing w:line="360" w:lineRule="auto"/>
        <w:ind w:firstLine="0" w:firstLineChars="0"/>
        <w:jc w:val="left"/>
        <w:rPr>
          <w:rFonts w:hint="eastAsia" w:ascii="黑体" w:hAnsi="Times New Roman" w:eastAsia="黑体"/>
          <w:b w:val="0"/>
          <w:bCs/>
          <w:color w:val="auto"/>
          <w:sz w:val="30"/>
          <w:szCs w:val="30"/>
          <w:highlight w:val="none"/>
          <w:lang w:val="en-US" w:eastAsia="zh-CN"/>
        </w:rPr>
      </w:pPr>
      <w:r>
        <w:rPr>
          <w:rFonts w:hint="eastAsia" w:ascii="黑体" w:hAnsi="Times New Roman" w:eastAsia="黑体"/>
          <w:b w:val="0"/>
          <w:bCs/>
          <w:color w:val="auto"/>
          <w:sz w:val="30"/>
          <w:szCs w:val="30"/>
          <w:highlight w:val="none"/>
          <w:lang w:eastAsia="zh-CN"/>
        </w:rPr>
        <w:t>项目负责人：</w:t>
      </w:r>
      <w:r>
        <w:rPr>
          <w:rFonts w:hint="eastAsia" w:ascii="黑体" w:hAnsi="Times New Roman" w:eastAsia="黑体"/>
          <w:b w:val="0"/>
          <w:bCs/>
          <w:color w:val="auto"/>
          <w:sz w:val="30"/>
          <w:szCs w:val="30"/>
          <w:highlight w:val="none"/>
          <w:lang w:val="en-US" w:eastAsia="zh-CN"/>
        </w:rPr>
        <w:t>李微丽</w:t>
      </w:r>
    </w:p>
    <w:p w14:paraId="50706B4B">
      <w:pPr>
        <w:spacing w:line="360" w:lineRule="auto"/>
        <w:ind w:firstLine="0" w:firstLineChars="0"/>
        <w:jc w:val="left"/>
        <w:rPr>
          <w:rFonts w:hint="default"/>
          <w:b w:val="0"/>
          <w:bCs/>
          <w:color w:val="auto"/>
          <w:highlight w:val="none"/>
          <w:lang w:val="en-US" w:eastAsia="zh-CN"/>
        </w:rPr>
      </w:pPr>
      <w:r>
        <w:rPr>
          <w:rFonts w:hint="eastAsia" w:ascii="黑体" w:hAnsi="Times New Roman" w:eastAsia="黑体"/>
          <w:b w:val="0"/>
          <w:bCs/>
          <w:color w:val="auto"/>
          <w:sz w:val="30"/>
          <w:szCs w:val="30"/>
          <w:highlight w:val="none"/>
          <w:lang w:eastAsia="zh-CN"/>
        </w:rPr>
        <w:t>填报时间：</w:t>
      </w:r>
      <w:r>
        <w:rPr>
          <w:rFonts w:hint="eastAsia" w:ascii="黑体" w:hAnsi="Times New Roman" w:eastAsia="黑体"/>
          <w:b w:val="0"/>
          <w:bCs/>
          <w:color w:val="auto"/>
          <w:sz w:val="30"/>
          <w:szCs w:val="30"/>
          <w:highlight w:val="none"/>
          <w:lang w:val="en-US" w:eastAsia="zh-CN"/>
        </w:rPr>
        <w:t>2025年4月30日</w:t>
      </w:r>
    </w:p>
    <w:p w14:paraId="5E9F2796">
      <w:pPr>
        <w:pStyle w:val="14"/>
        <w:pageBreakBefore w:val="0"/>
        <w:kinsoku/>
        <w:wordWrap/>
        <w:overflowPunct/>
        <w:topLinePunct w:val="0"/>
        <w:autoSpaceDE/>
        <w:autoSpaceDN/>
        <w:bidi w:val="0"/>
        <w:spacing w:line="560" w:lineRule="exact"/>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172711C6">
      <w:pPr>
        <w:pageBreakBefore w:val="0"/>
        <w:kinsoku/>
        <w:wordWrap/>
        <w:overflowPunct/>
        <w:topLinePunct w:val="0"/>
        <w:autoSpaceDE/>
        <w:autoSpaceDN/>
        <w:bidi w:val="0"/>
        <w:spacing w:line="560" w:lineRule="exact"/>
        <w:textAlignment w:val="auto"/>
        <w:rPr>
          <w:rFonts w:hint="eastAsia"/>
          <w:highlight w:val="none"/>
          <w:lang w:val="en-US" w:eastAsia="zh-CN"/>
        </w:rPr>
      </w:pPr>
      <w:r>
        <w:rPr>
          <w:rFonts w:hint="eastAsia"/>
          <w:highlight w:val="none"/>
          <w:lang w:val="en-US" w:eastAsia="zh-CN"/>
        </w:rPr>
        <w:br w:type="page"/>
      </w:r>
    </w:p>
    <w:p w14:paraId="48C440DF">
      <w:pPr>
        <w:pageBreakBefore w:val="0"/>
        <w:kinsoku/>
        <w:wordWrap/>
        <w:overflowPunct/>
        <w:topLinePunct w:val="0"/>
        <w:autoSpaceDE/>
        <w:autoSpaceDN/>
        <w:bidi w:val="0"/>
        <w:spacing w:line="560" w:lineRule="exact"/>
        <w:textAlignment w:val="auto"/>
        <w:rPr>
          <w:rFonts w:hint="eastAsia"/>
          <w:highlight w:val="none"/>
          <w:lang w:val="en-US" w:eastAsia="zh-CN"/>
        </w:rPr>
      </w:pPr>
    </w:p>
    <w:sdt>
      <w:sdtPr>
        <w:rPr>
          <w:rFonts w:ascii="宋体" w:hAnsi="宋体" w:eastAsia="宋体" w:cs="宋体"/>
          <w:b/>
          <w:bCs/>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highlight w:val="none"/>
          <w:lang w:val="en-US" w:eastAsia="zh-CN" w:bidi="ar-SA"/>
        </w:rPr>
      </w:sdtEndPr>
      <w:sdtContent>
        <w:p w14:paraId="2C77D8D6">
          <w:pPr>
            <w:keepNext w:val="0"/>
            <w:keepLines w:val="0"/>
            <w:pageBreakBefore w:val="0"/>
            <w:shd w:val="clea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b/>
              <w:bCs/>
              <w:sz w:val="40"/>
              <w:szCs w:val="40"/>
              <w:highlight w:val="none"/>
            </w:rPr>
          </w:pPr>
          <w:r>
            <w:rPr>
              <w:rFonts w:ascii="宋体" w:hAnsi="宋体" w:eastAsia="宋体"/>
              <w:b/>
              <w:bCs/>
              <w:sz w:val="40"/>
              <w:szCs w:val="40"/>
              <w:highlight w:val="none"/>
            </w:rPr>
            <w:t>目录</w:t>
          </w:r>
        </w:p>
        <w:p w14:paraId="7A85C49B">
          <w:pPr>
            <w:pStyle w:val="10"/>
            <w:tabs>
              <w:tab w:val="right" w:leader="dot" w:pos="8844"/>
            </w:tabs>
            <w:rPr>
              <w:highlight w:val="none"/>
            </w:rPr>
          </w:pPr>
          <w:r>
            <w:rPr>
              <w:rFonts w:hint="eastAsia"/>
              <w:sz w:val="28"/>
              <w:szCs w:val="28"/>
              <w:highlight w:val="none"/>
              <w:lang w:val="en-US" w:eastAsia="zh-CN"/>
            </w:rPr>
            <w:fldChar w:fldCharType="begin"/>
          </w:r>
          <w:r>
            <w:rPr>
              <w:rFonts w:hint="eastAsia"/>
              <w:sz w:val="28"/>
              <w:szCs w:val="28"/>
              <w:highlight w:val="none"/>
              <w:lang w:val="en-US" w:eastAsia="zh-CN"/>
            </w:rPr>
            <w:instrText xml:space="preserve">TOC \o "1-3" \h \u </w:instrText>
          </w:r>
          <w:r>
            <w:rPr>
              <w:rFonts w:hint="eastAsia"/>
              <w:sz w:val="28"/>
              <w:szCs w:val="28"/>
              <w:highlight w:val="none"/>
              <w:lang w:val="en-US" w:eastAsia="zh-CN"/>
            </w:rPr>
            <w:fldChar w:fldCharType="separate"/>
          </w:r>
        </w:p>
        <w:p w14:paraId="2212584B">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_Toc18485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rPr>
            <w:t>一、基本情况</w:t>
          </w:r>
          <w:r>
            <w:rPr>
              <w:highlight w:val="none"/>
            </w:rPr>
            <w:tab/>
          </w:r>
          <w:r>
            <w:rPr>
              <w:highlight w:val="none"/>
            </w:rPr>
            <w:fldChar w:fldCharType="begin"/>
          </w:r>
          <w:r>
            <w:rPr>
              <w:highlight w:val="none"/>
            </w:rPr>
            <w:instrText xml:space="preserve"> PAGEREF _Toc18485 \h </w:instrText>
          </w:r>
          <w:r>
            <w:rPr>
              <w:highlight w:val="none"/>
            </w:rPr>
            <w:fldChar w:fldCharType="separate"/>
          </w:r>
          <w:r>
            <w:rPr>
              <w:highlight w:val="none"/>
            </w:rPr>
            <w:t>4</w:t>
          </w:r>
          <w:r>
            <w:rPr>
              <w:highlight w:val="none"/>
            </w:rPr>
            <w:fldChar w:fldCharType="end"/>
          </w:r>
          <w:r>
            <w:rPr>
              <w:rFonts w:hint="eastAsia"/>
              <w:szCs w:val="28"/>
              <w:highlight w:val="none"/>
              <w:lang w:val="en-US" w:eastAsia="zh-CN"/>
            </w:rPr>
            <w:fldChar w:fldCharType="end"/>
          </w:r>
        </w:p>
        <w:p w14:paraId="3912E34D">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_Toc23184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（一）项目概况</w:t>
          </w:r>
          <w:r>
            <w:rPr>
              <w:highlight w:val="none"/>
            </w:rPr>
            <w:tab/>
          </w:r>
          <w:r>
            <w:rPr>
              <w:highlight w:val="none"/>
            </w:rPr>
            <w:fldChar w:fldCharType="begin"/>
          </w:r>
          <w:r>
            <w:rPr>
              <w:highlight w:val="none"/>
            </w:rPr>
            <w:instrText xml:space="preserve"> PAGEREF _Toc23184 \h </w:instrText>
          </w:r>
          <w:r>
            <w:rPr>
              <w:highlight w:val="none"/>
            </w:rPr>
            <w:fldChar w:fldCharType="separate"/>
          </w:r>
          <w:r>
            <w:rPr>
              <w:highlight w:val="none"/>
            </w:rPr>
            <w:t>4</w:t>
          </w:r>
          <w:r>
            <w:rPr>
              <w:highlight w:val="none"/>
            </w:rPr>
            <w:fldChar w:fldCharType="end"/>
          </w:r>
          <w:r>
            <w:rPr>
              <w:rFonts w:hint="eastAsia"/>
              <w:szCs w:val="28"/>
              <w:highlight w:val="none"/>
              <w:lang w:val="en-US" w:eastAsia="zh-CN"/>
            </w:rPr>
            <w:fldChar w:fldCharType="end"/>
          </w:r>
        </w:p>
        <w:p w14:paraId="17B41E73">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_Toc9109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（二）项目绩效目标</w:t>
          </w:r>
          <w:r>
            <w:rPr>
              <w:highlight w:val="none"/>
            </w:rPr>
            <w:tab/>
          </w:r>
          <w:r>
            <w:rPr>
              <w:highlight w:val="none"/>
            </w:rPr>
            <w:fldChar w:fldCharType="begin"/>
          </w:r>
          <w:r>
            <w:rPr>
              <w:highlight w:val="none"/>
            </w:rPr>
            <w:instrText xml:space="preserve"> PAGEREF _Toc9109 \h </w:instrText>
          </w:r>
          <w:r>
            <w:rPr>
              <w:highlight w:val="none"/>
            </w:rPr>
            <w:fldChar w:fldCharType="separate"/>
          </w:r>
          <w:r>
            <w:rPr>
              <w:highlight w:val="none"/>
            </w:rPr>
            <w:t>6</w:t>
          </w:r>
          <w:r>
            <w:rPr>
              <w:highlight w:val="none"/>
            </w:rPr>
            <w:fldChar w:fldCharType="end"/>
          </w:r>
          <w:r>
            <w:rPr>
              <w:rFonts w:hint="eastAsia"/>
              <w:szCs w:val="28"/>
              <w:highlight w:val="none"/>
              <w:lang w:val="en-US" w:eastAsia="zh-CN"/>
            </w:rPr>
            <w:fldChar w:fldCharType="end"/>
          </w:r>
        </w:p>
        <w:p w14:paraId="37F756E6">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_Toc26567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rPr>
            <w:t>二、绩效评价工作开展情况</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_Toc26567 \h </w:instrText>
          </w:r>
          <w:r>
            <w:rPr>
              <w:rFonts w:hint="eastAsia" w:ascii="黑体" w:hAnsi="黑体" w:eastAsia="黑体" w:cs="黑体"/>
              <w:highlight w:val="none"/>
            </w:rPr>
            <w:fldChar w:fldCharType="separate"/>
          </w:r>
          <w:r>
            <w:rPr>
              <w:rFonts w:hint="eastAsia" w:ascii="黑体" w:hAnsi="黑体" w:eastAsia="黑体" w:cs="黑体"/>
              <w:highlight w:val="none"/>
            </w:rPr>
            <w:t>8</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4ED330E9">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_Toc22839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（一）绩效评价的目的、对象和范围</w:t>
          </w:r>
          <w:r>
            <w:rPr>
              <w:highlight w:val="none"/>
            </w:rPr>
            <w:tab/>
          </w:r>
          <w:r>
            <w:rPr>
              <w:highlight w:val="none"/>
            </w:rPr>
            <w:fldChar w:fldCharType="begin"/>
          </w:r>
          <w:r>
            <w:rPr>
              <w:highlight w:val="none"/>
            </w:rPr>
            <w:instrText xml:space="preserve"> PAGEREF _Toc22839 \h </w:instrText>
          </w:r>
          <w:r>
            <w:rPr>
              <w:highlight w:val="none"/>
            </w:rPr>
            <w:fldChar w:fldCharType="separate"/>
          </w:r>
          <w:r>
            <w:rPr>
              <w:highlight w:val="none"/>
            </w:rPr>
            <w:t>8</w:t>
          </w:r>
          <w:r>
            <w:rPr>
              <w:highlight w:val="none"/>
            </w:rPr>
            <w:fldChar w:fldCharType="end"/>
          </w:r>
          <w:r>
            <w:rPr>
              <w:rFonts w:hint="eastAsia"/>
              <w:szCs w:val="28"/>
              <w:highlight w:val="none"/>
              <w:lang w:val="en-US" w:eastAsia="zh-CN"/>
            </w:rPr>
            <w:fldChar w:fldCharType="end"/>
          </w:r>
        </w:p>
        <w:p w14:paraId="41477607">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_Toc29785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（二）绩效评价原则、评价指标体系（</w:t>
          </w:r>
          <w:r>
            <w:rPr>
              <w:rFonts w:hint="default" w:ascii="Times New Roman" w:hAnsi="Times New Roman" w:eastAsia="楷体_GB2312" w:cs="Times New Roman"/>
              <w:kern w:val="28"/>
              <w:highlight w:val="none"/>
              <w:lang w:val="en-US" w:eastAsia="zh-CN"/>
            </w:rPr>
            <w:t>详情见</w:t>
          </w:r>
          <w:r>
            <w:rPr>
              <w:rFonts w:hint="eastAsia" w:ascii="Times New Roman" w:hAnsi="Times New Roman" w:eastAsia="楷体_GB2312" w:cs="Times New Roman"/>
              <w:kern w:val="28"/>
              <w:highlight w:val="none"/>
              <w:lang w:val="en-US" w:eastAsia="zh-CN"/>
            </w:rPr>
            <w:t>附件二）、评价方法、评价标准</w:t>
          </w:r>
          <w:r>
            <w:rPr>
              <w:highlight w:val="none"/>
            </w:rPr>
            <w:tab/>
          </w:r>
          <w:r>
            <w:rPr>
              <w:highlight w:val="none"/>
            </w:rPr>
            <w:fldChar w:fldCharType="begin"/>
          </w:r>
          <w:r>
            <w:rPr>
              <w:highlight w:val="none"/>
            </w:rPr>
            <w:instrText xml:space="preserve"> PAGEREF _Toc29785 \h </w:instrText>
          </w:r>
          <w:r>
            <w:rPr>
              <w:highlight w:val="none"/>
            </w:rPr>
            <w:fldChar w:fldCharType="separate"/>
          </w:r>
          <w:r>
            <w:rPr>
              <w:highlight w:val="none"/>
            </w:rPr>
            <w:t>12</w:t>
          </w:r>
          <w:r>
            <w:rPr>
              <w:highlight w:val="none"/>
            </w:rPr>
            <w:fldChar w:fldCharType="end"/>
          </w:r>
          <w:r>
            <w:rPr>
              <w:rFonts w:hint="eastAsia"/>
              <w:szCs w:val="28"/>
              <w:highlight w:val="none"/>
              <w:lang w:val="en-US" w:eastAsia="zh-CN"/>
            </w:rPr>
            <w:fldChar w:fldCharType="end"/>
          </w:r>
        </w:p>
        <w:p w14:paraId="556FEB0C">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_Toc21435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（三）绩效评价工作过程</w:t>
          </w:r>
          <w:r>
            <w:rPr>
              <w:highlight w:val="none"/>
            </w:rPr>
            <w:tab/>
          </w:r>
          <w:r>
            <w:rPr>
              <w:highlight w:val="none"/>
            </w:rPr>
            <w:fldChar w:fldCharType="begin"/>
          </w:r>
          <w:r>
            <w:rPr>
              <w:highlight w:val="none"/>
            </w:rPr>
            <w:instrText xml:space="preserve"> PAGEREF _Toc21435 \h </w:instrText>
          </w:r>
          <w:r>
            <w:rPr>
              <w:highlight w:val="none"/>
            </w:rPr>
            <w:fldChar w:fldCharType="separate"/>
          </w:r>
          <w:r>
            <w:rPr>
              <w:highlight w:val="none"/>
            </w:rPr>
            <w:t>15</w:t>
          </w:r>
          <w:r>
            <w:rPr>
              <w:highlight w:val="none"/>
            </w:rPr>
            <w:fldChar w:fldCharType="end"/>
          </w:r>
          <w:r>
            <w:rPr>
              <w:rFonts w:hint="eastAsia"/>
              <w:szCs w:val="28"/>
              <w:highlight w:val="none"/>
              <w:lang w:val="en-US" w:eastAsia="zh-CN"/>
            </w:rPr>
            <w:fldChar w:fldCharType="end"/>
          </w:r>
        </w:p>
        <w:p w14:paraId="3B815655">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_Toc19261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三、</w:t>
          </w:r>
          <w:r>
            <w:rPr>
              <w:rFonts w:hint="eastAsia" w:ascii="黑体" w:hAnsi="黑体" w:eastAsia="黑体" w:cs="黑体"/>
              <w:bCs w:val="0"/>
              <w:highlight w:val="none"/>
              <w:shd w:val="clear" w:color="auto" w:fill="auto"/>
            </w:rPr>
            <w:t>综合评价情况及评价结论</w:t>
          </w:r>
          <w:r>
            <w:rPr>
              <w:highlight w:val="none"/>
            </w:rPr>
            <w:tab/>
          </w:r>
          <w:r>
            <w:rPr>
              <w:highlight w:val="none"/>
            </w:rPr>
            <w:fldChar w:fldCharType="begin"/>
          </w:r>
          <w:r>
            <w:rPr>
              <w:highlight w:val="none"/>
            </w:rPr>
            <w:instrText xml:space="preserve"> PAGEREF _Toc19261 \h </w:instrText>
          </w:r>
          <w:r>
            <w:rPr>
              <w:highlight w:val="none"/>
            </w:rPr>
            <w:fldChar w:fldCharType="separate"/>
          </w:r>
          <w:r>
            <w:rPr>
              <w:highlight w:val="none"/>
            </w:rPr>
            <w:t>17</w:t>
          </w:r>
          <w:r>
            <w:rPr>
              <w:highlight w:val="none"/>
            </w:rPr>
            <w:fldChar w:fldCharType="end"/>
          </w:r>
          <w:r>
            <w:rPr>
              <w:rFonts w:hint="eastAsia"/>
              <w:szCs w:val="28"/>
              <w:highlight w:val="none"/>
              <w:lang w:val="en-US" w:eastAsia="zh-CN"/>
            </w:rPr>
            <w:fldChar w:fldCharType="end"/>
          </w:r>
        </w:p>
        <w:p w14:paraId="0A9E6E01">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_Toc23319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（一）综合评价情况及评价结论</w:t>
          </w:r>
          <w:r>
            <w:rPr>
              <w:highlight w:val="none"/>
            </w:rPr>
            <w:tab/>
          </w:r>
          <w:r>
            <w:rPr>
              <w:highlight w:val="none"/>
            </w:rPr>
            <w:fldChar w:fldCharType="begin"/>
          </w:r>
          <w:r>
            <w:rPr>
              <w:highlight w:val="none"/>
            </w:rPr>
            <w:instrText xml:space="preserve"> PAGEREF _Toc23319 \h </w:instrText>
          </w:r>
          <w:r>
            <w:rPr>
              <w:highlight w:val="none"/>
            </w:rPr>
            <w:fldChar w:fldCharType="separate"/>
          </w:r>
          <w:r>
            <w:rPr>
              <w:highlight w:val="none"/>
            </w:rPr>
            <w:t>17</w:t>
          </w:r>
          <w:r>
            <w:rPr>
              <w:highlight w:val="none"/>
            </w:rPr>
            <w:fldChar w:fldCharType="end"/>
          </w:r>
          <w:r>
            <w:rPr>
              <w:rFonts w:hint="eastAsia"/>
              <w:szCs w:val="28"/>
              <w:highlight w:val="none"/>
              <w:lang w:val="en-US" w:eastAsia="zh-CN"/>
            </w:rPr>
            <w:fldChar w:fldCharType="end"/>
          </w:r>
        </w:p>
        <w:p w14:paraId="59A17E56">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_Toc11863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（二）相关评分表</w:t>
          </w:r>
          <w:r>
            <w:rPr>
              <w:highlight w:val="none"/>
            </w:rPr>
            <w:tab/>
          </w:r>
          <w:r>
            <w:rPr>
              <w:highlight w:val="none"/>
            </w:rPr>
            <w:fldChar w:fldCharType="begin"/>
          </w:r>
          <w:r>
            <w:rPr>
              <w:highlight w:val="none"/>
            </w:rPr>
            <w:instrText xml:space="preserve"> PAGEREF _Toc11863 \h </w:instrText>
          </w:r>
          <w:r>
            <w:rPr>
              <w:highlight w:val="none"/>
            </w:rPr>
            <w:fldChar w:fldCharType="separate"/>
          </w:r>
          <w:r>
            <w:rPr>
              <w:highlight w:val="none"/>
            </w:rPr>
            <w:t>18</w:t>
          </w:r>
          <w:r>
            <w:rPr>
              <w:highlight w:val="none"/>
            </w:rPr>
            <w:fldChar w:fldCharType="end"/>
          </w:r>
          <w:r>
            <w:rPr>
              <w:rFonts w:hint="eastAsia"/>
              <w:szCs w:val="28"/>
              <w:highlight w:val="none"/>
              <w:lang w:val="en-US" w:eastAsia="zh-CN"/>
            </w:rPr>
            <w:fldChar w:fldCharType="end"/>
          </w:r>
        </w:p>
        <w:p w14:paraId="41287B22">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_Toc14941 </w:instrText>
          </w:r>
          <w:r>
            <w:rPr>
              <w:rFonts w:hint="eastAsia"/>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四、绩效评价指标分析</w:t>
          </w:r>
          <w:r>
            <w:rPr>
              <w:highlight w:val="none"/>
            </w:rPr>
            <w:tab/>
          </w:r>
          <w:r>
            <w:rPr>
              <w:highlight w:val="none"/>
            </w:rPr>
            <w:fldChar w:fldCharType="begin"/>
          </w:r>
          <w:r>
            <w:rPr>
              <w:highlight w:val="none"/>
            </w:rPr>
            <w:instrText xml:space="preserve"> PAGEREF _Toc14941 \h </w:instrText>
          </w:r>
          <w:r>
            <w:rPr>
              <w:highlight w:val="none"/>
            </w:rPr>
            <w:fldChar w:fldCharType="separate"/>
          </w:r>
          <w:r>
            <w:rPr>
              <w:highlight w:val="none"/>
            </w:rPr>
            <w:t>19</w:t>
          </w:r>
          <w:r>
            <w:rPr>
              <w:highlight w:val="none"/>
            </w:rPr>
            <w:fldChar w:fldCharType="end"/>
          </w:r>
          <w:r>
            <w:rPr>
              <w:rFonts w:hint="eastAsia"/>
              <w:szCs w:val="28"/>
              <w:highlight w:val="none"/>
              <w:lang w:val="en-US" w:eastAsia="zh-CN"/>
            </w:rPr>
            <w:fldChar w:fldCharType="end"/>
          </w:r>
        </w:p>
        <w:p w14:paraId="4403B4F1">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_Toc6759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rPr>
            <w:t>（一）项目决策情况</w:t>
          </w:r>
          <w:r>
            <w:rPr>
              <w:highlight w:val="none"/>
            </w:rPr>
            <w:tab/>
          </w:r>
          <w:r>
            <w:rPr>
              <w:highlight w:val="none"/>
            </w:rPr>
            <w:fldChar w:fldCharType="begin"/>
          </w:r>
          <w:r>
            <w:rPr>
              <w:highlight w:val="none"/>
            </w:rPr>
            <w:instrText xml:space="preserve"> PAGEREF _Toc6759 \h </w:instrText>
          </w:r>
          <w:r>
            <w:rPr>
              <w:highlight w:val="none"/>
            </w:rPr>
            <w:fldChar w:fldCharType="separate"/>
          </w:r>
          <w:r>
            <w:rPr>
              <w:highlight w:val="none"/>
            </w:rPr>
            <w:t>19</w:t>
          </w:r>
          <w:r>
            <w:rPr>
              <w:highlight w:val="none"/>
            </w:rPr>
            <w:fldChar w:fldCharType="end"/>
          </w:r>
          <w:r>
            <w:rPr>
              <w:rFonts w:hint="eastAsia"/>
              <w:szCs w:val="28"/>
              <w:highlight w:val="none"/>
              <w:lang w:val="en-US" w:eastAsia="zh-CN"/>
            </w:rPr>
            <w:fldChar w:fldCharType="end"/>
          </w:r>
        </w:p>
        <w:p w14:paraId="5BC5DC5C">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_Toc10564 </w:instrText>
          </w:r>
          <w:r>
            <w:rPr>
              <w:rFonts w:hint="eastAsia"/>
              <w:szCs w:val="28"/>
              <w:highlight w:val="none"/>
              <w:lang w:val="en-US" w:eastAsia="zh-CN"/>
            </w:rPr>
            <w:fldChar w:fldCharType="separate"/>
          </w:r>
          <w:r>
            <w:rPr>
              <w:rFonts w:hint="eastAsia" w:ascii="Times New Roman" w:hAnsi="Times New Roman" w:eastAsia="楷体" w:cs="Times New Roman"/>
              <w:kern w:val="28"/>
              <w:highlight w:val="none"/>
              <w:lang w:eastAsia="zh-CN"/>
            </w:rPr>
            <w:t>（</w:t>
          </w:r>
          <w:r>
            <w:rPr>
              <w:rFonts w:hint="eastAsia" w:ascii="Times New Roman" w:hAnsi="Times New Roman" w:eastAsia="楷体" w:cs="Times New Roman"/>
              <w:kern w:val="28"/>
              <w:highlight w:val="none"/>
              <w:lang w:val="en-US" w:eastAsia="zh-CN"/>
            </w:rPr>
            <w:t>二</w:t>
          </w:r>
          <w:r>
            <w:rPr>
              <w:rFonts w:hint="eastAsia" w:ascii="Times New Roman" w:hAnsi="Times New Roman" w:eastAsia="楷体" w:cs="Times New Roman"/>
              <w:kern w:val="28"/>
              <w:highlight w:val="none"/>
              <w:lang w:eastAsia="zh-CN"/>
            </w:rPr>
            <w:t>）</w:t>
          </w:r>
          <w:r>
            <w:rPr>
              <w:rFonts w:hint="eastAsia" w:ascii="Times New Roman" w:hAnsi="Times New Roman" w:eastAsia="楷体" w:cs="Times New Roman"/>
              <w:kern w:val="28"/>
              <w:highlight w:val="none"/>
            </w:rPr>
            <w:t>项目过程情况</w:t>
          </w:r>
          <w:r>
            <w:rPr>
              <w:highlight w:val="none"/>
            </w:rPr>
            <w:tab/>
          </w:r>
          <w:r>
            <w:rPr>
              <w:highlight w:val="none"/>
            </w:rPr>
            <w:fldChar w:fldCharType="begin"/>
          </w:r>
          <w:r>
            <w:rPr>
              <w:highlight w:val="none"/>
            </w:rPr>
            <w:instrText xml:space="preserve"> PAGEREF _Toc10564 \h </w:instrText>
          </w:r>
          <w:r>
            <w:rPr>
              <w:highlight w:val="none"/>
            </w:rPr>
            <w:fldChar w:fldCharType="separate"/>
          </w:r>
          <w:r>
            <w:rPr>
              <w:highlight w:val="none"/>
            </w:rPr>
            <w:t>22</w:t>
          </w:r>
          <w:r>
            <w:rPr>
              <w:highlight w:val="none"/>
            </w:rPr>
            <w:fldChar w:fldCharType="end"/>
          </w:r>
          <w:r>
            <w:rPr>
              <w:rFonts w:hint="eastAsia"/>
              <w:szCs w:val="28"/>
              <w:highlight w:val="none"/>
              <w:lang w:val="en-US" w:eastAsia="zh-CN"/>
            </w:rPr>
            <w:fldChar w:fldCharType="end"/>
          </w:r>
        </w:p>
        <w:p w14:paraId="639A1B48">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_Toc2441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（三）项目产出情况</w:t>
          </w:r>
          <w:r>
            <w:rPr>
              <w:highlight w:val="none"/>
            </w:rPr>
            <w:tab/>
          </w:r>
          <w:r>
            <w:rPr>
              <w:highlight w:val="none"/>
            </w:rPr>
            <w:fldChar w:fldCharType="begin"/>
          </w:r>
          <w:r>
            <w:rPr>
              <w:highlight w:val="none"/>
            </w:rPr>
            <w:instrText xml:space="preserve"> PAGEREF _Toc2441 \h </w:instrText>
          </w:r>
          <w:r>
            <w:rPr>
              <w:highlight w:val="none"/>
            </w:rPr>
            <w:fldChar w:fldCharType="separate"/>
          </w:r>
          <w:r>
            <w:rPr>
              <w:highlight w:val="none"/>
            </w:rPr>
            <w:t>25</w:t>
          </w:r>
          <w:r>
            <w:rPr>
              <w:highlight w:val="none"/>
            </w:rPr>
            <w:fldChar w:fldCharType="end"/>
          </w:r>
          <w:r>
            <w:rPr>
              <w:rFonts w:hint="eastAsia"/>
              <w:szCs w:val="28"/>
              <w:highlight w:val="none"/>
              <w:lang w:val="en-US" w:eastAsia="zh-CN"/>
            </w:rPr>
            <w:fldChar w:fldCharType="end"/>
          </w:r>
        </w:p>
        <w:p w14:paraId="285AC912">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_Toc19424 </w:instrText>
          </w:r>
          <w:r>
            <w:rPr>
              <w:rFonts w:hint="eastAsia"/>
              <w:szCs w:val="28"/>
              <w:highlight w:val="none"/>
              <w:lang w:val="en-US" w:eastAsia="zh-CN"/>
            </w:rPr>
            <w:fldChar w:fldCharType="separate"/>
          </w:r>
          <w:r>
            <w:rPr>
              <w:rFonts w:hint="eastAsia" w:ascii="Times New Roman" w:hAnsi="Times New Roman" w:eastAsia="楷体_GB2312" w:cs="Times New Roman"/>
              <w:kern w:val="28"/>
              <w:highlight w:val="none"/>
              <w:lang w:val="en-US" w:eastAsia="zh-CN"/>
            </w:rPr>
            <w:t>（四）项目效益情况</w:t>
          </w:r>
          <w:r>
            <w:rPr>
              <w:highlight w:val="none"/>
            </w:rPr>
            <w:tab/>
          </w:r>
          <w:r>
            <w:rPr>
              <w:highlight w:val="none"/>
            </w:rPr>
            <w:fldChar w:fldCharType="begin"/>
          </w:r>
          <w:r>
            <w:rPr>
              <w:highlight w:val="none"/>
            </w:rPr>
            <w:instrText xml:space="preserve"> PAGEREF _Toc19424 \h </w:instrText>
          </w:r>
          <w:r>
            <w:rPr>
              <w:highlight w:val="none"/>
            </w:rPr>
            <w:fldChar w:fldCharType="separate"/>
          </w:r>
          <w:r>
            <w:rPr>
              <w:highlight w:val="none"/>
            </w:rPr>
            <w:t>26</w:t>
          </w:r>
          <w:r>
            <w:rPr>
              <w:highlight w:val="none"/>
            </w:rPr>
            <w:fldChar w:fldCharType="end"/>
          </w:r>
          <w:r>
            <w:rPr>
              <w:rFonts w:hint="eastAsia"/>
              <w:szCs w:val="28"/>
              <w:highlight w:val="none"/>
              <w:lang w:val="en-US" w:eastAsia="zh-CN"/>
            </w:rPr>
            <w:fldChar w:fldCharType="end"/>
          </w:r>
        </w:p>
        <w:p w14:paraId="28EABBB7">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_Toc23313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（五）满意度指标完成情况分析</w:t>
          </w:r>
          <w:r>
            <w:rPr>
              <w:highlight w:val="none"/>
            </w:rPr>
            <w:tab/>
          </w:r>
          <w:r>
            <w:rPr>
              <w:highlight w:val="none"/>
            </w:rPr>
            <w:fldChar w:fldCharType="begin"/>
          </w:r>
          <w:r>
            <w:rPr>
              <w:highlight w:val="none"/>
            </w:rPr>
            <w:instrText xml:space="preserve"> PAGEREF _Toc23313 \h </w:instrText>
          </w:r>
          <w:r>
            <w:rPr>
              <w:highlight w:val="none"/>
            </w:rPr>
            <w:fldChar w:fldCharType="separate"/>
          </w:r>
          <w:r>
            <w:rPr>
              <w:highlight w:val="none"/>
            </w:rPr>
            <w:t>27</w:t>
          </w:r>
          <w:r>
            <w:rPr>
              <w:highlight w:val="none"/>
            </w:rPr>
            <w:fldChar w:fldCharType="end"/>
          </w:r>
          <w:r>
            <w:rPr>
              <w:rFonts w:hint="eastAsia"/>
              <w:szCs w:val="28"/>
              <w:highlight w:val="none"/>
              <w:lang w:val="en-US" w:eastAsia="zh-CN"/>
            </w:rPr>
            <w:fldChar w:fldCharType="end"/>
          </w:r>
        </w:p>
        <w:p w14:paraId="1E847F20">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_Toc6622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五、主要经验及做法、存在的问题及原因分析</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_Toc6622 \h </w:instrText>
          </w:r>
          <w:r>
            <w:rPr>
              <w:rFonts w:hint="eastAsia" w:ascii="黑体" w:hAnsi="黑体" w:eastAsia="黑体" w:cs="黑体"/>
              <w:highlight w:val="none"/>
            </w:rPr>
            <w:fldChar w:fldCharType="separate"/>
          </w:r>
          <w:r>
            <w:rPr>
              <w:rFonts w:hint="eastAsia" w:ascii="黑体" w:hAnsi="黑体" w:eastAsia="黑体" w:cs="黑体"/>
              <w:highlight w:val="none"/>
            </w:rPr>
            <w:t>27</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7F56B39E">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_Toc15449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（一）主要经验及做法</w:t>
          </w:r>
          <w:r>
            <w:rPr>
              <w:highlight w:val="none"/>
            </w:rPr>
            <w:tab/>
          </w:r>
          <w:r>
            <w:rPr>
              <w:highlight w:val="none"/>
            </w:rPr>
            <w:fldChar w:fldCharType="begin"/>
          </w:r>
          <w:r>
            <w:rPr>
              <w:highlight w:val="none"/>
            </w:rPr>
            <w:instrText xml:space="preserve"> PAGEREF _Toc15449 \h </w:instrText>
          </w:r>
          <w:r>
            <w:rPr>
              <w:highlight w:val="none"/>
            </w:rPr>
            <w:fldChar w:fldCharType="separate"/>
          </w:r>
          <w:r>
            <w:rPr>
              <w:highlight w:val="none"/>
            </w:rPr>
            <w:t>27</w:t>
          </w:r>
          <w:r>
            <w:rPr>
              <w:highlight w:val="none"/>
            </w:rPr>
            <w:fldChar w:fldCharType="end"/>
          </w:r>
          <w:r>
            <w:rPr>
              <w:rFonts w:hint="eastAsia"/>
              <w:szCs w:val="28"/>
              <w:highlight w:val="none"/>
              <w:lang w:val="en-US" w:eastAsia="zh-CN"/>
            </w:rPr>
            <w:fldChar w:fldCharType="end"/>
          </w:r>
        </w:p>
        <w:p w14:paraId="1991B234">
          <w:pPr>
            <w:pStyle w:val="10"/>
            <w:tabs>
              <w:tab w:val="right" w:leader="dot" w:pos="8844"/>
            </w:tabs>
            <w:rPr>
              <w:highlight w:val="none"/>
            </w:rPr>
          </w:pPr>
          <w:r>
            <w:rPr>
              <w:rFonts w:hint="eastAsia"/>
              <w:szCs w:val="28"/>
              <w:highlight w:val="none"/>
              <w:lang w:val="en-US" w:eastAsia="zh-CN"/>
            </w:rPr>
            <w:fldChar w:fldCharType="begin"/>
          </w:r>
          <w:r>
            <w:rPr>
              <w:rFonts w:hint="eastAsia"/>
              <w:szCs w:val="28"/>
              <w:highlight w:val="none"/>
              <w:lang w:val="en-US" w:eastAsia="zh-CN"/>
            </w:rPr>
            <w:instrText xml:space="preserve"> HYPERLINK \l _Toc29168 </w:instrText>
          </w:r>
          <w:r>
            <w:rPr>
              <w:rFonts w:hint="eastAsia"/>
              <w:szCs w:val="28"/>
              <w:highlight w:val="none"/>
              <w:lang w:val="en-US" w:eastAsia="zh-CN"/>
            </w:rPr>
            <w:fldChar w:fldCharType="separate"/>
          </w:r>
          <w:r>
            <w:rPr>
              <w:rFonts w:hint="eastAsia" w:ascii="Times New Roman" w:hAnsi="Times New Roman" w:eastAsia="楷体_GB2312" w:cs="Times New Roman"/>
              <w:bCs/>
              <w:kern w:val="28"/>
              <w:highlight w:val="none"/>
              <w:lang w:val="en-US" w:eastAsia="zh-CN"/>
            </w:rPr>
            <w:t>（二）存在的问题及原因分析</w:t>
          </w:r>
          <w:r>
            <w:rPr>
              <w:highlight w:val="none"/>
            </w:rPr>
            <w:tab/>
          </w:r>
          <w:r>
            <w:rPr>
              <w:highlight w:val="none"/>
            </w:rPr>
            <w:fldChar w:fldCharType="begin"/>
          </w:r>
          <w:r>
            <w:rPr>
              <w:highlight w:val="none"/>
            </w:rPr>
            <w:instrText xml:space="preserve"> PAGEREF _Toc29168 \h </w:instrText>
          </w:r>
          <w:r>
            <w:rPr>
              <w:highlight w:val="none"/>
            </w:rPr>
            <w:fldChar w:fldCharType="separate"/>
          </w:r>
          <w:r>
            <w:rPr>
              <w:highlight w:val="none"/>
            </w:rPr>
            <w:t>28</w:t>
          </w:r>
          <w:r>
            <w:rPr>
              <w:highlight w:val="none"/>
            </w:rPr>
            <w:fldChar w:fldCharType="end"/>
          </w:r>
          <w:r>
            <w:rPr>
              <w:rFonts w:hint="eastAsia"/>
              <w:szCs w:val="28"/>
              <w:highlight w:val="none"/>
              <w:lang w:val="en-US" w:eastAsia="zh-CN"/>
            </w:rPr>
            <w:fldChar w:fldCharType="end"/>
          </w:r>
        </w:p>
        <w:p w14:paraId="740F1495">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_Toc3333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六、有关建议</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_Toc3333 \h </w:instrText>
          </w:r>
          <w:r>
            <w:rPr>
              <w:rFonts w:hint="eastAsia" w:ascii="黑体" w:hAnsi="黑体" w:eastAsia="黑体" w:cs="黑体"/>
              <w:highlight w:val="none"/>
            </w:rPr>
            <w:fldChar w:fldCharType="separate"/>
          </w:r>
          <w:r>
            <w:rPr>
              <w:rFonts w:hint="eastAsia" w:ascii="黑体" w:hAnsi="黑体" w:eastAsia="黑体" w:cs="黑体"/>
              <w:highlight w:val="none"/>
            </w:rPr>
            <w:t>28</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2DBAE4F1">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_Toc14256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val="0"/>
              <w:highlight w:val="none"/>
              <w:shd w:val="clear" w:color="auto" w:fill="auto"/>
              <w:lang w:val="en-US" w:eastAsia="zh-CN"/>
            </w:rPr>
            <w:t>七、其他需要说明的问题</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_Toc14256 \h </w:instrText>
          </w:r>
          <w:r>
            <w:rPr>
              <w:rFonts w:hint="eastAsia" w:ascii="黑体" w:hAnsi="黑体" w:eastAsia="黑体" w:cs="黑体"/>
              <w:highlight w:val="none"/>
            </w:rPr>
            <w:fldChar w:fldCharType="separate"/>
          </w:r>
          <w:r>
            <w:rPr>
              <w:rFonts w:hint="eastAsia" w:ascii="黑体" w:hAnsi="黑体" w:eastAsia="黑体" w:cs="黑体"/>
              <w:highlight w:val="none"/>
            </w:rPr>
            <w:t>29</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57FE964F">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_Toc28971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lang w:val="en-US" w:eastAsia="zh-CN"/>
            </w:rPr>
            <w:t>附件一、项目支出绩效自评表</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_Toc28971 \h </w:instrText>
          </w:r>
          <w:r>
            <w:rPr>
              <w:rFonts w:hint="eastAsia" w:ascii="黑体" w:hAnsi="黑体" w:eastAsia="黑体" w:cs="黑体"/>
              <w:highlight w:val="none"/>
            </w:rPr>
            <w:fldChar w:fldCharType="separate"/>
          </w:r>
          <w:r>
            <w:rPr>
              <w:rFonts w:hint="eastAsia" w:ascii="黑体" w:hAnsi="黑体" w:eastAsia="黑体" w:cs="黑体"/>
              <w:highlight w:val="none"/>
            </w:rPr>
            <w:t>30</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792CC8F2">
          <w:pPr>
            <w:pStyle w:val="10"/>
            <w:tabs>
              <w:tab w:val="right" w:leader="dot" w:pos="8844"/>
            </w:tabs>
            <w:rPr>
              <w:rFonts w:hint="eastAsia" w:ascii="黑体" w:hAnsi="黑体" w:eastAsia="黑体" w:cs="黑体"/>
              <w:highlight w:val="none"/>
            </w:rPr>
          </w:pPr>
          <w:r>
            <w:rPr>
              <w:rFonts w:hint="eastAsia" w:ascii="黑体" w:hAnsi="黑体" w:eastAsia="黑体" w:cs="黑体"/>
              <w:szCs w:val="28"/>
              <w:highlight w:val="none"/>
              <w:lang w:val="en-US" w:eastAsia="zh-CN"/>
            </w:rPr>
            <w:fldChar w:fldCharType="begin"/>
          </w:r>
          <w:r>
            <w:rPr>
              <w:rFonts w:hint="eastAsia" w:ascii="黑体" w:hAnsi="黑体" w:eastAsia="黑体" w:cs="黑体"/>
              <w:szCs w:val="28"/>
              <w:highlight w:val="none"/>
              <w:lang w:val="en-US" w:eastAsia="zh-CN"/>
            </w:rPr>
            <w:instrText xml:space="preserve"> HYPERLINK \l _Toc11223 </w:instrText>
          </w:r>
          <w:r>
            <w:rPr>
              <w:rFonts w:hint="eastAsia" w:ascii="黑体" w:hAnsi="黑体" w:eastAsia="黑体" w:cs="黑体"/>
              <w:szCs w:val="28"/>
              <w:highlight w:val="none"/>
              <w:lang w:val="en-US" w:eastAsia="zh-CN"/>
            </w:rPr>
            <w:fldChar w:fldCharType="separate"/>
          </w:r>
          <w:r>
            <w:rPr>
              <w:rFonts w:hint="eastAsia" w:ascii="黑体" w:hAnsi="黑体" w:eastAsia="黑体" w:cs="黑体"/>
              <w:bCs/>
              <w:highlight w:val="none"/>
              <w:shd w:val="clear" w:color="auto" w:fill="auto"/>
              <w:lang w:val="en-US" w:eastAsia="zh-CN"/>
            </w:rPr>
            <w:t>附件二、项目支出绩效评价指标体系打分表</w:t>
          </w:r>
          <w:r>
            <w:rPr>
              <w:rFonts w:hint="eastAsia" w:ascii="黑体" w:hAnsi="黑体" w:eastAsia="黑体" w:cs="黑体"/>
              <w:highlight w:val="none"/>
            </w:rPr>
            <w:tab/>
          </w:r>
          <w:r>
            <w:rPr>
              <w:rFonts w:hint="eastAsia" w:ascii="黑体" w:hAnsi="黑体" w:eastAsia="黑体" w:cs="黑体"/>
              <w:highlight w:val="none"/>
            </w:rPr>
            <w:fldChar w:fldCharType="begin"/>
          </w:r>
          <w:r>
            <w:rPr>
              <w:rFonts w:hint="eastAsia" w:ascii="黑体" w:hAnsi="黑体" w:eastAsia="黑体" w:cs="黑体"/>
              <w:highlight w:val="none"/>
            </w:rPr>
            <w:instrText xml:space="preserve"> PAGEREF _Toc11223 \h </w:instrText>
          </w:r>
          <w:r>
            <w:rPr>
              <w:rFonts w:hint="eastAsia" w:ascii="黑体" w:hAnsi="黑体" w:eastAsia="黑体" w:cs="黑体"/>
              <w:highlight w:val="none"/>
            </w:rPr>
            <w:fldChar w:fldCharType="separate"/>
          </w:r>
          <w:r>
            <w:rPr>
              <w:rFonts w:hint="eastAsia" w:ascii="黑体" w:hAnsi="黑体" w:eastAsia="黑体" w:cs="黑体"/>
              <w:highlight w:val="none"/>
            </w:rPr>
            <w:t>32</w:t>
          </w:r>
          <w:r>
            <w:rPr>
              <w:rFonts w:hint="eastAsia" w:ascii="黑体" w:hAnsi="黑体" w:eastAsia="黑体" w:cs="黑体"/>
              <w:highlight w:val="none"/>
            </w:rPr>
            <w:fldChar w:fldCharType="end"/>
          </w:r>
          <w:r>
            <w:rPr>
              <w:rFonts w:hint="eastAsia" w:ascii="黑体" w:hAnsi="黑体" w:eastAsia="黑体" w:cs="黑体"/>
              <w:szCs w:val="28"/>
              <w:highlight w:val="none"/>
              <w:lang w:val="en-US" w:eastAsia="zh-CN"/>
            </w:rPr>
            <w:fldChar w:fldCharType="end"/>
          </w:r>
        </w:p>
        <w:p w14:paraId="61914C9A">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highlight w:val="none"/>
              <w:lang w:val="en-US" w:eastAsia="zh-CN"/>
            </w:rPr>
            <w:sectPr>
              <w:pgSz w:w="11906" w:h="16838"/>
              <w:pgMar w:top="1928" w:right="1531" w:bottom="1701" w:left="1531" w:header="737" w:footer="851" w:gutter="0"/>
              <w:cols w:space="720" w:num="1"/>
              <w:docGrid w:type="lines" w:linePitch="408" w:charSpace="0"/>
            </w:sectPr>
          </w:pPr>
          <w:r>
            <w:rPr>
              <w:rFonts w:hint="eastAsia"/>
              <w:szCs w:val="28"/>
              <w:highlight w:val="none"/>
              <w:lang w:val="en-US" w:eastAsia="zh-CN"/>
            </w:rPr>
            <w:fldChar w:fldCharType="end"/>
          </w:r>
        </w:p>
      </w:sdtContent>
    </w:sdt>
    <w:p w14:paraId="7E69E18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bookmarkStart w:id="4" w:name="_Toc22946"/>
      <w:bookmarkStart w:id="5" w:name="_Toc1194"/>
      <w:bookmarkStart w:id="6" w:name="_Toc20432"/>
      <w:bookmarkStart w:id="7" w:name="_Toc3663"/>
      <w:r>
        <w:rPr>
          <w:rFonts w:hint="eastAsia" w:cs="宋体"/>
          <w:b/>
          <w:bCs/>
          <w:color w:val="auto"/>
          <w:sz w:val="36"/>
          <w:szCs w:val="36"/>
          <w:highlight w:val="none"/>
          <w:shd w:val="clear" w:color="auto" w:fill="auto"/>
          <w:lang w:val="en-US" w:eastAsia="zh-CN"/>
        </w:rPr>
        <w:t>昌州财教【2023】91号（保民生）提前下达2024年学生资助补助经费（中央直达资金）中职、技校免学费、中职、技校助学金</w:t>
      </w:r>
      <w:r>
        <w:rPr>
          <w:rFonts w:hint="eastAsia" w:ascii="宋体" w:hAnsi="宋体" w:eastAsia="宋体"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4"/>
      <w:bookmarkEnd w:id="5"/>
      <w:bookmarkEnd w:id="6"/>
      <w:bookmarkEnd w:id="7"/>
    </w:p>
    <w:p w14:paraId="6F6F00AD">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8" w:name="_Toc18485"/>
      <w:r>
        <w:rPr>
          <w:rFonts w:hint="eastAsia" w:ascii="黑体" w:hAnsi="黑体" w:eastAsia="黑体" w:cs="黑体"/>
          <w:b w:val="0"/>
          <w:bCs w:val="0"/>
          <w:color w:val="000000" w:themeColor="text1"/>
          <w:highlight w:val="none"/>
          <w:shd w:val="clear" w:color="auto" w:fill="auto"/>
          <w14:textFill>
            <w14:solidFill>
              <w14:schemeClr w14:val="tx1"/>
            </w14:solidFill>
          </w14:textFill>
        </w:rPr>
        <w:t>一、基本情况</w:t>
      </w:r>
      <w:bookmarkEnd w:id="8"/>
    </w:p>
    <w:p w14:paraId="57D21E5B">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9" w:name="_Toc23184"/>
      <w:r>
        <w:rPr>
          <w:rFonts w:hint="eastAsia" w:ascii="Times New Roman" w:hAnsi="Times New Roman" w:eastAsia="楷体_GB2312" w:cs="Times New Roman"/>
          <w:kern w:val="28"/>
          <w:sz w:val="32"/>
          <w:highlight w:val="none"/>
          <w:lang w:val="en-US" w:eastAsia="zh-CN"/>
        </w:rPr>
        <w:t>（一）项目概况</w:t>
      </w:r>
      <w:bookmarkEnd w:id="9"/>
    </w:p>
    <w:p w14:paraId="686935F8">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pPr>
      <w:bookmarkStart w:id="10" w:name="_Toc5043"/>
      <w:bookmarkStart w:id="11" w:name="_Toc22346"/>
      <w:bookmarkStart w:id="12" w:name="_Toc29812"/>
      <w:bookmarkStart w:id="13" w:name="_Toc10645"/>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项目背景</w:t>
      </w:r>
      <w:bookmarkEnd w:id="10"/>
      <w:bookmarkEnd w:id="11"/>
      <w:bookmarkEnd w:id="12"/>
      <w:bookmarkEnd w:id="13"/>
    </w:p>
    <w:p w14:paraId="37434636">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政策响应与文件依据：为贯彻落实党的二十大精神，加快建设教育强国、科技强国、人才强国，强化现代化建设人才支撑，教育部、财政部等多部门依据《中华人民共和国职业教育法》，相继出台一系列政策文件，如《关于进一步完善中等职业教育学生资助政策的通知》，明确提出要加大对中职、技校家庭经济困难学生的资助力度，优化资助结构，确保资助精准高效。同时，《学生资助资金管理办法》对中职、技校助学金的资助范围、标准、发放方式及监督管理等作出详细规定，为项目实施提供了明确的政策指引与操作规范。</w:t>
      </w:r>
    </w:p>
    <w:p w14:paraId="3EF55BF8">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（2）现实需求</w:t>
      </w:r>
      <w:r>
        <w:rPr>
          <w:rFonts w:hint="eastAsia" w:ascii="仿宋_GB2312" w:hAnsi="仿宋_GB2312" w:eastAsia="仿宋_GB2312" w:cs="仿宋_GB2312"/>
          <w:sz w:val="32"/>
          <w:szCs w:val="32"/>
          <w:highlight w:val="none"/>
          <w:lang w:val="en-US" w:eastAsia="zh-CN"/>
        </w:rPr>
        <w:t>及</w:t>
      </w:r>
      <w:r>
        <w:rPr>
          <w:rFonts w:hint="eastAsia" w:ascii="仿宋_GB2312" w:hAnsi="仿宋_GB2312" w:eastAsia="仿宋_GB2312" w:cs="仿宋_GB2312"/>
          <w:sz w:val="32"/>
          <w:szCs w:val="32"/>
          <w:highlight w:val="none"/>
        </w:rPr>
        <w:t>问题导向：当前对高素质技能型人才的需求持续增长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然而，部分家庭经济困难学生因经济负担，在接受中职、技校教育时面临诸多阻碍。中职、技校学生因家庭经济原因存在辍学风险，其中偏远农村地区和城市低收入家庭学生占比较高。这些学生无法顺利完成学业，不仅影响个人职业发展，也不利于技能人才队伍的壮大与产业结构的优化升级。此外，随着职业教育改革的深入推进，提升中职、技校教育质量，吸引更多学生投身职业教育，迫切需要完善的资助体系作为保障。</w:t>
      </w:r>
    </w:p>
    <w:p w14:paraId="0B5764F0">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3）项目目的与必要性：本项目旨在通过精准资助，消除家庭经济因素对中职、技校学生就学的制约，确保每一位有意愿接受职业教育的学生都能获得公平的教育机会。从社会层面看，助学金项目有助于提升劳动者素质，缓解技能人才短缺问题，为经济高质量发展提供人力支持；从教育层面讲，能够促进职业教育公平，提高职业教育的吸引力和社会认可度，推动职业教育健康可持续发展；从个人层面出发，帮助家庭经济困难学生掌握一技之长，实现就业创业，摆脱贫困，改变个人和家庭命运。</w:t>
      </w:r>
    </w:p>
    <w:p w14:paraId="4F5AE66B">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rPr>
      </w:pPr>
      <w:bookmarkStart w:id="14" w:name="_Toc27343"/>
      <w:bookmarkStart w:id="15" w:name="_Toc1630"/>
      <w:bookmarkStart w:id="16" w:name="_Toc17880"/>
      <w:bookmarkStart w:id="17" w:name="_Toc10730"/>
      <w:r>
        <w:rPr>
          <w:rFonts w:hint="eastAsia" w:ascii="仿宋_GB2312" w:hAnsi="仿宋_GB2312" w:eastAsia="仿宋_GB2312" w:cs="仿宋_GB2312"/>
          <w:color w:val="auto"/>
          <w:sz w:val="32"/>
          <w:szCs w:val="32"/>
          <w:highlight w:val="none"/>
          <w:shd w:val="clear" w:color="auto" w:fill="auto"/>
          <w:lang w:val="en-US" w:eastAsia="zh-CN"/>
        </w:rPr>
        <w:t>2.</w:t>
      </w:r>
      <w:r>
        <w:rPr>
          <w:rFonts w:hint="eastAsia" w:ascii="仿宋_GB2312" w:hAnsi="仿宋_GB2312" w:eastAsia="仿宋_GB2312" w:cs="仿宋_GB2312"/>
          <w:color w:val="auto"/>
          <w:sz w:val="32"/>
          <w:szCs w:val="32"/>
          <w:highlight w:val="none"/>
          <w:shd w:val="clear" w:color="auto" w:fill="auto"/>
        </w:rPr>
        <w:t>主要内容及实施情况</w:t>
      </w:r>
      <w:bookmarkEnd w:id="14"/>
      <w:bookmarkEnd w:id="15"/>
      <w:bookmarkEnd w:id="16"/>
      <w:bookmarkEnd w:id="17"/>
    </w:p>
    <w:p w14:paraId="69D307F4">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kern w:val="2"/>
          <w:sz w:val="32"/>
          <w:szCs w:val="32"/>
          <w:highlight w:val="none"/>
          <w:lang w:val="en-US" w:eastAsia="zh-CN" w:bidi="ar-SA"/>
        </w:rPr>
      </w:pPr>
      <w:bookmarkStart w:id="18" w:name="_Toc21898"/>
      <w:bookmarkStart w:id="19" w:name="_Toc27409"/>
      <w:bookmarkStart w:id="20" w:name="_Toc16592"/>
      <w:bookmarkStart w:id="21" w:name="_Toc27245"/>
      <w:r>
        <w:rPr>
          <w:rFonts w:hint="eastAsia" w:ascii="仿宋_GB2312" w:hAnsi="仿宋_GB2312" w:eastAsia="仿宋_GB2312" w:cs="仿宋_GB2312"/>
          <w:color w:val="auto"/>
          <w:sz w:val="32"/>
          <w:szCs w:val="32"/>
          <w:highlight w:val="none"/>
          <w:shd w:val="clear" w:color="auto" w:fill="auto"/>
          <w:lang w:val="en-US" w:eastAsia="zh-CN"/>
        </w:rPr>
        <w:t>项目主要内容：</w:t>
      </w:r>
      <w:bookmarkEnd w:id="18"/>
      <w:bookmarkEnd w:id="19"/>
      <w:bookmarkEnd w:id="20"/>
      <w:bookmarkEnd w:id="21"/>
      <w:r>
        <w:rPr>
          <w:rFonts w:hint="eastAsia" w:ascii="仿宋_GB2312" w:hAnsi="仿宋_GB2312" w:eastAsia="仿宋_GB2312" w:cs="仿宋_GB2312"/>
          <w:b w:val="0"/>
          <w:bCs w:val="0"/>
          <w:kern w:val="2"/>
          <w:sz w:val="32"/>
          <w:szCs w:val="32"/>
          <w:highlight w:val="none"/>
          <w:lang w:val="en-US" w:eastAsia="zh-CN" w:bidi="ar-SA"/>
        </w:rPr>
        <w:t>截至2024年12月31日，本项目完成中职、技校免学费发放人数</w:t>
      </w:r>
      <w:r>
        <w:rPr>
          <w:rFonts w:hint="eastAsia" w:cs="仿宋_GB2312"/>
          <w:b w:val="0"/>
          <w:bCs w:val="0"/>
          <w:kern w:val="2"/>
          <w:sz w:val="32"/>
          <w:szCs w:val="32"/>
          <w:highlight w:val="none"/>
          <w:lang w:val="en-US" w:eastAsia="zh-CN" w:bidi="ar-SA"/>
        </w:rPr>
        <w:t>1701</w:t>
      </w:r>
      <w:r>
        <w:rPr>
          <w:rFonts w:hint="eastAsia" w:ascii="仿宋_GB2312" w:hAnsi="仿宋_GB2312" w:eastAsia="仿宋_GB2312" w:cs="仿宋_GB2312"/>
          <w:b w:val="0"/>
          <w:bCs w:val="0"/>
          <w:kern w:val="2"/>
          <w:sz w:val="32"/>
          <w:szCs w:val="32"/>
          <w:highlight w:val="none"/>
          <w:lang w:val="en-US" w:eastAsia="zh-CN" w:bidi="ar-SA"/>
        </w:rPr>
        <w:t>人，助学金发放人数</w:t>
      </w:r>
      <w:r>
        <w:rPr>
          <w:rFonts w:hint="eastAsia" w:cs="仿宋_GB2312"/>
          <w:b w:val="0"/>
          <w:bCs w:val="0"/>
          <w:kern w:val="2"/>
          <w:sz w:val="32"/>
          <w:szCs w:val="32"/>
          <w:highlight w:val="none"/>
          <w:lang w:val="en-US" w:eastAsia="zh-CN" w:bidi="ar-SA"/>
        </w:rPr>
        <w:t>612</w:t>
      </w:r>
      <w:r>
        <w:rPr>
          <w:rFonts w:hint="eastAsia" w:ascii="仿宋_GB2312" w:hAnsi="仿宋_GB2312" w:eastAsia="仿宋_GB2312" w:cs="仿宋_GB2312"/>
          <w:b w:val="0"/>
          <w:bCs w:val="0"/>
          <w:kern w:val="2"/>
          <w:sz w:val="32"/>
          <w:szCs w:val="32"/>
          <w:highlight w:val="none"/>
          <w:lang w:val="en-US" w:eastAsia="zh-CN" w:bidi="ar-SA"/>
        </w:rPr>
        <w:t>人，家庭经济困难学生享受政策比例达到100%，及时发放率达到100%，每人每年发放助学金2000元。项目的实施达到了有效减轻家庭困难学生经济压力，改善贫困生生活质量的社会效益，师生满意度达到95%。</w:t>
      </w:r>
    </w:p>
    <w:p w14:paraId="6413681A">
      <w:pPr>
        <w:pageBreakBefore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项目实施情况：</w:t>
      </w:r>
      <w:r>
        <w:rPr>
          <w:rFonts w:hint="eastAsia" w:ascii="仿宋_GB2312" w:hAnsi="仿宋_GB2312" w:eastAsia="仿宋_GB2312" w:cs="仿宋_GB2312"/>
          <w:sz w:val="32"/>
          <w:szCs w:val="32"/>
          <w:highlight w:val="none"/>
          <w:lang w:val="en-US" w:eastAsia="zh-CN"/>
        </w:rPr>
        <w:t>本项目自2024年4月27日经昌吉州教育局资助管理中心审核，经学校资助评审会议，确定了项目资助对象，明确了国家助学金资助资金及分档情况，项目监管领导：钟振红，资助项目负责人：李微丽，资金发放负责人：张佳瑜。本项目于2024年2月—3月进行政策宣传，项目申报，校内审核工作，2024年4月上、中旬完成项目提交，上级部门审核，预计4月下旬—5月上旬完成资金发放工作。</w:t>
      </w:r>
    </w:p>
    <w:p w14:paraId="6DB630F1">
      <w:pPr>
        <w:pStyle w:val="5"/>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22" w:name="_Toc10240"/>
      <w:bookmarkStart w:id="23" w:name="_Toc569"/>
      <w:bookmarkStart w:id="24" w:name="_Toc1858"/>
      <w:bookmarkStart w:id="25" w:name="_Toc12348"/>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3.资金投入和使用情况</w:t>
      </w:r>
      <w:bookmarkEnd w:id="22"/>
      <w:bookmarkEnd w:id="23"/>
      <w:bookmarkEnd w:id="24"/>
      <w:bookmarkEnd w:id="25"/>
    </w:p>
    <w:p w14:paraId="1943662D">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26" w:name="_Toc23509"/>
      <w:bookmarkStart w:id="27" w:name="_Toc694"/>
      <w:bookmarkStart w:id="28" w:name="_Toc26369"/>
      <w:r>
        <w:rPr>
          <w:rFonts w:hint="eastAsia" w:ascii="仿宋_GB2312" w:hAnsi="仿宋_GB2312" w:eastAsia="仿宋_GB2312" w:cs="仿宋_GB2312"/>
          <w:sz w:val="32"/>
          <w:szCs w:val="32"/>
          <w:highlight w:val="none"/>
          <w:lang w:val="en-US" w:eastAsia="zh-CN"/>
        </w:rPr>
        <w:t>（1）资金投入情况</w:t>
      </w:r>
      <w:bookmarkEnd w:id="26"/>
      <w:bookmarkEnd w:id="27"/>
      <w:bookmarkEnd w:id="28"/>
    </w:p>
    <w:p w14:paraId="074B76C4">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29" w:name="_Toc29190"/>
      <w:bookmarkStart w:id="30" w:name="_Toc9464"/>
      <w:bookmarkStart w:id="31" w:name="_Toc5573"/>
      <w:r>
        <w:rPr>
          <w:rFonts w:hint="eastAsia" w:ascii="仿宋_GB2312" w:hAnsi="仿宋_GB2312" w:eastAsia="仿宋_GB2312" w:cs="仿宋_GB2312"/>
          <w:sz w:val="32"/>
          <w:szCs w:val="32"/>
          <w:highlight w:val="none"/>
          <w:lang w:val="en-US" w:eastAsia="zh-CN"/>
        </w:rPr>
        <w:t>该项目年初预算数462.73万元，全年预算数462.00万元，该项目资金已全部落实到位，资金来源为</w:t>
      </w:r>
      <w:r>
        <w:rPr>
          <w:rFonts w:hint="eastAsia" w:ascii="仿宋_GB2312" w:hAnsi="仿宋_GB2312" w:eastAsia="仿宋_GB2312" w:cs="仿宋_GB2312"/>
          <w:color w:val="auto"/>
          <w:sz w:val="32"/>
          <w:szCs w:val="32"/>
          <w:highlight w:val="none"/>
          <w:lang w:val="en-US" w:eastAsia="zh-CN"/>
        </w:rPr>
        <w:t>财政拨款。</w:t>
      </w:r>
      <w:bookmarkEnd w:id="29"/>
      <w:bookmarkEnd w:id="30"/>
      <w:bookmarkEnd w:id="31"/>
      <w:bookmarkStart w:id="32" w:name="_Toc1166"/>
      <w:bookmarkStart w:id="33" w:name="_Toc28187"/>
      <w:bookmarkStart w:id="34" w:name="_Toc3409"/>
    </w:p>
    <w:p w14:paraId="0493974A">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bookmarkEnd w:id="32"/>
      <w:bookmarkEnd w:id="33"/>
      <w:bookmarkEnd w:id="34"/>
    </w:p>
    <w:p w14:paraId="0457426D">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35" w:name="_Toc11647"/>
      <w:bookmarkStart w:id="36" w:name="_Toc1430"/>
      <w:bookmarkStart w:id="37" w:name="_Toc29121"/>
      <w:r>
        <w:rPr>
          <w:rFonts w:hint="eastAsia" w:ascii="仿宋_GB2312" w:hAnsi="仿宋_GB2312" w:eastAsia="仿宋_GB2312" w:cs="仿宋_GB2312"/>
          <w:sz w:val="32"/>
          <w:szCs w:val="32"/>
          <w:highlight w:val="none"/>
          <w:lang w:val="en-US" w:eastAsia="zh-CN"/>
        </w:rPr>
        <w:t>该项目年初预算数462.73万元，全年预算数462.00万元，</w:t>
      </w:r>
      <w:r>
        <w:rPr>
          <w:rFonts w:hint="eastAsia" w:ascii="仿宋_GB2312" w:hAnsi="仿宋_GB2312" w:eastAsia="仿宋_GB2312" w:cs="仿宋_GB2312"/>
          <w:color w:val="auto"/>
          <w:sz w:val="32"/>
          <w:szCs w:val="32"/>
          <w:highlight w:val="none"/>
          <w:shd w:val="clear" w:color="auto" w:fill="auto"/>
          <w:lang w:val="en-US" w:eastAsia="zh-CN"/>
        </w:rPr>
        <w:t>截至2024年12月31日，</w:t>
      </w:r>
      <w:r>
        <w:rPr>
          <w:rFonts w:hint="eastAsia" w:ascii="仿宋_GB2312" w:hAnsi="仿宋_GB2312" w:eastAsia="仿宋_GB2312" w:cs="仿宋_GB2312"/>
          <w:sz w:val="32"/>
          <w:szCs w:val="32"/>
          <w:highlight w:val="none"/>
          <w:lang w:val="en-US" w:eastAsia="zh-CN"/>
        </w:rPr>
        <w:t>全年执行数423.81万元，预算执行率为91.73%，主要用于：减免全日制学历教育正式学籍在校生学费、给经济困难学生发放助学金等。</w:t>
      </w:r>
      <w:bookmarkEnd w:id="35"/>
      <w:bookmarkEnd w:id="36"/>
      <w:bookmarkEnd w:id="37"/>
    </w:p>
    <w:p w14:paraId="2DCACF36">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38" w:name="_Toc9109"/>
      <w:r>
        <w:rPr>
          <w:rFonts w:hint="eastAsia" w:ascii="Times New Roman" w:hAnsi="Times New Roman" w:eastAsia="楷体_GB2312" w:cs="Times New Roman"/>
          <w:kern w:val="28"/>
          <w:sz w:val="32"/>
          <w:highlight w:val="none"/>
          <w:lang w:val="en-US" w:eastAsia="zh-CN"/>
        </w:rPr>
        <w:t>（二）项目绩效目标</w:t>
      </w:r>
      <w:bookmarkEnd w:id="38"/>
    </w:p>
    <w:p w14:paraId="799BBCD3">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39" w:name="_Toc14758"/>
      <w:bookmarkStart w:id="40" w:name="_Toc8528"/>
      <w:bookmarkStart w:id="41" w:name="_Toc2547"/>
      <w:bookmarkStart w:id="42" w:name="_Toc10047"/>
      <w:r>
        <w:rPr>
          <w:rFonts w:hint="eastAsia" w:ascii="仿宋_GB2312" w:hAnsi="仿宋_GB2312" w:eastAsia="仿宋_GB2312" w:cs="仿宋_GB2312"/>
          <w:color w:val="auto"/>
          <w:sz w:val="32"/>
          <w:szCs w:val="32"/>
          <w:highlight w:val="none"/>
          <w:shd w:val="clear" w:color="auto" w:fill="auto"/>
          <w:lang w:val="en-US" w:eastAsia="zh-CN"/>
        </w:rPr>
        <w:t>1.总体目标</w:t>
      </w:r>
      <w:bookmarkEnd w:id="39"/>
      <w:bookmarkEnd w:id="40"/>
      <w:bookmarkEnd w:id="41"/>
      <w:bookmarkEnd w:id="42"/>
    </w:p>
    <w:p w14:paraId="6B8735D0">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FF0000"/>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昌州财教【2023】91号（保民生）提前下达2024年学生资助补助经费（中央直达资金）中职、技校免学费、中职、技校助学金项目绩效总体目标为：全面落实《阜康市教育高质量发展三年行动计划(2023-2025)》，使学校在教育教学、师资队伍建设、教育科研、社会服务等方面能力明显提升。2024年计划完成免学费享受人次1701人，助学金享受人数612人，资金足额到位率100%，及时发放率预计达到100%。助学金以每人每年2000元标准进行发放，脱贫家庭等经济困难学生享受免学费政策比率达到100%，免学费以每人每年2000元标准进行学费免除，全日制学历教育正式学籍在校生覆盖率预计达到100%。每年完成助学金发放2次。通过项目实施，将有效落实好中职资助政策，达到有效减轻家庭经济困难学生生活压力，有效改善贫困生生活质量,为家长减轻负担的效益。</w:t>
      </w:r>
    </w:p>
    <w:p w14:paraId="37B75223">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43" w:name="_Toc4007"/>
      <w:bookmarkStart w:id="44" w:name="_Toc8990"/>
      <w:bookmarkStart w:id="45" w:name="_Toc3255"/>
      <w:bookmarkStart w:id="46" w:name="_Toc4487"/>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2.阶段性目标</w:t>
      </w:r>
      <w:bookmarkEnd w:id="43"/>
      <w:bookmarkEnd w:id="44"/>
      <w:bookmarkEnd w:id="45"/>
      <w:bookmarkEnd w:id="46"/>
    </w:p>
    <w:p w14:paraId="6472F4B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根据《预算法》《财政支出绩效评价管理暂行办法》（财预〔20</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20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等文件</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后</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绩效目标如下：</w:t>
      </w:r>
    </w:p>
    <w:p w14:paraId="7C0DB6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项目产出</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目标</w:t>
      </w:r>
    </w:p>
    <w:p w14:paraId="09399C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①数量指标</w:t>
      </w:r>
    </w:p>
    <w:p w14:paraId="071F693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中职、技校国家免学费</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指标，预期目标值为≧1701人；</w:t>
      </w:r>
    </w:p>
    <w:p w14:paraId="1D517C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中职、技校国家助学金</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指标，预期目标值为≧612人；</w:t>
      </w:r>
    </w:p>
    <w:p w14:paraId="72A85A5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②质量指标</w:t>
      </w:r>
    </w:p>
    <w:p w14:paraId="0DA910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家庭经济困难学生享受免学费政策比例</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w:t>
      </w:r>
    </w:p>
    <w:p w14:paraId="25B568D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③时效指标</w:t>
      </w:r>
    </w:p>
    <w:p w14:paraId="11E54BC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及时发放率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w:t>
      </w:r>
    </w:p>
    <w:p w14:paraId="406155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（2）成本指标</w:t>
      </w:r>
    </w:p>
    <w:p w14:paraId="0ED89BF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职业教育学生平均标准</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指标，预期目标值为=2000元/人/学年；</w:t>
      </w:r>
    </w:p>
    <w:p w14:paraId="19C85988">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eastAsia="zh-CN"/>
        </w:rPr>
      </w:pP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3</w:t>
      </w:r>
      <w:r>
        <w:rPr>
          <w:rFonts w:hint="eastAsia" w:ascii="仿宋_GB2312" w:hAnsi="仿宋_GB2312" w:eastAsia="仿宋_GB2312" w:cs="仿宋_GB2312"/>
          <w:color w:val="auto"/>
          <w:sz w:val="32"/>
          <w:szCs w:val="32"/>
          <w:highlight w:val="none"/>
          <w:shd w:val="clear" w:color="auto" w:fill="auto"/>
        </w:rPr>
        <w:t>）项目效益</w:t>
      </w:r>
      <w:r>
        <w:rPr>
          <w:rFonts w:hint="eastAsia" w:ascii="仿宋_GB2312" w:hAnsi="仿宋_GB2312" w:eastAsia="仿宋_GB2312" w:cs="仿宋_GB2312"/>
          <w:color w:val="auto"/>
          <w:sz w:val="32"/>
          <w:szCs w:val="32"/>
          <w:highlight w:val="none"/>
          <w:shd w:val="clear" w:color="auto" w:fill="auto"/>
          <w:lang w:val="en-US" w:eastAsia="zh-CN"/>
        </w:rPr>
        <w:t>目标</w:t>
      </w:r>
    </w:p>
    <w:p w14:paraId="4BF678F7">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①社会效益指标</w:t>
      </w:r>
    </w:p>
    <w:p w14:paraId="1262EB14">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减轻家庭困难学生经济压力</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指标，预期目标值为减轻；</w:t>
      </w:r>
    </w:p>
    <w:p w14:paraId="271B1F40">
      <w:pPr>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贫困生生活质量</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指标，预期目标值为改善；</w:t>
      </w:r>
    </w:p>
    <w:p w14:paraId="0664C781">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（4）满意度指标</w:t>
      </w:r>
    </w:p>
    <w:p w14:paraId="61D423F2">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师生满意度</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指标，预期目标值为≥95%。</w:t>
      </w:r>
    </w:p>
    <w:p w14:paraId="123E4843">
      <w:pPr>
        <w:pStyle w:val="3"/>
        <w:pageBreakBefore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47" w:name="_Toc26567"/>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47"/>
    </w:p>
    <w:p w14:paraId="2CC9CEB1">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48" w:name="_Toc21664"/>
      <w:bookmarkStart w:id="49" w:name="_Toc5258"/>
      <w:bookmarkStart w:id="50" w:name="_Toc5462343"/>
      <w:bookmarkStart w:id="51" w:name="_Toc480473081"/>
      <w:bookmarkStart w:id="52" w:name="_Toc22169_WPSOffice_Level2"/>
      <w:bookmarkStart w:id="53" w:name="_Toc22922"/>
      <w:bookmarkStart w:id="54" w:name="_Toc26632"/>
      <w:bookmarkStart w:id="55" w:name="_Toc12868"/>
      <w:bookmarkStart w:id="56" w:name="_Toc22839"/>
      <w:r>
        <w:rPr>
          <w:rFonts w:hint="eastAsia" w:ascii="Times New Roman" w:hAnsi="Times New Roman" w:eastAsia="楷体_GB2312" w:cs="Times New Roman"/>
          <w:kern w:val="28"/>
          <w:sz w:val="32"/>
          <w:highlight w:val="none"/>
          <w:lang w:val="en-US" w:eastAsia="zh-CN"/>
        </w:rPr>
        <w:t>（一）绩效评价的目的</w:t>
      </w:r>
      <w:bookmarkEnd w:id="48"/>
      <w:bookmarkEnd w:id="49"/>
      <w:bookmarkEnd w:id="50"/>
      <w:bookmarkEnd w:id="51"/>
      <w:bookmarkEnd w:id="52"/>
      <w:bookmarkEnd w:id="53"/>
      <w:bookmarkEnd w:id="54"/>
      <w:bookmarkEnd w:id="55"/>
      <w:r>
        <w:rPr>
          <w:rFonts w:hint="eastAsia" w:ascii="Times New Roman" w:hAnsi="Times New Roman" w:eastAsia="楷体_GB2312" w:cs="Times New Roman"/>
          <w:kern w:val="28"/>
          <w:sz w:val="32"/>
          <w:highlight w:val="none"/>
          <w:lang w:val="en-US" w:eastAsia="zh-CN"/>
        </w:rPr>
        <w:t>、对象和范围</w:t>
      </w:r>
      <w:bookmarkEnd w:id="56"/>
    </w:p>
    <w:p w14:paraId="5F8BEEC9">
      <w:pPr>
        <w:pStyle w:val="14"/>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kern w:val="2"/>
          <w:sz w:val="32"/>
          <w:szCs w:val="32"/>
          <w:highlight w:val="none"/>
          <w:lang w:val="en-US" w:eastAsia="zh-CN" w:bidi="ar-SA"/>
        </w:rPr>
      </w:pPr>
      <w:bookmarkStart w:id="57" w:name="_Toc15732"/>
      <w:r>
        <w:rPr>
          <w:rFonts w:hint="default" w:ascii="Times New Roman" w:hAnsi="Times New Roman" w:eastAsia="仿宋_GB2312" w:cs="Times New Roman"/>
          <w:b/>
          <w:bCs/>
          <w:kern w:val="2"/>
          <w:sz w:val="32"/>
          <w:szCs w:val="32"/>
          <w:highlight w:val="none"/>
          <w:lang w:val="en-US" w:eastAsia="zh-CN" w:bidi="ar-SA"/>
        </w:rPr>
        <w:t>1.绩效评价完整性</w:t>
      </w:r>
    </w:p>
    <w:p w14:paraId="4E57CD83">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效益（根据项目实际情况选填）等多个维度，力求全方位反映项目的绩效状况。同时，对于每个指标的评价标准和数据来源均进行了明确说明，确保评价结果的客观性和可追溯性。</w:t>
      </w:r>
    </w:p>
    <w:p w14:paraId="6E47BAB8">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7800A579">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58" w:name="_Toc417"/>
      <w:bookmarkStart w:id="59" w:name="_Toc21770"/>
      <w:r>
        <w:rPr>
          <w:rFonts w:hint="eastAsia" w:cs="仿宋_GB2312"/>
          <w:color w:val="000000" w:themeColor="text1"/>
          <w:sz w:val="32"/>
          <w:szCs w:val="32"/>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绩效评价的目的</w:t>
      </w:r>
      <w:bookmarkEnd w:id="57"/>
      <w:bookmarkEnd w:id="58"/>
      <w:bookmarkEnd w:id="59"/>
    </w:p>
    <w:p w14:paraId="3E225F32">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为全面了解</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该</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项目预算编制合理性、资金使用合规性、项目管理的规范性、</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目标的实现情况、服务对象的满意度等，通过本次</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bookmarkStart w:id="60" w:name="_Toc30609"/>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w:t>
      </w:r>
      <w:r>
        <w:rPr>
          <w:rFonts w:hint="default" w:ascii="Times New Roman" w:hAnsi="Times New Roman" w:eastAsia="仿宋_GB2312" w:cs="Times New Roman"/>
          <w:sz w:val="32"/>
          <w:szCs w:val="32"/>
          <w:highlight w:val="none"/>
          <w:lang w:val="en-US" w:eastAsia="zh-CN"/>
        </w:rPr>
        <w:t>（根据项目实际情况选填）</w:t>
      </w:r>
      <w:r>
        <w:rPr>
          <w:rFonts w:hint="default" w:ascii="Times New Roman" w:hAnsi="Times New Roman" w:eastAsia="仿宋_GB2312" w:cs="Times New Roman"/>
          <w:sz w:val="32"/>
          <w:szCs w:val="32"/>
          <w:highlight w:val="none"/>
        </w:rPr>
        <w:t>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472B7E2">
      <w:pPr>
        <w:pStyle w:val="5"/>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61" w:name="_Toc31970"/>
      <w:bookmarkStart w:id="62" w:name="_Toc16346"/>
      <w:r>
        <w:rPr>
          <w:rFonts w:hint="eastAsia"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.绩效评价的对象</w:t>
      </w:r>
      <w:bookmarkEnd w:id="60"/>
      <w:bookmarkEnd w:id="61"/>
      <w:bookmarkEnd w:id="62"/>
    </w:p>
    <w:p w14:paraId="08712F7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此次我单位根据</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《财政支出绩效评价管理暂行办法》（</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财</w:t>
      </w:r>
      <w:r>
        <w:rPr>
          <w:rFonts w:hint="eastAsia" w:ascii="仿宋_GB2312" w:hAnsi="仿宋_GB2312" w:eastAsia="仿宋_GB2312" w:cs="仿宋_GB2312"/>
          <w:color w:val="auto"/>
          <w:sz w:val="32"/>
          <w:szCs w:val="32"/>
          <w:highlight w:val="none"/>
          <w:shd w:val="clear" w:color="auto" w:fill="auto"/>
          <w:lang w:eastAsia="zh-CN"/>
        </w:rPr>
        <w:t>预〔2020〕10号</w:t>
      </w:r>
      <w:r>
        <w:rPr>
          <w:rFonts w:hint="eastAsia" w:ascii="仿宋_GB2312" w:hAnsi="仿宋_GB2312" w:eastAsia="仿宋_GB2312" w:cs="仿宋_GB2312"/>
          <w:color w:val="auto"/>
          <w:sz w:val="32"/>
          <w:szCs w:val="32"/>
          <w:highlight w:val="none"/>
          <w:shd w:val="clear" w:color="auto" w:fill="auto"/>
        </w:rPr>
        <w:t>）</w:t>
      </w:r>
      <w:r>
        <w:rPr>
          <w:rFonts w:hint="eastAsia" w:ascii="仿宋_GB2312" w:hAnsi="仿宋_GB2312" w:eastAsia="仿宋_GB2312" w:cs="仿宋_GB2312"/>
          <w:color w:val="auto"/>
          <w:sz w:val="32"/>
          <w:szCs w:val="32"/>
          <w:highlight w:val="none"/>
          <w:shd w:val="clear" w:color="auto" w:fill="auto"/>
          <w:lang w:val="en-US" w:eastAsia="zh-CN"/>
        </w:rPr>
        <w:t>文件要求对2024年度我单位实施的昌州财教【2023】91号（保民生）提前下达2024年学生资助补助经费（中央直达资金）中职、技校免学费、中职、技校助学金项目</w:t>
      </w:r>
      <w:r>
        <w:rPr>
          <w:rFonts w:hint="default" w:ascii="仿宋_GB2312" w:hAnsi="仿宋_GB2312" w:eastAsia="仿宋_GB2312" w:cs="仿宋_GB2312"/>
          <w:color w:val="auto"/>
          <w:sz w:val="32"/>
          <w:szCs w:val="32"/>
          <w:highlight w:val="none"/>
          <w:shd w:val="clear" w:color="auto" w:fill="auto"/>
        </w:rPr>
        <w:t>及其预算执行情况</w:t>
      </w:r>
      <w:r>
        <w:rPr>
          <w:rFonts w:hint="eastAsia" w:ascii="仿宋_GB2312" w:hAnsi="仿宋_GB2312" w:eastAsia="仿宋_GB2312" w:cs="仿宋_GB2312"/>
          <w:color w:val="auto"/>
          <w:sz w:val="32"/>
          <w:szCs w:val="32"/>
          <w:highlight w:val="none"/>
          <w:shd w:val="clear" w:color="auto" w:fill="auto"/>
          <w:lang w:val="en-US" w:eastAsia="zh-CN"/>
        </w:rPr>
        <w:t>开展部门绩效评价。</w:t>
      </w:r>
    </w:p>
    <w:p w14:paraId="5BFFCC0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pP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该项目由</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阜康市职业中等专业学校单位</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负责实施，旨在</w:t>
      </w:r>
      <w:r>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全面落实《阜康市教育高质量发展三年行动计划(2023-2025)》，使学校在教育教学、师资队伍建设、教育科研、社会服务等方面能力明显提升。2024年计划完成免学费享受人次1701人，助学金享受人数612人，资金足额到位率100%，及时发放率预计达到100%。助学金以每人每年2000元标准进行发放，脱贫家庭等经济困难学生享受免学费政策比率达到100%，免学费以每人每年2000元标准进行学费免除，全日制学历教育正式学籍在校生覆盖率预计达到100%。每年完成助学金发放2次。通过项目实施，将有效落实好中职资助政策，达到有效减轻家庭经济困难学生生活压力，有效改善贫困生生活质量,为家长减轻负担的效益。</w:t>
      </w:r>
    </w:p>
    <w:p w14:paraId="3B0954D7">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pP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项目预算涵盖从</w:t>
      </w:r>
      <w:r>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2024</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年1月29日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至</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2024年12月31日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的全部资金投入与支出，涉及资金总额为</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462</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万元。</w:t>
      </w:r>
    </w:p>
    <w:p w14:paraId="4A012542">
      <w:pPr>
        <w:pStyle w:val="5"/>
        <w:pageBreakBefore w:val="0"/>
        <w:kinsoku/>
        <w:wordWrap/>
        <w:overflowPunct/>
        <w:topLinePunct w:val="0"/>
        <w:autoSpaceDE/>
        <w:autoSpaceDN/>
        <w:bidi w:val="0"/>
        <w:adjustRightInd/>
        <w:spacing w:line="560" w:lineRule="exact"/>
        <w:textAlignment w:val="auto"/>
        <w:rPr>
          <w:rFonts w:hint="default" w:cs="仿宋_GB2312"/>
          <w:color w:val="000000" w:themeColor="text1"/>
          <w:sz w:val="32"/>
          <w:szCs w:val="32"/>
          <w:highlight w:val="none"/>
          <w:shd w:val="clear" w:color="auto" w:fill="auto"/>
          <w:lang w:val="en-US" w:eastAsia="zh-CN"/>
          <w14:textFill>
            <w14:solidFill>
              <w14:schemeClr w14:val="tx1"/>
            </w14:solidFill>
          </w14:textFill>
        </w:rPr>
      </w:pPr>
      <w:bookmarkStart w:id="63" w:name="_Toc21311"/>
      <w:bookmarkStart w:id="64" w:name="_Toc11666"/>
      <w:r>
        <w:rPr>
          <w:rFonts w:hint="default" w:cs="仿宋_GB2312"/>
          <w:color w:val="000000" w:themeColor="text1"/>
          <w:sz w:val="32"/>
          <w:szCs w:val="32"/>
          <w:highlight w:val="none"/>
          <w:shd w:val="clear" w:color="auto" w:fill="auto"/>
          <w:lang w:val="en-US" w:eastAsia="zh-CN"/>
          <w14:textFill>
            <w14:solidFill>
              <w14:schemeClr w14:val="tx1"/>
            </w14:solidFill>
          </w14:textFill>
        </w:rPr>
        <w:t>4.绩效评价的范围</w:t>
      </w:r>
      <w:bookmarkEnd w:id="63"/>
      <w:bookmarkEnd w:id="64"/>
    </w:p>
    <w:p w14:paraId="3F83EA6E">
      <w:pPr>
        <w:pStyle w:val="1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项目预算编制与执行：全面审视项目预算的编制依据、合理性、科学性以及实际执行情况，包括预算调整的原因和效果。</w:t>
      </w:r>
    </w:p>
    <w:p w14:paraId="267E8AEF">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资金管理：深入分析项目资金的分配、使用和监管情况，确保资金使用的合规性、高效性和透明度。</w:t>
      </w:r>
    </w:p>
    <w:p w14:paraId="19E01CD2">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项目实施进度与产出：评估项目是否按照既定计划顺利推进，各项任务是否按时完成，以及项目产出的数量、质量和时效性是否符合预期。</w:t>
      </w:r>
    </w:p>
    <w:p w14:paraId="1E59BB39">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lang w:eastAsia="zh-CN"/>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社会影响：考察项目对社会方面的综合影响。</w:t>
      </w:r>
    </w:p>
    <w:p w14:paraId="01C5BF3E">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65" w:name="_Toc1286"/>
      <w:bookmarkStart w:id="66" w:name="_Toc29785"/>
      <w:r>
        <w:rPr>
          <w:rFonts w:hint="eastAsia" w:ascii="Times New Roman" w:hAnsi="Times New Roman" w:eastAsia="楷体_GB2312" w:cs="Times New Roman"/>
          <w:kern w:val="28"/>
          <w:sz w:val="32"/>
          <w:highlight w:val="none"/>
          <w:lang w:val="en-US" w:eastAsia="zh-CN"/>
        </w:rPr>
        <w:t>（二）绩效评价原则、评价指标体系（</w:t>
      </w:r>
      <w:r>
        <w:rPr>
          <w:rFonts w:hint="default" w:ascii="Times New Roman" w:hAnsi="Times New Roman" w:eastAsia="楷体_GB2312" w:cs="Times New Roman"/>
          <w:kern w:val="28"/>
          <w:sz w:val="32"/>
          <w:highlight w:val="none"/>
          <w:lang w:val="en-US" w:eastAsia="zh-CN"/>
        </w:rPr>
        <w:t>详情见</w:t>
      </w:r>
      <w:r>
        <w:rPr>
          <w:rFonts w:hint="eastAsia" w:ascii="Times New Roman" w:hAnsi="Times New Roman" w:eastAsia="楷体_GB2312" w:cs="Times New Roman"/>
          <w:kern w:val="28"/>
          <w:sz w:val="32"/>
          <w:highlight w:val="none"/>
          <w:lang w:val="en-US" w:eastAsia="zh-CN"/>
        </w:rPr>
        <w:t>附件二）、评价方法、评价标准</w:t>
      </w:r>
      <w:bookmarkEnd w:id="65"/>
      <w:bookmarkEnd w:id="66"/>
    </w:p>
    <w:p w14:paraId="6DBEF5B2">
      <w:pPr>
        <w:pStyle w:val="5"/>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color w:val="000000"/>
          <w:kern w:val="2"/>
          <w:sz w:val="32"/>
          <w:szCs w:val="32"/>
          <w:highlight w:val="none"/>
          <w:lang w:val="en-US" w:eastAsia="zh-CN" w:bidi="ar-SA"/>
        </w:rPr>
      </w:pPr>
      <w:bookmarkStart w:id="67" w:name="_Toc5354"/>
      <w:bookmarkStart w:id="68" w:name="_Toc24506"/>
      <w:bookmarkStart w:id="69" w:name="_Toc13694"/>
      <w:r>
        <w:rPr>
          <w:rFonts w:hint="eastAsia" w:ascii="Times New Roman" w:hAnsi="Times New Roman" w:eastAsia="仿宋_GB2312" w:cs="Times New Roman"/>
          <w:b/>
          <w:bCs/>
          <w:color w:val="000000"/>
          <w:kern w:val="2"/>
          <w:sz w:val="32"/>
          <w:szCs w:val="32"/>
          <w:highlight w:val="none"/>
          <w:lang w:val="en-US" w:eastAsia="zh-CN" w:bidi="ar-SA"/>
        </w:rPr>
        <w:t>1.绩效评价原则</w:t>
      </w:r>
      <w:bookmarkEnd w:id="67"/>
      <w:bookmarkEnd w:id="68"/>
      <w:bookmarkEnd w:id="69"/>
    </w:p>
    <w:p w14:paraId="15623C5B">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依据《财政支出绩效评价管理暂行办法》（财预〔20</w:t>
      </w:r>
      <w:r>
        <w:rPr>
          <w:rFonts w:hint="eastAsia" w:ascii="Times New Roman" w:hAnsi="Times New Roman" w:eastAsia="仿宋_GB2312" w:cs="Times New Roman"/>
          <w:color w:val="000000"/>
          <w:sz w:val="32"/>
          <w:szCs w:val="32"/>
          <w:highlight w:val="none"/>
          <w:lang w:val="en-US" w:eastAsia="zh-CN"/>
        </w:rPr>
        <w:t>20</w:t>
      </w: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10</w:t>
      </w:r>
      <w:r>
        <w:rPr>
          <w:rFonts w:hint="eastAsia" w:ascii="Times New Roman" w:hAnsi="Times New Roman" w:eastAsia="仿宋_GB2312" w:cs="Times New Roman"/>
          <w:color w:val="000000"/>
          <w:sz w:val="32"/>
          <w:szCs w:val="32"/>
          <w:highlight w:val="none"/>
          <w:lang w:eastAsia="zh-CN"/>
        </w:rPr>
        <w:t>号）本次绩效评价秉承科学规范、公正公开、分级分类、绩效相关等原则，按照从投入、过程到产出效果和影响的绩效逻辑路径</w:t>
      </w:r>
      <w:r>
        <w:rPr>
          <w:rFonts w:hint="eastAsia" w:ascii="Times New Roman" w:hAnsi="Times New Roman" w:eastAsia="仿宋_GB2312" w:cs="Times New Roman"/>
          <w:color w:val="auto"/>
          <w:sz w:val="32"/>
          <w:szCs w:val="32"/>
          <w:highlight w:val="none"/>
          <w:lang w:eastAsia="zh-CN"/>
        </w:rPr>
        <w:t>，结合</w:t>
      </w:r>
      <w:r>
        <w:rPr>
          <w:rFonts w:hint="eastAsia" w:ascii="Times New Roman" w:hAnsi="Times New Roman" w:eastAsia="仿宋_GB2312" w:cs="Times New Roman"/>
          <w:color w:val="auto"/>
          <w:sz w:val="32"/>
          <w:szCs w:val="32"/>
          <w:highlight w:val="none"/>
          <w:lang w:val="en-US" w:eastAsia="zh-CN"/>
        </w:rPr>
        <w:t>昌州财教【2023】91号（保民生）提前下达2024年学生资助补助经费（中央直达资金）中职、技校免学费、中职、技校助学金</w:t>
      </w:r>
      <w:r>
        <w:rPr>
          <w:rFonts w:hint="eastAsia" w:ascii="Times New Roman" w:hAnsi="Times New Roman" w:eastAsia="仿宋_GB2312" w:cs="Times New Roman"/>
          <w:color w:val="auto"/>
          <w:sz w:val="32"/>
          <w:szCs w:val="32"/>
          <w:highlight w:val="none"/>
          <w:lang w:eastAsia="zh-CN"/>
        </w:rPr>
        <w:t>项目实际开</w:t>
      </w:r>
      <w:r>
        <w:rPr>
          <w:rFonts w:hint="eastAsia" w:ascii="Times New Roman" w:hAnsi="Times New Roman" w:eastAsia="仿宋_GB2312" w:cs="Times New Roman"/>
          <w:color w:val="000000"/>
          <w:sz w:val="32"/>
          <w:szCs w:val="32"/>
          <w:highlight w:val="none"/>
          <w:lang w:eastAsia="zh-CN"/>
        </w:rPr>
        <w:t>展情况，运用定量和定性分析相结合的方法，总结经验做法，反思项目实施和管理中的问题，以切实提升财政资金管理的科学化、规范化和精细化水平。</w:t>
      </w:r>
    </w:p>
    <w:p w14:paraId="7860D5DF">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根据以上原则，绩效评价应遵循如下要求：</w:t>
      </w:r>
    </w:p>
    <w:p w14:paraId="5280BE66">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1</w:t>
      </w:r>
      <w:r>
        <w:rPr>
          <w:rFonts w:hint="eastAsia" w:ascii="Times New Roman" w:hAnsi="Times New Roman" w:eastAsia="仿宋_GB2312" w:cs="Times New Roman"/>
          <w:color w:val="000000"/>
          <w:sz w:val="32"/>
          <w:szCs w:val="32"/>
          <w:highlight w:val="none"/>
          <w:lang w:eastAsia="zh-CN"/>
        </w:rPr>
        <w:t>）科学公正。绩效评价应当运用科学合理的方法，按照规范的程序，对项目绩效进行客观、公正的反映。</w:t>
      </w:r>
    </w:p>
    <w:p w14:paraId="48CD034E">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2</w:t>
      </w:r>
      <w:r>
        <w:rPr>
          <w:rFonts w:hint="eastAsia" w:ascii="Times New Roman" w:hAnsi="Times New Roman" w:eastAsia="仿宋_GB2312" w:cs="Times New Roman"/>
          <w:color w:val="000000"/>
          <w:sz w:val="32"/>
          <w:szCs w:val="32"/>
          <w:highlight w:val="none"/>
          <w:lang w:eastAsia="zh-CN"/>
        </w:rPr>
        <w:t>）统筹兼顾。单位自评、部门评价和财政评价应职责明确，各有侧重，相互衔接。单位自评应由项目单位自主实施，即“谁支出、谁自评”。</w:t>
      </w:r>
    </w:p>
    <w:p w14:paraId="50F6CF1A">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3</w:t>
      </w:r>
      <w:r>
        <w:rPr>
          <w:rFonts w:hint="eastAsia" w:ascii="Times New Roman" w:hAnsi="Times New Roman" w:eastAsia="仿宋_GB2312" w:cs="Times New Roman"/>
          <w:color w:val="000000"/>
          <w:sz w:val="32"/>
          <w:szCs w:val="32"/>
          <w:highlight w:val="none"/>
          <w:lang w:eastAsia="zh-CN"/>
        </w:rPr>
        <w:t>）激励约束。绩效评价结果应与预算安排、政策调整、改进管理实质性挂钩，体现奖优罚劣和激励相容导向，有效要安排、低效要压减、无效要问责。</w:t>
      </w:r>
    </w:p>
    <w:p w14:paraId="273EE924">
      <w:pPr>
        <w:spacing w:line="560" w:lineRule="exact"/>
        <w:ind w:firstLine="640" w:firstLineChars="200"/>
        <w:rPr>
          <w:rFonts w:hint="eastAsia" w:ascii="Times New Roman" w:hAnsi="Times New Roman" w:eastAsia="仿宋_GB2312" w:cs="Times New Roman"/>
          <w:color w:val="000000"/>
          <w:sz w:val="32"/>
          <w:szCs w:val="32"/>
          <w:highlight w:val="none"/>
          <w:lang w:eastAsia="zh-CN"/>
        </w:rPr>
      </w:pPr>
      <w:r>
        <w:rPr>
          <w:rFonts w:hint="eastAsia" w:ascii="Times New Roman" w:hAnsi="Times New Roman" w:eastAsia="仿宋_GB2312" w:cs="Times New Roman"/>
          <w:color w:val="000000"/>
          <w:sz w:val="32"/>
          <w:szCs w:val="32"/>
          <w:highlight w:val="none"/>
          <w:lang w:eastAsia="zh-CN"/>
        </w:rPr>
        <w:t>（</w:t>
      </w:r>
      <w:r>
        <w:rPr>
          <w:rFonts w:hint="eastAsia" w:ascii="Times New Roman" w:hAnsi="Times New Roman" w:eastAsia="仿宋_GB2312" w:cs="Times New Roman"/>
          <w:color w:val="000000"/>
          <w:sz w:val="32"/>
          <w:szCs w:val="32"/>
          <w:highlight w:val="none"/>
          <w:lang w:val="en-US" w:eastAsia="zh-CN"/>
        </w:rPr>
        <w:t>4</w:t>
      </w:r>
      <w:r>
        <w:rPr>
          <w:rFonts w:hint="eastAsia" w:ascii="Times New Roman" w:hAnsi="Times New Roman" w:eastAsia="仿宋_GB2312" w:cs="Times New Roman"/>
          <w:color w:val="000000"/>
          <w:sz w:val="32"/>
          <w:szCs w:val="32"/>
          <w:highlight w:val="none"/>
          <w:lang w:eastAsia="zh-CN"/>
        </w:rPr>
        <w:t>）公开透明。绩效评价结果应依法依规公开，并自觉接受社会监督。</w:t>
      </w:r>
    </w:p>
    <w:p w14:paraId="317F1C9A">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sz w:val="32"/>
          <w:szCs w:val="32"/>
          <w:highlight w:val="none"/>
          <w:lang w:eastAsia="zh-CN"/>
        </w:rPr>
      </w:pPr>
      <w:bookmarkStart w:id="70" w:name="_Toc26131"/>
      <w:bookmarkStart w:id="71" w:name="_Toc24396"/>
      <w:bookmarkStart w:id="72" w:name="_Toc419984722"/>
      <w:bookmarkStart w:id="73" w:name="_Toc1913"/>
      <w:bookmarkStart w:id="74" w:name="_Toc428278230"/>
      <w:r>
        <w:rPr>
          <w:rFonts w:hint="eastAsia" w:ascii="仿宋_GB2312" w:hAnsi="仿宋_GB2312" w:eastAsia="仿宋_GB2312" w:cs="仿宋_GB2312"/>
          <w:b/>
          <w:bCs/>
          <w:color w:val="000000"/>
          <w:sz w:val="32"/>
          <w:szCs w:val="32"/>
          <w:highlight w:val="none"/>
          <w:lang w:val="en-US" w:eastAsia="zh-CN"/>
        </w:rPr>
        <w:t>2.</w:t>
      </w:r>
      <w:r>
        <w:rPr>
          <w:rFonts w:hint="eastAsia" w:ascii="仿宋_GB2312" w:hAnsi="仿宋_GB2312" w:eastAsia="仿宋_GB2312" w:cs="仿宋_GB2312"/>
          <w:b/>
          <w:bCs/>
          <w:color w:val="000000"/>
          <w:sz w:val="32"/>
          <w:szCs w:val="32"/>
          <w:highlight w:val="none"/>
          <w:lang w:eastAsia="zh-CN"/>
        </w:rPr>
        <w:t>绩效评价指标体系</w:t>
      </w:r>
      <w:bookmarkEnd w:id="70"/>
      <w:bookmarkEnd w:id="71"/>
      <w:bookmarkEnd w:id="72"/>
      <w:bookmarkEnd w:id="73"/>
      <w:bookmarkEnd w:id="74"/>
    </w:p>
    <w:p w14:paraId="3AE91BB1">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bookmarkStart w:id="75" w:name="_Toc9941"/>
      <w:r>
        <w:rPr>
          <w:rFonts w:hint="eastAsia" w:ascii="仿宋_GB2312" w:hAnsi="仿宋_GB2312" w:eastAsia="仿宋_GB2312" w:cs="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1D02F596">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（1）确定评价指标</w:t>
      </w:r>
    </w:p>
    <w:p w14:paraId="3EC09052">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4ADEEF27">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（2）确定权重</w:t>
      </w:r>
    </w:p>
    <w:p w14:paraId="74E07D02">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FF0000"/>
          <w:spacing w:val="17"/>
          <w:sz w:val="32"/>
          <w:szCs w:val="32"/>
          <w:highlight w:val="none"/>
          <w:lang w:eastAsia="zh-CN"/>
        </w:rPr>
      </w:pPr>
      <w:r>
        <w:rPr>
          <w:rFonts w:hint="eastAsia" w:ascii="仿宋_GB2312" w:hAnsi="仿宋_GB2312" w:eastAsia="仿宋_GB2312" w:cs="仿宋_GB2312"/>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6FA1C4A1">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（3）确定指标标准值</w:t>
      </w:r>
    </w:p>
    <w:p w14:paraId="7CBC3BBF">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23FDC03B">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绩效评价总分值100分，根据综合评分结果，90（含）-100分为优、80（含）-90分为良、60（含）-80分为中、60分以下为差。</w:t>
      </w:r>
    </w:p>
    <w:p w14:paraId="530AE8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highlight w:val="none"/>
          <w:lang w:val="en-US" w:eastAsia="zh-CN"/>
        </w:rPr>
      </w:pPr>
      <w:r>
        <w:rPr>
          <w:rFonts w:hint="eastAsia" w:ascii="仿宋_GB2312" w:hAnsi="仿宋_GB2312" w:eastAsia="仿宋_GB2312" w:cs="仿宋_GB2312"/>
          <w:color w:val="000000"/>
          <w:sz w:val="32"/>
          <w:szCs w:val="32"/>
          <w:highlight w:val="none"/>
          <w:lang w:val="en-US" w:eastAsia="zh-CN"/>
        </w:rPr>
        <w:t>我单位</w:t>
      </w:r>
      <w:r>
        <w:rPr>
          <w:rFonts w:hint="eastAsia" w:ascii="仿宋_GB2312" w:hAnsi="仿宋_GB2312" w:eastAsia="仿宋_GB2312" w:cs="仿宋_GB2312"/>
          <w:color w:val="000000"/>
          <w:sz w:val="32"/>
          <w:szCs w:val="32"/>
          <w:highlight w:val="none"/>
          <w:lang w:val="zh-TW" w:eastAsia="zh-TW"/>
        </w:rPr>
        <w:t>根据项目的</w:t>
      </w:r>
      <w:r>
        <w:rPr>
          <w:rFonts w:hint="eastAsia" w:ascii="仿宋_GB2312" w:hAnsi="仿宋_GB2312" w:eastAsia="仿宋_GB2312" w:cs="仿宋_GB2312"/>
          <w:color w:val="000000"/>
          <w:sz w:val="32"/>
          <w:szCs w:val="32"/>
          <w:highlight w:val="none"/>
          <w:lang w:val="en-US" w:eastAsia="zh-CN"/>
        </w:rPr>
        <w:t>实施</w:t>
      </w:r>
      <w:r>
        <w:rPr>
          <w:rFonts w:hint="eastAsia" w:ascii="仿宋_GB2312" w:hAnsi="仿宋_GB2312" w:eastAsia="仿宋_GB2312" w:cs="仿宋_GB2312"/>
          <w:color w:val="000000"/>
          <w:sz w:val="32"/>
          <w:szCs w:val="32"/>
          <w:highlight w:val="none"/>
          <w:lang w:val="zh-TW" w:eastAsia="zh-TW"/>
        </w:rPr>
        <w:t>资料研读及前期调研，结合项目的实际开展情况，最终形成了项目绩效评价指标体系</w:t>
      </w:r>
      <w:r>
        <w:rPr>
          <w:rFonts w:hint="eastAsia" w:ascii="仿宋_GB2312" w:hAnsi="仿宋_GB2312" w:eastAsia="仿宋_GB2312" w:cs="仿宋_GB2312"/>
          <w:color w:val="000000"/>
          <w:sz w:val="32"/>
          <w:szCs w:val="32"/>
          <w:highlight w:val="none"/>
          <w:lang w:val="zh-TW" w:eastAsia="zh-CN"/>
        </w:rPr>
        <w:t>，</w:t>
      </w:r>
      <w:r>
        <w:rPr>
          <w:rFonts w:hint="eastAsia" w:ascii="仿宋_GB2312" w:hAnsi="仿宋_GB2312" w:eastAsia="仿宋_GB2312" w:cs="仿宋_GB2312"/>
          <w:color w:val="000000"/>
          <w:sz w:val="32"/>
          <w:szCs w:val="32"/>
          <w:highlight w:val="none"/>
          <w:lang w:val="en-US" w:eastAsia="zh-CN"/>
        </w:rPr>
        <w:t>详见上传的附件二。</w:t>
      </w:r>
    </w:p>
    <w:p w14:paraId="2FEBA0E2">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76" w:name="_Toc5690"/>
      <w:bookmarkStart w:id="77" w:name="_Toc30114"/>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评价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方法</w:t>
      </w:r>
      <w:bookmarkEnd w:id="75"/>
      <w:bookmarkEnd w:id="76"/>
      <w:bookmarkEnd w:id="77"/>
    </w:p>
    <w:p w14:paraId="4EF86CD3">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highlight w:val="none"/>
        </w:rPr>
      </w:pPr>
      <w:bookmarkStart w:id="78" w:name="_Toc25391"/>
      <w:r>
        <w:rPr>
          <w:rFonts w:hint="eastAsia" w:ascii="仿宋_GB2312" w:hAnsi="仿宋_GB2312" w:eastAsia="仿宋_GB2312" w:cs="仿宋_GB2312"/>
          <w:color w:val="000000"/>
          <w:spacing w:val="17"/>
          <w:sz w:val="32"/>
          <w:szCs w:val="32"/>
          <w:highlight w:val="none"/>
        </w:rPr>
        <w:t>绩效评价从项目决策、项目过程、项目产出、项目效益四个维度进行评价。评价对象为项目目标实施情况</w:t>
      </w:r>
      <w:r>
        <w:rPr>
          <w:rFonts w:hint="eastAsia" w:ascii="仿宋_GB2312" w:hAnsi="仿宋_GB2312" w:eastAsia="仿宋_GB2312" w:cs="仿宋_GB2312"/>
          <w:color w:val="000000"/>
          <w:spacing w:val="17"/>
          <w:sz w:val="32"/>
          <w:szCs w:val="32"/>
          <w:highlight w:val="none"/>
          <w:lang w:eastAsia="zh-CN"/>
        </w:rPr>
        <w:t>，</w:t>
      </w:r>
      <w:r>
        <w:rPr>
          <w:rFonts w:hint="eastAsia" w:ascii="仿宋_GB2312" w:hAnsi="仿宋_GB2312" w:eastAsia="仿宋_GB2312" w:cs="仿宋_GB2312"/>
          <w:color w:val="000000"/>
          <w:spacing w:val="17"/>
          <w:sz w:val="32"/>
          <w:szCs w:val="32"/>
          <w:highlight w:val="none"/>
        </w:rPr>
        <w:t>评价核心为资金的支出完成情况和项目的产出效益。</w:t>
      </w:r>
    </w:p>
    <w:p w14:paraId="044ECC2B">
      <w:pPr>
        <w:pStyle w:val="6"/>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spacing w:val="17"/>
          <w:sz w:val="32"/>
          <w:szCs w:val="32"/>
          <w:highlight w:val="none"/>
        </w:rPr>
        <w:t>本次评价指标中，既有定性指标又有定量指标，各类指标因考核内容不同和客观标准不同存在较大差异，</w:t>
      </w:r>
      <w:r>
        <w:rPr>
          <w:rFonts w:hint="eastAsia" w:ascii="仿宋_GB2312" w:hAnsi="仿宋_GB2312" w:eastAsia="仿宋_GB2312" w:cs="仿宋_GB2312"/>
          <w:color w:val="auto"/>
          <w:spacing w:val="17"/>
          <w:sz w:val="32"/>
          <w:szCs w:val="32"/>
          <w:highlight w:val="none"/>
        </w:rPr>
        <w:t>因此核定具体指标时采用了不同方法，具体评价方法如下：</w:t>
      </w:r>
    </w:p>
    <w:p w14:paraId="192B2D6E">
      <w:pPr>
        <w:spacing w:line="560" w:lineRule="exact"/>
        <w:ind w:firstLine="708" w:firstLineChars="200"/>
        <w:rPr>
          <w:rFonts w:hint="eastAsia"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1</w:t>
      </w:r>
      <w:r>
        <w:rPr>
          <w:rFonts w:hint="default" w:ascii="Times New Roman" w:hAnsi="Times New Roman" w:eastAsia="仿宋_GB2312" w:cs="Times New Roman"/>
          <w:color w:val="auto"/>
          <w:spacing w:val="17"/>
          <w:sz w:val="32"/>
          <w:szCs w:val="32"/>
          <w:highlight w:val="none"/>
        </w:rPr>
        <w:t>）成本效益分析法。是指将投入与产出、效益进行关联性分析的方法。</w:t>
      </w:r>
    </w:p>
    <w:p w14:paraId="4440403D">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2</w:t>
      </w:r>
      <w:r>
        <w:rPr>
          <w:rFonts w:hint="default" w:ascii="Times New Roman" w:hAnsi="Times New Roman" w:eastAsia="仿宋_GB2312" w:cs="Times New Roman"/>
          <w:color w:val="auto"/>
          <w:spacing w:val="17"/>
          <w:sz w:val="32"/>
          <w:szCs w:val="32"/>
          <w:highlight w:val="none"/>
        </w:rPr>
        <w:t>）比较法。是指将实施情况与绩效目标、历史情况、不同部门和地区同类支出情况进行比较的方法。</w:t>
      </w:r>
    </w:p>
    <w:p w14:paraId="70DCCE3A">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ascii="Times New Roman" w:hAnsi="Times New Roman" w:eastAsia="仿宋_GB2312" w:cs="Times New Roman"/>
          <w:color w:val="auto"/>
          <w:spacing w:val="17"/>
          <w:sz w:val="32"/>
          <w:szCs w:val="32"/>
          <w:highlight w:val="none"/>
          <w:lang w:val="en-US" w:eastAsia="zh-CN"/>
        </w:rPr>
        <w:t>3</w:t>
      </w:r>
      <w:r>
        <w:rPr>
          <w:rFonts w:hint="default" w:ascii="Times New Roman" w:hAnsi="Times New Roman" w:eastAsia="仿宋_GB2312" w:cs="Times New Roman"/>
          <w:color w:val="auto"/>
          <w:spacing w:val="17"/>
          <w:sz w:val="32"/>
          <w:szCs w:val="32"/>
          <w:highlight w:val="none"/>
        </w:rPr>
        <w:t>）公众评判法。是指通过专家评估、公众问卷及抽样调查等方式进行评判的方法。</w:t>
      </w:r>
    </w:p>
    <w:p w14:paraId="1BCF9B2D">
      <w:pPr>
        <w:pStyle w:val="5"/>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bookmarkStart w:id="79" w:name="_Toc25651"/>
      <w:bookmarkStart w:id="80" w:name="_Toc6081"/>
      <w:r>
        <w:rPr>
          <w:rFonts w:hint="eastAsia" w:ascii="仿宋_GB2312" w:hAnsi="仿宋_GB2312" w:eastAsia="仿宋_GB2312" w:cs="仿宋_GB2312"/>
          <w:color w:val="auto"/>
          <w:sz w:val="32"/>
          <w:szCs w:val="32"/>
          <w:highlight w:val="none"/>
          <w:shd w:val="clear" w:color="auto" w:fill="auto"/>
          <w:lang w:val="en-US" w:eastAsia="zh-CN"/>
        </w:rPr>
        <w:t>4.评价标准</w:t>
      </w:r>
      <w:bookmarkEnd w:id="78"/>
      <w:bookmarkEnd w:id="79"/>
      <w:bookmarkEnd w:id="80"/>
    </w:p>
    <w:p w14:paraId="33275686">
      <w:pPr>
        <w:spacing w:line="560" w:lineRule="exact"/>
        <w:ind w:firstLine="708" w:firstLineChars="200"/>
        <w:rPr>
          <w:rFonts w:hint="default"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绩</w:t>
      </w:r>
      <w:r>
        <w:rPr>
          <w:rFonts w:hint="default" w:ascii="Times New Roman" w:hAnsi="Times New Roman" w:eastAsia="仿宋_GB2312" w:cs="Times New Roman"/>
          <w:color w:val="000000"/>
          <w:spacing w:val="17"/>
          <w:sz w:val="32"/>
          <w:szCs w:val="32"/>
          <w:highlight w:val="none"/>
        </w:rPr>
        <w:t>效评价标准通常包括计划标准、行业标准、历史标准等，用于对绩效指标完成情况进行比较、分析、评价。本次评价主要采用了</w:t>
      </w:r>
      <w:r>
        <w:rPr>
          <w:rFonts w:hint="eastAsia" w:ascii="Times New Roman" w:hAnsi="Times New Roman" w:eastAsia="仿宋_GB2312" w:cs="Times New Roman"/>
          <w:color w:val="auto"/>
          <w:spacing w:val="17"/>
          <w:sz w:val="32"/>
          <w:szCs w:val="32"/>
          <w:highlight w:val="none"/>
          <w:lang w:val="en-US" w:eastAsia="zh-CN"/>
        </w:rPr>
        <w:t>计划</w:t>
      </w:r>
      <w:r>
        <w:rPr>
          <w:rFonts w:hint="default" w:ascii="Times New Roman" w:hAnsi="Times New Roman" w:eastAsia="仿宋_GB2312" w:cs="Times New Roman"/>
          <w:color w:val="auto"/>
          <w:spacing w:val="17"/>
          <w:sz w:val="32"/>
          <w:szCs w:val="32"/>
          <w:highlight w:val="none"/>
        </w:rPr>
        <w:t>标准</w:t>
      </w:r>
      <w:r>
        <w:rPr>
          <w:rFonts w:hint="eastAsia" w:ascii="Times New Roman" w:hAnsi="Times New Roman" w:eastAsia="仿宋_GB2312" w:cs="Times New Roman"/>
          <w:color w:val="auto"/>
          <w:spacing w:val="17"/>
          <w:sz w:val="32"/>
          <w:szCs w:val="32"/>
          <w:highlight w:val="none"/>
          <w:lang w:eastAsia="zh-CN"/>
        </w:rPr>
        <w:t>、</w:t>
      </w:r>
      <w:r>
        <w:rPr>
          <w:rFonts w:hint="eastAsia" w:ascii="Times New Roman" w:hAnsi="Times New Roman" w:eastAsia="仿宋_GB2312" w:cs="Times New Roman"/>
          <w:color w:val="auto"/>
          <w:spacing w:val="17"/>
          <w:sz w:val="32"/>
          <w:szCs w:val="32"/>
          <w:highlight w:val="none"/>
          <w:lang w:val="en-US" w:eastAsia="zh-CN"/>
        </w:rPr>
        <w:t>预算支出标准</w:t>
      </w:r>
      <w:r>
        <w:rPr>
          <w:rFonts w:hint="default" w:ascii="Times New Roman" w:hAnsi="Times New Roman" w:eastAsia="仿宋_GB2312" w:cs="Times New Roman"/>
          <w:color w:val="auto"/>
          <w:spacing w:val="17"/>
          <w:sz w:val="32"/>
          <w:szCs w:val="32"/>
          <w:highlight w:val="none"/>
        </w:rPr>
        <w:t>。</w:t>
      </w:r>
    </w:p>
    <w:p w14:paraId="67322669">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lang w:val="en-US" w:eastAsia="zh-CN"/>
        </w:rPr>
        <w:t>1</w:t>
      </w: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计划标准。指以预先制定的目标、计划、预算、定额等作为评价标准。</w:t>
      </w:r>
    </w:p>
    <w:p w14:paraId="200FF264">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2</w:t>
      </w:r>
      <w:r>
        <w:rPr>
          <w:rFonts w:hint="default"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预算支出标准。指对预算事项合理分类并分别规定其支出预算编制标准。</w:t>
      </w:r>
    </w:p>
    <w:p w14:paraId="692A02F9">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81" w:name="_Toc21435"/>
      <w:r>
        <w:rPr>
          <w:rFonts w:hint="eastAsia" w:ascii="Times New Roman" w:hAnsi="Times New Roman" w:eastAsia="楷体_GB2312" w:cs="Times New Roman"/>
          <w:kern w:val="28"/>
          <w:sz w:val="32"/>
          <w:highlight w:val="none"/>
          <w:lang w:val="en-US" w:eastAsia="zh-CN"/>
        </w:rPr>
        <w:t>（三）绩效评价工作过程</w:t>
      </w:r>
      <w:bookmarkEnd w:id="81"/>
    </w:p>
    <w:p w14:paraId="20DA0768">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82" w:name="_Toc12862"/>
      <w:r>
        <w:rPr>
          <w:rFonts w:hint="eastAsia" w:ascii="Times New Roman" w:hAnsi="Times New Roman" w:eastAsia="仿宋_GB2312" w:cs="Times New Roman"/>
          <w:b/>
          <w:bCs/>
          <w:color w:val="000000"/>
          <w:spacing w:val="17"/>
          <w:sz w:val="32"/>
          <w:szCs w:val="32"/>
          <w:highlight w:val="none"/>
          <w:lang w:val="en-US" w:eastAsia="zh-CN"/>
        </w:rPr>
        <w:t>1.前期准备</w:t>
      </w:r>
      <w:bookmarkEnd w:id="82"/>
    </w:p>
    <w:p w14:paraId="793607DC">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（1）成立绩效评价项目小组</w:t>
      </w:r>
    </w:p>
    <w:p w14:paraId="445CAEA8">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为确保该项目绩效评价的顺利实施，评价机构组建了绩效评价项目小组。项目小组负责建立联络制度、明确评价责任人、制定评价方案、实施具体评价等工作。</w:t>
      </w:r>
    </w:p>
    <w:p w14:paraId="517C9A92">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3" w:name="_Toc31571"/>
      <w:r>
        <w:rPr>
          <w:rFonts w:hint="eastAsia" w:ascii="Times New Roman" w:hAnsi="Times New Roman" w:eastAsia="仿宋_GB2312" w:cs="Times New Roman"/>
          <w:color w:val="000000"/>
          <w:spacing w:val="17"/>
          <w:sz w:val="32"/>
          <w:szCs w:val="32"/>
          <w:highlight w:val="none"/>
          <w:lang w:val="en-US" w:eastAsia="zh-CN"/>
        </w:rPr>
        <w:t>（2）开展前期调研</w:t>
      </w:r>
      <w:bookmarkEnd w:id="83"/>
    </w:p>
    <w:p w14:paraId="621EA8E8">
      <w:pPr>
        <w:spacing w:line="560" w:lineRule="exact"/>
        <w:ind w:firstLine="708" w:firstLineChars="200"/>
        <w:rPr>
          <w:rFonts w:hint="eastAsia" w:ascii="Times New Roman" w:hAnsi="Times New Roman" w:eastAsia="仿宋_GB2312" w:cs="Times New Roman"/>
          <w:color w:val="auto"/>
          <w:spacing w:val="17"/>
          <w:sz w:val="32"/>
          <w:szCs w:val="32"/>
          <w:highlight w:val="none"/>
          <w:lang w:val="en-US" w:eastAsia="zh-CN"/>
        </w:rPr>
      </w:pPr>
      <w:bookmarkStart w:id="84" w:name="_Toc21240"/>
      <w:r>
        <w:rPr>
          <w:rFonts w:hint="eastAsia" w:ascii="Times New Roman" w:hAnsi="Times New Roman" w:eastAsia="仿宋_GB2312" w:cs="Times New Roman"/>
          <w:color w:val="auto"/>
          <w:spacing w:val="17"/>
          <w:sz w:val="32"/>
          <w:szCs w:val="32"/>
          <w:highlight w:val="none"/>
          <w:lang w:val="en-US" w:eastAsia="zh-CN"/>
        </w:rPr>
        <w:t>绩效评价项目小组依据此次绩效评价受委托内容，对拟评价的项目实施前期调研。通过调研对昌州财教【2023】91号（保民生）提前下达2024年学生资助补助经费（中央直达资金）中职、技校免学费、中职、技校助学金项目实施内容、目标信息、预算信息以及其他的一些项目基本信息，有了初步了解，为制定绩效评价工作方案做好准备。</w:t>
      </w:r>
      <w:bookmarkEnd w:id="84"/>
    </w:p>
    <w:p w14:paraId="3DD54E12">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5" w:name="_Toc27977"/>
      <w:r>
        <w:rPr>
          <w:rFonts w:hint="eastAsia" w:ascii="Times New Roman" w:hAnsi="Times New Roman" w:eastAsia="仿宋_GB2312" w:cs="Times New Roman"/>
          <w:color w:val="000000"/>
          <w:spacing w:val="17"/>
          <w:sz w:val="32"/>
          <w:szCs w:val="32"/>
          <w:highlight w:val="none"/>
          <w:lang w:val="en-US" w:eastAsia="zh-CN"/>
        </w:rPr>
        <w:t>（3）制订绩效评价工作方案</w:t>
      </w:r>
      <w:bookmarkEnd w:id="85"/>
    </w:p>
    <w:p w14:paraId="6C3C6704">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6" w:name="_Toc19659"/>
      <w:r>
        <w:rPr>
          <w:rFonts w:hint="eastAsia" w:ascii="Times New Roman" w:hAnsi="Times New Roman" w:eastAsia="仿宋_GB2312" w:cs="Times New Roman"/>
          <w:color w:val="000000"/>
          <w:spacing w:val="17"/>
          <w:sz w:val="32"/>
          <w:szCs w:val="32"/>
          <w:highlight w:val="none"/>
          <w:lang w:val="en-US" w:eastAsia="zh-CN"/>
        </w:rPr>
        <w:t>绩效评价项目小组根据有关规定和评价对象的特点以及前期调研收集的一些信息，拟定详细的绩效评价工作方案。</w:t>
      </w:r>
      <w:bookmarkEnd w:id="86"/>
    </w:p>
    <w:p w14:paraId="13E7367A">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87" w:name="_Toc11353"/>
      <w:r>
        <w:rPr>
          <w:rFonts w:hint="eastAsia" w:ascii="Times New Roman" w:hAnsi="Times New Roman" w:eastAsia="仿宋_GB2312" w:cs="Times New Roman"/>
          <w:b/>
          <w:bCs/>
          <w:color w:val="000000"/>
          <w:spacing w:val="17"/>
          <w:sz w:val="32"/>
          <w:szCs w:val="32"/>
          <w:highlight w:val="none"/>
          <w:lang w:val="en-US" w:eastAsia="zh-CN"/>
        </w:rPr>
        <w:t>2.具体实施</w:t>
      </w:r>
      <w:bookmarkEnd w:id="87"/>
    </w:p>
    <w:p w14:paraId="6048500C">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8" w:name="_Toc14111"/>
      <w:r>
        <w:rPr>
          <w:rFonts w:hint="eastAsia" w:ascii="Times New Roman" w:hAnsi="Times New Roman" w:eastAsia="仿宋_GB2312" w:cs="Times New Roman"/>
          <w:color w:val="000000"/>
          <w:spacing w:val="17"/>
          <w:sz w:val="32"/>
          <w:szCs w:val="32"/>
          <w:highlight w:val="none"/>
          <w:lang w:val="en-US" w:eastAsia="zh-CN"/>
        </w:rPr>
        <w:t>（1）收集基础资料</w:t>
      </w:r>
      <w:bookmarkEnd w:id="88"/>
    </w:p>
    <w:p w14:paraId="5AEB6FC8">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9" w:name="_Toc28524"/>
      <w:r>
        <w:rPr>
          <w:rFonts w:hint="eastAsia" w:ascii="Times New Roman" w:hAnsi="Times New Roman" w:eastAsia="仿宋_GB2312" w:cs="Times New Roman"/>
          <w:color w:val="000000"/>
          <w:spacing w:val="17"/>
          <w:sz w:val="32"/>
          <w:szCs w:val="32"/>
          <w:highlight w:val="none"/>
          <w:lang w:val="en-US" w:eastAsia="zh-CN"/>
        </w:rPr>
        <w:t>根据评价工作的需要和要求，在前期调研的基础上，通过多种渠道全面收集项目基础信息资料，主要包括：</w:t>
      </w:r>
      <w:bookmarkEnd w:id="89"/>
    </w:p>
    <w:p w14:paraId="29673273">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0" w:name="_Toc32216"/>
      <w:r>
        <w:rPr>
          <w:rFonts w:hint="eastAsia" w:ascii="Times New Roman" w:hAnsi="Times New Roman" w:eastAsia="仿宋_GB2312" w:cs="Times New Roman"/>
          <w:color w:val="000000"/>
          <w:spacing w:val="17"/>
          <w:sz w:val="32"/>
          <w:szCs w:val="32"/>
          <w:highlight w:val="none"/>
          <w:lang w:val="en-US" w:eastAsia="zh-CN"/>
        </w:rPr>
        <w:t>①被评价单位基本概况，如单位职能、事业发展规划、预决算情况、项目立项依据等；</w:t>
      </w:r>
      <w:bookmarkEnd w:id="90"/>
    </w:p>
    <w:p w14:paraId="6B9C66C2">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1" w:name="_Toc10505"/>
      <w:r>
        <w:rPr>
          <w:rFonts w:hint="eastAsia" w:ascii="Times New Roman" w:hAnsi="Times New Roman" w:eastAsia="仿宋_GB2312" w:cs="Times New Roman"/>
          <w:color w:val="000000"/>
          <w:spacing w:val="17"/>
          <w:sz w:val="32"/>
          <w:szCs w:val="32"/>
          <w:highlight w:val="none"/>
          <w:lang w:val="en-US" w:eastAsia="zh-CN"/>
        </w:rPr>
        <w:t>②绩效目标及其设立依据和调整情况；</w:t>
      </w:r>
      <w:bookmarkEnd w:id="91"/>
    </w:p>
    <w:p w14:paraId="57EE145A">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2" w:name="_Toc28365"/>
      <w:r>
        <w:rPr>
          <w:rFonts w:hint="eastAsia" w:ascii="Times New Roman" w:hAnsi="Times New Roman" w:eastAsia="仿宋_GB2312" w:cs="Times New Roman"/>
          <w:color w:val="000000"/>
          <w:spacing w:val="17"/>
          <w:sz w:val="32"/>
          <w:szCs w:val="32"/>
          <w:highlight w:val="none"/>
          <w:lang w:val="en-US" w:eastAsia="zh-CN"/>
        </w:rPr>
        <w:t>③管理措施及组织实施情况；</w:t>
      </w:r>
      <w:bookmarkEnd w:id="92"/>
    </w:p>
    <w:p w14:paraId="1827BE15">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3" w:name="_Toc10091"/>
      <w:r>
        <w:rPr>
          <w:rFonts w:hint="eastAsia" w:ascii="Times New Roman" w:hAnsi="Times New Roman" w:eastAsia="仿宋_GB2312" w:cs="Times New Roman"/>
          <w:color w:val="000000"/>
          <w:spacing w:val="17"/>
          <w:sz w:val="32"/>
          <w:szCs w:val="32"/>
          <w:highlight w:val="none"/>
          <w:lang w:val="en-US" w:eastAsia="zh-CN"/>
        </w:rPr>
        <w:t>④被评价单位总结分析的绩效目标完成情况及绩效报告；</w:t>
      </w:r>
      <w:bookmarkEnd w:id="93"/>
    </w:p>
    <w:p w14:paraId="6550E0FD">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4" w:name="_Toc1"/>
      <w:r>
        <w:rPr>
          <w:rFonts w:hint="eastAsia" w:ascii="Times New Roman" w:hAnsi="Times New Roman" w:eastAsia="仿宋_GB2312" w:cs="Times New Roman"/>
          <w:color w:val="000000"/>
          <w:spacing w:val="17"/>
          <w:sz w:val="32"/>
          <w:szCs w:val="32"/>
          <w:highlight w:val="none"/>
          <w:lang w:val="en-US" w:eastAsia="zh-CN"/>
        </w:rPr>
        <w:t>⑤与绩效评价相关的计划标准、行业标准、历史标准等；</w:t>
      </w:r>
      <w:bookmarkEnd w:id="94"/>
    </w:p>
    <w:p w14:paraId="61B742B4">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5" w:name="_Toc20059"/>
      <w:r>
        <w:rPr>
          <w:rFonts w:hint="eastAsia" w:ascii="Times New Roman" w:hAnsi="Times New Roman" w:eastAsia="仿宋_GB2312" w:cs="Times New Roman"/>
          <w:color w:val="000000"/>
          <w:spacing w:val="17"/>
          <w:sz w:val="32"/>
          <w:szCs w:val="32"/>
          <w:highlight w:val="none"/>
          <w:lang w:val="en-US" w:eastAsia="zh-CN"/>
        </w:rPr>
        <w:t>⑥其他必要的相关资料等。</w:t>
      </w:r>
      <w:bookmarkEnd w:id="95"/>
    </w:p>
    <w:p w14:paraId="4F57C6EE">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6" w:name="_Toc31911"/>
      <w:r>
        <w:rPr>
          <w:rFonts w:hint="eastAsia" w:ascii="Times New Roman" w:hAnsi="Times New Roman" w:eastAsia="仿宋_GB2312" w:cs="Times New Roman"/>
          <w:color w:val="000000"/>
          <w:spacing w:val="17"/>
          <w:sz w:val="32"/>
          <w:szCs w:val="32"/>
          <w:highlight w:val="none"/>
          <w:lang w:val="en-US" w:eastAsia="zh-CN"/>
        </w:rPr>
        <w:t>（2）整理、研读基础资料</w:t>
      </w:r>
      <w:bookmarkEnd w:id="96"/>
    </w:p>
    <w:p w14:paraId="6C9CEE8A">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7" w:name="_Toc167"/>
      <w:r>
        <w:rPr>
          <w:rFonts w:hint="eastAsia" w:ascii="Times New Roman" w:hAnsi="Times New Roman" w:eastAsia="仿宋_GB2312" w:cs="Times New Roman"/>
          <w:color w:val="000000"/>
          <w:spacing w:val="17"/>
          <w:sz w:val="32"/>
          <w:szCs w:val="32"/>
          <w:highlight w:val="none"/>
          <w:lang w:val="en-US" w:eastAsia="zh-CN"/>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7"/>
    </w:p>
    <w:p w14:paraId="37DBEE66">
      <w:pPr>
        <w:spacing w:line="560" w:lineRule="exact"/>
        <w:ind w:firstLine="711" w:firstLineChars="200"/>
        <w:rPr>
          <w:rFonts w:hint="default" w:ascii="Times New Roman" w:hAnsi="Times New Roman" w:eastAsia="仿宋_GB2312" w:cs="Times New Roman"/>
          <w:b/>
          <w:bCs/>
          <w:color w:val="000000"/>
          <w:spacing w:val="17"/>
          <w:sz w:val="32"/>
          <w:szCs w:val="32"/>
          <w:highlight w:val="none"/>
          <w:lang w:val="en-US" w:eastAsia="zh-CN"/>
        </w:rPr>
      </w:pPr>
      <w:bookmarkStart w:id="98" w:name="_Toc30513"/>
      <w:r>
        <w:rPr>
          <w:rFonts w:hint="eastAsia" w:ascii="Times New Roman" w:hAnsi="Times New Roman" w:eastAsia="仿宋_GB2312" w:cs="Times New Roman"/>
          <w:b/>
          <w:bCs/>
          <w:color w:val="000000"/>
          <w:spacing w:val="17"/>
          <w:sz w:val="32"/>
          <w:szCs w:val="32"/>
          <w:highlight w:val="none"/>
          <w:lang w:val="en-US" w:eastAsia="zh-CN"/>
        </w:rPr>
        <w:t>3.分析评价和撰写报告</w:t>
      </w:r>
      <w:bookmarkEnd w:id="98"/>
    </w:p>
    <w:p w14:paraId="5E4DF139">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9" w:name="_Toc15974"/>
      <w:r>
        <w:rPr>
          <w:rFonts w:hint="eastAsia"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1）综合分析评价</w:t>
      </w:r>
      <w:bookmarkEnd w:id="99"/>
    </w:p>
    <w:p w14:paraId="13CACCD8">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0" w:name="_Toc4352"/>
      <w:r>
        <w:rPr>
          <w:rFonts w:hint="eastAsia" w:ascii="Times New Roman" w:hAnsi="Times New Roman" w:eastAsia="仿宋_GB2312" w:cs="Times New Roman"/>
          <w:color w:val="000000"/>
          <w:spacing w:val="17"/>
          <w:sz w:val="32"/>
          <w:szCs w:val="32"/>
          <w:highlight w:val="none"/>
          <w:lang w:val="en-US" w:eastAsia="zh-CN"/>
        </w:rPr>
        <w:t>①根据所收集的基础资料，结合现场核查的有关情况，整理出绩效评价所需的项目材料和基础数据。</w:t>
      </w:r>
      <w:bookmarkEnd w:id="100"/>
    </w:p>
    <w:p w14:paraId="6CD1F84C">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1" w:name="_Toc26231"/>
      <w:r>
        <w:rPr>
          <w:rFonts w:hint="eastAsia" w:ascii="Times New Roman" w:hAnsi="Times New Roman" w:eastAsia="仿宋_GB2312" w:cs="Times New Roman"/>
          <w:color w:val="000000"/>
          <w:spacing w:val="17"/>
          <w:sz w:val="32"/>
          <w:szCs w:val="32"/>
          <w:highlight w:val="none"/>
          <w:lang w:val="en-US" w:eastAsia="zh-CN"/>
        </w:rPr>
        <w:t>②将初步评价结论、调整事项、专家咨询意见和有关说明等提交单位内部讨论并征求意见。之后，对所征求的意见及时地进行收集和整理。</w:t>
      </w:r>
      <w:bookmarkEnd w:id="101"/>
    </w:p>
    <w:p w14:paraId="245EACF4">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2" w:name="_Toc27759"/>
      <w:r>
        <w:rPr>
          <w:rFonts w:hint="eastAsia" w:ascii="Times New Roman" w:hAnsi="Times New Roman" w:eastAsia="仿宋_GB2312" w:cs="Times New Roman"/>
          <w:color w:val="000000"/>
          <w:spacing w:val="17"/>
          <w:sz w:val="32"/>
          <w:szCs w:val="32"/>
          <w:highlight w:val="none"/>
          <w:lang w:val="en-US" w:eastAsia="zh-CN"/>
        </w:rPr>
        <w:t>（2）撰写报告</w:t>
      </w:r>
      <w:bookmarkEnd w:id="102"/>
    </w:p>
    <w:p w14:paraId="27760CBC">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3" w:name="_Toc15579"/>
      <w:r>
        <w:rPr>
          <w:rFonts w:hint="eastAsia" w:ascii="Times New Roman" w:hAnsi="Times New Roman" w:eastAsia="仿宋_GB2312" w:cs="Times New Roman"/>
          <w:color w:val="000000"/>
          <w:spacing w:val="17"/>
          <w:sz w:val="32"/>
          <w:szCs w:val="32"/>
          <w:highlight w:val="none"/>
          <w:lang w:val="en-US" w:eastAsia="zh-CN"/>
        </w:rPr>
        <w:t>绩效评价项目小组依照整理、分析后的项目材料、数据资料，依据评价形成的初步结论，按照既定的格式和内容要求撰写绩效评价初步报告，最终形成评价结果。</w:t>
      </w:r>
      <w:bookmarkEnd w:id="103"/>
    </w:p>
    <w:p w14:paraId="5F3A7C48">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104" w:name="_Toc19261"/>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三、</w:t>
      </w:r>
      <w:r>
        <w:rPr>
          <w:rFonts w:hint="eastAsia" w:ascii="黑体" w:hAnsi="黑体" w:eastAsia="黑体" w:cs="黑体"/>
          <w:b w:val="0"/>
          <w:bCs w:val="0"/>
          <w:color w:val="000000" w:themeColor="text1"/>
          <w:highlight w:val="none"/>
          <w:shd w:val="clear" w:color="auto" w:fill="auto"/>
          <w14:textFill>
            <w14:solidFill>
              <w14:schemeClr w14:val="tx1"/>
            </w14:solidFill>
          </w14:textFill>
        </w:rPr>
        <w:t>综合评价情况及评价结论</w:t>
      </w:r>
      <w:bookmarkEnd w:id="104"/>
    </w:p>
    <w:p w14:paraId="4DBDF30C">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05" w:name="_Toc23319"/>
      <w:r>
        <w:rPr>
          <w:rFonts w:hint="eastAsia" w:ascii="Times New Roman" w:hAnsi="Times New Roman" w:eastAsia="楷体_GB2312" w:cs="Times New Roman"/>
          <w:kern w:val="28"/>
          <w:sz w:val="32"/>
          <w:highlight w:val="none"/>
          <w:lang w:val="en-US" w:eastAsia="zh-CN"/>
        </w:rPr>
        <w:t>（一）综合评价情况及评价结论</w:t>
      </w:r>
      <w:bookmarkEnd w:id="105"/>
    </w:p>
    <w:p w14:paraId="71000528">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color w:val="auto"/>
          <w:sz w:val="32"/>
          <w:szCs w:val="32"/>
          <w:highlight w:val="none"/>
          <w:lang w:val="en-US" w:eastAsia="zh-CN"/>
        </w:rPr>
        <w:t>昌州财教【2023】91号（保民生）提前下达2024年学生资助补助经费（中央直达资金）中职、技校免学费、中职、技校助学金项目</w:t>
      </w:r>
      <w:r>
        <w:rPr>
          <w:rFonts w:hint="default" w:ascii="Times New Roman" w:hAnsi="Times New Roman" w:eastAsia="仿宋_GB2312" w:cs="Times New Roman"/>
          <w:color w:val="auto"/>
          <w:sz w:val="32"/>
          <w:szCs w:val="32"/>
          <w:highlight w:val="none"/>
        </w:rPr>
        <w:t>在</w:t>
      </w:r>
      <w:r>
        <w:rPr>
          <w:rFonts w:hint="eastAsia" w:ascii="Times New Roman" w:hAnsi="Times New Roman" w:eastAsia="仿宋_GB2312" w:cs="Times New Roman"/>
          <w:color w:val="auto"/>
          <w:sz w:val="32"/>
          <w:szCs w:val="32"/>
          <w:highlight w:val="none"/>
          <w:lang w:val="en-US" w:eastAsia="zh-CN"/>
        </w:rPr>
        <w:t>项目产出方面完成较好</w:t>
      </w:r>
      <w:r>
        <w:rPr>
          <w:rFonts w:hint="default" w:ascii="Times New Roman" w:hAnsi="Times New Roman" w:eastAsia="仿宋_GB2312" w:cs="Times New Roman"/>
          <w:color w:val="auto"/>
          <w:sz w:val="32"/>
          <w:szCs w:val="32"/>
          <w:highlight w:val="none"/>
        </w:rPr>
        <w:t>，达到了预期的标准与要求。</w:t>
      </w:r>
    </w:p>
    <w:p w14:paraId="5D343ED6">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阜康市职业中等专业学校单位</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7AA1D552">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从项目效益的角度来看，本项目不仅实现了预期的社会效益等方面产生了积极的影响。具体而言，</w:t>
      </w:r>
      <w:r>
        <w:rPr>
          <w:rFonts w:hint="eastAsia" w:ascii="Times New Roman" w:hAnsi="Times New Roman" w:eastAsia="仿宋_GB2312" w:cs="Times New Roman"/>
          <w:color w:val="auto"/>
          <w:sz w:val="32"/>
          <w:szCs w:val="32"/>
          <w:highlight w:val="none"/>
          <w:lang w:val="en-US" w:eastAsia="zh-CN"/>
        </w:rPr>
        <w:t>减轻家庭困难学生经济压力、贫困生生活质量</w:t>
      </w:r>
      <w:r>
        <w:rPr>
          <w:rFonts w:hint="default" w:ascii="Times New Roman" w:hAnsi="Times New Roman" w:eastAsia="仿宋_GB2312" w:cs="Times New Roman"/>
          <w:color w:val="auto"/>
          <w:sz w:val="32"/>
          <w:szCs w:val="32"/>
          <w:highlight w:val="none"/>
        </w:rPr>
        <w:t>等方面的提升，为项目的利益相关者带来了实实在在的利益。</w:t>
      </w:r>
    </w:p>
    <w:p w14:paraId="65871231">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ascii="Times New Roman" w:hAnsi="Times New Roman" w:eastAsia="仿宋_GB2312" w:cs="Times New Roman"/>
          <w:color w:val="auto"/>
          <w:sz w:val="32"/>
          <w:szCs w:val="32"/>
          <w:highlight w:val="none"/>
          <w:lang w:val="en-US" w:eastAsia="zh-CN"/>
        </w:rPr>
        <w:t>昌州财教【2023】91号（保民生）提前下达2024年学生资助补助经费（中央直达资金）中职、技校免学费、中职、技校助学金项目</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r>
        <w:rPr>
          <w:rFonts w:hint="eastAsia"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val="en-US" w:eastAsia="zh-CN"/>
        </w:rPr>
        <w:t>评价等级为优</w:t>
      </w:r>
      <w:r>
        <w:rPr>
          <w:rFonts w:hint="default" w:ascii="Times New Roman" w:hAnsi="Times New Roman" w:eastAsia="仿宋_GB2312" w:cs="Times New Roman"/>
          <w:color w:val="auto"/>
          <w:sz w:val="32"/>
          <w:szCs w:val="32"/>
          <w:highlight w:val="none"/>
        </w:rPr>
        <w:t>。</w:t>
      </w:r>
    </w:p>
    <w:p w14:paraId="2E2A7084">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06" w:name="_Toc11863"/>
      <w:r>
        <w:rPr>
          <w:rFonts w:hint="eastAsia" w:ascii="Times New Roman" w:hAnsi="Times New Roman" w:eastAsia="楷体_GB2312" w:cs="Times New Roman"/>
          <w:kern w:val="28"/>
          <w:sz w:val="32"/>
          <w:highlight w:val="none"/>
          <w:lang w:val="en-US" w:eastAsia="zh-CN"/>
        </w:rPr>
        <w:t>（二）相关评分表</w:t>
      </w:r>
      <w:bookmarkEnd w:id="106"/>
    </w:p>
    <w:p w14:paraId="4DD2BB49">
      <w:pPr>
        <w:spacing w:line="560" w:lineRule="exact"/>
        <w:ind w:firstLine="708" w:firstLineChars="200"/>
        <w:rPr>
          <w:rFonts w:hint="eastAsia" w:ascii="Times New Roman" w:hAnsi="Times New Roman" w:eastAsia="仿宋_GB2312" w:cs="Times New Roman"/>
          <w:color w:val="000000"/>
          <w:spacing w:val="17"/>
          <w:sz w:val="32"/>
          <w:szCs w:val="32"/>
          <w:highlight w:val="none"/>
          <w:lang w:val="zh-TW" w:eastAsia="zh-TW"/>
        </w:rPr>
      </w:pPr>
      <w:r>
        <w:rPr>
          <w:rFonts w:hint="eastAsia" w:ascii="Times New Roman" w:hAnsi="Times New Roman" w:eastAsia="仿宋_GB2312" w:cs="Times New Roman"/>
          <w:color w:val="auto"/>
          <w:spacing w:val="17"/>
          <w:sz w:val="32"/>
          <w:szCs w:val="32"/>
          <w:highlight w:val="none"/>
          <w:lang w:val="en-US" w:eastAsia="zh-CN"/>
        </w:rPr>
        <w:t>此次绩效评价</w:t>
      </w:r>
      <w:r>
        <w:rPr>
          <w:rFonts w:hint="eastAsia" w:ascii="Times New Roman" w:hAnsi="Times New Roman" w:eastAsia="仿宋_GB2312" w:cs="Times New Roman"/>
          <w:color w:val="auto"/>
          <w:spacing w:val="17"/>
          <w:sz w:val="32"/>
          <w:szCs w:val="32"/>
          <w:highlight w:val="none"/>
          <w:lang w:val="zh-TW" w:eastAsia="zh-TW"/>
        </w:rPr>
        <w:t>通过组论证的评价指标体系及评分标准，</w:t>
      </w:r>
      <w:r>
        <w:rPr>
          <w:rFonts w:hint="eastAsia" w:ascii="Times New Roman" w:hAnsi="Times New Roman" w:eastAsia="仿宋_GB2312" w:cs="Times New Roman"/>
          <w:color w:val="auto"/>
          <w:spacing w:val="17"/>
          <w:sz w:val="32"/>
          <w:szCs w:val="32"/>
          <w:highlight w:val="none"/>
          <w:lang w:val="en-US" w:eastAsia="zh-CN"/>
        </w:rPr>
        <w:t>采用的方法比较法、因素分析法、公众评判法，</w:t>
      </w:r>
      <w:r>
        <w:rPr>
          <w:rFonts w:hint="eastAsia" w:ascii="Times New Roman" w:hAnsi="Times New Roman" w:eastAsia="仿宋_GB2312" w:cs="Times New Roman"/>
          <w:color w:val="auto"/>
          <w:spacing w:val="17"/>
          <w:sz w:val="32"/>
          <w:szCs w:val="32"/>
          <w:highlight w:val="none"/>
          <w:lang w:val="zh-TW" w:eastAsia="zh-TW"/>
        </w:rPr>
        <w:t>对</w:t>
      </w:r>
      <w:r>
        <w:rPr>
          <w:rFonts w:hint="eastAsia" w:ascii="Times New Roman" w:hAnsi="Times New Roman" w:eastAsia="仿宋_GB2312" w:cs="Times New Roman"/>
          <w:color w:val="auto"/>
          <w:spacing w:val="17"/>
          <w:sz w:val="32"/>
          <w:szCs w:val="32"/>
          <w:highlight w:val="none"/>
          <w:lang w:val="en-US" w:eastAsia="zh-CN"/>
        </w:rPr>
        <w:t>昌州财教【2023】91号（保民生）提前下达2024年学生资助补助经费（中央直达资金）中职、技校免学费、中职、技校助学金项目</w:t>
      </w:r>
      <w:r>
        <w:rPr>
          <w:rFonts w:hint="eastAsia" w:ascii="Times New Roman" w:hAnsi="Times New Roman" w:eastAsia="仿宋_GB2312" w:cs="Times New Roman"/>
          <w:color w:val="auto"/>
          <w:spacing w:val="17"/>
          <w:sz w:val="32"/>
          <w:szCs w:val="32"/>
          <w:highlight w:val="none"/>
          <w:lang w:val="zh-TW" w:eastAsia="zh-TW"/>
        </w:rPr>
        <w:t>绩效进行客观评价，最终评分结果：</w:t>
      </w:r>
      <w:r>
        <w:rPr>
          <w:rFonts w:hint="default" w:ascii="Times New Roman" w:hAnsi="Times New Roman" w:eastAsia="仿宋_GB2312" w:cs="Times New Roman"/>
          <w:color w:val="auto"/>
          <w:spacing w:val="17"/>
          <w:sz w:val="32"/>
          <w:szCs w:val="32"/>
          <w:highlight w:val="none"/>
          <w:lang w:val="en-US" w:eastAsia="zh-CN"/>
        </w:rPr>
        <w:t>总得分为</w:t>
      </w:r>
      <w:r>
        <w:rPr>
          <w:rFonts w:hint="eastAsia" w:ascii="Times New Roman" w:hAnsi="Times New Roman" w:eastAsia="仿宋_GB2312" w:cs="Times New Roman"/>
          <w:color w:val="auto"/>
          <w:spacing w:val="17"/>
          <w:sz w:val="32"/>
          <w:szCs w:val="32"/>
          <w:highlight w:val="none"/>
          <w:lang w:val="en-US" w:eastAsia="zh-CN"/>
        </w:rPr>
        <w:t>99.17</w:t>
      </w:r>
      <w:r>
        <w:rPr>
          <w:rFonts w:hint="default" w:ascii="Times New Roman" w:hAnsi="Times New Roman" w:eastAsia="仿宋_GB2312" w:cs="Times New Roman"/>
          <w:color w:val="auto"/>
          <w:spacing w:val="17"/>
          <w:sz w:val="32"/>
          <w:szCs w:val="32"/>
          <w:highlight w:val="none"/>
          <w:lang w:val="en-US" w:eastAsia="zh-CN"/>
        </w:rPr>
        <w:t>分，属于“优”。其中，项目决策类指标权重为20分，得分为</w:t>
      </w:r>
      <w:r>
        <w:rPr>
          <w:rFonts w:hint="eastAsia" w:ascii="Times New Roman" w:hAnsi="Times New Roman" w:eastAsia="仿宋_GB2312" w:cs="Times New Roman"/>
          <w:color w:val="auto"/>
          <w:spacing w:val="17"/>
          <w:sz w:val="32"/>
          <w:szCs w:val="32"/>
          <w:highlight w:val="none"/>
          <w:lang w:val="en-US" w:eastAsia="zh-CN"/>
        </w:rPr>
        <w:t>19</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95</w:t>
      </w:r>
      <w:r>
        <w:rPr>
          <w:rFonts w:hint="default" w:ascii="Times New Roman" w:hAnsi="Times New Roman" w:eastAsia="仿宋_GB2312" w:cs="Times New Roman"/>
          <w:color w:val="auto"/>
          <w:spacing w:val="17"/>
          <w:sz w:val="32"/>
          <w:szCs w:val="32"/>
          <w:highlight w:val="none"/>
          <w:lang w:val="en-US" w:eastAsia="zh-CN"/>
        </w:rPr>
        <w:t>%。项目过程类指标权重为20分，得分为</w:t>
      </w:r>
      <w:r>
        <w:rPr>
          <w:rFonts w:hint="eastAsia" w:ascii="Times New Roman" w:hAnsi="Times New Roman" w:eastAsia="仿宋_GB2312" w:cs="Times New Roman"/>
          <w:color w:val="auto"/>
          <w:spacing w:val="17"/>
          <w:sz w:val="32"/>
          <w:szCs w:val="32"/>
          <w:highlight w:val="none"/>
          <w:lang w:val="en-US" w:eastAsia="zh-CN"/>
        </w:rPr>
        <w:t>19.67</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98.35</w:t>
      </w:r>
      <w:r>
        <w:rPr>
          <w:rFonts w:hint="default" w:ascii="Times New Roman" w:hAnsi="Times New Roman" w:eastAsia="仿宋_GB2312" w:cs="Times New Roman"/>
          <w:color w:val="auto"/>
          <w:spacing w:val="17"/>
          <w:sz w:val="32"/>
          <w:szCs w:val="32"/>
          <w:highlight w:val="none"/>
          <w:lang w:val="en-US" w:eastAsia="zh-CN"/>
        </w:rPr>
        <w:t>%。项目产出类指标权重为40分，得分为</w:t>
      </w:r>
      <w:r>
        <w:rPr>
          <w:rFonts w:hint="eastAsia" w:ascii="Times New Roman" w:hAnsi="Times New Roman" w:eastAsia="仿宋_GB2312" w:cs="Times New Roman"/>
          <w:color w:val="auto"/>
          <w:spacing w:val="17"/>
          <w:sz w:val="32"/>
          <w:szCs w:val="32"/>
          <w:highlight w:val="none"/>
          <w:lang w:val="en-US" w:eastAsia="zh-CN"/>
        </w:rPr>
        <w:t>40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%。项目效益类指标权重为20分，得分为</w:t>
      </w:r>
      <w:r>
        <w:rPr>
          <w:rFonts w:hint="eastAsia" w:ascii="Times New Roman" w:hAnsi="Times New Roman" w:eastAsia="仿宋_GB2312" w:cs="Times New Roman"/>
          <w:color w:val="auto"/>
          <w:spacing w:val="17"/>
          <w:sz w:val="32"/>
          <w:szCs w:val="32"/>
          <w:highlight w:val="none"/>
          <w:shd w:val="clear"/>
          <w:lang w:val="en-US" w:eastAsia="zh-CN"/>
        </w:rPr>
        <w:t>20</w:t>
      </w:r>
      <w:r>
        <w:rPr>
          <w:rFonts w:hint="default" w:ascii="Times New Roman" w:hAnsi="Times New Roman" w:eastAsia="仿宋_GB2312" w:cs="Times New Roman"/>
          <w:color w:val="auto"/>
          <w:spacing w:val="17"/>
          <w:sz w:val="32"/>
          <w:szCs w:val="32"/>
          <w:highlight w:val="none"/>
          <w:shd w:val="clear"/>
          <w:lang w:val="en-US" w:eastAsia="zh-CN"/>
        </w:rPr>
        <w:t>分，</w:t>
      </w:r>
      <w:r>
        <w:rPr>
          <w:rFonts w:hint="default" w:ascii="Times New Roman" w:hAnsi="Times New Roman" w:eastAsia="仿宋_GB2312" w:cs="Times New Roman"/>
          <w:color w:val="auto"/>
          <w:spacing w:val="17"/>
          <w:sz w:val="32"/>
          <w:szCs w:val="32"/>
          <w:highlight w:val="none"/>
          <w:lang w:val="en-US" w:eastAsia="zh-CN"/>
        </w:rPr>
        <w:t>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w:t>
      </w:r>
      <w:r>
        <w:rPr>
          <w:rFonts w:hint="eastAsia" w:ascii="Times New Roman" w:hAnsi="Times New Roman" w:eastAsia="仿宋_GB2312" w:cs="Times New Roman"/>
          <w:color w:val="auto"/>
          <w:spacing w:val="17"/>
          <w:sz w:val="32"/>
          <w:szCs w:val="32"/>
          <w:highlight w:val="none"/>
          <w:lang w:val="zh-TW" w:eastAsia="zh-TW"/>
        </w:rPr>
        <w:t>各部分权重和绩效</w:t>
      </w:r>
      <w:r>
        <w:rPr>
          <w:rFonts w:hint="eastAsia" w:ascii="Times New Roman" w:hAnsi="Times New Roman" w:eastAsia="仿宋_GB2312" w:cs="Times New Roman"/>
          <w:color w:val="auto"/>
          <w:spacing w:val="17"/>
          <w:sz w:val="32"/>
          <w:szCs w:val="32"/>
          <w:highlight w:val="none"/>
          <w:lang w:val="en-US" w:eastAsia="zh-CN"/>
        </w:rPr>
        <w:t>汇总</w:t>
      </w:r>
      <w:r>
        <w:rPr>
          <w:rFonts w:hint="eastAsia" w:ascii="Times New Roman" w:hAnsi="Times New Roman" w:eastAsia="仿宋_GB2312" w:cs="Times New Roman"/>
          <w:color w:val="auto"/>
          <w:spacing w:val="17"/>
          <w:sz w:val="32"/>
          <w:szCs w:val="32"/>
          <w:highlight w:val="none"/>
          <w:lang w:val="zh-TW" w:eastAsia="zh-TW"/>
        </w:rPr>
        <w:t>分值如下表</w:t>
      </w:r>
      <w:r>
        <w:rPr>
          <w:rFonts w:hint="eastAsia" w:ascii="Times New Roman" w:hAnsi="Times New Roman" w:eastAsia="仿宋_GB2312" w:cs="Times New Roman"/>
          <w:color w:val="auto"/>
          <w:spacing w:val="17"/>
          <w:sz w:val="32"/>
          <w:szCs w:val="32"/>
          <w:highlight w:val="none"/>
          <w:lang w:val="en-US" w:eastAsia="zh-CN"/>
        </w:rPr>
        <w:t>3-1</w:t>
      </w:r>
      <w:r>
        <w:rPr>
          <w:rFonts w:hint="eastAsia" w:ascii="Times New Roman" w:hAnsi="Times New Roman" w:eastAsia="仿宋_GB2312" w:cs="Times New Roman"/>
          <w:color w:val="auto"/>
          <w:spacing w:val="17"/>
          <w:sz w:val="32"/>
          <w:szCs w:val="32"/>
          <w:highlight w:val="none"/>
          <w:lang w:val="zh-TW" w:eastAsia="zh-TW"/>
        </w:rPr>
        <w:t>所示</w:t>
      </w:r>
      <w:r>
        <w:rPr>
          <w:rFonts w:hint="eastAsia" w:ascii="Times New Roman" w:hAnsi="Times New Roman" w:eastAsia="仿宋_GB2312" w:cs="Times New Roman"/>
          <w:color w:val="auto"/>
          <w:spacing w:val="17"/>
          <w:sz w:val="32"/>
          <w:szCs w:val="32"/>
          <w:highlight w:val="none"/>
          <w:lang w:val="zh-TW" w:eastAsia="zh-CN"/>
        </w:rPr>
        <w:t>（</w:t>
      </w:r>
      <w:r>
        <w:rPr>
          <w:rFonts w:hint="eastAsia" w:ascii="Times New Roman" w:hAnsi="Times New Roman" w:eastAsia="仿宋_GB2312" w:cs="Times New Roman"/>
          <w:color w:val="auto"/>
          <w:spacing w:val="17"/>
          <w:sz w:val="32"/>
          <w:szCs w:val="32"/>
          <w:highlight w:val="none"/>
          <w:lang w:val="en-US" w:eastAsia="zh-CN"/>
        </w:rPr>
        <w:t>详见上传的附件</w:t>
      </w:r>
      <w:r>
        <w:rPr>
          <w:rFonts w:hint="eastAsia" w:ascii="Times New Roman" w:hAnsi="Times New Roman" w:eastAsia="仿宋_GB2312" w:cs="Times New Roman"/>
          <w:color w:val="auto"/>
          <w:spacing w:val="17"/>
          <w:sz w:val="32"/>
          <w:szCs w:val="32"/>
          <w:highlight w:val="none"/>
          <w:lang w:val="zh-TW" w:eastAsia="zh-CN"/>
        </w:rPr>
        <w:t>）</w:t>
      </w:r>
      <w:r>
        <w:rPr>
          <w:rFonts w:hint="eastAsia" w:ascii="Times New Roman" w:hAnsi="Times New Roman" w:eastAsia="仿宋_GB2312" w:cs="Times New Roman"/>
          <w:color w:val="auto"/>
          <w:spacing w:val="17"/>
          <w:sz w:val="32"/>
          <w:szCs w:val="32"/>
          <w:highlight w:val="none"/>
          <w:lang w:val="zh-TW" w:eastAsia="zh-TW"/>
        </w:rPr>
        <w:t>：</w:t>
      </w:r>
    </w:p>
    <w:tbl>
      <w:tblPr>
        <w:tblStyle w:val="16"/>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6D455F5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7D592F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kern w:val="0"/>
                <w:sz w:val="28"/>
                <w:szCs w:val="28"/>
                <w:highlight w:val="none"/>
                <w:shd w:val="clear" w:color="auto" w:fill="auto"/>
                <w:lang w:val="en-US" w:eastAsia="zh-CN"/>
              </w:rPr>
              <w:t>昌州财教【2023】91号（保民生）提前下达2024年学生资助补助经费（中央直达资金）中职、技校免学费、中职、技校助学金</w:t>
            </w:r>
            <w:r>
              <w:rPr>
                <w:rFonts w:hint="eastAsia" w:ascii="宋体" w:hAnsi="宋体" w:eastAsia="宋体" w:cs="宋体"/>
                <w:b/>
                <w:bCs/>
                <w:color w:val="auto"/>
                <w:kern w:val="0"/>
                <w:sz w:val="28"/>
                <w:szCs w:val="28"/>
                <w:highlight w:val="none"/>
                <w:shd w:val="clear" w:color="auto" w:fill="auto"/>
                <w:lang w:val="en-US" w:eastAsia="zh-CN"/>
              </w:rPr>
              <w:t>项目得分表</w:t>
            </w:r>
          </w:p>
        </w:tc>
      </w:tr>
      <w:tr w14:paraId="324D323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01A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CAB6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A701B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F1E28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06214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0486B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23E39D8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96A92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BF16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F25EF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C15F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DE23C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C22F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A0D520A">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2B10A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6F07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EBE7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19.67</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6191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27C5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4A8D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bidi="ar-SA"/>
              </w:rPr>
            </w:pPr>
            <w:r>
              <w:rPr>
                <w:rFonts w:hint="eastAsia" w:cs="宋体"/>
                <w:color w:val="auto"/>
                <w:kern w:val="0"/>
                <w:sz w:val="21"/>
                <w:szCs w:val="21"/>
                <w:highlight w:val="none"/>
                <w:shd w:val="clear" w:color="auto" w:fill="auto"/>
                <w:lang w:val="en-US" w:eastAsia="zh-CN"/>
              </w:rPr>
              <w:t>98.67</w:t>
            </w:r>
          </w:p>
        </w:tc>
      </w:tr>
      <w:tr w14:paraId="6DB5027B">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1672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76C82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95.00%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0287F">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98.35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F47155">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68210C">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D33B1">
            <w:pPr>
              <w:keepNext w:val="0"/>
              <w:keepLines w:val="0"/>
              <w:pageBreakBefore w:val="0"/>
              <w:widowControl/>
              <w:kinsoku/>
              <w:wordWrap/>
              <w:overflowPunct/>
              <w:topLinePunct w:val="0"/>
              <w:autoSpaceDE/>
              <w:autoSpaceDN/>
              <w:bidi w:val="0"/>
              <w:adjustRightInd/>
              <w:snapToGrid w:val="0"/>
              <w:spacing w:line="560" w:lineRule="exact"/>
              <w:ind w:firstLine="420" w:firstLineChars="20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98.67</w:t>
            </w:r>
            <w:r>
              <w:rPr>
                <w:rFonts w:hint="eastAsia" w:ascii="宋体" w:hAnsi="宋体" w:eastAsia="宋体" w:cs="宋体"/>
                <w:color w:val="auto"/>
                <w:kern w:val="0"/>
                <w:sz w:val="21"/>
                <w:szCs w:val="21"/>
                <w:highlight w:val="none"/>
                <w:shd w:val="clear" w:color="auto" w:fill="auto"/>
                <w:lang w:val="en-US" w:eastAsia="zh-CN"/>
              </w:rPr>
              <w:t>%</w:t>
            </w:r>
          </w:p>
        </w:tc>
      </w:tr>
    </w:tbl>
    <w:p w14:paraId="2E966D18">
      <w:pPr>
        <w:pStyle w:val="3"/>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07" w:name="_Toc14941"/>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四、绩效评价指标分析</w:t>
      </w:r>
      <w:bookmarkEnd w:id="107"/>
    </w:p>
    <w:p w14:paraId="3E674E9E">
      <w:pPr>
        <w:pStyle w:val="14"/>
        <w:widowControl/>
        <w:spacing w:before="0" w:beforeLines="-2147483648" w:after="0" w:afterLines="-2147483648" w:line="560" w:lineRule="exact"/>
        <w:ind w:firstLine="643" w:firstLineChars="200"/>
        <w:jc w:val="both"/>
        <w:rPr>
          <w:rFonts w:hint="eastAsia" w:ascii="Times New Roman" w:hAnsi="Times New Roman" w:eastAsia="楷体_GB2312" w:cs="Times New Roman"/>
          <w:kern w:val="28"/>
          <w:sz w:val="32"/>
          <w:highlight w:val="none"/>
        </w:rPr>
      </w:pPr>
      <w:bookmarkStart w:id="108" w:name="_Toc6759"/>
      <w:r>
        <w:rPr>
          <w:rFonts w:hint="eastAsia" w:ascii="Times New Roman" w:hAnsi="Times New Roman" w:eastAsia="楷体_GB2312" w:cs="Times New Roman"/>
          <w:kern w:val="28"/>
          <w:sz w:val="32"/>
          <w:highlight w:val="none"/>
        </w:rPr>
        <w:t>（一）项目决策情况</w:t>
      </w:r>
      <w:bookmarkEnd w:id="108"/>
    </w:p>
    <w:p w14:paraId="140D37CE">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项目决策由3个二级指标和6个三级指标构成，权重分20分，实际得分19分，</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4</w:t>
      </w:r>
      <w:r>
        <w:rPr>
          <w:rFonts w:hint="eastAsia" w:ascii="仿宋_GB2312" w:hAnsi="仿宋_GB2312" w:eastAsia="仿宋_GB2312" w:cs="仿宋_GB2312"/>
          <w:b/>
          <w:bCs/>
          <w:color w:val="auto"/>
          <w:kern w:val="2"/>
          <w:sz w:val="32"/>
          <w:szCs w:val="32"/>
          <w:highlight w:val="none"/>
          <w:u w:color="000000"/>
          <w:shd w:val="clear" w:color="auto" w:fill="auto"/>
          <w:lang w:eastAsia="zh-CN"/>
        </w:rPr>
        <w:t>-1</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详见上传的附件二</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en-US" w:eastAsia="zh-CN"/>
        </w:rPr>
        <w:t>：</w:t>
      </w:r>
    </w:p>
    <w:p w14:paraId="156CEFF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表</w:t>
      </w:r>
      <w:r>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t>4-1</w:t>
      </w: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项目决策指标及分值</w:t>
      </w:r>
    </w:p>
    <w:tbl>
      <w:tblPr>
        <w:tblStyle w:val="16"/>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A5D876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692D8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9B27C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597F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FAA47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B9B23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AA6DD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1ACF15">
            <w:pPr>
              <w:keepNext w:val="0"/>
              <w:keepLines w:val="0"/>
              <w:pageBreakBefore w:val="0"/>
              <w:widowControl/>
              <w:shd w:val="clear"/>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F49E47F">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7ECCBA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6741B86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06DC74C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CF4783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44E2F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444E5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9A39D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47441DCA">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CEA814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A2F82B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86919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21558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1A057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24864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E4C3F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14:paraId="0E4B74A1">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0A960D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02F2C34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277CA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30C89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C7F97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11296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1BA5A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6E33148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A38AE9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89BEE5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83748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46090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7C1E1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422EA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0D666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r>
      <w:tr w14:paraId="6327679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DA528D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711761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9F6E7E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D8EEC6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73886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9901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EDF92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r>
      <w:tr w14:paraId="2740BD85">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F56A2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9F1F5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A96D8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5A134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DB53B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30330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DB1DD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r>
      <w:tr w14:paraId="73D5FDBF">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111E8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CD24B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A6A3B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2F583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02E12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7269E4AF">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09" w:name="_Toc13522"/>
      <w:bookmarkStart w:id="110" w:name="_Toc28069"/>
      <w:r>
        <w:rPr>
          <w:rFonts w:hint="eastAsia" w:ascii="仿宋_GB2312" w:hAnsi="仿宋_GB2312" w:eastAsia="仿宋_GB2312" w:cs="仿宋_GB2312"/>
          <w:b/>
          <w:bCs/>
          <w:sz w:val="32"/>
          <w:szCs w:val="32"/>
          <w:highlight w:val="none"/>
          <w:lang w:val="en-US" w:eastAsia="zh-CN"/>
        </w:rPr>
        <w:t>1.立项依据充分性</w:t>
      </w:r>
      <w:bookmarkEnd w:id="109"/>
      <w:bookmarkEnd w:id="110"/>
    </w:p>
    <w:p w14:paraId="31740881">
      <w:pPr>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①项目立项符合</w:t>
      </w:r>
      <w:r>
        <w:rPr>
          <w:rFonts w:hint="eastAsia" w:ascii="仿宋_GB2312" w:hAnsi="仿宋_GB2312" w:eastAsia="仿宋_GB2312" w:cs="仿宋_GB2312"/>
          <w:sz w:val="32"/>
          <w:szCs w:val="32"/>
          <w:highlight w:val="none"/>
        </w:rPr>
        <w:t>党的二十大精神，</w:t>
      </w:r>
      <w:r>
        <w:rPr>
          <w:rFonts w:hint="eastAsia" w:ascii="仿宋_GB2312" w:hAnsi="仿宋_GB2312" w:eastAsia="仿宋_GB2312" w:cs="仿宋_GB2312"/>
          <w:sz w:val="32"/>
          <w:szCs w:val="32"/>
          <w:highlight w:val="none"/>
          <w:lang w:val="en-US" w:eastAsia="zh-CN"/>
        </w:rPr>
        <w:t>以及</w:t>
      </w:r>
      <w:r>
        <w:rPr>
          <w:rFonts w:hint="eastAsia" w:ascii="仿宋_GB2312" w:hAnsi="仿宋_GB2312" w:eastAsia="仿宋_GB2312" w:cs="仿宋_GB2312"/>
          <w:sz w:val="32"/>
          <w:szCs w:val="32"/>
          <w:highlight w:val="none"/>
        </w:rPr>
        <w:t>教育部、财政部等多部门依据《中华人民共和国职业教育法》，相继出台一系列政策文件，如《关于进一步完善中等职业教育学生资助政策的通知》</w:t>
      </w:r>
      <w:r>
        <w:rPr>
          <w:rFonts w:hint="eastAsia" w:ascii="仿宋_GB2312" w:hAnsi="仿宋_GB2312" w:eastAsia="仿宋_GB2312" w:cs="仿宋_GB2312"/>
          <w:sz w:val="32"/>
          <w:szCs w:val="32"/>
          <w:highlight w:val="none"/>
          <w:lang w:eastAsia="zh-CN"/>
        </w:rPr>
        <w:t>；</w:t>
      </w:r>
    </w:p>
    <w:p w14:paraId="3396719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②项目立项符合</w:t>
      </w:r>
      <w:r>
        <w:rPr>
          <w:rFonts w:hint="eastAsia" w:ascii="仿宋_GB2312" w:hAnsi="仿宋_GB2312" w:eastAsia="仿宋_GB2312" w:cs="仿宋_GB2312"/>
          <w:sz w:val="32"/>
          <w:szCs w:val="32"/>
          <w:highlight w:val="none"/>
        </w:rPr>
        <w:t>中等职业教育学生资助政策</w:t>
      </w:r>
      <w:r>
        <w:rPr>
          <w:rFonts w:hint="eastAsia" w:ascii="仿宋_GB2312" w:hAnsi="仿宋_GB2312" w:eastAsia="仿宋_GB2312" w:cs="仿宋_GB2312"/>
          <w:sz w:val="32"/>
          <w:szCs w:val="32"/>
          <w:highlight w:val="none"/>
          <w:lang w:eastAsia="zh-CN"/>
        </w:rPr>
        <w:t>；</w:t>
      </w:r>
    </w:p>
    <w:p w14:paraId="5596734B">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③项目立项与实施中等职业教育，</w:t>
      </w:r>
      <w:r>
        <w:rPr>
          <w:rFonts w:hint="eastAsia" w:ascii="仿宋_GB2312" w:hAnsi="仿宋_GB2312" w:eastAsia="仿宋_GB2312" w:cs="仿宋_GB2312"/>
          <w:color w:val="auto"/>
          <w:sz w:val="32"/>
          <w:szCs w:val="32"/>
          <w:highlight w:val="none"/>
          <w:lang w:val="en-US" w:eastAsia="zh-CN"/>
        </w:rPr>
        <w:t>落实好中等职业教育资助政策</w:t>
      </w:r>
      <w:r>
        <w:rPr>
          <w:rFonts w:hint="eastAsia" w:ascii="仿宋_GB2312" w:hAnsi="仿宋_GB2312" w:eastAsia="仿宋_GB2312" w:cs="仿宋_GB2312"/>
          <w:color w:val="auto"/>
          <w:sz w:val="32"/>
          <w:szCs w:val="32"/>
          <w:highlight w:val="none"/>
          <w:lang w:eastAsia="zh-CN"/>
        </w:rPr>
        <w:t>，执行党和国家的教育方针、教育政策、教育法律法规，贯彻执行上级教育行政部门的各项规章制度的相符相</w:t>
      </w:r>
      <w:r>
        <w:rPr>
          <w:rFonts w:hint="eastAsia" w:ascii="仿宋_GB2312" w:hAnsi="仿宋_GB2312" w:eastAsia="仿宋_GB2312" w:cs="仿宋_GB2312"/>
          <w:sz w:val="32"/>
          <w:szCs w:val="32"/>
          <w:highlight w:val="none"/>
          <w:lang w:eastAsia="zh-CN"/>
        </w:rPr>
        <w:t>符，属于部门履职所需；</w:t>
      </w:r>
    </w:p>
    <w:p w14:paraId="1D0AF5BE">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④项目属于公共财政支持范围，符合中央、地方事权支出责任划分原则；</w:t>
      </w:r>
    </w:p>
    <w:p w14:paraId="78F82CF4">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⑤项目与相关部门同类项目、部门内部相关项目</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lang w:eastAsia="zh-CN"/>
        </w:rPr>
        <w:t>重复。</w:t>
      </w:r>
    </w:p>
    <w:p w14:paraId="29058457">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综上，该</w:t>
      </w:r>
      <w:r>
        <w:rPr>
          <w:rFonts w:hint="eastAsia" w:ascii="仿宋_GB2312" w:hAnsi="仿宋_GB2312" w:eastAsia="仿宋_GB2312" w:cs="仿宋_GB2312"/>
          <w:b/>
          <w:bCs/>
          <w:color w:val="auto"/>
          <w:sz w:val="32"/>
          <w:szCs w:val="32"/>
          <w:highlight w:val="none"/>
          <w:lang w:val="en-US" w:eastAsia="zh-CN"/>
        </w:rPr>
        <w:t>项指标满分2分，得分2分。</w:t>
      </w:r>
    </w:p>
    <w:p w14:paraId="608C1C87">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1" w:name="_Toc23240"/>
      <w:bookmarkStart w:id="112" w:name="_Toc21976"/>
      <w:r>
        <w:rPr>
          <w:rFonts w:hint="eastAsia" w:ascii="仿宋_GB2312" w:hAnsi="仿宋_GB2312" w:eastAsia="仿宋_GB2312" w:cs="仿宋_GB2312"/>
          <w:b/>
          <w:bCs/>
          <w:color w:val="auto"/>
          <w:sz w:val="32"/>
          <w:szCs w:val="32"/>
          <w:highlight w:val="none"/>
          <w:lang w:val="en-US" w:eastAsia="zh-CN"/>
        </w:rPr>
        <w:t>2.立项程序规范性</w:t>
      </w:r>
      <w:bookmarkEnd w:id="111"/>
      <w:bookmarkEnd w:id="112"/>
    </w:p>
    <w:p w14:paraId="4437F2B8">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①项目按照规定的程序申请设立；</w:t>
      </w:r>
    </w:p>
    <w:p w14:paraId="767B16C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②审批文件、材料符合相关要求；</w:t>
      </w:r>
    </w:p>
    <w:p w14:paraId="7B7572B3">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③事前经过必要的可行性研究、专家论证、集体决策。</w:t>
      </w:r>
      <w:r>
        <w:rPr>
          <w:rFonts w:hint="eastAsia" w:ascii="仿宋_GB2312" w:hAnsi="仿宋_GB2312" w:eastAsia="仿宋_GB2312" w:cs="仿宋_GB2312"/>
          <w:color w:val="auto"/>
          <w:sz w:val="32"/>
          <w:szCs w:val="32"/>
          <w:highlight w:val="none"/>
          <w:lang w:val="en-US" w:eastAsia="zh-CN"/>
        </w:rPr>
        <w:t>无风险评估、绩效评估，扣1分</w:t>
      </w:r>
      <w:r>
        <w:rPr>
          <w:rFonts w:hint="eastAsia" w:ascii="仿宋_GB2312" w:hAnsi="仿宋_GB2312" w:eastAsia="仿宋_GB2312" w:cs="仿宋_GB2312"/>
          <w:color w:val="auto"/>
          <w:sz w:val="32"/>
          <w:szCs w:val="32"/>
          <w:highlight w:val="none"/>
          <w:lang w:eastAsia="zh-CN"/>
        </w:rPr>
        <w:t>。</w:t>
      </w:r>
    </w:p>
    <w:p w14:paraId="5997C79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综上，该项指标满分3分，得分2分。</w:t>
      </w:r>
    </w:p>
    <w:p w14:paraId="28BD80F3">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13" w:name="_Toc15382"/>
      <w:bookmarkStart w:id="114" w:name="_Toc23542"/>
      <w:r>
        <w:rPr>
          <w:rFonts w:hint="eastAsia" w:ascii="仿宋_GB2312" w:hAnsi="仿宋_GB2312" w:eastAsia="仿宋_GB2312" w:cs="仿宋_GB2312"/>
          <w:b/>
          <w:bCs/>
          <w:sz w:val="32"/>
          <w:szCs w:val="32"/>
          <w:highlight w:val="none"/>
          <w:lang w:val="en-US" w:eastAsia="zh-CN"/>
        </w:rPr>
        <w:t>3.绩效目标合理性</w:t>
      </w:r>
      <w:bookmarkEnd w:id="113"/>
      <w:bookmarkEnd w:id="114"/>
    </w:p>
    <w:p w14:paraId="58940D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①该项目已设置年度绩效目标。</w:t>
      </w:r>
    </w:p>
    <w:p w14:paraId="194251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eastAsia="zh-CN"/>
        </w:rPr>
        <w:t>②该项目实际工作内容为：</w:t>
      </w:r>
      <w:r>
        <w:rPr>
          <w:rFonts w:hint="eastAsia" w:ascii="仿宋_GB2312" w:hAnsi="仿宋_GB2312" w:eastAsia="仿宋_GB2312" w:cs="仿宋_GB2312"/>
          <w:color w:val="auto"/>
          <w:sz w:val="32"/>
          <w:szCs w:val="32"/>
          <w:highlight w:val="none"/>
          <w:lang w:val="en-US" w:eastAsia="zh-CN"/>
        </w:rPr>
        <w:t>按照资助政策，落实全日制学历教育正式学籍在校生资助范围及标准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highlight w:val="none"/>
          <w:lang w:eastAsia="zh-CN"/>
        </w:rPr>
        <w:t>绩效目标与实际工作内容一致，两者具有相关性。</w:t>
      </w:r>
    </w:p>
    <w:p w14:paraId="498D4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该项目按照绩效目标完成数量指标、质量指标、时效指标、成本指标，完成了中职、技校免学费发放人数1701人，助学金发放人数612人，家庭经济困难学生享受政策比例达到100%，及时发放率达到100%，每人每年发放助学金2000元。达到了有效减轻家庭困难学生经济压力，改善贫困生生活质量</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lang w:eastAsia="zh-CN"/>
        </w:rPr>
        <w:t>效益，预期产出效益和效果是否符合正常的业绩水平。</w:t>
      </w:r>
    </w:p>
    <w:p w14:paraId="1CC57E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④《项目支出绩效目标表》中预算金额</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万元，预算确定的项目资金与预算确定的项目投资额相匹配。</w:t>
      </w:r>
    </w:p>
    <w:p w14:paraId="030D2505">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14:paraId="04408554">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5" w:name="_Toc10650"/>
      <w:bookmarkStart w:id="116" w:name="_Toc18198"/>
      <w:r>
        <w:rPr>
          <w:rFonts w:hint="eastAsia" w:ascii="仿宋_GB2312" w:hAnsi="仿宋_GB2312" w:eastAsia="仿宋_GB2312" w:cs="仿宋_GB2312"/>
          <w:b/>
          <w:bCs/>
          <w:color w:val="auto"/>
          <w:sz w:val="32"/>
          <w:szCs w:val="32"/>
          <w:highlight w:val="none"/>
          <w:lang w:val="en-US" w:eastAsia="zh-CN"/>
        </w:rPr>
        <w:t>4.绩效指标明确性</w:t>
      </w:r>
      <w:bookmarkEnd w:id="115"/>
      <w:bookmarkEnd w:id="116"/>
    </w:p>
    <w:p w14:paraId="262887E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①将项目绩效目标细化分解为具体的绩效指标，</w:t>
      </w:r>
      <w:r>
        <w:rPr>
          <w:rFonts w:hint="eastAsia" w:ascii="仿宋_GB2312" w:hAnsi="仿宋_GB2312" w:eastAsia="仿宋_GB2312" w:cs="仿宋_GB2312"/>
          <w:color w:val="auto"/>
          <w:sz w:val="32"/>
          <w:szCs w:val="32"/>
          <w:highlight w:val="none"/>
          <w:lang w:val="en-US" w:eastAsia="zh-CN"/>
        </w:rPr>
        <w:t>其中三级指标共计8个</w:t>
      </w:r>
      <w:r>
        <w:rPr>
          <w:rFonts w:hint="eastAsia" w:ascii="仿宋_GB2312" w:hAnsi="仿宋_GB2312" w:eastAsia="仿宋_GB2312" w:cs="仿宋_GB2312"/>
          <w:color w:val="auto"/>
          <w:sz w:val="32"/>
          <w:szCs w:val="32"/>
          <w:highlight w:val="none"/>
          <w:lang w:eastAsia="zh-CN"/>
        </w:rPr>
        <w:t>；</w:t>
      </w:r>
    </w:p>
    <w:p w14:paraId="6E34D403">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②通过清晰、可衡量的指标值予以体现，</w:t>
      </w:r>
      <w:r>
        <w:rPr>
          <w:rFonts w:hint="eastAsia" w:ascii="仿宋_GB2312" w:hAnsi="仿宋_GB2312" w:eastAsia="仿宋_GB2312" w:cs="仿宋_GB2312"/>
          <w:color w:val="auto"/>
          <w:sz w:val="32"/>
          <w:szCs w:val="32"/>
          <w:highlight w:val="none"/>
          <w:lang w:val="en-US" w:eastAsia="zh-CN"/>
        </w:rPr>
        <w:t>量化率达到75%</w:t>
      </w:r>
      <w:r>
        <w:rPr>
          <w:rFonts w:hint="eastAsia" w:ascii="仿宋_GB2312" w:hAnsi="仿宋_GB2312" w:eastAsia="仿宋_GB2312" w:cs="仿宋_GB2312"/>
          <w:color w:val="auto"/>
          <w:sz w:val="32"/>
          <w:szCs w:val="32"/>
          <w:highlight w:val="none"/>
          <w:lang w:eastAsia="zh-CN"/>
        </w:rPr>
        <w:t>；</w:t>
      </w:r>
    </w:p>
    <w:p w14:paraId="63658DBE">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③《项目绩效目标申报表》中，三级指标的年度指标值与年度绩效目标中任务数一致。</w:t>
      </w:r>
    </w:p>
    <w:p w14:paraId="1CD74B0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已设置的绩效目标具备明确性、可衡量性、可实现性、相关性、时限性。</w:t>
      </w:r>
    </w:p>
    <w:p w14:paraId="737124D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综上，该项指标满分5分，得分5分。</w:t>
      </w:r>
    </w:p>
    <w:p w14:paraId="50D43F8C">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17" w:name="_Toc19401"/>
      <w:bookmarkStart w:id="118" w:name="_Toc8296"/>
      <w:r>
        <w:rPr>
          <w:rFonts w:hint="eastAsia" w:ascii="仿宋_GB2312" w:hAnsi="仿宋_GB2312" w:eastAsia="仿宋_GB2312" w:cs="仿宋_GB2312"/>
          <w:b/>
          <w:bCs/>
          <w:color w:val="auto"/>
          <w:sz w:val="32"/>
          <w:szCs w:val="32"/>
          <w:highlight w:val="none"/>
          <w:lang w:val="en-US" w:eastAsia="zh-CN"/>
        </w:rPr>
        <w:t>5.预算编制科学性</w:t>
      </w:r>
      <w:bookmarkEnd w:id="117"/>
      <w:bookmarkEnd w:id="118"/>
    </w:p>
    <w:p w14:paraId="425D618F">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①</w:t>
      </w:r>
      <w:r>
        <w:rPr>
          <w:rFonts w:hint="eastAsia" w:ascii="仿宋_GB2312" w:hAnsi="仿宋_GB2312" w:eastAsia="仿宋_GB2312" w:cs="仿宋_GB2312"/>
          <w:sz w:val="32"/>
          <w:szCs w:val="32"/>
          <w:highlight w:val="none"/>
          <w:lang w:val="en-US" w:eastAsia="zh-CN"/>
        </w:rPr>
        <w:t>根据项目预算批复，项目的</w:t>
      </w:r>
      <w:r>
        <w:rPr>
          <w:rFonts w:hint="eastAsia" w:ascii="仿宋_GB2312" w:hAnsi="仿宋_GB2312" w:eastAsia="仿宋_GB2312" w:cs="仿宋_GB2312"/>
          <w:sz w:val="32"/>
          <w:szCs w:val="32"/>
          <w:highlight w:val="none"/>
          <w:lang w:eastAsia="zh-CN"/>
        </w:rPr>
        <w:t>预算编制经过科学论证；</w:t>
      </w:r>
    </w:p>
    <w:p w14:paraId="40C9450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lang w:eastAsia="zh-CN"/>
        </w:rPr>
        <w:t>预算申请内容为</w:t>
      </w:r>
      <w:r>
        <w:rPr>
          <w:rFonts w:hint="eastAsia" w:ascii="仿宋_GB2312" w:hAnsi="仿宋_GB2312" w:eastAsia="仿宋_GB2312" w:cs="仿宋_GB2312"/>
          <w:sz w:val="32"/>
          <w:szCs w:val="32"/>
          <w:highlight w:val="none"/>
          <w:lang w:val="en-US" w:eastAsia="zh-CN"/>
        </w:rPr>
        <w:t>减免</w:t>
      </w:r>
      <w:r>
        <w:rPr>
          <w:rFonts w:hint="eastAsia" w:ascii="仿宋_GB2312" w:hAnsi="仿宋_GB2312" w:eastAsia="仿宋_GB2312" w:cs="仿宋_GB2312"/>
          <w:sz w:val="32"/>
          <w:szCs w:val="32"/>
          <w:highlight w:val="none"/>
          <w:lang w:eastAsia="zh-CN"/>
        </w:rPr>
        <w:t>全日制学历教育正式学籍在校生</w:t>
      </w:r>
      <w:r>
        <w:rPr>
          <w:rFonts w:hint="eastAsia" w:ascii="仿宋_GB2312" w:hAnsi="仿宋_GB2312" w:eastAsia="仿宋_GB2312" w:cs="仿宋_GB2312"/>
          <w:sz w:val="32"/>
          <w:szCs w:val="32"/>
          <w:highlight w:val="none"/>
          <w:lang w:val="en-US" w:eastAsia="zh-CN"/>
        </w:rPr>
        <w:t>学费，发放家庭经济困难学生助学金</w:t>
      </w:r>
      <w:r>
        <w:rPr>
          <w:rFonts w:hint="eastAsia" w:ascii="仿宋_GB2312" w:hAnsi="仿宋_GB2312" w:eastAsia="仿宋_GB2312" w:cs="仿宋_GB2312"/>
          <w:sz w:val="32"/>
          <w:szCs w:val="32"/>
          <w:highlight w:val="none"/>
          <w:lang w:eastAsia="zh-CN"/>
        </w:rPr>
        <w:t>，项目实际内容为</w:t>
      </w:r>
      <w:r>
        <w:rPr>
          <w:rFonts w:hint="eastAsia" w:ascii="仿宋_GB2312" w:hAnsi="仿宋_GB2312" w:eastAsia="仿宋_GB2312" w:cs="仿宋_GB2312"/>
          <w:sz w:val="32"/>
          <w:szCs w:val="32"/>
          <w:highlight w:val="none"/>
          <w:lang w:val="en-US" w:eastAsia="zh-CN"/>
        </w:rPr>
        <w:t>减免</w:t>
      </w:r>
      <w:r>
        <w:rPr>
          <w:rFonts w:hint="eastAsia" w:ascii="仿宋_GB2312" w:hAnsi="仿宋_GB2312" w:eastAsia="仿宋_GB2312" w:cs="仿宋_GB2312"/>
          <w:sz w:val="32"/>
          <w:szCs w:val="32"/>
          <w:highlight w:val="none"/>
          <w:lang w:eastAsia="zh-CN"/>
        </w:rPr>
        <w:t>全日制学历教育正式学籍在校生</w:t>
      </w:r>
      <w:r>
        <w:rPr>
          <w:rFonts w:hint="eastAsia" w:ascii="仿宋_GB2312" w:hAnsi="仿宋_GB2312" w:eastAsia="仿宋_GB2312" w:cs="仿宋_GB2312"/>
          <w:sz w:val="32"/>
          <w:szCs w:val="32"/>
          <w:highlight w:val="none"/>
          <w:lang w:val="en-US" w:eastAsia="zh-CN"/>
        </w:rPr>
        <w:t>学费，发放家庭经济困难学生助学金</w:t>
      </w:r>
      <w:r>
        <w:rPr>
          <w:rFonts w:hint="eastAsia" w:ascii="仿宋_GB2312" w:hAnsi="仿宋_GB2312" w:eastAsia="仿宋_GB2312" w:cs="仿宋_GB2312"/>
          <w:sz w:val="32"/>
          <w:szCs w:val="32"/>
          <w:highlight w:val="none"/>
          <w:lang w:eastAsia="zh-CN"/>
        </w:rPr>
        <w:t>，预算申请与项目内容匹配；</w:t>
      </w:r>
    </w:p>
    <w:p w14:paraId="63525413">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③</w:t>
      </w:r>
      <w:r>
        <w:rPr>
          <w:rFonts w:hint="eastAsia" w:ascii="仿宋_GB2312" w:hAnsi="仿宋_GB2312" w:eastAsia="仿宋_GB2312" w:cs="仿宋_GB2312"/>
          <w:color w:val="auto"/>
          <w:sz w:val="32"/>
          <w:szCs w:val="32"/>
          <w:highlight w:val="none"/>
          <w:lang w:eastAsia="zh-CN"/>
        </w:rPr>
        <w:t>项目预算申请资金</w:t>
      </w:r>
      <w:r>
        <w:rPr>
          <w:rFonts w:hint="eastAsia" w:ascii="仿宋_GB2312" w:hAnsi="仿宋_GB2312" w:eastAsia="仿宋_GB2312" w:cs="仿宋_GB2312"/>
          <w:color w:val="auto"/>
          <w:sz w:val="32"/>
          <w:szCs w:val="32"/>
          <w:highlight w:val="none"/>
          <w:lang w:val="en-US" w:eastAsia="zh-CN"/>
        </w:rPr>
        <w:t>462万</w:t>
      </w:r>
      <w:r>
        <w:rPr>
          <w:rFonts w:hint="eastAsia" w:ascii="仿宋_GB2312" w:hAnsi="仿宋_GB2312" w:eastAsia="仿宋_GB2312" w:cs="仿宋_GB2312"/>
          <w:color w:val="auto"/>
          <w:sz w:val="32"/>
          <w:szCs w:val="32"/>
          <w:highlight w:val="none"/>
          <w:lang w:eastAsia="zh-CN"/>
        </w:rPr>
        <w:t>元，我单位在预算申请中严格按照项目实施内容及测算标准进行核算，其中：技校免学费102万，中职免学费238万、技校助学金45万，中职助学金77万。</w:t>
      </w:r>
    </w:p>
    <w:p w14:paraId="0F6CBF35">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④</w:t>
      </w:r>
      <w:r>
        <w:rPr>
          <w:rFonts w:hint="eastAsia" w:ascii="仿宋_GB2312" w:hAnsi="仿宋_GB2312" w:eastAsia="仿宋_GB2312" w:cs="仿宋_GB2312"/>
          <w:sz w:val="32"/>
          <w:szCs w:val="32"/>
          <w:highlight w:val="none"/>
          <w:lang w:eastAsia="zh-CN"/>
        </w:rPr>
        <w:t>预算确定资金量与实际工作任务相匹配。项目预算额度测算依据充分，严格按照标准编制，项目资金量与</w:t>
      </w:r>
      <w:r>
        <w:rPr>
          <w:rFonts w:hint="eastAsia" w:ascii="仿宋_GB2312" w:hAnsi="仿宋_GB2312" w:eastAsia="仿宋_GB2312" w:cs="仿宋_GB2312"/>
          <w:sz w:val="32"/>
          <w:szCs w:val="32"/>
          <w:highlight w:val="none"/>
          <w:lang w:val="en-US" w:eastAsia="zh-CN"/>
        </w:rPr>
        <w:t>项目实施内容</w:t>
      </w:r>
      <w:r>
        <w:rPr>
          <w:rFonts w:hint="eastAsia" w:ascii="仿宋_GB2312" w:hAnsi="仿宋_GB2312" w:eastAsia="仿宋_GB2312" w:cs="仿宋_GB2312"/>
          <w:sz w:val="32"/>
          <w:szCs w:val="32"/>
          <w:highlight w:val="none"/>
          <w:lang w:eastAsia="zh-CN"/>
        </w:rPr>
        <w:t>相匹配。</w:t>
      </w:r>
    </w:p>
    <w:p w14:paraId="4015F21E">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综上，该项指标满</w:t>
      </w:r>
      <w:r>
        <w:rPr>
          <w:rFonts w:hint="eastAsia" w:ascii="仿宋_GB2312" w:hAnsi="仿宋_GB2312" w:eastAsia="仿宋_GB2312" w:cs="仿宋_GB2312"/>
          <w:b/>
          <w:bCs/>
          <w:color w:val="auto"/>
          <w:sz w:val="32"/>
          <w:szCs w:val="32"/>
          <w:highlight w:val="none"/>
          <w:lang w:val="en-US" w:eastAsia="zh-CN"/>
        </w:rPr>
        <w:t>分2分，得分2分。</w:t>
      </w:r>
    </w:p>
    <w:p w14:paraId="04DEE1CE">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19" w:name="_Toc697"/>
      <w:bookmarkStart w:id="120" w:name="_Toc20556"/>
      <w:r>
        <w:rPr>
          <w:rFonts w:hint="eastAsia" w:ascii="仿宋_GB2312" w:hAnsi="仿宋_GB2312" w:eastAsia="仿宋_GB2312" w:cs="仿宋_GB2312"/>
          <w:b/>
          <w:bCs/>
          <w:sz w:val="32"/>
          <w:szCs w:val="32"/>
          <w:highlight w:val="none"/>
          <w:lang w:val="en-US" w:eastAsia="zh-CN"/>
        </w:rPr>
        <w:t>6.资金分配合理性</w:t>
      </w:r>
      <w:bookmarkEnd w:id="119"/>
      <w:bookmarkEnd w:id="120"/>
    </w:p>
    <w:p w14:paraId="781EF93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①项目实际分配资金以</w:t>
      </w:r>
      <w:r>
        <w:rPr>
          <w:rFonts w:hint="eastAsia" w:ascii="仿宋_GB2312" w:hAnsi="仿宋_GB2312" w:eastAsia="仿宋_GB2312" w:cs="仿宋_GB2312"/>
          <w:color w:val="auto"/>
          <w:sz w:val="32"/>
          <w:szCs w:val="32"/>
          <w:highlight w:val="none"/>
          <w:lang w:eastAsia="zh-Hans"/>
        </w:rPr>
        <w:t>《昌州财教[2023]91号</w:t>
      </w:r>
      <w:r>
        <w:rPr>
          <w:rFonts w:hint="eastAsia" w:ascii="仿宋_GB2312" w:hAnsi="仿宋_GB2312" w:eastAsia="仿宋_GB2312" w:cs="仿宋_GB2312"/>
          <w:color w:val="auto"/>
          <w:sz w:val="32"/>
          <w:szCs w:val="32"/>
          <w:highlight w:val="none"/>
          <w:lang w:val="en-US" w:eastAsia="zh-CN"/>
        </w:rPr>
        <w:t>关于提前下达2024年学生资助补助经费预算（中央直达资金）的通知</w:t>
      </w:r>
      <w:r>
        <w:rPr>
          <w:rFonts w:hint="eastAsia" w:ascii="仿宋_GB2312" w:hAnsi="仿宋_GB2312" w:eastAsia="仿宋_GB2312" w:cs="仿宋_GB2312"/>
          <w:color w:val="auto"/>
          <w:sz w:val="32"/>
          <w:szCs w:val="32"/>
          <w:highlight w:val="none"/>
          <w:lang w:eastAsia="zh-Hans"/>
        </w:rPr>
        <w:t>》为依据进行资金分配，预算资金分配依据充分</w:t>
      </w:r>
      <w:r>
        <w:rPr>
          <w:rFonts w:hint="eastAsia" w:ascii="仿宋_GB2312" w:hAnsi="仿宋_GB2312" w:eastAsia="仿宋_GB2312" w:cs="仿宋_GB2312"/>
          <w:color w:val="auto"/>
          <w:sz w:val="32"/>
          <w:szCs w:val="32"/>
          <w:highlight w:val="none"/>
          <w:lang w:eastAsia="zh-CN"/>
        </w:rPr>
        <w:t>。</w:t>
      </w:r>
    </w:p>
    <w:p w14:paraId="18C386CC">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②项目实际到位资金</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万元，资金分配额度合理，与项目单位</w:t>
      </w:r>
      <w:r>
        <w:rPr>
          <w:rFonts w:hint="eastAsia" w:ascii="仿宋_GB2312" w:hAnsi="仿宋_GB2312" w:eastAsia="仿宋_GB2312" w:cs="仿宋_GB2312"/>
          <w:color w:val="auto"/>
          <w:sz w:val="32"/>
          <w:szCs w:val="32"/>
          <w:highlight w:val="none"/>
          <w:lang w:val="en-US" w:eastAsia="zh-CN"/>
        </w:rPr>
        <w:t>及项目实际实施情况相</w:t>
      </w:r>
      <w:r>
        <w:rPr>
          <w:rFonts w:hint="eastAsia" w:ascii="仿宋_GB2312" w:hAnsi="仿宋_GB2312" w:eastAsia="仿宋_GB2312" w:cs="仿宋_GB2312"/>
          <w:color w:val="auto"/>
          <w:sz w:val="32"/>
          <w:szCs w:val="32"/>
          <w:highlight w:val="none"/>
          <w:lang w:eastAsia="zh-CN"/>
        </w:rPr>
        <w:t>适应。</w:t>
      </w:r>
    </w:p>
    <w:p w14:paraId="683C57FD">
      <w:pPr>
        <w:pageBreakBefore w:val="0"/>
        <w:kinsoku/>
        <w:wordWrap/>
        <w:overflowPunct/>
        <w:topLinePunct w:val="0"/>
        <w:autoSpaceDE/>
        <w:autoSpaceDN/>
        <w:bidi w:val="0"/>
        <w:spacing w:line="560" w:lineRule="exact"/>
        <w:textAlignment w:val="auto"/>
        <w:rPr>
          <w:rFonts w:hint="eastAsia"/>
          <w:highlight w:val="none"/>
          <w:lang w:eastAsia="zh-CN"/>
        </w:rPr>
      </w:pPr>
      <w:r>
        <w:rPr>
          <w:rFonts w:hint="eastAsia" w:ascii="仿宋_GB2312" w:hAnsi="仿宋_GB2312" w:eastAsia="仿宋_GB2312" w:cs="仿宋_GB2312"/>
          <w:b/>
          <w:bCs/>
          <w:sz w:val="32"/>
          <w:szCs w:val="32"/>
          <w:highlight w:val="none"/>
          <w:lang w:val="en-US" w:eastAsia="zh-CN"/>
        </w:rPr>
        <w:t>综上，该项指标满</w:t>
      </w:r>
      <w:r>
        <w:rPr>
          <w:rFonts w:hint="eastAsia" w:ascii="仿宋_GB2312" w:hAnsi="仿宋_GB2312" w:eastAsia="仿宋_GB2312" w:cs="仿宋_GB2312"/>
          <w:b/>
          <w:bCs/>
          <w:color w:val="auto"/>
          <w:sz w:val="32"/>
          <w:szCs w:val="32"/>
          <w:highlight w:val="none"/>
          <w:lang w:val="en-US" w:eastAsia="zh-CN"/>
        </w:rPr>
        <w:t>分3分，得分3分。</w:t>
      </w:r>
    </w:p>
    <w:p w14:paraId="50155C4C">
      <w:pPr>
        <w:pStyle w:val="14"/>
        <w:widowControl/>
        <w:numPr>
          <w:ilvl w:val="0"/>
          <w:numId w:val="0"/>
        </w:numPr>
        <w:spacing w:before="0" w:beforeLines="-2147483648" w:after="0" w:afterLines="-2147483648" w:line="560" w:lineRule="exact"/>
        <w:ind w:firstLine="643" w:firstLineChars="200"/>
        <w:jc w:val="both"/>
        <w:rPr>
          <w:rFonts w:hint="eastAsia" w:ascii="Times New Roman" w:hAnsi="Times New Roman" w:eastAsia="楷体" w:cs="Times New Roman"/>
          <w:kern w:val="28"/>
          <w:sz w:val="32"/>
          <w:highlight w:val="none"/>
        </w:rPr>
      </w:pPr>
      <w:bookmarkStart w:id="121" w:name="_Toc10564"/>
      <w:r>
        <w:rPr>
          <w:rFonts w:hint="eastAsia" w:ascii="Times New Roman" w:hAnsi="Times New Roman" w:eastAsia="楷体" w:cs="Times New Roman"/>
          <w:kern w:val="28"/>
          <w:sz w:val="32"/>
          <w:highlight w:val="none"/>
          <w:lang w:eastAsia="zh-CN"/>
        </w:rPr>
        <w:t>（</w:t>
      </w:r>
      <w:r>
        <w:rPr>
          <w:rFonts w:hint="eastAsia" w:ascii="Times New Roman" w:hAnsi="Times New Roman" w:eastAsia="楷体" w:cs="Times New Roman"/>
          <w:kern w:val="28"/>
          <w:sz w:val="32"/>
          <w:highlight w:val="none"/>
          <w:lang w:val="en-US" w:eastAsia="zh-CN"/>
        </w:rPr>
        <w:t>二</w:t>
      </w:r>
      <w:r>
        <w:rPr>
          <w:rFonts w:hint="eastAsia" w:ascii="Times New Roman" w:hAnsi="Times New Roman" w:eastAsia="楷体" w:cs="Times New Roman"/>
          <w:kern w:val="28"/>
          <w:sz w:val="32"/>
          <w:highlight w:val="none"/>
          <w:lang w:eastAsia="zh-CN"/>
        </w:rPr>
        <w:t>）</w:t>
      </w:r>
      <w:r>
        <w:rPr>
          <w:rFonts w:hint="eastAsia" w:ascii="Times New Roman" w:hAnsi="Times New Roman" w:eastAsia="楷体" w:cs="Times New Roman"/>
          <w:kern w:val="28"/>
          <w:sz w:val="32"/>
          <w:highlight w:val="none"/>
        </w:rPr>
        <w:t>项目过程情况</w:t>
      </w:r>
      <w:bookmarkEnd w:id="121"/>
    </w:p>
    <w:p w14:paraId="538990C4">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rPr>
        <w:t>过程</w:t>
      </w:r>
      <w:r>
        <w:rPr>
          <w:rFonts w:hint="eastAsia" w:ascii="仿宋_GB2312" w:hAnsi="仿宋_GB2312" w:eastAsia="仿宋_GB2312" w:cs="仿宋_GB2312"/>
          <w:color w:val="auto"/>
          <w:kern w:val="2"/>
          <w:sz w:val="32"/>
          <w:szCs w:val="32"/>
          <w:highlight w:val="none"/>
          <w:u w:color="000000"/>
          <w:shd w:val="clear" w:color="auto" w:fill="auto"/>
          <w:lang w:eastAsia="zh-CN"/>
        </w:rPr>
        <w:t>管理</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19.67</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详见上传的附件二</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368A076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cs="宋体"/>
          <w:b/>
          <w:bCs/>
          <w:color w:val="000000" w:themeColor="text1"/>
          <w:kern w:val="0"/>
          <w:sz w:val="28"/>
          <w:szCs w:val="28"/>
          <w:highlight w:val="none"/>
          <w:shd w:val="clear" w:color="auto" w:fill="auto"/>
          <w:lang w:val="en-US" w:eastAsia="zh-CN"/>
          <w14:textFill>
            <w14:solidFill>
              <w14:schemeClr w14:val="tx1"/>
            </w14:solidFill>
          </w14:textFill>
        </w:rPr>
        <w:t>过程</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139AE5C3">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1EBDB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854DE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D811A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4B1FC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369BF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8345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0B9B6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CE8DA16">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EC7F0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38A69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CE9C1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EC60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7C5D7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23E9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4961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B43B54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19D01B">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BE2FF">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A9642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31B0F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D907F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715AA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3267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3.67</w:t>
            </w:r>
          </w:p>
        </w:tc>
      </w:tr>
      <w:tr w14:paraId="1179F358">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0A86B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2398C8">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C7C23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1F6B8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DEF9F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76E7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B69835">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20327C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54C514">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5E69B3">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D312E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3B149E">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E0FA6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FD0EF2">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C5215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2EE0DE7">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B66E5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FCDBD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02C239">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909F6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704C0">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B66B6C">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EFABE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DFBF3F7">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7083CD">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DED22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DF8157">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1384A1">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8D2D5A">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19.67</w:t>
            </w:r>
          </w:p>
        </w:tc>
      </w:tr>
    </w:tbl>
    <w:p w14:paraId="537A6D46">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highlight w:val="none"/>
          <w:lang w:val="en-US" w:eastAsia="zh-CN"/>
        </w:rPr>
      </w:pPr>
      <w:bookmarkStart w:id="122" w:name="_Toc3886"/>
      <w:bookmarkStart w:id="123" w:name="_Toc20449"/>
      <w:r>
        <w:rPr>
          <w:rFonts w:hint="eastAsia" w:ascii="仿宋_GB2312" w:hAnsi="仿宋_GB2312" w:eastAsia="仿宋_GB2312" w:cs="仿宋_GB2312"/>
          <w:b/>
          <w:bCs/>
          <w:color w:val="auto"/>
          <w:sz w:val="32"/>
          <w:szCs w:val="32"/>
          <w:highlight w:val="none"/>
          <w:lang w:val="en-US" w:eastAsia="zh-CN"/>
        </w:rPr>
        <w:t>1.资金到位率</w:t>
      </w:r>
      <w:bookmarkEnd w:id="122"/>
      <w:bookmarkEnd w:id="123"/>
    </w:p>
    <w:p w14:paraId="4C03DE5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rPr>
        <w:t>项目预算资金为</w:t>
      </w:r>
      <w:r>
        <w:rPr>
          <w:rFonts w:hint="eastAsia" w:ascii="仿宋_GB2312" w:hAnsi="仿宋_GB2312" w:eastAsia="仿宋_GB2312" w:cs="仿宋_GB2312"/>
          <w:b w:val="0"/>
          <w:bCs w:val="0"/>
          <w:color w:val="auto"/>
          <w:sz w:val="32"/>
          <w:szCs w:val="32"/>
          <w:highlight w:val="none"/>
          <w:lang w:val="en-US" w:eastAsia="zh-CN"/>
        </w:rPr>
        <w:t>462</w:t>
      </w:r>
      <w:r>
        <w:rPr>
          <w:rFonts w:hint="eastAsia" w:ascii="仿宋_GB2312" w:hAnsi="仿宋_GB2312" w:eastAsia="仿宋_GB2312" w:cs="仿宋_GB2312"/>
          <w:b w:val="0"/>
          <w:bCs w:val="0"/>
          <w:color w:val="auto"/>
          <w:sz w:val="32"/>
          <w:szCs w:val="32"/>
          <w:highlight w:val="none"/>
        </w:rPr>
        <w:t>万元，其中：财政安排资金</w:t>
      </w:r>
      <w:r>
        <w:rPr>
          <w:rFonts w:hint="eastAsia" w:ascii="仿宋_GB2312" w:hAnsi="仿宋_GB2312" w:eastAsia="仿宋_GB2312" w:cs="仿宋_GB2312"/>
          <w:b w:val="0"/>
          <w:bCs w:val="0"/>
          <w:color w:val="auto"/>
          <w:sz w:val="32"/>
          <w:szCs w:val="32"/>
          <w:highlight w:val="none"/>
          <w:lang w:val="en-US" w:eastAsia="zh-CN"/>
        </w:rPr>
        <w:t>462</w:t>
      </w:r>
      <w:r>
        <w:rPr>
          <w:rFonts w:hint="eastAsia" w:ascii="仿宋_GB2312" w:hAnsi="仿宋_GB2312" w:eastAsia="仿宋_GB2312" w:cs="仿宋_GB2312"/>
          <w:b w:val="0"/>
          <w:bCs w:val="0"/>
          <w:color w:val="auto"/>
          <w:sz w:val="32"/>
          <w:szCs w:val="32"/>
          <w:highlight w:val="none"/>
        </w:rPr>
        <w:t>万元，其他资金</w:t>
      </w:r>
      <w:r>
        <w:rPr>
          <w:rFonts w:hint="eastAsia" w:ascii="仿宋_GB2312" w:hAnsi="仿宋_GB2312" w:eastAsia="仿宋_GB2312" w:cs="仿宋_GB2312"/>
          <w:b w:val="0"/>
          <w:bCs w:val="0"/>
          <w:color w:val="auto"/>
          <w:sz w:val="32"/>
          <w:szCs w:val="32"/>
          <w:highlight w:val="none"/>
          <w:lang w:val="en-US" w:eastAsia="zh-CN"/>
        </w:rPr>
        <w:t>0</w:t>
      </w:r>
      <w:r>
        <w:rPr>
          <w:rFonts w:hint="eastAsia" w:ascii="仿宋_GB2312" w:hAnsi="仿宋_GB2312" w:eastAsia="仿宋_GB2312" w:cs="仿宋_GB2312"/>
          <w:b w:val="0"/>
          <w:bCs w:val="0"/>
          <w:color w:val="auto"/>
          <w:sz w:val="32"/>
          <w:szCs w:val="32"/>
          <w:highlight w:val="none"/>
        </w:rPr>
        <w:t>万元</w:t>
      </w:r>
      <w:r>
        <w:rPr>
          <w:rFonts w:hint="eastAsia" w:ascii="仿宋_GB2312" w:hAnsi="仿宋_GB2312" w:eastAsia="仿宋_GB2312" w:cs="仿宋_GB2312"/>
          <w:b w:val="0"/>
          <w:bCs w:val="0"/>
          <w:color w:val="auto"/>
          <w:sz w:val="32"/>
          <w:szCs w:val="32"/>
          <w:highlight w:val="none"/>
          <w:lang w:eastAsia="zh-CN"/>
        </w:rPr>
        <w:t>。</w:t>
      </w:r>
    </w:p>
    <w:p w14:paraId="6FCBA2AF">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资金到位率=（</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）×100%</w:t>
      </w:r>
      <w:r>
        <w:rPr>
          <w:rFonts w:hint="eastAsia" w:ascii="仿宋_GB2312" w:hAnsi="仿宋_GB2312" w:eastAsia="仿宋_GB2312" w:cs="仿宋_GB2312"/>
          <w:color w:val="auto"/>
          <w:sz w:val="32"/>
          <w:szCs w:val="32"/>
          <w:highlight w:val="none"/>
          <w:lang w:val="en-US" w:eastAsia="zh-CN"/>
        </w:rPr>
        <w:t>=100%</w:t>
      </w:r>
    </w:p>
    <w:p w14:paraId="0E1C3C59">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综上，该项指标满分4分，得分4分。</w:t>
      </w:r>
    </w:p>
    <w:p w14:paraId="514C7CE4">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24" w:name="_Toc9705"/>
      <w:bookmarkStart w:id="125" w:name="_Toc17709"/>
      <w:r>
        <w:rPr>
          <w:rFonts w:hint="eastAsia" w:ascii="仿宋_GB2312" w:hAnsi="仿宋_GB2312" w:eastAsia="仿宋_GB2312" w:cs="仿宋_GB2312"/>
          <w:b/>
          <w:bCs/>
          <w:sz w:val="32"/>
          <w:szCs w:val="32"/>
          <w:highlight w:val="none"/>
          <w:lang w:val="en-US" w:eastAsia="zh-CN"/>
        </w:rPr>
        <w:t>2.预算执行率</w:t>
      </w:r>
      <w:bookmarkEnd w:id="124"/>
      <w:bookmarkEnd w:id="125"/>
    </w:p>
    <w:p w14:paraId="4FA95D6E">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截至2024年1</w:t>
      </w:r>
      <w:r>
        <w:rPr>
          <w:rFonts w:hint="eastAsia" w:ascii="仿宋_GB2312" w:hAnsi="仿宋_GB2312" w:eastAsia="仿宋_GB2312" w:cs="仿宋_GB2312"/>
          <w:color w:val="auto"/>
          <w:sz w:val="32"/>
          <w:szCs w:val="32"/>
          <w:highlight w:val="none"/>
          <w:lang w:val="en-US" w:eastAsia="zh-CN"/>
        </w:rPr>
        <w:t>2月31日，项目实际支出</w:t>
      </w:r>
      <w:r>
        <w:rPr>
          <w:rFonts w:hint="eastAsia" w:ascii="仿宋_GB2312" w:hAnsi="仿宋_GB2312" w:eastAsia="仿宋_GB2312" w:cs="仿宋_GB2312"/>
          <w:b w:val="0"/>
          <w:bCs w:val="0"/>
          <w:color w:val="auto"/>
          <w:sz w:val="32"/>
          <w:szCs w:val="32"/>
          <w:highlight w:val="none"/>
          <w:lang w:val="en-US" w:eastAsia="zh-CN"/>
        </w:rPr>
        <w:t>423.81</w:t>
      </w:r>
      <w:r>
        <w:rPr>
          <w:rFonts w:hint="eastAsia" w:ascii="仿宋_GB2312" w:hAnsi="仿宋_GB2312" w:eastAsia="仿宋_GB2312" w:cs="仿宋_GB2312"/>
          <w:color w:val="auto"/>
          <w:sz w:val="32"/>
          <w:szCs w:val="32"/>
          <w:highlight w:val="none"/>
          <w:lang w:val="en-US" w:eastAsia="zh-CN"/>
        </w:rPr>
        <w:t>万元。</w:t>
      </w:r>
    </w:p>
    <w:p w14:paraId="7233E9B5">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预算执行率=（</w:t>
      </w:r>
      <w:r>
        <w:rPr>
          <w:rFonts w:hint="eastAsia" w:ascii="仿宋_GB2312" w:hAnsi="仿宋_GB2312" w:eastAsia="仿宋_GB2312" w:cs="仿宋_GB2312"/>
          <w:color w:val="auto"/>
          <w:sz w:val="32"/>
          <w:szCs w:val="32"/>
          <w:highlight w:val="none"/>
          <w:lang w:val="en-US" w:eastAsia="zh-CN"/>
        </w:rPr>
        <w:t>423.81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）×10</w:t>
      </w:r>
      <w:r>
        <w:rPr>
          <w:rFonts w:hint="eastAsia" w:ascii="仿宋_GB2312" w:hAnsi="仿宋_GB2312" w:eastAsia="仿宋_GB2312" w:cs="仿宋_GB2312"/>
          <w:b w:val="0"/>
          <w:bCs w:val="0"/>
          <w:color w:val="auto"/>
          <w:sz w:val="32"/>
          <w:szCs w:val="32"/>
          <w:highlight w:val="none"/>
          <w:lang w:eastAsia="zh-CN"/>
        </w:rPr>
        <w:t>0%</w:t>
      </w:r>
      <w:r>
        <w:rPr>
          <w:rFonts w:hint="eastAsia" w:ascii="仿宋_GB2312" w:hAnsi="仿宋_GB2312" w:eastAsia="仿宋_GB2312" w:cs="仿宋_GB2312"/>
          <w:b w:val="0"/>
          <w:bCs w:val="0"/>
          <w:color w:val="auto"/>
          <w:sz w:val="32"/>
          <w:szCs w:val="32"/>
          <w:highlight w:val="none"/>
          <w:lang w:val="en-US" w:eastAsia="zh-CN"/>
        </w:rPr>
        <w:t>=91.73%，扣0.33分。</w:t>
      </w:r>
    </w:p>
    <w:p w14:paraId="5540FCFB">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综上，该项指标满分4分，得分3.67分。</w:t>
      </w:r>
    </w:p>
    <w:p w14:paraId="32D3A950">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highlight w:val="none"/>
          <w:lang w:val="en-US" w:eastAsia="zh-CN"/>
        </w:rPr>
      </w:pPr>
      <w:bookmarkStart w:id="126" w:name="_Toc28875"/>
      <w:bookmarkStart w:id="127" w:name="_Toc18691"/>
      <w:r>
        <w:rPr>
          <w:rFonts w:hint="eastAsia" w:ascii="仿宋_GB2312" w:hAnsi="仿宋_GB2312" w:eastAsia="仿宋_GB2312" w:cs="仿宋_GB2312"/>
          <w:b/>
          <w:bCs/>
          <w:sz w:val="32"/>
          <w:szCs w:val="32"/>
          <w:highlight w:val="none"/>
          <w:lang w:val="en-US" w:eastAsia="zh-CN"/>
        </w:rPr>
        <w:t>3.资金使用合规性</w:t>
      </w:r>
      <w:bookmarkEnd w:id="126"/>
      <w:bookmarkEnd w:id="127"/>
    </w:p>
    <w:p w14:paraId="4CDEE3C8">
      <w:pPr>
        <w:pageBreakBefore w:val="0"/>
        <w:kinsoku/>
        <w:wordWrap/>
        <w:overflowPunct/>
        <w:topLinePunct w:val="0"/>
        <w:autoSpaceDE/>
        <w:autoSpaceDN/>
        <w:bidi w:val="0"/>
        <w:spacing w:line="560" w:lineRule="exact"/>
        <w:textAlignment w:val="auto"/>
        <w:rPr>
          <w:rFonts w:hint="eastAsia" w:ascii="方正仿宋_GBK" w:hAnsi="方正仿宋_GBK" w:eastAsia="方正仿宋_GBK" w:cs="方正仿宋_GBK"/>
          <w:color w:val="FF0000"/>
          <w:sz w:val="32"/>
          <w:szCs w:val="32"/>
          <w:highlight w:val="none"/>
        </w:rPr>
      </w:pPr>
      <w:r>
        <w:rPr>
          <w:rFonts w:hint="eastAsia" w:ascii="仿宋_GB2312" w:hAnsi="仿宋_GB2312" w:eastAsia="仿宋_GB2312" w:cs="仿宋_GB2312"/>
          <w:color w:val="auto"/>
          <w:sz w:val="32"/>
          <w:szCs w:val="32"/>
          <w:highlight w:val="none"/>
          <w:lang w:eastAsia="zh-CN"/>
        </w:rPr>
        <w:t>①本项目资金支出符合国家财经法规、《政府会计制度》《阜康市职业中等专业学校单位资金管理办法》《阜康市职业中等专业学校专项资金管理办法》</w:t>
      </w:r>
      <w:r>
        <w:rPr>
          <w:rFonts w:hint="eastAsia" w:ascii="仿宋_GB2312" w:hAnsi="仿宋_GB2312" w:eastAsia="仿宋_GB2312" w:cs="仿宋_GB2312"/>
          <w:sz w:val="32"/>
          <w:szCs w:val="32"/>
          <w:highlight w:val="none"/>
          <w:lang w:eastAsia="zh-CN"/>
        </w:rPr>
        <w:t>；</w:t>
      </w:r>
    </w:p>
    <w:p w14:paraId="3CF9268E">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②资金的拨付有完整的审批程序和手续；</w:t>
      </w:r>
    </w:p>
    <w:p w14:paraId="20CC77B5">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③符合项目预算批复或合同规定的用途；</w:t>
      </w:r>
    </w:p>
    <w:p w14:paraId="3245222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④</w:t>
      </w:r>
      <w:r>
        <w:rPr>
          <w:rFonts w:hint="eastAsia" w:ascii="仿宋_GB2312" w:hAnsi="仿宋_GB2312" w:eastAsia="仿宋_GB2312" w:cs="仿宋_GB2312"/>
          <w:sz w:val="32"/>
          <w:szCs w:val="32"/>
          <w:highlight w:val="none"/>
          <w:lang w:val="en-US" w:eastAsia="zh-CN"/>
        </w:rPr>
        <w:t>不</w:t>
      </w:r>
      <w:r>
        <w:rPr>
          <w:rFonts w:hint="eastAsia" w:ascii="仿宋_GB2312" w:hAnsi="仿宋_GB2312" w:eastAsia="仿宋_GB2312" w:cs="仿宋_GB2312"/>
          <w:sz w:val="32"/>
          <w:szCs w:val="32"/>
          <w:highlight w:val="none"/>
          <w:lang w:eastAsia="zh-CN"/>
        </w:rPr>
        <w:t>存在截留、挤占、挪用、虚列支出等情况。</w:t>
      </w:r>
    </w:p>
    <w:p w14:paraId="710D9ADD">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sz w:val="32"/>
          <w:szCs w:val="32"/>
          <w:highlight w:val="none"/>
          <w:lang w:val="en-US" w:eastAsia="zh-CN"/>
        </w:rPr>
      </w:pPr>
      <w:r>
        <w:rPr>
          <w:rFonts w:hint="default" w:ascii="Times New Roman" w:hAnsi="Times New Roman" w:eastAsia="仿宋_GB2312" w:cs="Times New Roman"/>
          <w:sz w:val="32"/>
          <w:szCs w:val="32"/>
          <w:highlight w:val="none"/>
          <w:lang w:eastAsia="zh-CN"/>
        </w:rPr>
        <w:t>本项目的资金使用是合规的、安全的，既符合国家相关法律法规与财务制度的要求，又满足了项目实施的实际需要。资金使用的合规性为项目的成功实施提供了有力的保障，也为项目的绩效评价奠定了坚实的基础。</w:t>
      </w:r>
      <w:r>
        <w:rPr>
          <w:rFonts w:hint="eastAsia" w:ascii="Times New Roman" w:hAnsi="Times New Roman" w:eastAsia="仿宋_GB2312" w:cs="Times New Roman"/>
          <w:sz w:val="32"/>
          <w:szCs w:val="32"/>
          <w:highlight w:val="none"/>
          <w:lang w:val="en-US" w:eastAsia="zh-CN"/>
        </w:rPr>
        <w:t xml:space="preserve"> </w:t>
      </w:r>
    </w:p>
    <w:p w14:paraId="7058F4C1">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w:t>
      </w:r>
      <w:r>
        <w:rPr>
          <w:rFonts w:hint="eastAsia" w:ascii="仿宋_GB2312" w:hAnsi="仿宋_GB2312" w:eastAsia="仿宋_GB2312" w:cs="仿宋_GB2312"/>
          <w:b/>
          <w:bCs/>
          <w:color w:val="auto"/>
          <w:sz w:val="32"/>
          <w:szCs w:val="32"/>
          <w:highlight w:val="none"/>
          <w:lang w:val="en-US" w:eastAsia="zh-CN"/>
        </w:rPr>
        <w:t>满分4分，得分4分。</w:t>
      </w:r>
    </w:p>
    <w:p w14:paraId="478CFE1C">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kern w:val="2"/>
          <w:sz w:val="32"/>
          <w:szCs w:val="32"/>
          <w:highlight w:val="none"/>
          <w:lang w:val="en-US" w:eastAsia="zh-CN" w:bidi="ar-SA"/>
        </w:rPr>
        <w:t>4.</w:t>
      </w:r>
      <w:r>
        <w:rPr>
          <w:rFonts w:hint="eastAsia" w:ascii="仿宋_GB2312" w:hAnsi="仿宋_GB2312" w:eastAsia="仿宋_GB2312" w:cs="仿宋_GB2312"/>
          <w:b/>
          <w:bCs/>
          <w:sz w:val="32"/>
          <w:szCs w:val="32"/>
          <w:highlight w:val="none"/>
          <w:lang w:val="en-US" w:eastAsia="zh-CN"/>
        </w:rPr>
        <w:t>管理制度健全性</w:t>
      </w:r>
    </w:p>
    <w:p w14:paraId="479D108A">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lang w:eastAsia="zh-CN"/>
        </w:rPr>
        <w:t>我单位已制定《阜康市职业中等专业学校资金管理办法》《阜康市职业中等专业学校收支业务管理制度》《阜康市职业中等专业学校政府采购业务管理制度》《阜康市职业中等专业学校合同管理制度》，</w:t>
      </w:r>
      <w:r>
        <w:rPr>
          <w:rFonts w:hint="eastAsia" w:ascii="仿宋_GB2312" w:hAnsi="仿宋_GB2312" w:eastAsia="仿宋_GB2312" w:cs="仿宋_GB2312"/>
          <w:color w:val="auto"/>
          <w:sz w:val="32"/>
          <w:szCs w:val="32"/>
          <w:highlight w:val="none"/>
          <w:lang w:val="en-US" w:eastAsia="zh-CN"/>
        </w:rPr>
        <w:t>相关</w:t>
      </w:r>
      <w:r>
        <w:rPr>
          <w:rFonts w:hint="eastAsia" w:ascii="仿宋_GB2312" w:hAnsi="仿宋_GB2312" w:eastAsia="仿宋_GB2312" w:cs="仿宋_GB2312"/>
          <w:color w:val="auto"/>
          <w:sz w:val="32"/>
          <w:szCs w:val="32"/>
          <w:highlight w:val="none"/>
          <w:lang w:eastAsia="zh-CN"/>
        </w:rPr>
        <w:t>制度均符合行政事业单位内控管理要求；</w:t>
      </w:r>
    </w:p>
    <w:p w14:paraId="558AE568">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②已制定的</w:t>
      </w:r>
      <w:r>
        <w:rPr>
          <w:rFonts w:hint="eastAsia" w:ascii="仿宋_GB2312" w:hAnsi="仿宋_GB2312" w:eastAsia="仿宋_GB2312" w:cs="仿宋_GB2312"/>
          <w:sz w:val="32"/>
          <w:szCs w:val="32"/>
          <w:highlight w:val="none"/>
          <w:lang w:eastAsia="zh-CN"/>
        </w:rPr>
        <w:t>财务和业务管理制度合法、合规、完整，本项目执行符合上述制度规定。</w:t>
      </w:r>
    </w:p>
    <w:p w14:paraId="445C817B">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sz w:val="32"/>
          <w:szCs w:val="32"/>
          <w:highlight w:val="none"/>
          <w:lang w:val="en-US" w:eastAsia="zh-CN"/>
        </w:rPr>
        <w:t>综上，该项指标</w:t>
      </w:r>
      <w:r>
        <w:rPr>
          <w:rFonts w:hint="eastAsia" w:ascii="仿宋_GB2312" w:hAnsi="仿宋_GB2312" w:eastAsia="仿宋_GB2312" w:cs="仿宋_GB2312"/>
          <w:b/>
          <w:bCs/>
          <w:color w:val="auto"/>
          <w:sz w:val="32"/>
          <w:szCs w:val="32"/>
          <w:highlight w:val="none"/>
          <w:lang w:val="en-US" w:eastAsia="zh-CN"/>
        </w:rPr>
        <w:t>满分4分，得分4分。</w:t>
      </w:r>
    </w:p>
    <w:p w14:paraId="39B00B0E">
      <w:pPr>
        <w:pageBreakBefore w:val="0"/>
        <w:kinsoku/>
        <w:wordWrap/>
        <w:overflowPunct/>
        <w:topLinePunct w:val="0"/>
        <w:autoSpaceDE/>
        <w:autoSpaceDN/>
        <w:bidi w:val="0"/>
        <w:spacing w:line="560" w:lineRule="exact"/>
        <w:ind w:left="1524" w:leftChars="200" w:hanging="964" w:hangingChars="300"/>
        <w:textAlignment w:val="auto"/>
        <w:outlineLvl w:val="2"/>
        <w:rPr>
          <w:rFonts w:hint="eastAsia" w:ascii="仿宋_GB2312" w:hAnsi="仿宋_GB2312" w:eastAsia="仿宋_GB2312" w:cs="仿宋_GB2312"/>
          <w:b/>
          <w:bCs/>
          <w:color w:val="auto"/>
          <w:sz w:val="32"/>
          <w:szCs w:val="32"/>
          <w:highlight w:val="none"/>
          <w:lang w:val="en-US" w:eastAsia="zh-CN"/>
        </w:rPr>
      </w:pPr>
      <w:bookmarkStart w:id="128" w:name="_Toc31684"/>
      <w:bookmarkStart w:id="129" w:name="_Toc13984"/>
      <w:r>
        <w:rPr>
          <w:rFonts w:hint="eastAsia" w:ascii="仿宋_GB2312" w:hAnsi="仿宋_GB2312" w:eastAsia="仿宋_GB2312" w:cs="仿宋_GB2312"/>
          <w:b/>
          <w:bCs/>
          <w:color w:val="auto"/>
          <w:sz w:val="32"/>
          <w:szCs w:val="32"/>
          <w:highlight w:val="none"/>
          <w:lang w:val="en-US" w:eastAsia="zh-CN"/>
        </w:rPr>
        <w:t>5.制度执行有效性</w:t>
      </w:r>
      <w:bookmarkEnd w:id="128"/>
      <w:bookmarkEnd w:id="129"/>
    </w:p>
    <w:p w14:paraId="7A82465C">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w:t>
      </w:r>
      <w:r>
        <w:rPr>
          <w:rFonts w:hint="eastAsia" w:ascii="仿宋_GB2312" w:hAnsi="仿宋_GB2312" w:eastAsia="仿宋_GB2312" w:cs="仿宋_GB2312"/>
          <w:color w:val="auto"/>
          <w:sz w:val="32"/>
          <w:szCs w:val="32"/>
          <w:highlight w:val="none"/>
        </w:rPr>
        <w:t>项目的实施</w:t>
      </w:r>
      <w:r>
        <w:rPr>
          <w:rFonts w:hint="eastAsia" w:ascii="仿宋_GB2312" w:hAnsi="仿宋_GB2312" w:eastAsia="仿宋_GB2312" w:cs="仿宋_GB2312"/>
          <w:color w:val="auto"/>
          <w:sz w:val="32"/>
          <w:szCs w:val="32"/>
          <w:highlight w:val="none"/>
          <w:lang w:eastAsia="zh-CN"/>
        </w:rPr>
        <w:t>遵守相关法律法规</w:t>
      </w:r>
      <w:r>
        <w:rPr>
          <w:rFonts w:hint="eastAsia" w:ascii="仿宋_GB2312" w:hAnsi="仿宋_GB2312" w:eastAsia="仿宋_GB2312" w:cs="仿宋_GB2312"/>
          <w:color w:val="auto"/>
          <w:sz w:val="32"/>
          <w:szCs w:val="32"/>
          <w:highlight w:val="none"/>
          <w:lang w:val="en-US" w:eastAsia="zh-CN"/>
        </w:rPr>
        <w:t>及</w:t>
      </w:r>
      <w:r>
        <w:rPr>
          <w:rFonts w:hint="eastAsia" w:ascii="仿宋_GB2312" w:hAnsi="仿宋_GB2312" w:eastAsia="仿宋_GB2312" w:cs="仿宋_GB2312"/>
          <w:color w:val="auto"/>
          <w:sz w:val="32"/>
          <w:szCs w:val="32"/>
          <w:highlight w:val="none"/>
          <w:lang w:eastAsia="zh-CN"/>
        </w:rPr>
        <w:t>相关管理规定，</w:t>
      </w:r>
      <w:r>
        <w:rPr>
          <w:rFonts w:hint="eastAsia" w:ascii="仿宋_GB2312" w:hAnsi="仿宋_GB2312" w:eastAsia="仿宋_GB2312" w:cs="仿宋_GB2312"/>
          <w:color w:val="auto"/>
          <w:sz w:val="32"/>
          <w:szCs w:val="32"/>
          <w:highlight w:val="none"/>
        </w:rPr>
        <w:t>符合《</w:t>
      </w:r>
      <w:r>
        <w:rPr>
          <w:rFonts w:hint="eastAsia" w:ascii="仿宋_GB2312" w:hAnsi="仿宋_GB2312" w:eastAsia="仿宋_GB2312" w:cs="仿宋_GB2312"/>
          <w:color w:val="auto"/>
          <w:sz w:val="32"/>
          <w:szCs w:val="32"/>
          <w:highlight w:val="none"/>
          <w:lang w:eastAsia="zh-CN"/>
        </w:rPr>
        <w:t>阜康市职业中等专业学校资金管理办法</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阜康市职业中等专业学校收支业务管理制度</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阜康市职业中等专业学校</w:t>
      </w:r>
      <w:r>
        <w:rPr>
          <w:rFonts w:hint="eastAsia" w:ascii="仿宋_GB2312" w:hAnsi="仿宋_GB2312" w:eastAsia="仿宋_GB2312" w:cs="仿宋_GB2312"/>
          <w:color w:val="auto"/>
          <w:sz w:val="32"/>
          <w:szCs w:val="32"/>
          <w:highlight w:val="none"/>
        </w:rPr>
        <w:t>采购业务管理制度》《</w:t>
      </w:r>
      <w:r>
        <w:rPr>
          <w:rFonts w:hint="eastAsia" w:ascii="仿宋_GB2312" w:hAnsi="仿宋_GB2312" w:eastAsia="仿宋_GB2312" w:cs="仿宋_GB2312"/>
          <w:color w:val="auto"/>
          <w:sz w:val="32"/>
          <w:szCs w:val="32"/>
          <w:highlight w:val="none"/>
          <w:lang w:eastAsia="zh-CN"/>
        </w:rPr>
        <w:t>阜康市职业中等专业学校</w:t>
      </w:r>
      <w:r>
        <w:rPr>
          <w:rFonts w:hint="eastAsia" w:ascii="仿宋_GB2312" w:hAnsi="仿宋_GB2312" w:eastAsia="仿宋_GB2312" w:cs="仿宋_GB2312"/>
          <w:color w:val="auto"/>
          <w:sz w:val="32"/>
          <w:szCs w:val="32"/>
          <w:highlight w:val="none"/>
        </w:rPr>
        <w:t>合同管理制度》等管理规定，</w:t>
      </w:r>
    </w:p>
    <w:p w14:paraId="32CE02E7">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②</w:t>
      </w:r>
      <w:r>
        <w:rPr>
          <w:rFonts w:hint="eastAsia" w:ascii="仿宋_GB2312" w:hAnsi="仿宋_GB2312" w:eastAsia="仿宋_GB2312" w:cs="仿宋_GB2312"/>
          <w:color w:val="auto"/>
          <w:sz w:val="32"/>
          <w:szCs w:val="32"/>
          <w:highlight w:val="none"/>
        </w:rPr>
        <w:t>项目存在调整，调整手续齐全</w:t>
      </w:r>
      <w:r>
        <w:rPr>
          <w:rFonts w:hint="eastAsia" w:ascii="仿宋_GB2312" w:hAnsi="仿宋_GB2312" w:eastAsia="仿宋_GB2312" w:cs="仿宋_GB2312"/>
          <w:color w:val="auto"/>
          <w:sz w:val="32"/>
          <w:szCs w:val="32"/>
          <w:highlight w:val="none"/>
          <w:lang w:eastAsia="zh-CN"/>
        </w:rPr>
        <w:t>。</w:t>
      </w:r>
    </w:p>
    <w:p w14:paraId="181BF9BA">
      <w:pPr>
        <w:pageBreakBefore w:val="0"/>
        <w:widowControl w:val="0"/>
        <w:kinsoku/>
        <w:wordWrap/>
        <w:topLinePunct w:val="0"/>
        <w:autoSpaceDE/>
        <w:autoSpaceDN/>
        <w:bidi w:val="0"/>
        <w:spacing w:line="560" w:lineRule="exact"/>
        <w:ind w:left="0" w:leftChars="0" w:firstLine="643"/>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③</w:t>
      </w:r>
      <w:r>
        <w:rPr>
          <w:rFonts w:hint="eastAsia" w:ascii="仿宋_GB2312" w:hAnsi="仿宋_GB2312" w:eastAsia="仿宋_GB2312" w:cs="仿宋_GB2312"/>
          <w:color w:val="auto"/>
          <w:sz w:val="32"/>
          <w:szCs w:val="32"/>
          <w:highlight w:val="none"/>
        </w:rPr>
        <w:t>项目合同书、验收评审表、财务支付凭证等资料齐全并及时归档。</w:t>
      </w:r>
    </w:p>
    <w:p w14:paraId="2F3D9844">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z w:val="32"/>
          <w:szCs w:val="32"/>
          <w:highlight w:val="none"/>
          <w:lang w:eastAsia="zh-CN"/>
        </w:rPr>
        <w:t>④</w:t>
      </w:r>
      <w:r>
        <w:rPr>
          <w:rFonts w:hint="eastAsia" w:ascii="仿宋_GB2312" w:hAnsi="仿宋_GB2312" w:eastAsia="仿宋_GB2312" w:cs="仿宋_GB2312"/>
          <w:color w:val="auto"/>
          <w:sz w:val="32"/>
          <w:szCs w:val="32"/>
          <w:highlight w:val="none"/>
          <w:lang w:eastAsia="zh-CN"/>
        </w:rPr>
        <w:t>项目实施所需要的项目人员和场地设备均已落实到位，具体涉及内容包括：项目资金支出严格按照自治区、地区以及本单位资金管理办法执行，项目启动实施后，为了加快本项目的实施，成立了阜康市职业中等专业学校项目工作领导小组，由</w:t>
      </w:r>
      <w:r>
        <w:rPr>
          <w:rFonts w:hint="eastAsia" w:ascii="仿宋_GB2312" w:hAnsi="仿宋_GB2312" w:eastAsia="仿宋_GB2312" w:cs="仿宋_GB2312"/>
          <w:color w:val="auto"/>
          <w:sz w:val="32"/>
          <w:szCs w:val="32"/>
          <w:highlight w:val="none"/>
          <w:lang w:val="en-US" w:eastAsia="zh-CN"/>
        </w:rPr>
        <w:t>郑亚娟</w:t>
      </w:r>
      <w:r>
        <w:rPr>
          <w:rFonts w:hint="eastAsia" w:ascii="仿宋_GB2312" w:hAnsi="仿宋_GB2312" w:eastAsia="仿宋_GB2312" w:cs="仿宋_GB2312"/>
          <w:color w:val="auto"/>
          <w:sz w:val="32"/>
          <w:szCs w:val="32"/>
          <w:highlight w:val="none"/>
          <w:lang w:eastAsia="zh-CN"/>
        </w:rPr>
        <w:t>任组长，负责项目的组织工作；</w:t>
      </w:r>
      <w:r>
        <w:rPr>
          <w:rFonts w:hint="eastAsia" w:ascii="仿宋_GB2312" w:hAnsi="仿宋_GB2312" w:eastAsia="仿宋_GB2312" w:cs="仿宋_GB2312"/>
          <w:color w:val="auto"/>
          <w:sz w:val="32"/>
          <w:szCs w:val="32"/>
          <w:highlight w:val="none"/>
          <w:lang w:val="en-US" w:eastAsia="zh-CN"/>
        </w:rPr>
        <w:t>钟振红</w:t>
      </w:r>
      <w:r>
        <w:rPr>
          <w:rFonts w:hint="eastAsia" w:ascii="仿宋_GB2312" w:hAnsi="仿宋_GB2312" w:eastAsia="仿宋_GB2312" w:cs="仿宋_GB2312"/>
          <w:color w:val="auto"/>
          <w:sz w:val="32"/>
          <w:szCs w:val="32"/>
          <w:highlight w:val="none"/>
          <w:lang w:eastAsia="zh-CN"/>
        </w:rPr>
        <w:t>任副组长，负责项目的实施工作；组员包括：</w:t>
      </w:r>
      <w:r>
        <w:rPr>
          <w:rFonts w:hint="eastAsia" w:ascii="仿宋_GB2312" w:hAnsi="仿宋_GB2312" w:eastAsia="仿宋_GB2312" w:cs="仿宋_GB2312"/>
          <w:color w:val="auto"/>
          <w:sz w:val="32"/>
          <w:szCs w:val="32"/>
          <w:highlight w:val="none"/>
          <w:lang w:val="en-US" w:eastAsia="zh-CN"/>
        </w:rPr>
        <w:t>李微丽</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lang w:val="en-US" w:eastAsia="zh-CN"/>
        </w:rPr>
        <w:t>张佳瑜</w:t>
      </w:r>
      <w:r>
        <w:rPr>
          <w:rFonts w:hint="eastAsia" w:ascii="仿宋_GB2312" w:hAnsi="仿宋_GB2312" w:eastAsia="仿宋_GB2312" w:cs="仿宋_GB2312"/>
          <w:color w:val="auto"/>
          <w:sz w:val="32"/>
          <w:szCs w:val="32"/>
          <w:highlight w:val="none"/>
          <w:lang w:eastAsia="zh-CN"/>
        </w:rPr>
        <w:t>，主要负责项目监督管理、验收以及资金核拨等工作。</w:t>
      </w:r>
    </w:p>
    <w:p w14:paraId="730C4868">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val="en-US" w:eastAsia="zh-CN"/>
        </w:rPr>
        <w:t>综上，该项指标满分4分，得分4分。</w:t>
      </w:r>
    </w:p>
    <w:p w14:paraId="48F76A87">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30" w:name="_Toc2441"/>
      <w:r>
        <w:rPr>
          <w:rFonts w:hint="eastAsia" w:ascii="Times New Roman" w:hAnsi="Times New Roman" w:eastAsia="楷体_GB2312" w:cs="Times New Roman"/>
          <w:kern w:val="28"/>
          <w:sz w:val="32"/>
          <w:highlight w:val="none"/>
          <w:lang w:val="en-US" w:eastAsia="zh-CN"/>
        </w:rPr>
        <w:t>（三）项目产出情况</w:t>
      </w:r>
      <w:bookmarkEnd w:id="130"/>
    </w:p>
    <w:p w14:paraId="3C8B3139">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产出</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highlight w:val="none"/>
          <w:lang w:val="en-US" w:eastAsia="zh-CN"/>
        </w:rPr>
        <w:t>包括产出数量、产出质量、产出时效、产出成本四方面的内容，</w:t>
      </w:r>
      <w:r>
        <w:rPr>
          <w:rFonts w:hint="eastAsia" w:ascii="Times New Roman" w:hAnsi="Times New Roman" w:eastAsia="仿宋_GB2312" w:cs="Times New Roman"/>
          <w:color w:val="auto"/>
          <w:sz w:val="32"/>
          <w:szCs w:val="32"/>
          <w:highlight w:val="none"/>
          <w:lang w:val="en-US" w:eastAsia="zh-CN"/>
        </w:rPr>
        <w:t>共</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607E3006">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6"/>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4B8B3162">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B8E1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2552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F28B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88F15">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1F29A">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0069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65BA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635B5B3">
        <w:tblPrEx>
          <w:shd w:val="clear" w:color="auto" w:fill="auto"/>
          <w:tblCellMar>
            <w:top w:w="0" w:type="dxa"/>
            <w:left w:w="0" w:type="dxa"/>
            <w:bottom w:w="0" w:type="dxa"/>
            <w:right w:w="0" w:type="dxa"/>
          </w:tblCellMar>
        </w:tblPrEx>
        <w:trPr>
          <w:trHeight w:val="396"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B6EC3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A454EF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119DE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中职、技校国家免学费</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E89261">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≧1701人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CB2B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93AAC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1701人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5217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8</w:t>
            </w:r>
          </w:p>
        </w:tc>
      </w:tr>
      <w:tr w14:paraId="684F9CA2">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08C6D">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75A422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80C1BE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中职、技校国家助学金</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3EA45">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≧612人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CD798">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1F453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612人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8089C">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8</w:t>
            </w:r>
          </w:p>
        </w:tc>
      </w:tr>
      <w:tr w14:paraId="2CC21047">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8FA681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4ADE23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93A95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家庭经济困难学生享受免学费政策比例</w:t>
            </w:r>
          </w:p>
        </w:tc>
        <w:tc>
          <w:tcPr>
            <w:tcW w:w="1437"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FC723E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8AE36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A217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60A5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8</w:t>
            </w:r>
          </w:p>
        </w:tc>
      </w:tr>
      <w:tr w14:paraId="07099D8E">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FCAA2">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0F02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082C6D">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及时发放率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AFFEE">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2D26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DEA42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B7E3B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bidi="ar-SA"/>
              </w:rPr>
              <w:t>8</w:t>
            </w:r>
          </w:p>
        </w:tc>
      </w:tr>
      <w:tr w14:paraId="3AEEFAD2">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057E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C9951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0A232F">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职业教育学生平均标准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C93174">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=2000元/人/学年</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1B6AD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8</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1A8593">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p w14:paraId="73C050E8">
            <w:pPr>
              <w:keepNext w:val="0"/>
              <w:keepLines w:val="0"/>
              <w:pageBreakBefore w:val="0"/>
              <w:kinsoku/>
              <w:wordWrap/>
              <w:overflowPunct/>
              <w:topLinePunct w:val="0"/>
              <w:autoSpaceDE/>
              <w:autoSpaceDN/>
              <w:bidi w:val="0"/>
              <w:adjustRightInd/>
              <w:spacing w:line="300" w:lineRule="exact"/>
              <w:ind w:left="0" w:leftChars="0" w:firstLine="0" w:firstLineChars="0"/>
              <w:textAlignment w:val="auto"/>
              <w:rPr>
                <w:color w:val="auto"/>
                <w:highlight w:val="none"/>
              </w:rPr>
            </w:pPr>
            <w:r>
              <w:rPr>
                <w:rFonts w:hint="eastAsia" w:cs="宋体"/>
                <w:color w:val="auto"/>
                <w:kern w:val="0"/>
                <w:sz w:val="20"/>
                <w:szCs w:val="20"/>
                <w:highlight w:val="none"/>
                <w:shd w:val="clear" w:color="auto" w:fill="auto"/>
                <w:lang w:val="en-US" w:eastAsia="zh-CN"/>
              </w:rPr>
              <w:t>2000元/人/学年</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1EEDC">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8</w:t>
            </w:r>
          </w:p>
        </w:tc>
      </w:tr>
      <w:tr w14:paraId="567D2314">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EE140">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02009">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60C02A">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04DBB">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40</w:t>
            </w:r>
          </w:p>
        </w:tc>
      </w:tr>
    </w:tbl>
    <w:p w14:paraId="5DD9B75C">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FF0000"/>
          <w:sz w:val="32"/>
          <w:szCs w:val="32"/>
          <w:highlight w:val="none"/>
          <w:lang w:val="en-US" w:eastAsia="zh-CN"/>
        </w:rPr>
      </w:pPr>
      <w:bookmarkStart w:id="131" w:name="_Toc26689"/>
      <w:bookmarkStart w:id="132" w:name="_Toc11067"/>
      <w:r>
        <w:rPr>
          <w:rFonts w:hint="eastAsia" w:ascii="仿宋_GB2312" w:hAnsi="仿宋_GB2312" w:eastAsia="仿宋_GB2312" w:cs="仿宋_GB2312"/>
          <w:b/>
          <w:bCs/>
          <w:sz w:val="32"/>
          <w:szCs w:val="32"/>
          <w:highlight w:val="none"/>
          <w:lang w:val="en-US" w:eastAsia="zh-CN"/>
        </w:rPr>
        <w:t>1.数量指标完成情况</w:t>
      </w:r>
      <w:bookmarkEnd w:id="131"/>
      <w:bookmarkEnd w:id="132"/>
    </w:p>
    <w:p w14:paraId="1E147695">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中职、技校国家免学费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指标，预期目标值为≧1701人，实际完成为1701人。实际完成率=（1701人/1701人）×100%=100%。</w:t>
      </w:r>
    </w:p>
    <w:p w14:paraId="20C346A7">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中职、技校国家助学金</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指标，预期目标值为≧612人，实际完成为612人。实际完成率=（612人/612人）×10</w:t>
      </w:r>
      <w:r>
        <w:rPr>
          <w:rFonts w:hint="eastAsia" w:ascii="仿宋_GB2312" w:hAnsi="仿宋_GB2312" w:eastAsia="仿宋_GB2312" w:cs="仿宋_GB2312"/>
          <w:sz w:val="32"/>
          <w:szCs w:val="32"/>
          <w:highlight w:val="none"/>
          <w:lang w:val="en-US" w:eastAsia="zh-CN"/>
        </w:rPr>
        <w:t>0%=100%。</w:t>
      </w:r>
    </w:p>
    <w:p w14:paraId="5F8BC032">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综上，该项指标满分16分，得分16分。</w:t>
      </w:r>
    </w:p>
    <w:p w14:paraId="3B64E8D1">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sz w:val="32"/>
          <w:szCs w:val="32"/>
          <w:highlight w:val="none"/>
          <w:lang w:val="en-US" w:eastAsia="zh-CN"/>
        </w:rPr>
      </w:pPr>
      <w:bookmarkStart w:id="133" w:name="_Toc31739"/>
      <w:bookmarkStart w:id="134" w:name="_Toc14255"/>
      <w:r>
        <w:rPr>
          <w:rFonts w:hint="eastAsia" w:ascii="仿宋_GB2312" w:hAnsi="仿宋_GB2312" w:eastAsia="仿宋_GB2312" w:cs="仿宋_GB2312"/>
          <w:sz w:val="32"/>
          <w:szCs w:val="32"/>
          <w:highlight w:val="none"/>
          <w:lang w:val="en-US" w:eastAsia="zh-CN"/>
        </w:rPr>
        <w:t>2.</w:t>
      </w:r>
      <w:bookmarkEnd w:id="133"/>
      <w:r>
        <w:rPr>
          <w:rFonts w:hint="eastAsia" w:ascii="仿宋_GB2312" w:hAnsi="仿宋_GB2312" w:eastAsia="仿宋_GB2312" w:cs="仿宋_GB2312"/>
          <w:sz w:val="32"/>
          <w:szCs w:val="32"/>
          <w:highlight w:val="none"/>
          <w:lang w:val="en-US" w:eastAsia="zh-CN"/>
        </w:rPr>
        <w:t>质量指标完成情况</w:t>
      </w:r>
      <w:bookmarkEnd w:id="134"/>
    </w:p>
    <w:p w14:paraId="5997C85F">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（1）“家庭经济困难学生享受免学费政策比例”指标，预期目标值为=100%，实际完成为100%。实际完成率100%。</w:t>
      </w:r>
    </w:p>
    <w:p w14:paraId="3505598F">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综上，该项指标满分8分，得分8分。</w:t>
      </w:r>
    </w:p>
    <w:p w14:paraId="10F7C751">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sz w:val="32"/>
          <w:szCs w:val="32"/>
          <w:highlight w:val="none"/>
          <w:lang w:val="en-US" w:eastAsia="zh-CN"/>
        </w:rPr>
      </w:pPr>
      <w:bookmarkStart w:id="135" w:name="_Toc18307"/>
      <w:bookmarkStart w:id="136" w:name="_Toc28885"/>
      <w:r>
        <w:rPr>
          <w:rFonts w:hint="eastAsia" w:ascii="仿宋_GB2312" w:hAnsi="仿宋_GB2312" w:eastAsia="仿宋_GB2312" w:cs="仿宋_GB2312"/>
          <w:sz w:val="32"/>
          <w:szCs w:val="32"/>
          <w:highlight w:val="none"/>
          <w:lang w:val="en-US" w:eastAsia="zh-CN"/>
        </w:rPr>
        <w:t>3.</w:t>
      </w:r>
      <w:bookmarkEnd w:id="135"/>
      <w:r>
        <w:rPr>
          <w:rFonts w:hint="eastAsia" w:ascii="仿宋_GB2312" w:hAnsi="仿宋_GB2312" w:eastAsia="仿宋_GB2312" w:cs="仿宋_GB2312"/>
          <w:sz w:val="32"/>
          <w:szCs w:val="32"/>
          <w:highlight w:val="none"/>
          <w:lang w:val="en-US" w:eastAsia="zh-CN"/>
        </w:rPr>
        <w:t>时效指标完成情况</w:t>
      </w:r>
      <w:bookmarkEnd w:id="136"/>
    </w:p>
    <w:p w14:paraId="43995B76">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（1）“及时发放率”指标，预期目标值为=100%，实际完成</w:t>
      </w:r>
      <w:r>
        <w:rPr>
          <w:rFonts w:hint="eastAsia" w:ascii="仿宋_GB2312" w:hAnsi="仿宋_GB2312" w:eastAsia="仿宋_GB2312" w:cs="仿宋_GB2312"/>
          <w:sz w:val="32"/>
          <w:szCs w:val="32"/>
          <w:highlight w:val="none"/>
          <w:lang w:val="en-US" w:eastAsia="zh-CN"/>
        </w:rPr>
        <w:t>为100%。实际完成率100%。</w:t>
      </w:r>
    </w:p>
    <w:p w14:paraId="75875897">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综上，该项指标满分8分，得分8分。</w:t>
      </w:r>
    </w:p>
    <w:p w14:paraId="32C7A21C">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sz w:val="32"/>
          <w:szCs w:val="32"/>
          <w:highlight w:val="none"/>
          <w:lang w:val="en-US" w:eastAsia="zh-CN"/>
        </w:rPr>
      </w:pPr>
      <w:bookmarkStart w:id="137" w:name="_Toc32765"/>
      <w:bookmarkStart w:id="138" w:name="_Toc20607"/>
      <w:r>
        <w:rPr>
          <w:rFonts w:hint="eastAsia" w:ascii="仿宋_GB2312" w:hAnsi="仿宋_GB2312" w:eastAsia="仿宋_GB2312" w:cs="仿宋_GB2312"/>
          <w:sz w:val="32"/>
          <w:szCs w:val="32"/>
          <w:highlight w:val="none"/>
          <w:lang w:val="en-US" w:eastAsia="zh-CN"/>
        </w:rPr>
        <w:t>4.项目</w:t>
      </w:r>
      <w:bookmarkEnd w:id="137"/>
      <w:r>
        <w:rPr>
          <w:rFonts w:hint="eastAsia" w:ascii="仿宋_GB2312" w:hAnsi="仿宋_GB2312" w:eastAsia="仿宋_GB2312" w:cs="仿宋_GB2312"/>
          <w:sz w:val="32"/>
          <w:szCs w:val="32"/>
          <w:highlight w:val="none"/>
          <w:lang w:val="en-US" w:eastAsia="zh-CN"/>
        </w:rPr>
        <w:t>成本情况</w:t>
      </w:r>
      <w:bookmarkEnd w:id="138"/>
    </w:p>
    <w:p w14:paraId="050DD664">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经济成本指标完成情况</w:t>
      </w:r>
    </w:p>
    <w:p w14:paraId="218A3150">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1）“职业教育学生平均标准”指标，预期目标值为=2000元/人/学年，实际完成为2000元/人/学年。实际完成率100%。</w:t>
      </w:r>
    </w:p>
    <w:p w14:paraId="1C8D6081">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综上，该项指标满分8分，得分8分。</w:t>
      </w:r>
    </w:p>
    <w:p w14:paraId="7F558F43">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highlight w:val="none"/>
          <w:lang w:val="en-US" w:eastAsia="zh-CN"/>
        </w:rPr>
      </w:pPr>
      <w:bookmarkStart w:id="139" w:name="_Toc19424"/>
      <w:r>
        <w:rPr>
          <w:rFonts w:hint="eastAsia" w:ascii="Times New Roman" w:hAnsi="Times New Roman" w:eastAsia="楷体_GB2312" w:cs="Times New Roman"/>
          <w:kern w:val="28"/>
          <w:sz w:val="32"/>
          <w:highlight w:val="none"/>
          <w:lang w:val="en-US" w:eastAsia="zh-CN"/>
        </w:rPr>
        <w:t>（四）项目效益情况</w:t>
      </w:r>
      <w:bookmarkEnd w:id="139"/>
    </w:p>
    <w:p w14:paraId="1BABCF0C">
      <w:pPr>
        <w:pageBreakBefore w:val="0"/>
        <w:widowControl w:val="0"/>
        <w:kinsoku/>
        <w:wordWrap/>
        <w:overflowPunct/>
        <w:topLinePunct w:val="0"/>
        <w:autoSpaceDE/>
        <w:autoSpaceDN/>
        <w:bidi w:val="0"/>
        <w:adjustRightInd/>
        <w:spacing w:line="560" w:lineRule="exact"/>
        <w:ind w:firstLine="560"/>
        <w:jc w:val="left"/>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效益</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highlight w:val="none"/>
          <w:lang w:val="en-US" w:eastAsia="zh-CN"/>
        </w:rPr>
        <w:t>包括项目实施效益和满意度两方面的内容，</w:t>
      </w:r>
      <w:r>
        <w:rPr>
          <w:rFonts w:hint="eastAsia" w:ascii="仿宋_GB2312" w:hAnsi="仿宋_GB2312" w:eastAsia="仿宋_GB2312" w:cs="仿宋_GB2312"/>
          <w:color w:val="auto"/>
          <w:kern w:val="2"/>
          <w:sz w:val="32"/>
          <w:szCs w:val="32"/>
          <w:highlight w:val="none"/>
          <w:u w:color="000000"/>
          <w:shd w:val="clear" w:color="auto" w:fill="auto"/>
          <w:lang w:val="zh-TW" w:eastAsia="zh-TW"/>
        </w:rPr>
        <w:t>由</w:t>
      </w:r>
      <w:r>
        <w:rPr>
          <w:rFonts w:hint="eastAsia" w:ascii="仿宋_GB2312" w:hAnsi="仿宋_GB2312" w:eastAsia="仿宋_GB2312" w:cs="仿宋_GB2312"/>
          <w:color w:val="auto"/>
          <w:kern w:val="2"/>
          <w:sz w:val="32"/>
          <w:szCs w:val="32"/>
          <w:highlight w:val="none"/>
          <w:u w:color="000000"/>
          <w:shd w:val="clear" w:color="auto" w:fill="auto"/>
          <w:lang w:val="en-US"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14:paraId="412733B9">
      <w:pPr>
        <w:pageBreakBefore w:val="0"/>
        <w:widowControl w:val="0"/>
        <w:kinsoku/>
        <w:wordWrap/>
        <w:overflowPunct/>
        <w:topLinePunct w:val="0"/>
        <w:autoSpaceDE/>
        <w:autoSpaceDN/>
        <w:bidi w:val="0"/>
        <w:adjustRightInd/>
        <w:spacing w:line="560" w:lineRule="exact"/>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6"/>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7AADA09F">
        <w:tblPrEx>
          <w:shd w:val="clear" w:color="auto" w:fill="auto"/>
          <w:tblCellMar>
            <w:top w:w="0" w:type="dxa"/>
            <w:left w:w="0" w:type="dxa"/>
            <w:bottom w:w="0" w:type="dxa"/>
            <w:right w:w="0" w:type="dxa"/>
          </w:tblCellMar>
        </w:tblPrEx>
        <w:trPr>
          <w:trHeight w:val="816" w:hRule="atLeast"/>
          <w:jc w:val="center"/>
        </w:trPr>
        <w:tc>
          <w:tcPr>
            <w:tcW w:w="68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31536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4D26E6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9F30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B8690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897C5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1DB81B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1B7E3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5DD311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42DC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64356B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696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25E2C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8922ACE">
        <w:tblPrEx>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6311E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ADF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2BFE73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减轻家庭困难学生经济压力</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29E621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减轻</w:t>
            </w:r>
          </w:p>
        </w:tc>
        <w:tc>
          <w:tcPr>
            <w:tcW w:w="64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A2F83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264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default"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8A7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688F769C">
        <w:tblPrEx>
          <w:shd w:val="clear" w:color="auto" w:fill="auto"/>
          <w:tblCellMar>
            <w:top w:w="0" w:type="dxa"/>
            <w:left w:w="0" w:type="dxa"/>
            <w:bottom w:w="0" w:type="dxa"/>
            <w:right w:w="0" w:type="dxa"/>
          </w:tblCellMar>
        </w:tblPrEx>
        <w:trPr>
          <w:trHeight w:val="554" w:hRule="atLeast"/>
          <w:jc w:val="center"/>
        </w:trPr>
        <w:tc>
          <w:tcPr>
            <w:tcW w:w="68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9C495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6A569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5A253B5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贫困生生活质量</w:t>
            </w:r>
          </w:p>
        </w:tc>
        <w:tc>
          <w:tcPr>
            <w:tcW w:w="87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10C62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改善</w:t>
            </w:r>
          </w:p>
        </w:tc>
        <w:tc>
          <w:tcPr>
            <w:tcW w:w="645"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9B2AD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8C0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93A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14:paraId="55E3A6DE">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DD2AE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A8BF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9EC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师生满意度</w:t>
            </w:r>
          </w:p>
        </w:tc>
        <w:tc>
          <w:tcPr>
            <w:tcW w:w="870"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46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8FB2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332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FB34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14:paraId="03CF51F4">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622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7213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5C60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A2C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8F43E0E">
      <w:pPr>
        <w:pageBreakBefore w:val="0"/>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bCs/>
          <w:sz w:val="32"/>
          <w:szCs w:val="32"/>
          <w:highlight w:val="none"/>
          <w:lang w:val="en-US" w:eastAsia="zh-CN"/>
        </w:rPr>
      </w:pPr>
      <w:bookmarkStart w:id="140" w:name="_Toc27006"/>
      <w:bookmarkStart w:id="141" w:name="_Toc29606"/>
      <w:r>
        <w:rPr>
          <w:rFonts w:hint="eastAsia" w:ascii="仿宋_GB2312" w:hAnsi="仿宋_GB2312" w:eastAsia="仿宋_GB2312" w:cs="仿宋_GB2312"/>
          <w:b/>
          <w:bCs/>
          <w:sz w:val="32"/>
          <w:szCs w:val="32"/>
          <w:highlight w:val="none"/>
          <w:lang w:val="en-US" w:eastAsia="zh-CN"/>
        </w:rPr>
        <w:t>1.社会效益指标</w:t>
      </w:r>
      <w:bookmarkEnd w:id="140"/>
      <w:r>
        <w:rPr>
          <w:rFonts w:hint="eastAsia" w:ascii="仿宋_GB2312" w:hAnsi="仿宋_GB2312" w:eastAsia="仿宋_GB2312" w:cs="仿宋_GB2312"/>
          <w:b/>
          <w:bCs/>
          <w:sz w:val="32"/>
          <w:szCs w:val="32"/>
          <w:highlight w:val="none"/>
          <w:lang w:val="en-US" w:eastAsia="zh-CN"/>
        </w:rPr>
        <w:t>完成情况</w:t>
      </w:r>
      <w:bookmarkEnd w:id="141"/>
    </w:p>
    <w:p w14:paraId="108CA0A6">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（1）“</w:t>
      </w:r>
      <w:r>
        <w:rPr>
          <w:rFonts w:hint="default" w:ascii="仿宋_GB2312" w:hAnsi="仿宋_GB2312" w:eastAsia="仿宋_GB2312" w:cs="仿宋_GB2312"/>
          <w:b w:val="0"/>
          <w:bCs w:val="0"/>
          <w:sz w:val="32"/>
          <w:szCs w:val="32"/>
          <w:highlight w:val="none"/>
          <w:lang w:val="en-US" w:eastAsia="zh-CN"/>
        </w:rPr>
        <w:t>减轻家庭困难学生经济压力</w:t>
      </w:r>
      <w:r>
        <w:rPr>
          <w:rFonts w:hint="eastAsia" w:ascii="仿宋_GB2312" w:hAnsi="仿宋_GB2312" w:eastAsia="仿宋_GB2312" w:cs="仿宋_GB2312"/>
          <w:b w:val="0"/>
          <w:bCs w:val="0"/>
          <w:sz w:val="32"/>
          <w:szCs w:val="32"/>
          <w:highlight w:val="none"/>
          <w:lang w:val="en-US" w:eastAsia="zh-CN"/>
        </w:rPr>
        <w:t>”指标，预期目标值为减轻，实际完成为</w:t>
      </w:r>
      <w:r>
        <w:rPr>
          <w:rFonts w:hint="default" w:ascii="仿宋_GB2312" w:hAnsi="仿宋_GB2312" w:eastAsia="仿宋_GB2312" w:cs="仿宋_GB2312"/>
          <w:b w:val="0"/>
          <w:bCs w:val="0"/>
          <w:sz w:val="32"/>
          <w:szCs w:val="32"/>
          <w:highlight w:val="none"/>
          <w:lang w:val="en-US" w:eastAsia="zh-CN"/>
        </w:rPr>
        <w:t>达到预期指标</w:t>
      </w:r>
      <w:r>
        <w:rPr>
          <w:rFonts w:hint="eastAsia" w:ascii="仿宋_GB2312" w:hAnsi="仿宋_GB2312" w:eastAsia="仿宋_GB2312" w:cs="仿宋_GB2312"/>
          <w:b w:val="0"/>
          <w:bCs w:val="0"/>
          <w:sz w:val="32"/>
          <w:szCs w:val="32"/>
          <w:highlight w:val="none"/>
          <w:lang w:val="en-US" w:eastAsia="zh-CN"/>
        </w:rPr>
        <w:t>。</w:t>
      </w:r>
    </w:p>
    <w:p w14:paraId="7A9F99A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通过项目的实施，达到了有效减轻家庭困难学生经济压力的社会效益。</w:t>
      </w:r>
    </w:p>
    <w:p w14:paraId="36B27CC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（2）“贫困生生活质量”指标，预期目标值为改善，实际完成为</w:t>
      </w:r>
      <w:r>
        <w:rPr>
          <w:rFonts w:hint="default" w:ascii="仿宋_GB2312" w:hAnsi="仿宋_GB2312" w:eastAsia="仿宋_GB2312" w:cs="仿宋_GB2312"/>
          <w:b w:val="0"/>
          <w:bCs w:val="0"/>
          <w:sz w:val="32"/>
          <w:szCs w:val="32"/>
          <w:highlight w:val="none"/>
          <w:lang w:val="en-US" w:eastAsia="zh-CN"/>
        </w:rPr>
        <w:t>达到预期指标</w:t>
      </w:r>
      <w:r>
        <w:rPr>
          <w:rFonts w:hint="eastAsia" w:ascii="仿宋_GB2312" w:hAnsi="仿宋_GB2312" w:eastAsia="仿宋_GB2312" w:cs="仿宋_GB2312"/>
          <w:b w:val="0"/>
          <w:bCs w:val="0"/>
          <w:sz w:val="32"/>
          <w:szCs w:val="32"/>
          <w:highlight w:val="none"/>
          <w:lang w:val="en-US" w:eastAsia="zh-CN"/>
        </w:rPr>
        <w:t>。</w:t>
      </w:r>
    </w:p>
    <w:p w14:paraId="68ED0A4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通过项目的实施，达到了改善贫困生生活质量的社会效益。</w:t>
      </w:r>
    </w:p>
    <w:p w14:paraId="0FE3E457">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综上，该项指标满分14分，得分14分。</w:t>
      </w:r>
    </w:p>
    <w:p w14:paraId="0415259E">
      <w:pPr>
        <w:pStyle w:val="14"/>
        <w:keepNext w:val="0"/>
        <w:keepLines w:val="0"/>
        <w:pageBreakBefore w:val="0"/>
        <w:widowControl/>
        <w:numPr>
          <w:ilvl w:val="0"/>
          <w:numId w:val="2"/>
        </w:numPr>
        <w:kinsoku/>
        <w:wordWrap/>
        <w:overflowPunct/>
        <w:topLinePunct w:val="0"/>
        <w:autoSpaceDE/>
        <w:autoSpaceDN/>
        <w:bidi w:val="0"/>
        <w:adjustRightInd/>
        <w:snapToGrid/>
        <w:spacing w:before="0" w:beforeLines="0" w:after="0" w:afterLines="0" w:line="560" w:lineRule="exact"/>
        <w:ind w:firstLine="643" w:firstLineChars="200"/>
        <w:jc w:val="both"/>
        <w:textAlignment w:val="auto"/>
        <w:rPr>
          <w:rFonts w:hint="default" w:ascii="Times New Roman" w:hAnsi="Times New Roman" w:eastAsia="楷体_GB2312" w:cs="Times New Roman"/>
          <w:b/>
          <w:bCs/>
          <w:color w:val="auto"/>
          <w:kern w:val="28"/>
          <w:sz w:val="32"/>
          <w:highlight w:val="none"/>
          <w:lang w:val="en-US" w:eastAsia="zh-CN"/>
        </w:rPr>
      </w:pPr>
      <w:bookmarkStart w:id="142" w:name="_Toc23313"/>
      <w:r>
        <w:rPr>
          <w:rFonts w:hint="eastAsia" w:ascii="Times New Roman" w:hAnsi="Times New Roman" w:eastAsia="楷体_GB2312" w:cs="Times New Roman"/>
          <w:b/>
          <w:bCs/>
          <w:color w:val="auto"/>
          <w:kern w:val="28"/>
          <w:sz w:val="32"/>
          <w:highlight w:val="none"/>
          <w:lang w:val="en-US" w:eastAsia="zh-CN"/>
        </w:rPr>
        <w:t>满意度指标完成情况分析</w:t>
      </w:r>
      <w:bookmarkEnd w:id="142"/>
    </w:p>
    <w:p w14:paraId="3DB44EAB">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“师生满意度”指标，预期目标值为≥95%，实际完成为95%。</w:t>
      </w:r>
    </w:p>
    <w:p w14:paraId="3F742AA1">
      <w:pPr>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综上，该项指标满分6分，得分6分。</w:t>
      </w:r>
    </w:p>
    <w:p w14:paraId="0215C57F">
      <w:pPr>
        <w:pStyle w:val="3"/>
        <w:pageBreakBefore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43" w:name="_Toc6622"/>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五</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、主要经验及做法、存在的问题及原因分析</w:t>
      </w:r>
      <w:bookmarkEnd w:id="143"/>
    </w:p>
    <w:p w14:paraId="67DA88AD">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4" w:name="_Toc15449"/>
      <w:bookmarkStart w:id="145" w:name="_Toc1921"/>
      <w:bookmarkStart w:id="146" w:name="_Toc28290"/>
      <w:r>
        <w:rPr>
          <w:rFonts w:hint="eastAsia" w:ascii="Times New Roman" w:hAnsi="Times New Roman" w:eastAsia="楷体_GB2312" w:cs="Times New Roman"/>
          <w:b/>
          <w:bCs/>
          <w:kern w:val="28"/>
          <w:sz w:val="32"/>
          <w:highlight w:val="none"/>
          <w:lang w:val="en-US" w:eastAsia="zh-CN"/>
        </w:rPr>
        <w:t>（一）主要经验及做法</w:t>
      </w:r>
      <w:bookmarkEnd w:id="144"/>
    </w:p>
    <w:p w14:paraId="604C55E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昌州财教【2023】91号（保民生）提前下达2024年学生资助补助经费（中央直达资金）中职、技校免学费、中职、技校助学金项目</w:t>
      </w:r>
      <w:r>
        <w:rPr>
          <w:rFonts w:hint="eastAsia" w:ascii="仿宋_GB2312" w:hAnsi="仿宋_GB2312" w:eastAsia="仿宋_GB2312" w:cs="仿宋_GB2312"/>
          <w:color w:val="auto"/>
          <w:sz w:val="32"/>
          <w:szCs w:val="32"/>
          <w:highlight w:val="none"/>
          <w:lang w:eastAsia="zh-CN"/>
        </w:rPr>
        <w:t>20</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lang w:eastAsia="zh-CN"/>
        </w:rPr>
        <w:t>年预算</w:t>
      </w:r>
      <w:r>
        <w:rPr>
          <w:rFonts w:hint="eastAsia" w:ascii="仿宋_GB2312" w:hAnsi="仿宋_GB2312" w:eastAsia="仿宋_GB2312" w:cs="仿宋_GB2312"/>
          <w:color w:val="auto"/>
          <w:sz w:val="32"/>
          <w:szCs w:val="32"/>
          <w:highlight w:val="none"/>
          <w:lang w:val="en-US" w:eastAsia="zh-CN"/>
        </w:rPr>
        <w:t>数</w:t>
      </w:r>
      <w:r>
        <w:rPr>
          <w:rFonts w:hint="eastAsia" w:ascii="仿宋_GB2312" w:hAnsi="仿宋_GB2312" w:eastAsia="仿宋_GB2312" w:cs="仿宋_GB2312"/>
          <w:color w:val="auto"/>
          <w:sz w:val="32"/>
          <w:szCs w:val="32"/>
          <w:highlight w:val="none"/>
          <w:lang w:eastAsia="zh-CN"/>
        </w:rPr>
        <w:t>为</w:t>
      </w:r>
      <w:r>
        <w:rPr>
          <w:rFonts w:hint="eastAsia" w:ascii="仿宋_GB2312" w:hAnsi="仿宋_GB2312" w:eastAsia="仿宋_GB2312" w:cs="仿宋_GB2312"/>
          <w:color w:val="auto"/>
          <w:sz w:val="32"/>
          <w:szCs w:val="32"/>
          <w:highlight w:val="none"/>
          <w:lang w:val="en-US" w:eastAsia="zh-CN"/>
        </w:rPr>
        <w:t>462</w:t>
      </w:r>
      <w:r>
        <w:rPr>
          <w:rFonts w:hint="eastAsia" w:ascii="仿宋_GB2312" w:hAnsi="仿宋_GB2312" w:eastAsia="仿宋_GB2312" w:cs="仿宋_GB2312"/>
          <w:color w:val="auto"/>
          <w:sz w:val="32"/>
          <w:szCs w:val="32"/>
          <w:highlight w:val="none"/>
          <w:lang w:eastAsia="zh-CN"/>
        </w:rPr>
        <w:t>万元，</w:t>
      </w:r>
      <w:r>
        <w:rPr>
          <w:rFonts w:hint="eastAsia" w:ascii="仿宋_GB2312" w:hAnsi="仿宋_GB2312" w:eastAsia="仿宋_GB2312" w:cs="仿宋_GB2312"/>
          <w:color w:val="auto"/>
          <w:sz w:val="32"/>
          <w:szCs w:val="32"/>
          <w:highlight w:val="none"/>
          <w:lang w:val="en-US" w:eastAsia="zh-CN"/>
        </w:rPr>
        <w:t>截至2024年12月31日共</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lang w:val="en-US" w:eastAsia="zh-CN"/>
        </w:rPr>
        <w:t>423.81</w:t>
      </w:r>
      <w:r>
        <w:rPr>
          <w:rFonts w:hint="eastAsia" w:ascii="仿宋_GB2312" w:hAnsi="仿宋_GB2312" w:eastAsia="仿宋_GB2312" w:cs="仿宋_GB2312"/>
          <w:color w:val="auto"/>
          <w:sz w:val="32"/>
          <w:szCs w:val="32"/>
          <w:highlight w:val="none"/>
          <w:lang w:eastAsia="zh-CN"/>
        </w:rPr>
        <w:t>万元，预算</w:t>
      </w:r>
      <w:r>
        <w:rPr>
          <w:rFonts w:hint="eastAsia" w:ascii="仿宋_GB2312" w:hAnsi="仿宋_GB2312" w:eastAsia="仿宋_GB2312" w:cs="仿宋_GB2312"/>
          <w:color w:val="auto"/>
          <w:sz w:val="32"/>
          <w:szCs w:val="32"/>
          <w:highlight w:val="none"/>
          <w:lang w:val="en-US" w:eastAsia="zh-CN"/>
        </w:rPr>
        <w:t>执行</w:t>
      </w:r>
      <w:r>
        <w:rPr>
          <w:rFonts w:hint="eastAsia" w:ascii="仿宋_GB2312" w:hAnsi="仿宋_GB2312" w:eastAsia="仿宋_GB2312" w:cs="仿宋_GB2312"/>
          <w:color w:val="auto"/>
          <w:sz w:val="32"/>
          <w:szCs w:val="32"/>
          <w:highlight w:val="none"/>
          <w:lang w:eastAsia="zh-CN"/>
        </w:rPr>
        <w:t>率为</w:t>
      </w:r>
      <w:r>
        <w:rPr>
          <w:rFonts w:hint="eastAsia" w:ascii="仿宋_GB2312" w:hAnsi="仿宋_GB2312" w:eastAsia="仿宋_GB2312" w:cs="仿宋_GB2312"/>
          <w:color w:val="auto"/>
          <w:sz w:val="32"/>
          <w:szCs w:val="32"/>
          <w:highlight w:val="none"/>
          <w:lang w:val="en-US" w:eastAsia="zh-CN"/>
        </w:rPr>
        <w:t>91.73</w:t>
      </w:r>
      <w:r>
        <w:rPr>
          <w:rFonts w:hint="eastAsia" w:ascii="仿宋_GB2312" w:hAnsi="仿宋_GB2312" w:eastAsia="仿宋_GB2312" w:cs="仿宋_GB2312"/>
          <w:color w:val="auto"/>
          <w:sz w:val="32"/>
          <w:szCs w:val="32"/>
          <w:highlight w:val="none"/>
          <w:lang w:eastAsia="zh-CN"/>
        </w:rPr>
        <w:t>%。</w:t>
      </w:r>
    </w:p>
    <w:p w14:paraId="453DF28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阜康市职业中等专业学校单位</w:t>
      </w:r>
      <w:r>
        <w:rPr>
          <w:rFonts w:hint="eastAsia" w:ascii="仿宋_GB2312" w:hAnsi="仿宋_GB2312" w:eastAsia="仿宋_GB2312" w:cs="仿宋_GB2312"/>
          <w:color w:val="auto"/>
          <w:sz w:val="32"/>
          <w:szCs w:val="32"/>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ascii="仿宋_GB2312" w:hAnsi="仿宋_GB2312" w:eastAsia="仿宋_GB2312" w:cs="仿宋_GB2312"/>
          <w:color w:val="auto"/>
          <w:sz w:val="32"/>
          <w:szCs w:val="32"/>
          <w:highlight w:val="none"/>
          <w:lang w:val="en-US" w:eastAsia="zh-CN"/>
        </w:rPr>
        <w:t>阜康市职业中等专业学校单位</w:t>
      </w:r>
      <w:r>
        <w:rPr>
          <w:rFonts w:hint="eastAsia" w:ascii="仿宋_GB2312" w:hAnsi="仿宋_GB2312" w:eastAsia="仿宋_GB2312" w:cs="仿宋_GB2312"/>
          <w:color w:val="auto"/>
          <w:sz w:val="32"/>
          <w:szCs w:val="32"/>
          <w:highlight w:val="none"/>
          <w:lang w:eastAsia="zh-CN"/>
        </w:rPr>
        <w:t>事业发展中关系民生与稳定的项目，切实优化资源配置，提高了资</w:t>
      </w:r>
      <w:r>
        <w:rPr>
          <w:rFonts w:hint="eastAsia" w:ascii="仿宋_GB2312" w:hAnsi="仿宋_GB2312" w:eastAsia="仿宋_GB2312" w:cs="仿宋_GB2312"/>
          <w:sz w:val="32"/>
          <w:szCs w:val="32"/>
          <w:highlight w:val="none"/>
          <w:lang w:eastAsia="zh-CN"/>
        </w:rPr>
        <w:t>金使用的效率和效果。</w:t>
      </w:r>
    </w:p>
    <w:bookmarkEnd w:id="145"/>
    <w:bookmarkEnd w:id="146"/>
    <w:p w14:paraId="4005511E">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7" w:name="_Toc29168"/>
      <w:r>
        <w:rPr>
          <w:rFonts w:hint="eastAsia" w:ascii="Times New Roman" w:hAnsi="Times New Roman" w:eastAsia="楷体_GB2312" w:cs="Times New Roman"/>
          <w:b/>
          <w:bCs/>
          <w:kern w:val="28"/>
          <w:sz w:val="32"/>
          <w:highlight w:val="none"/>
          <w:lang w:val="en-US" w:eastAsia="zh-CN"/>
        </w:rPr>
        <w:t>（二）存在的问题及原因分析</w:t>
      </w:r>
      <w:bookmarkEnd w:id="147"/>
      <w:bookmarkStart w:id="148" w:name="_Toc3333"/>
    </w:p>
    <w:p w14:paraId="3107D73C">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1、在制定资助补助资金预算时，对受助学生数量预估不准确，没有充分考虑学生家庭经济状况的动态变化，导致预算与实际需求脱节，资金要么过剩闲置，要么不足无法满足资助需求。</w:t>
      </w:r>
    </w:p>
    <w:p w14:paraId="6ED1329A">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2、学校各部门之间、学校与学生及家长之间信息沟通渠道不畅通，导致资助政策宣传不到位，资助资金的审核、审批流程繁琐，涉及多个部门和环节，各部门之间沟通协调不畅。</w:t>
      </w:r>
    </w:p>
    <w:p w14:paraId="49CA415D">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0" w:firstLineChars="200"/>
        <w:jc w:val="both"/>
        <w:textAlignment w:val="auto"/>
        <w:rPr>
          <w:rFonts w:hint="default"/>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 xml:space="preserve">3、资金使用的审批环节过多、流程复杂，导致资金支付不及时，延误了项目的实施进度。 </w:t>
      </w:r>
    </w:p>
    <w:p w14:paraId="5CD35B9B">
      <w:pPr>
        <w:pStyle w:val="14"/>
        <w:keepNext w:val="0"/>
        <w:keepLines w:val="0"/>
        <w:pageBreakBefore w:val="0"/>
        <w:widowControl/>
        <w:kinsoku/>
        <w:wordWrap/>
        <w:overflowPunct/>
        <w:topLinePunct w:val="0"/>
        <w:autoSpaceDE/>
        <w:autoSpaceDN/>
        <w:bidi w:val="0"/>
        <w:adjustRightInd/>
        <w:snapToGrid/>
        <w:spacing w:before="0" w:beforeLines="0" w:after="0" w:afterLines="0"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r>
        <w:rPr>
          <w:rFonts w:hint="eastAsia" w:ascii="Times New Roman" w:hAnsi="Times New Roman" w:eastAsia="楷体_GB2312" w:cs="Times New Roman"/>
          <w:b/>
          <w:bCs/>
          <w:kern w:val="28"/>
          <w:sz w:val="32"/>
          <w:highlight w:val="none"/>
          <w:lang w:val="en-US" w:eastAsia="zh-CN"/>
        </w:rPr>
        <w:t>六、有关建议</w:t>
      </w:r>
      <w:bookmarkEnd w:id="148"/>
    </w:p>
    <w:p w14:paraId="2FC72D18">
      <w:pPr>
        <w:pStyle w:val="3"/>
        <w:pageBreakBefore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建立科学的学生资助需求预测机制，结合学校招生计划、学生家庭经济状况调查等因素，合理编制资助资金预算；加强预算执行的监控和调整，确保预算的准确性和有效性。建立健全资助资金监管制度，定期对资助资金的使用情况进行检查和审计，对发现的问题及时整改；加强对受助学生的教育和引导，提高学生对资助资金的正确认识和合理使用意识。</w:t>
      </w:r>
    </w:p>
    <w:p w14:paraId="6B08F6EC">
      <w:pPr>
        <w:pageBreakBefore w:val="0"/>
        <w:kinsoku/>
        <w:wordWrap/>
        <w:overflowPunct/>
        <w:topLinePunct w:val="0"/>
        <w:autoSpaceDE/>
        <w:autoSpaceDN/>
        <w:bidi w:val="0"/>
        <w:adjustRightInd/>
        <w:snapToGrid/>
        <w:spacing w:line="560" w:lineRule="exact"/>
        <w:ind w:firstLine="560" w:firstLineChars="200"/>
        <w:textAlignment w:val="auto"/>
        <w:rPr>
          <w:rFonts w:hint="eastAsia"/>
          <w:highlight w:val="none"/>
          <w:lang w:val="en-US" w:eastAsia="zh-CN"/>
        </w:rPr>
      </w:pPr>
    </w:p>
    <w:p w14:paraId="12AB6144">
      <w:pPr>
        <w:pStyle w:val="3"/>
        <w:pageBreakBefore w:val="0"/>
        <w:numPr>
          <w:ilvl w:val="0"/>
          <w:numId w:val="0"/>
        </w:numPr>
        <w:kinsoku/>
        <w:wordWrap/>
        <w:overflowPunct/>
        <w:topLinePunct w:val="0"/>
        <w:autoSpaceDE/>
        <w:autoSpaceDN/>
        <w:bidi w:val="0"/>
        <w:adjustRightInd/>
        <w:snapToGrid/>
        <w:spacing w:beforeLines="0" w:afterLines="0" w:line="56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bookmarkStart w:id="149" w:name="_Toc3948"/>
      <w:bookmarkStart w:id="150" w:name="_Toc20454"/>
      <w:r>
        <w:rPr>
          <w:rFonts w:hint="eastAsia" w:ascii="仿宋_GB2312" w:hAnsi="仿宋_GB2312" w:eastAsia="仿宋_GB2312" w:cs="仿宋_GB2312"/>
          <w:color w:val="auto"/>
          <w:kern w:val="2"/>
          <w:sz w:val="32"/>
          <w:szCs w:val="32"/>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加强对资助工作人员的培训，定期组织政策法规、业务知识和职业道德等方面的培训，提高工作人员的专业素养和服务意识；鼓励工作人员参加相关的职业资格考试和培训，提升自身的业务能力。建立学校内部各部门之间的信息共享平台，实现学生信息的实时更新和共享；加强与学生及家长的沟通，通过家长会、微信公众号等多种渠道宣传资助政策和工作流程，及时解答学生和家长的疑问；建立学生反馈机制，及时了解学生的需求和意见，不断改进资助工作。</w:t>
      </w:r>
    </w:p>
    <w:p w14:paraId="0936CC5F">
      <w:pPr>
        <w:pStyle w:val="3"/>
        <w:pageBreakBefore w:val="0"/>
        <w:numPr>
          <w:ilvl w:val="0"/>
          <w:numId w:val="0"/>
        </w:numPr>
        <w:kinsoku/>
        <w:wordWrap/>
        <w:overflowPunct/>
        <w:topLinePunct w:val="0"/>
        <w:autoSpaceDE/>
        <w:autoSpaceDN/>
        <w:bidi w:val="0"/>
        <w:adjustRightInd/>
        <w:snapToGrid/>
        <w:spacing w:beforeLines="0" w:afterLines="0" w:line="560" w:lineRule="exact"/>
        <w:ind w:left="0" w:leftChars="0"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lang w:val="en-US" w:eastAsia="zh-CN" w:bidi="ar-SA"/>
        </w:rPr>
        <w:t>3、</w:t>
      </w:r>
      <w:r>
        <w:rPr>
          <w:rFonts w:hint="eastAsia" w:ascii="仿宋_GB2312" w:hAnsi="仿宋_GB2312" w:eastAsia="仿宋_GB2312" w:cs="仿宋_GB2312"/>
          <w:color w:val="auto"/>
          <w:kern w:val="2"/>
          <w:sz w:val="32"/>
          <w:szCs w:val="32"/>
          <w:highlight w:val="none"/>
          <w:lang w:val="en-US" w:eastAsia="zh-CN" w:bidi="ar-SA"/>
        </w:rPr>
        <w:t>对资金使用审批流程进行梳理和优化，减少不必要的审批环节，提高审批效率。同时，明确各审批环节的责任人和审批时限，确保资金及时支付。</w:t>
      </w:r>
    </w:p>
    <w:bookmarkEnd w:id="149"/>
    <w:bookmarkEnd w:id="150"/>
    <w:p w14:paraId="2F00659E">
      <w:pPr>
        <w:pStyle w:val="3"/>
        <w:pageBreakBefore w:val="0"/>
        <w:kinsoku/>
        <w:wordWrap/>
        <w:overflowPunct/>
        <w:topLinePunct w:val="0"/>
        <w:autoSpaceDE/>
        <w:autoSpaceDN/>
        <w:bidi w:val="0"/>
        <w:adjustRightInd/>
        <w:snapToGrid/>
        <w:spacing w:beforeLines="0" w:afterLines="0" w:line="560" w:lineRule="exact"/>
        <w:ind w:firstLine="640" w:firstLineChars="200"/>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51" w:name="_Toc14256"/>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七</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、其他需要说明的问题</w:t>
      </w:r>
      <w:bookmarkEnd w:id="151"/>
    </w:p>
    <w:p w14:paraId="5BE88248">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无其他需要说明的问题。</w:t>
      </w:r>
    </w:p>
    <w:p w14:paraId="63BF9492">
      <w:pPr>
        <w:pageBreakBefore w:val="0"/>
        <w:kinsoku/>
        <w:wordWrap/>
        <w:overflowPunct/>
        <w:topLinePunct w:val="0"/>
        <w:autoSpaceDE/>
        <w:autoSpaceDN/>
        <w:bidi w:val="0"/>
        <w:adjustRightInd/>
        <w:snapToGrid/>
        <w:spacing w:line="560" w:lineRule="exact"/>
        <w:ind w:firstLine="560" w:firstLineChars="200"/>
        <w:textAlignment w:val="auto"/>
        <w:rPr>
          <w:rFonts w:hint="eastAsia" w:cs="宋体"/>
          <w:color w:val="000000" w:themeColor="text1"/>
          <w:highlight w:val="none"/>
          <w:shd w:val="clear" w:color="auto" w:fill="auto"/>
          <w:lang w:val="en-US" w:eastAsia="zh-CN"/>
          <w14:textFill>
            <w14:solidFill>
              <w14:schemeClr w14:val="tx1"/>
            </w14:solidFill>
          </w14:textFill>
        </w:rPr>
        <w:sectPr>
          <w:footerReference r:id="rId5" w:type="default"/>
          <w:pgSz w:w="11906" w:h="16838"/>
          <w:pgMar w:top="1440" w:right="1800" w:bottom="1440" w:left="1800" w:header="737" w:footer="851" w:gutter="0"/>
          <w:pgNumType w:fmt="decimal"/>
          <w:cols w:space="720" w:num="1"/>
          <w:docGrid w:type="lines" w:linePitch="408" w:charSpace="0"/>
        </w:sectPr>
      </w:pPr>
    </w:p>
    <w:p w14:paraId="28B20EF5">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highlight w:val="none"/>
        </w:rPr>
      </w:pPr>
      <w:bookmarkStart w:id="152" w:name="_Toc11349"/>
      <w:bookmarkStart w:id="153" w:name="_Toc2897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152"/>
      <w:bookmarkEnd w:id="153"/>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5"/>
        <w:gridCol w:w="905"/>
        <w:gridCol w:w="905"/>
        <w:gridCol w:w="905"/>
        <w:gridCol w:w="1239"/>
        <w:gridCol w:w="1239"/>
        <w:gridCol w:w="1155"/>
        <w:gridCol w:w="1072"/>
        <w:gridCol w:w="1155"/>
        <w:gridCol w:w="905"/>
        <w:gridCol w:w="905"/>
        <w:gridCol w:w="905"/>
        <w:gridCol w:w="906"/>
        <w:gridCol w:w="1073"/>
      </w:tblGrid>
      <w:tr w14:paraId="3005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5000" w:type="pct"/>
            <w:gridSpan w:val="14"/>
            <w:tcBorders>
              <w:top w:val="nil"/>
              <w:left w:val="nil"/>
              <w:bottom w:val="nil"/>
              <w:right w:val="nil"/>
            </w:tcBorders>
            <w:shd w:val="clear" w:color="auto" w:fill="auto"/>
            <w:vAlign w:val="center"/>
          </w:tcPr>
          <w:p w14:paraId="380CBC4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6BB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00" w:type="pct"/>
            <w:gridSpan w:val="14"/>
            <w:tcBorders>
              <w:top w:val="nil"/>
              <w:left w:val="nil"/>
              <w:bottom w:val="single" w:color="auto" w:sz="4" w:space="0"/>
              <w:right w:val="nil"/>
            </w:tcBorders>
            <w:shd w:val="clear" w:color="auto" w:fill="auto"/>
            <w:vAlign w:val="center"/>
          </w:tcPr>
          <w:p w14:paraId="63256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14:paraId="6F490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14:paraId="44E8A6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95" w:type="pct"/>
            <w:gridSpan w:val="12"/>
            <w:tcBorders>
              <w:top w:val="single" w:color="auto" w:sz="4" w:space="0"/>
              <w:left w:val="single" w:color="000000" w:sz="4" w:space="0"/>
              <w:bottom w:val="single" w:color="000000" w:sz="4" w:space="0"/>
              <w:right w:val="single" w:color="000000" w:sz="4" w:space="0"/>
            </w:tcBorders>
            <w:shd w:val="clear" w:color="auto" w:fill="auto"/>
            <w:vAlign w:val="center"/>
          </w:tcPr>
          <w:p w14:paraId="5496D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昌州财教【2023】91号（保民生）提前下达2024年学生资助补助经费（中央直达资金）中职、技校免学费、中职、技校助学金</w:t>
            </w:r>
          </w:p>
        </w:tc>
      </w:tr>
      <w:tr w14:paraId="3042B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87538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77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2EED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阜康市教育局</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11D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17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737B3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阜康市职业中等专业学校</w:t>
            </w:r>
          </w:p>
        </w:tc>
      </w:tr>
      <w:tr w14:paraId="3D4C6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131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8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337E6">
            <w:pPr>
              <w:jc w:val="center"/>
              <w:rPr>
                <w:rFonts w:hint="eastAsia" w:ascii="宋体" w:hAnsi="宋体" w:eastAsia="宋体" w:cs="宋体"/>
                <w:b/>
                <w:bCs/>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1BF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4B99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0813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84B4B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116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F5BE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69862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6714A5">
            <w:pPr>
              <w:jc w:val="center"/>
              <w:rPr>
                <w:rFonts w:hint="eastAsia" w:ascii="宋体" w:hAnsi="宋体" w:eastAsia="宋体" w:cs="宋体"/>
                <w:b/>
                <w:bCs/>
                <w:i w:val="0"/>
                <w:iCs w:val="0"/>
                <w:color w:val="000000"/>
                <w:sz w:val="18"/>
                <w:szCs w:val="18"/>
                <w:u w:val="none"/>
              </w:rPr>
            </w:pPr>
          </w:p>
        </w:tc>
        <w:tc>
          <w:tcPr>
            <w:tcW w:w="8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C56DE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E03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462.73</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28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462.00</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9D1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423.81</w:t>
            </w:r>
          </w:p>
        </w:tc>
        <w:tc>
          <w:tcPr>
            <w:tcW w:w="6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789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CB2F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91.73%</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4A4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9.17</w:t>
            </w:r>
          </w:p>
        </w:tc>
      </w:tr>
      <w:tr w14:paraId="5E60E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48278">
            <w:pPr>
              <w:jc w:val="center"/>
              <w:rPr>
                <w:rFonts w:hint="eastAsia" w:ascii="宋体" w:hAnsi="宋体" w:eastAsia="宋体" w:cs="宋体"/>
                <w:b/>
                <w:bCs/>
                <w:i w:val="0"/>
                <w:iCs w:val="0"/>
                <w:color w:val="000000"/>
                <w:sz w:val="18"/>
                <w:szCs w:val="18"/>
                <w:u w:val="none"/>
              </w:rPr>
            </w:pPr>
          </w:p>
        </w:tc>
        <w:tc>
          <w:tcPr>
            <w:tcW w:w="8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53B39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C6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462.73</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131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462.00</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804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423.81</w:t>
            </w:r>
          </w:p>
        </w:tc>
        <w:tc>
          <w:tcPr>
            <w:tcW w:w="6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BE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EF2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5B0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C5EC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4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99D7D">
            <w:pPr>
              <w:jc w:val="center"/>
              <w:rPr>
                <w:rFonts w:hint="eastAsia" w:ascii="宋体" w:hAnsi="宋体" w:eastAsia="宋体" w:cs="宋体"/>
                <w:b/>
                <w:bCs/>
                <w:i w:val="0"/>
                <w:iCs w:val="0"/>
                <w:color w:val="000000"/>
                <w:sz w:val="18"/>
                <w:szCs w:val="18"/>
                <w:u w:val="none"/>
              </w:rPr>
            </w:pPr>
          </w:p>
        </w:tc>
        <w:tc>
          <w:tcPr>
            <w:tcW w:w="8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A0B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02FF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D3F3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4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D62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64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BE5A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47A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9F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BD36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44300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9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49F03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81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41C99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3A22A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062D5">
            <w:pPr>
              <w:jc w:val="center"/>
              <w:rPr>
                <w:rFonts w:hint="eastAsia" w:ascii="宋体" w:hAnsi="宋体" w:eastAsia="宋体" w:cs="宋体"/>
                <w:b/>
                <w:bCs/>
                <w:i w:val="0"/>
                <w:iCs w:val="0"/>
                <w:color w:val="000000"/>
                <w:sz w:val="18"/>
                <w:szCs w:val="18"/>
                <w:u w:val="none"/>
              </w:rPr>
            </w:pPr>
          </w:p>
        </w:tc>
        <w:tc>
          <w:tcPr>
            <w:tcW w:w="1978"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341C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面落实《阜康市教育高质量发展三年行动计划(2023-2025)》，使学校在教育教学、师资队伍建设、教育科研、社会服务等方面能力明显提升。2024年计划完成免学费享受人次1701人，助学金享受人数612人，资金足额到位率100%，及时发放率预计达到100%。助学金以每人每年2000元标准进行发放，脱贫家庭等经济困难学生享受免学费政策比率达到100%，免学费以每人每年2000元标准进行学费免除，全日制学历教育正式学籍在校生覆盖率预计达到100%。每年完成助学金发放2次。通过项目实施，将有效落实好中职资助政策，达到有效减轻家庭经济困难学生生活压力，有效改善贫困生生活质量，为家长减轻负担的效益。</w:t>
            </w:r>
          </w:p>
        </w:tc>
        <w:tc>
          <w:tcPr>
            <w:tcW w:w="281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6A44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31日，本项目完成中职、技校免学费发放人数1314人，助学金发放人数448人，家庭经济困难学生享受政策比例达到100%，及时发放率达到100%，每人每年发放助学金2000元。项目的实施达到了有效减轻家庭困难学生经济压力，改善贫困生生活质量的社会效益，师生满意度达到95%。</w:t>
            </w:r>
          </w:p>
        </w:tc>
      </w:tr>
      <w:tr w14:paraId="44892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2C7B73">
            <w:pPr>
              <w:jc w:val="center"/>
              <w:rPr>
                <w:rFonts w:hint="eastAsia" w:ascii="宋体" w:hAnsi="宋体" w:eastAsia="宋体" w:cs="宋体"/>
                <w:i w:val="0"/>
                <w:iCs w:val="0"/>
                <w:color w:val="000000"/>
                <w:sz w:val="18"/>
                <w:szCs w:val="18"/>
                <w:u w:val="none"/>
              </w:rPr>
            </w:pP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7DE3E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02970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E094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1DC9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F0BD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6CA21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226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0B5E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0C82E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956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8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9B98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4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2E01A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5F99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787C8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17ED0A">
            <w:pPr>
              <w:jc w:val="center"/>
              <w:rPr>
                <w:rFonts w:hint="eastAsia" w:ascii="宋体" w:hAnsi="宋体" w:eastAsia="宋体" w:cs="宋体"/>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97657">
            <w:pPr>
              <w:jc w:val="center"/>
              <w:rPr>
                <w:rFonts w:hint="eastAsia" w:ascii="宋体" w:hAnsi="宋体" w:eastAsia="宋体" w:cs="宋体"/>
                <w:b/>
                <w:bCs/>
                <w:i w:val="0"/>
                <w:iCs w:val="0"/>
                <w:color w:val="000000"/>
                <w:sz w:val="18"/>
                <w:szCs w:val="18"/>
                <w:u w:val="none"/>
              </w:rPr>
            </w:pPr>
          </w:p>
        </w:tc>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87DAC">
            <w:pPr>
              <w:jc w:val="center"/>
              <w:rPr>
                <w:rFonts w:hint="eastAsia" w:ascii="宋体" w:hAnsi="宋体" w:eastAsia="宋体" w:cs="宋体"/>
                <w:b/>
                <w:bCs/>
                <w:i w:val="0"/>
                <w:iCs w:val="0"/>
                <w:color w:val="000000"/>
                <w:sz w:val="18"/>
                <w:szCs w:val="18"/>
                <w:u w:val="none"/>
              </w:rPr>
            </w:pPr>
          </w:p>
        </w:tc>
        <w:tc>
          <w:tcPr>
            <w:tcW w:w="4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036C0">
            <w:pPr>
              <w:jc w:val="center"/>
              <w:rPr>
                <w:rFonts w:hint="eastAsia" w:ascii="宋体" w:hAnsi="宋体" w:eastAsia="宋体" w:cs="宋体"/>
                <w:b/>
                <w:bCs/>
                <w:i w:val="0"/>
                <w:iCs w:val="0"/>
                <w:color w:val="000000"/>
                <w:sz w:val="18"/>
                <w:szCs w:val="18"/>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F50DE">
            <w:pPr>
              <w:jc w:val="center"/>
              <w:rPr>
                <w:rFonts w:hint="eastAsia" w:ascii="宋体" w:hAnsi="宋体" w:eastAsia="宋体" w:cs="宋体"/>
                <w:b/>
                <w:bCs/>
                <w:i w:val="0"/>
                <w:iCs w:val="0"/>
                <w:color w:val="000000"/>
                <w:sz w:val="18"/>
                <w:szCs w:val="18"/>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B0FCF8">
            <w:pPr>
              <w:jc w:val="center"/>
              <w:rPr>
                <w:rFonts w:hint="eastAsia" w:ascii="宋体" w:hAnsi="宋体" w:eastAsia="宋体" w:cs="宋体"/>
                <w:b/>
                <w:bCs/>
                <w:i w:val="0"/>
                <w:iCs w:val="0"/>
                <w:color w:val="000000"/>
                <w:sz w:val="18"/>
                <w:szCs w:val="18"/>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2BBAC">
            <w:pPr>
              <w:jc w:val="center"/>
              <w:rPr>
                <w:rFonts w:hint="eastAsia" w:ascii="宋体" w:hAnsi="宋体" w:eastAsia="宋体" w:cs="宋体"/>
                <w:b/>
                <w:bCs/>
                <w:i w:val="0"/>
                <w:iCs w:val="0"/>
                <w:color w:val="000000"/>
                <w:sz w:val="18"/>
                <w:szCs w:val="18"/>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A66618">
            <w:pPr>
              <w:jc w:val="center"/>
              <w:rPr>
                <w:rFonts w:hint="eastAsia" w:ascii="宋体" w:hAnsi="宋体" w:eastAsia="宋体" w:cs="宋体"/>
                <w:b/>
                <w:bCs/>
                <w:i w:val="0"/>
                <w:iCs w:val="0"/>
                <w:color w:val="000000"/>
                <w:sz w:val="18"/>
                <w:szCs w:val="18"/>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2631D">
            <w:pPr>
              <w:jc w:val="center"/>
              <w:rPr>
                <w:rFonts w:hint="eastAsia" w:ascii="宋体" w:hAnsi="宋体" w:eastAsia="宋体" w:cs="宋体"/>
                <w:b/>
                <w:bCs/>
                <w:i w:val="0"/>
                <w:iCs w:val="0"/>
                <w:color w:val="000000"/>
                <w:sz w:val="18"/>
                <w:szCs w:val="18"/>
                <w:u w:val="none"/>
              </w:rPr>
            </w:pPr>
          </w:p>
        </w:tc>
        <w:tc>
          <w:tcPr>
            <w:tcW w:w="3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E0CA46">
            <w:pPr>
              <w:jc w:val="center"/>
              <w:rPr>
                <w:rFonts w:hint="eastAsia" w:ascii="宋体" w:hAnsi="宋体" w:eastAsia="宋体" w:cs="宋体"/>
                <w:b/>
                <w:bCs/>
                <w:i w:val="0"/>
                <w:iCs w:val="0"/>
                <w:color w:val="000000"/>
                <w:sz w:val="18"/>
                <w:szCs w:val="18"/>
                <w:u w:val="none"/>
              </w:rPr>
            </w:pPr>
          </w:p>
        </w:tc>
        <w:tc>
          <w:tcPr>
            <w:tcW w:w="3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FF162">
            <w:pPr>
              <w:jc w:val="center"/>
              <w:rPr>
                <w:rFonts w:hint="eastAsia" w:ascii="宋体" w:hAnsi="宋体" w:eastAsia="宋体" w:cs="宋体"/>
                <w:b/>
                <w:bCs/>
                <w:i w:val="0"/>
                <w:iCs w:val="0"/>
                <w:color w:val="000000"/>
                <w:sz w:val="18"/>
                <w:szCs w:val="18"/>
                <w:u w:val="none"/>
              </w:rPr>
            </w:pPr>
          </w:p>
        </w:tc>
        <w:tc>
          <w:tcPr>
            <w:tcW w:w="38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76325">
            <w:pPr>
              <w:jc w:val="center"/>
              <w:rPr>
                <w:rFonts w:hint="eastAsia" w:ascii="宋体" w:hAnsi="宋体" w:eastAsia="宋体" w:cs="宋体"/>
                <w:b/>
                <w:bCs/>
                <w:i w:val="0"/>
                <w:iCs w:val="0"/>
                <w:color w:val="000000"/>
                <w:sz w:val="18"/>
                <w:szCs w:val="18"/>
                <w:u w:val="none"/>
              </w:rPr>
            </w:pPr>
          </w:p>
        </w:tc>
        <w:tc>
          <w:tcPr>
            <w:tcW w:w="34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82641">
            <w:pPr>
              <w:jc w:val="center"/>
              <w:rPr>
                <w:rFonts w:hint="eastAsia" w:ascii="宋体" w:hAnsi="宋体" w:eastAsia="宋体" w:cs="宋体"/>
                <w:b/>
                <w:bCs/>
                <w:i w:val="0"/>
                <w:iCs w:val="0"/>
                <w:color w:val="000000"/>
                <w:sz w:val="18"/>
                <w:szCs w:val="18"/>
                <w:u w:val="none"/>
              </w:rPr>
            </w:pPr>
          </w:p>
        </w:tc>
        <w:tc>
          <w:tcPr>
            <w:tcW w:w="8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D8143">
            <w:pPr>
              <w:jc w:val="center"/>
              <w:rPr>
                <w:rFonts w:hint="eastAsia" w:ascii="宋体" w:hAnsi="宋体" w:eastAsia="宋体" w:cs="宋体"/>
                <w:b/>
                <w:bCs/>
                <w:i w:val="0"/>
                <w:iCs w:val="0"/>
                <w:color w:val="000000"/>
                <w:sz w:val="18"/>
                <w:szCs w:val="18"/>
                <w:u w:val="none"/>
              </w:rPr>
            </w:pPr>
          </w:p>
        </w:tc>
      </w:tr>
      <w:tr w14:paraId="05FE8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6B673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bookmarkStart w:id="156" w:name="_GoBack" w:colFirst="7" w:colLast="7"/>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16DA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8B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1F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中职、技校国家免学费</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A80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C8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&gt;=1701人</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621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=1701人</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978ED">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9BCA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77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64EEF">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CA4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5E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B32AB">
            <w:pPr>
              <w:jc w:val="center"/>
              <w:rPr>
                <w:rFonts w:hint="eastAsia" w:ascii="宋体" w:hAnsi="宋体" w:eastAsia="宋体" w:cs="宋体"/>
                <w:i w:val="0"/>
                <w:iCs w:val="0"/>
                <w:color w:val="000000"/>
                <w:sz w:val="18"/>
                <w:szCs w:val="18"/>
                <w:u w:val="none"/>
              </w:rPr>
            </w:pPr>
          </w:p>
        </w:tc>
      </w:tr>
      <w:tr w14:paraId="1718B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94DDA">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66E5F">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1C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FA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中职、技校国家助学金</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CC0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79A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&gt;=612人</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1FC9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=612人</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6A55">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4AA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C00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F1CC4">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7B2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3D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DC65CF">
            <w:pPr>
              <w:jc w:val="center"/>
              <w:rPr>
                <w:rFonts w:hint="eastAsia" w:ascii="宋体" w:hAnsi="宋体" w:eastAsia="宋体" w:cs="宋体"/>
                <w:i w:val="0"/>
                <w:iCs w:val="0"/>
                <w:color w:val="000000"/>
                <w:sz w:val="18"/>
                <w:szCs w:val="18"/>
                <w:u w:val="none"/>
              </w:rPr>
            </w:pPr>
          </w:p>
        </w:tc>
      </w:tr>
      <w:tr w14:paraId="19662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043D3">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D9C9D">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57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50E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家庭经济困难学生享受免学费政策比例</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BB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B1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A5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EB59E">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404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5CE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85D86">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065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0080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5579">
            <w:pPr>
              <w:jc w:val="center"/>
              <w:rPr>
                <w:rFonts w:hint="eastAsia" w:ascii="宋体" w:hAnsi="宋体" w:eastAsia="宋体" w:cs="宋体"/>
                <w:i w:val="0"/>
                <w:iCs w:val="0"/>
                <w:color w:val="000000"/>
                <w:sz w:val="18"/>
                <w:szCs w:val="18"/>
                <w:u w:val="none"/>
              </w:rPr>
            </w:pPr>
          </w:p>
        </w:tc>
      </w:tr>
      <w:tr w14:paraId="033E2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3108C">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160B9">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2A1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D4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及时发放率</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B08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311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BE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1523B">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FDE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E12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E299B">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A0F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AA5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243F9">
            <w:pPr>
              <w:jc w:val="center"/>
              <w:rPr>
                <w:rFonts w:hint="eastAsia" w:ascii="宋体" w:hAnsi="宋体" w:eastAsia="宋体" w:cs="宋体"/>
                <w:i w:val="0"/>
                <w:iCs w:val="0"/>
                <w:color w:val="000000"/>
                <w:sz w:val="18"/>
                <w:szCs w:val="18"/>
                <w:u w:val="none"/>
              </w:rPr>
            </w:pPr>
          </w:p>
        </w:tc>
      </w:tr>
      <w:tr w14:paraId="3FAD9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3A550">
            <w:pPr>
              <w:jc w:val="center"/>
              <w:rPr>
                <w:rFonts w:hint="eastAsia" w:ascii="宋体" w:hAnsi="宋体" w:eastAsia="宋体" w:cs="宋体"/>
                <w:b/>
                <w:bCs/>
                <w:i w:val="0"/>
                <w:iCs w:val="0"/>
                <w:color w:val="000000"/>
                <w:sz w:val="18"/>
                <w:szCs w:val="18"/>
                <w:u w:val="none"/>
              </w:rPr>
            </w:pP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9C3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FFC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349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职业教育学生平均标准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CB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8F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=2000元/人/学年</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520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=2000元/人/学年</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9FF2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E3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67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2A4BD">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9C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ED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工作资料,原始凭证</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F71CC">
            <w:pPr>
              <w:jc w:val="center"/>
              <w:rPr>
                <w:rFonts w:hint="eastAsia" w:ascii="宋体" w:hAnsi="宋体" w:eastAsia="宋体" w:cs="宋体"/>
                <w:i w:val="0"/>
                <w:iCs w:val="0"/>
                <w:color w:val="000000"/>
                <w:sz w:val="18"/>
                <w:szCs w:val="18"/>
                <w:u w:val="none"/>
              </w:rPr>
            </w:pPr>
          </w:p>
        </w:tc>
      </w:tr>
      <w:tr w14:paraId="6342C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D19F0">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9317B">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48B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E8DA4A">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42686">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04267F">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10DAB">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3E97D">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93BB68">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5E8E5">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EEC2D0">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98748">
            <w:pPr>
              <w:jc w:val="center"/>
              <w:rPr>
                <w:rFonts w:hint="eastAsia" w:ascii="宋体" w:hAnsi="宋体" w:eastAsia="宋体" w:cs="宋体"/>
                <w:i w:val="0"/>
                <w:iCs w:val="0"/>
                <w:color w:val="000000"/>
                <w:sz w:val="18"/>
                <w:szCs w:val="18"/>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9E4D72">
            <w:pPr>
              <w:jc w:val="center"/>
              <w:rPr>
                <w:rFonts w:hint="eastAsia" w:ascii="宋体" w:hAnsi="宋体" w:eastAsia="宋体" w:cs="宋体"/>
                <w:i w:val="0"/>
                <w:iCs w:val="0"/>
                <w:color w:val="000000"/>
                <w:sz w:val="18"/>
                <w:szCs w:val="18"/>
                <w:u w:val="none"/>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9D9FF">
            <w:pPr>
              <w:jc w:val="center"/>
              <w:rPr>
                <w:rFonts w:hint="eastAsia" w:ascii="宋体" w:hAnsi="宋体" w:eastAsia="宋体" w:cs="宋体"/>
                <w:i w:val="0"/>
                <w:iCs w:val="0"/>
                <w:color w:val="000000"/>
                <w:sz w:val="18"/>
                <w:szCs w:val="18"/>
                <w:u w:val="none"/>
              </w:rPr>
            </w:pPr>
          </w:p>
        </w:tc>
      </w:tr>
      <w:tr w14:paraId="52509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FCF55">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0CB8F1">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07A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DE084">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8EFE8">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CD578">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E2F02">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CC5B">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753CA">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D45199">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BC3F0">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AA05E">
            <w:pPr>
              <w:jc w:val="center"/>
              <w:rPr>
                <w:rFonts w:hint="eastAsia" w:ascii="宋体" w:hAnsi="宋体" w:eastAsia="宋体" w:cs="宋体"/>
                <w:i w:val="0"/>
                <w:iCs w:val="0"/>
                <w:color w:val="000000"/>
                <w:sz w:val="18"/>
                <w:szCs w:val="18"/>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7558D">
            <w:pPr>
              <w:jc w:val="center"/>
              <w:rPr>
                <w:rFonts w:hint="eastAsia" w:ascii="宋体" w:hAnsi="宋体" w:eastAsia="宋体" w:cs="宋体"/>
                <w:i w:val="0"/>
                <w:iCs w:val="0"/>
                <w:color w:val="000000"/>
                <w:sz w:val="18"/>
                <w:szCs w:val="18"/>
                <w:u w:val="none"/>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A86D2">
            <w:pPr>
              <w:jc w:val="center"/>
              <w:rPr>
                <w:rFonts w:hint="eastAsia" w:ascii="宋体" w:hAnsi="宋体" w:eastAsia="宋体" w:cs="宋体"/>
                <w:i w:val="0"/>
                <w:iCs w:val="0"/>
                <w:color w:val="000000"/>
                <w:sz w:val="18"/>
                <w:szCs w:val="18"/>
                <w:u w:val="none"/>
              </w:rPr>
            </w:pPr>
          </w:p>
        </w:tc>
      </w:tr>
      <w:tr w14:paraId="408D3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0CF8E">
            <w:pPr>
              <w:jc w:val="center"/>
              <w:rPr>
                <w:rFonts w:hint="eastAsia" w:ascii="宋体" w:hAnsi="宋体" w:eastAsia="宋体" w:cs="宋体"/>
                <w:b/>
                <w:bCs/>
                <w:i w:val="0"/>
                <w:iCs w:val="0"/>
                <w:color w:val="000000"/>
                <w:sz w:val="18"/>
                <w:szCs w:val="18"/>
                <w:u w:val="none"/>
              </w:rPr>
            </w:pPr>
          </w:p>
        </w:tc>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BBC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235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71F18">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0707A">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F305E4">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8904F0">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9A8C">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A405A">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4F3CD3">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06C1F">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0C6C3">
            <w:pPr>
              <w:jc w:val="center"/>
              <w:rPr>
                <w:rFonts w:hint="eastAsia" w:ascii="宋体" w:hAnsi="宋体" w:eastAsia="宋体" w:cs="宋体"/>
                <w:i w:val="0"/>
                <w:iCs w:val="0"/>
                <w:color w:val="000000"/>
                <w:sz w:val="18"/>
                <w:szCs w:val="18"/>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CB001">
            <w:pPr>
              <w:jc w:val="center"/>
              <w:rPr>
                <w:rFonts w:hint="eastAsia" w:ascii="宋体" w:hAnsi="宋体" w:eastAsia="宋体" w:cs="宋体"/>
                <w:i w:val="0"/>
                <w:iCs w:val="0"/>
                <w:color w:val="000000"/>
                <w:sz w:val="18"/>
                <w:szCs w:val="18"/>
                <w:u w:val="none"/>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F6ED9">
            <w:pPr>
              <w:jc w:val="center"/>
              <w:rPr>
                <w:rFonts w:hint="eastAsia" w:ascii="宋体" w:hAnsi="宋体" w:eastAsia="宋体" w:cs="宋体"/>
                <w:i w:val="0"/>
                <w:iCs w:val="0"/>
                <w:color w:val="000000"/>
                <w:sz w:val="18"/>
                <w:szCs w:val="18"/>
                <w:u w:val="none"/>
              </w:rPr>
            </w:pPr>
          </w:p>
        </w:tc>
      </w:tr>
      <w:tr w14:paraId="143F1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12F0B8">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7EF31">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88E7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68C0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减轻家庭困难学生经济压力</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5AD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C6E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减轻</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2DF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27E8F">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8E38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A86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F5EF60">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145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3E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3B18CB">
            <w:pPr>
              <w:jc w:val="center"/>
              <w:rPr>
                <w:rFonts w:hint="eastAsia" w:ascii="宋体" w:hAnsi="宋体" w:eastAsia="宋体" w:cs="宋体"/>
                <w:i w:val="0"/>
                <w:iCs w:val="0"/>
                <w:color w:val="000000"/>
                <w:sz w:val="18"/>
                <w:szCs w:val="18"/>
                <w:u w:val="none"/>
              </w:rPr>
            </w:pPr>
          </w:p>
        </w:tc>
      </w:tr>
      <w:tr w14:paraId="5F38B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CE1DF4">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5670C">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80B1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D8B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贫困生生活质量</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94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07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7D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FF3D1">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572B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2D3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BAE565">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D0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8F4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F61E4">
            <w:pPr>
              <w:jc w:val="center"/>
              <w:rPr>
                <w:rFonts w:hint="eastAsia" w:ascii="宋体" w:hAnsi="宋体" w:eastAsia="宋体" w:cs="宋体"/>
                <w:i w:val="0"/>
                <w:iCs w:val="0"/>
                <w:color w:val="000000"/>
                <w:sz w:val="18"/>
                <w:szCs w:val="18"/>
                <w:u w:val="none"/>
              </w:rPr>
            </w:pPr>
          </w:p>
        </w:tc>
      </w:tr>
      <w:tr w14:paraId="453E1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CC5EE">
            <w:pPr>
              <w:jc w:val="center"/>
              <w:rPr>
                <w:rFonts w:hint="eastAsia" w:ascii="宋体" w:hAnsi="宋体" w:eastAsia="宋体" w:cs="宋体"/>
                <w:b/>
                <w:bCs/>
                <w:i w:val="0"/>
                <w:iCs w:val="0"/>
                <w:color w:val="000000"/>
                <w:sz w:val="18"/>
                <w:szCs w:val="18"/>
                <w:u w:val="none"/>
              </w:rPr>
            </w:pPr>
          </w:p>
        </w:tc>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B2593">
            <w:pPr>
              <w:jc w:val="center"/>
              <w:rPr>
                <w:rFonts w:hint="eastAsia" w:ascii="宋体" w:hAnsi="宋体" w:eastAsia="宋体" w:cs="宋体"/>
                <w:i w:val="0"/>
                <w:iCs w:val="0"/>
                <w:color w:val="000000"/>
                <w:sz w:val="18"/>
                <w:szCs w:val="18"/>
                <w:u w:val="none"/>
              </w:rPr>
            </w:pP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C3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E63D9">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6F4EE">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F8C09">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40752">
            <w:pPr>
              <w:jc w:val="center"/>
              <w:rPr>
                <w:rFonts w:hint="eastAsia" w:ascii="宋体" w:hAnsi="宋体" w:eastAsia="宋体" w:cs="宋体"/>
                <w:i w:val="0"/>
                <w:iCs w:val="0"/>
                <w:color w:val="000000"/>
                <w:sz w:val="18"/>
                <w:szCs w:val="18"/>
                <w:u w:val="none"/>
              </w:rPr>
            </w:pP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7DD62">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818FF">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3C4E6C">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206E4">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37220">
            <w:pPr>
              <w:jc w:val="center"/>
              <w:rPr>
                <w:rFonts w:hint="eastAsia" w:ascii="宋体" w:hAnsi="宋体" w:eastAsia="宋体" w:cs="宋体"/>
                <w:i w:val="0"/>
                <w:iCs w:val="0"/>
                <w:color w:val="000000"/>
                <w:sz w:val="18"/>
                <w:szCs w:val="18"/>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B11F39">
            <w:pPr>
              <w:jc w:val="center"/>
              <w:rPr>
                <w:rFonts w:hint="eastAsia" w:ascii="宋体" w:hAnsi="宋体" w:eastAsia="宋体" w:cs="宋体"/>
                <w:i w:val="0"/>
                <w:iCs w:val="0"/>
                <w:color w:val="000000"/>
                <w:sz w:val="18"/>
                <w:szCs w:val="18"/>
                <w:u w:val="none"/>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80B90">
            <w:pPr>
              <w:jc w:val="center"/>
              <w:rPr>
                <w:rFonts w:hint="eastAsia" w:ascii="宋体" w:hAnsi="宋体" w:eastAsia="宋体" w:cs="宋体"/>
                <w:i w:val="0"/>
                <w:iCs w:val="0"/>
                <w:color w:val="000000"/>
                <w:sz w:val="18"/>
                <w:szCs w:val="18"/>
                <w:u w:val="none"/>
              </w:rPr>
            </w:pPr>
          </w:p>
        </w:tc>
      </w:tr>
      <w:tr w14:paraId="74096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DF1D2">
            <w:pPr>
              <w:jc w:val="center"/>
              <w:rPr>
                <w:rFonts w:hint="eastAsia" w:ascii="宋体" w:hAnsi="宋体" w:eastAsia="宋体" w:cs="宋体"/>
                <w:b/>
                <w:bCs/>
                <w:i w:val="0"/>
                <w:iCs w:val="0"/>
                <w:color w:val="000000"/>
                <w:sz w:val="18"/>
                <w:szCs w:val="18"/>
                <w:u w:val="none"/>
              </w:rPr>
            </w:pPr>
          </w:p>
        </w:tc>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1797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548F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584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师生满意度</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057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F36E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3BE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9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3DC3A">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FDC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55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58296A">
            <w:pPr>
              <w:jc w:val="cente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AE9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349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153027">
            <w:pPr>
              <w:jc w:val="center"/>
              <w:rPr>
                <w:rFonts w:hint="eastAsia" w:ascii="宋体" w:hAnsi="宋体" w:eastAsia="宋体" w:cs="宋体"/>
                <w:i w:val="0"/>
                <w:iCs w:val="0"/>
                <w:color w:val="000000"/>
                <w:sz w:val="18"/>
                <w:szCs w:val="18"/>
                <w:u w:val="none"/>
              </w:rPr>
            </w:pPr>
          </w:p>
        </w:tc>
      </w:tr>
      <w:bookmarkEnd w:id="156"/>
      <w:tr w14:paraId="6B19D0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214" w:type="pct"/>
            <w:gridSpan w:val="4"/>
            <w:tcBorders>
              <w:top w:val="single" w:color="000000" w:sz="4" w:space="0"/>
              <w:left w:val="single" w:color="000000" w:sz="4" w:space="0"/>
              <w:bottom w:val="single" w:color="000000" w:sz="4" w:space="0"/>
              <w:right w:val="nil"/>
            </w:tcBorders>
            <w:shd w:val="clear" w:color="auto" w:fill="auto"/>
            <w:vAlign w:val="center"/>
          </w:tcPr>
          <w:p w14:paraId="206BC2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9D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22" w:type="pct"/>
            <w:tcBorders>
              <w:top w:val="single" w:color="000000" w:sz="4" w:space="0"/>
              <w:left w:val="nil"/>
              <w:bottom w:val="single" w:color="000000" w:sz="4" w:space="0"/>
              <w:right w:val="single" w:color="000000" w:sz="4" w:space="0"/>
            </w:tcBorders>
            <w:shd w:val="clear" w:color="auto" w:fill="auto"/>
            <w:vAlign w:val="center"/>
          </w:tcPr>
          <w:p w14:paraId="378E65A1">
            <w:pPr>
              <w:rPr>
                <w:rFonts w:hint="eastAsia" w:ascii="宋体" w:hAnsi="宋体" w:eastAsia="宋体" w:cs="宋体"/>
                <w:b/>
                <w:bCs/>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675217">
            <w:pPr>
              <w:jc w:val="center"/>
              <w:rPr>
                <w:rFonts w:hint="eastAsia" w:ascii="宋体" w:hAnsi="宋体" w:eastAsia="宋体" w:cs="宋体"/>
                <w:i w:val="0"/>
                <w:iCs w:val="0"/>
                <w:color w:val="000000"/>
                <w:sz w:val="18"/>
                <w:szCs w:val="18"/>
                <w:u w:val="none"/>
              </w:rPr>
            </w:pP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0986B">
            <w:pPr>
              <w:jc w:val="cente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29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99.17分</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802B94">
            <w:pPr>
              <w:rPr>
                <w:rFonts w:hint="eastAsia" w:ascii="宋体" w:hAnsi="宋体" w:eastAsia="宋体" w:cs="宋体"/>
                <w:i w:val="0"/>
                <w:iCs w:val="0"/>
                <w:color w:val="000000"/>
                <w:sz w:val="18"/>
                <w:szCs w:val="18"/>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19430">
            <w:pPr>
              <w:rPr>
                <w:rFonts w:hint="eastAsia" w:ascii="宋体" w:hAnsi="宋体" w:eastAsia="宋体" w:cs="宋体"/>
                <w:i w:val="0"/>
                <w:iCs w:val="0"/>
                <w:color w:val="000000"/>
                <w:sz w:val="18"/>
                <w:szCs w:val="18"/>
                <w:u w:val="none"/>
              </w:rPr>
            </w:pPr>
          </w:p>
        </w:tc>
        <w:tc>
          <w:tcPr>
            <w:tcW w:w="3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60B1F">
            <w:pPr>
              <w:rPr>
                <w:rFonts w:hint="eastAsia" w:ascii="宋体" w:hAnsi="宋体" w:eastAsia="宋体" w:cs="宋体"/>
                <w:i w:val="0"/>
                <w:iCs w:val="0"/>
                <w:color w:val="000000"/>
                <w:sz w:val="18"/>
                <w:szCs w:val="18"/>
                <w:u w:val="none"/>
              </w:rPr>
            </w:pPr>
          </w:p>
        </w:tc>
        <w:tc>
          <w:tcPr>
            <w:tcW w:w="3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9BBC0">
            <w:pPr>
              <w:rPr>
                <w:rFonts w:hint="eastAsia" w:ascii="宋体" w:hAnsi="宋体" w:eastAsia="宋体" w:cs="宋体"/>
                <w:i w:val="0"/>
                <w:iCs w:val="0"/>
                <w:color w:val="000000"/>
                <w:sz w:val="18"/>
                <w:szCs w:val="18"/>
                <w:u w:val="none"/>
              </w:rPr>
            </w:pPr>
          </w:p>
        </w:tc>
        <w:tc>
          <w:tcPr>
            <w:tcW w:w="8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5C65C">
            <w:pPr>
              <w:rPr>
                <w:rFonts w:hint="eastAsia" w:ascii="宋体" w:hAnsi="宋体" w:eastAsia="宋体" w:cs="宋体"/>
                <w:i w:val="0"/>
                <w:iCs w:val="0"/>
                <w:color w:val="000000"/>
                <w:sz w:val="18"/>
                <w:szCs w:val="18"/>
                <w:u w:val="none"/>
              </w:rPr>
            </w:pPr>
          </w:p>
        </w:tc>
      </w:tr>
    </w:tbl>
    <w:p w14:paraId="0D2C1648">
      <w:pPr>
        <w:keepNext w:val="0"/>
        <w:keepLines w:val="0"/>
        <w:pageBreakBefore w:val="0"/>
        <w:widowControl/>
        <w:suppressLineNumbers w:val="0"/>
        <w:kinsoku/>
        <w:wordWrap/>
        <w:overflowPunct/>
        <w:topLinePunct w:val="0"/>
        <w:autoSpaceDE/>
        <w:autoSpaceDN/>
        <w:bidi w:val="0"/>
        <w:adjustRightInd/>
        <w:snapToGrid w:val="0"/>
        <w:spacing w:line="240" w:lineRule="exact"/>
        <w:ind w:left="0" w:leftChars="0" w:firstLine="0" w:firstLineChars="0"/>
        <w:jc w:val="center"/>
        <w:textAlignment w:val="center"/>
        <w:rPr>
          <w:highlight w:val="none"/>
        </w:rPr>
      </w:pPr>
      <w:r>
        <w:rPr>
          <w:rFonts w:hint="eastAsia" w:ascii="宋体" w:hAnsi="宋体" w:eastAsia="宋体" w:cs="宋体"/>
          <w:i w:val="0"/>
          <w:iCs w:val="0"/>
          <w:color w:val="000000"/>
          <w:kern w:val="0"/>
          <w:sz w:val="20"/>
          <w:szCs w:val="20"/>
          <w:highlight w:val="none"/>
          <w:u w:val="none"/>
          <w:lang w:val="en-US" w:eastAsia="zh-CN" w:bidi="ar"/>
        </w:rPr>
        <w:br w:type="page"/>
      </w:r>
    </w:p>
    <w:p w14:paraId="351BC9DD">
      <w:pPr>
        <w:pStyle w:val="3"/>
        <w:pageBreakBefore w:val="0"/>
        <w:numPr>
          <w:ilvl w:val="0"/>
          <w:numId w:val="0"/>
        </w:numPr>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54" w:name="_Toc11223"/>
      <w:bookmarkStart w:id="155"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154"/>
      <w:bookmarkEnd w:id="155"/>
    </w:p>
    <w:tbl>
      <w:tblPr>
        <w:tblStyle w:val="16"/>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669F4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7AD0F18B">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一级指标</w:t>
            </w:r>
          </w:p>
        </w:tc>
        <w:tc>
          <w:tcPr>
            <w:tcW w:w="727" w:type="dxa"/>
            <w:shd w:val="clear" w:color="auto" w:fill="auto"/>
            <w:noWrap w:val="0"/>
            <w:vAlign w:val="center"/>
          </w:tcPr>
          <w:p w14:paraId="20FF9C5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二级指标</w:t>
            </w:r>
          </w:p>
        </w:tc>
        <w:tc>
          <w:tcPr>
            <w:tcW w:w="820" w:type="dxa"/>
            <w:shd w:val="clear" w:color="auto" w:fill="auto"/>
            <w:noWrap w:val="0"/>
            <w:vAlign w:val="center"/>
          </w:tcPr>
          <w:p w14:paraId="76D0F0AF">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三级指标</w:t>
            </w:r>
          </w:p>
        </w:tc>
        <w:tc>
          <w:tcPr>
            <w:tcW w:w="2141" w:type="dxa"/>
            <w:shd w:val="clear" w:color="auto" w:fill="auto"/>
            <w:noWrap w:val="0"/>
            <w:vAlign w:val="center"/>
          </w:tcPr>
          <w:p w14:paraId="62CC8074">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指标解释</w:t>
            </w:r>
          </w:p>
        </w:tc>
        <w:tc>
          <w:tcPr>
            <w:tcW w:w="7821" w:type="dxa"/>
            <w:shd w:val="clear" w:color="auto" w:fill="auto"/>
            <w:noWrap w:val="0"/>
            <w:vAlign w:val="center"/>
          </w:tcPr>
          <w:p w14:paraId="28825D3D">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highlight w:val="none"/>
              </w:rPr>
            </w:pPr>
            <w:r>
              <w:rPr>
                <w:rFonts w:hint="eastAsia" w:ascii="宋体" w:hAnsi="宋体" w:eastAsia="宋体" w:cs="宋体"/>
                <w:b/>
                <w:bCs/>
                <w:color w:val="000000"/>
                <w:kern w:val="0"/>
                <w:sz w:val="22"/>
                <w:szCs w:val="22"/>
                <w:highlight w:val="none"/>
              </w:rPr>
              <w:t>指标说明</w:t>
            </w:r>
          </w:p>
        </w:tc>
        <w:tc>
          <w:tcPr>
            <w:tcW w:w="785" w:type="dxa"/>
            <w:shd w:val="clear" w:color="auto" w:fill="auto"/>
            <w:noWrap w:val="0"/>
            <w:vAlign w:val="center"/>
          </w:tcPr>
          <w:p w14:paraId="395CE699">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分值</w:t>
            </w:r>
          </w:p>
        </w:tc>
        <w:tc>
          <w:tcPr>
            <w:tcW w:w="769" w:type="dxa"/>
            <w:shd w:val="clear" w:color="auto" w:fill="auto"/>
            <w:noWrap w:val="0"/>
            <w:vAlign w:val="center"/>
          </w:tcPr>
          <w:p w14:paraId="185951E5">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highlight w:val="none"/>
                <w:lang w:val="en-US" w:eastAsia="zh-CN"/>
              </w:rPr>
            </w:pPr>
            <w:r>
              <w:rPr>
                <w:rFonts w:hint="eastAsia" w:ascii="宋体" w:hAnsi="宋体" w:eastAsia="宋体" w:cs="宋体"/>
                <w:b/>
                <w:bCs/>
                <w:color w:val="000000"/>
                <w:kern w:val="0"/>
                <w:sz w:val="22"/>
                <w:szCs w:val="22"/>
                <w:highlight w:val="none"/>
                <w:lang w:val="en-US" w:eastAsia="zh-CN"/>
              </w:rPr>
              <w:t>得分</w:t>
            </w:r>
          </w:p>
        </w:tc>
      </w:tr>
      <w:tr w14:paraId="2DF91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0AA76D4B">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p w14:paraId="3883D90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6E000FF6">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727" w:type="dxa"/>
            <w:vMerge w:val="restart"/>
            <w:shd w:val="clear" w:color="auto" w:fill="auto"/>
            <w:noWrap w:val="0"/>
            <w:vAlign w:val="center"/>
          </w:tcPr>
          <w:p w14:paraId="431A0B8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　</w:t>
            </w:r>
          </w:p>
        </w:tc>
        <w:tc>
          <w:tcPr>
            <w:tcW w:w="820" w:type="dxa"/>
            <w:shd w:val="clear" w:color="auto" w:fill="auto"/>
            <w:noWrap w:val="0"/>
            <w:vAlign w:val="center"/>
          </w:tcPr>
          <w:p w14:paraId="4F4C2D5E">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立项依据</w:t>
            </w:r>
          </w:p>
          <w:p w14:paraId="4DDD635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充分性</w:t>
            </w:r>
          </w:p>
        </w:tc>
        <w:tc>
          <w:tcPr>
            <w:tcW w:w="2141" w:type="dxa"/>
            <w:shd w:val="clear" w:color="auto" w:fill="auto"/>
            <w:noWrap w:val="0"/>
            <w:vAlign w:val="center"/>
          </w:tcPr>
          <w:p w14:paraId="1586FDCE">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7D5EC858">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D62FD41">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①项目立项是否符合国家法律法规、国民经济发展规划和相关政策；</w:t>
            </w:r>
          </w:p>
          <w:p w14:paraId="5C3220E3">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②项目立项是否符合行业发展规划和政策要求；</w:t>
            </w:r>
          </w:p>
          <w:p w14:paraId="7DDE8F69">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③项目立项是否与部门职责范围相符，属于部门履职所需；</w:t>
            </w:r>
          </w:p>
          <w:p w14:paraId="667423F9">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④项目是否属于公共财政支持范围，是否符合中央、地方事权支出责任划分原则；</w:t>
            </w:r>
          </w:p>
          <w:p w14:paraId="6A59F93C">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⑤项目是否与相关部门同类项目或部门内部相关项目重复。</w:t>
            </w:r>
          </w:p>
        </w:tc>
        <w:tc>
          <w:tcPr>
            <w:tcW w:w="785" w:type="dxa"/>
            <w:shd w:val="clear" w:color="auto" w:fill="auto"/>
            <w:noWrap w:val="0"/>
            <w:vAlign w:val="center"/>
          </w:tcPr>
          <w:p w14:paraId="664A1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6973B08D">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1CB95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497BB53F">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7493923D">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14:paraId="1EC6F1DF">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立项程序</w:t>
            </w:r>
          </w:p>
          <w:p w14:paraId="743BBEA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规范性</w:t>
            </w:r>
          </w:p>
        </w:tc>
        <w:tc>
          <w:tcPr>
            <w:tcW w:w="2141" w:type="dxa"/>
            <w:shd w:val="clear" w:color="auto" w:fill="auto"/>
            <w:noWrap w:val="0"/>
            <w:vAlign w:val="center"/>
          </w:tcPr>
          <w:p w14:paraId="207EAF39">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11734AE2">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77371B4">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①项目是否按照规定的程序申请设立；</w:t>
            </w:r>
          </w:p>
          <w:p w14:paraId="3627257B">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②审批文件、材料是否符合相关要求；</w:t>
            </w:r>
          </w:p>
          <w:p w14:paraId="6CEF6957">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486936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496EF24A">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541CC5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65" w:hRule="atLeast"/>
          <w:jc w:val="center"/>
        </w:trPr>
        <w:tc>
          <w:tcPr>
            <w:tcW w:w="861" w:type="dxa"/>
            <w:vMerge w:val="continue"/>
            <w:shd w:val="clear" w:color="auto" w:fill="auto"/>
            <w:noWrap w:val="0"/>
            <w:vAlign w:val="center"/>
          </w:tcPr>
          <w:p w14:paraId="341C43AF">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14:paraId="2BFFBFF2">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　</w:t>
            </w:r>
          </w:p>
        </w:tc>
        <w:tc>
          <w:tcPr>
            <w:tcW w:w="820" w:type="dxa"/>
            <w:shd w:val="clear" w:color="auto" w:fill="auto"/>
            <w:noWrap w:val="0"/>
            <w:vAlign w:val="center"/>
          </w:tcPr>
          <w:p w14:paraId="1831AC42">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p w14:paraId="5285E53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141" w:type="dxa"/>
            <w:shd w:val="clear" w:color="auto" w:fill="auto"/>
            <w:noWrap w:val="0"/>
            <w:vAlign w:val="center"/>
          </w:tcPr>
          <w:p w14:paraId="20F8FE18">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2347F992">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042D76EA">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（如未设定预算绩效目标，也可考核其他工作任务目标）</w:t>
            </w:r>
          </w:p>
          <w:p w14:paraId="293ACF76">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①项目是否有绩效目标；</w:t>
            </w:r>
          </w:p>
          <w:p w14:paraId="7BE83BE6">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②项目绩效目标与实际工作内容是否具有相关性；</w:t>
            </w:r>
          </w:p>
          <w:p w14:paraId="7061FF14">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③项目预期产出效益和效果是否符合正常的业绩水平；</w:t>
            </w:r>
          </w:p>
          <w:p w14:paraId="5B58389A">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④是否与预算确定的项目投资额或资金量相匹配。</w:t>
            </w:r>
          </w:p>
        </w:tc>
        <w:tc>
          <w:tcPr>
            <w:tcW w:w="785" w:type="dxa"/>
            <w:shd w:val="clear" w:color="auto" w:fill="auto"/>
            <w:noWrap w:val="0"/>
            <w:vAlign w:val="center"/>
          </w:tcPr>
          <w:p w14:paraId="64E2BE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1F7EB63D">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0329D3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419CF5A8">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决策　</w:t>
            </w:r>
          </w:p>
        </w:tc>
        <w:tc>
          <w:tcPr>
            <w:tcW w:w="727" w:type="dxa"/>
            <w:shd w:val="clear" w:color="auto" w:fill="auto"/>
            <w:noWrap w:val="0"/>
            <w:vAlign w:val="center"/>
          </w:tcPr>
          <w:p w14:paraId="4E2CA6F4">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绩效目标</w:t>
            </w:r>
          </w:p>
        </w:tc>
        <w:tc>
          <w:tcPr>
            <w:tcW w:w="820" w:type="dxa"/>
            <w:shd w:val="clear" w:color="auto" w:fill="auto"/>
            <w:noWrap w:val="0"/>
            <w:vAlign w:val="center"/>
          </w:tcPr>
          <w:p w14:paraId="5FC41206">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绩效指标</w:t>
            </w:r>
          </w:p>
          <w:p w14:paraId="26CDCDC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明确性</w:t>
            </w:r>
          </w:p>
        </w:tc>
        <w:tc>
          <w:tcPr>
            <w:tcW w:w="2141" w:type="dxa"/>
            <w:shd w:val="clear" w:color="auto" w:fill="auto"/>
            <w:noWrap w:val="0"/>
            <w:vAlign w:val="center"/>
          </w:tcPr>
          <w:p w14:paraId="2FA2447A">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18D1B9BA">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1278CFB9">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①是否将项目绩效目标细化分解为具体的绩效指标；</w:t>
            </w:r>
          </w:p>
          <w:p w14:paraId="72550CD6">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②是否通过清晰、可衡量的指标值予以体现；</w:t>
            </w:r>
          </w:p>
          <w:p w14:paraId="10EC7FA6">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③是否与项目目标任务数或计划数相对应。</w:t>
            </w:r>
          </w:p>
          <w:p w14:paraId="4C2CA5F7">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tc>
        <w:tc>
          <w:tcPr>
            <w:tcW w:w="785" w:type="dxa"/>
            <w:shd w:val="clear" w:color="auto" w:fill="auto"/>
            <w:noWrap w:val="0"/>
            <w:vAlign w:val="center"/>
          </w:tcPr>
          <w:p w14:paraId="5320BD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B37593E">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5</w:t>
            </w:r>
          </w:p>
        </w:tc>
      </w:tr>
      <w:tr w14:paraId="797C4D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6C9025EA">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14:paraId="3C14345C">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资金投入</w:t>
            </w:r>
          </w:p>
          <w:p w14:paraId="6EA1E74A">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820" w:type="dxa"/>
            <w:shd w:val="clear" w:color="auto" w:fill="auto"/>
            <w:noWrap w:val="0"/>
            <w:vAlign w:val="center"/>
          </w:tcPr>
          <w:p w14:paraId="1E305C8F">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预算编制</w:t>
            </w:r>
          </w:p>
          <w:p w14:paraId="73C8430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科学性</w:t>
            </w:r>
          </w:p>
        </w:tc>
        <w:tc>
          <w:tcPr>
            <w:tcW w:w="2141" w:type="dxa"/>
            <w:shd w:val="clear" w:color="auto" w:fill="auto"/>
            <w:noWrap w:val="0"/>
            <w:vAlign w:val="center"/>
          </w:tcPr>
          <w:p w14:paraId="3BB5DA81">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0954DC5E">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614D860F">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①预算编制是否经过科学论证；</w:t>
            </w:r>
          </w:p>
          <w:p w14:paraId="5C24D77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②预算内容与项目内容是否匹配；</w:t>
            </w:r>
          </w:p>
          <w:p w14:paraId="4C382440">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③预算额度测算依据是否充分，是否按照标准编制；</w:t>
            </w:r>
          </w:p>
          <w:p w14:paraId="50E4E315">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④预算确定的项目投资额或资金量是否与工作任务相匹配。</w:t>
            </w:r>
          </w:p>
        </w:tc>
        <w:tc>
          <w:tcPr>
            <w:tcW w:w="785" w:type="dxa"/>
            <w:shd w:val="clear" w:color="auto" w:fill="auto"/>
            <w:noWrap w:val="0"/>
            <w:vAlign w:val="center"/>
          </w:tcPr>
          <w:p w14:paraId="7C3D8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3803132">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2</w:t>
            </w:r>
          </w:p>
        </w:tc>
      </w:tr>
      <w:tr w14:paraId="275EF6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569" w:hRule="atLeast"/>
          <w:jc w:val="center"/>
        </w:trPr>
        <w:tc>
          <w:tcPr>
            <w:tcW w:w="861" w:type="dxa"/>
            <w:vMerge w:val="continue"/>
            <w:shd w:val="clear" w:color="auto" w:fill="auto"/>
            <w:noWrap w:val="0"/>
            <w:vAlign w:val="center"/>
          </w:tcPr>
          <w:p w14:paraId="345D23D4">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61B7AF7C">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14:paraId="0083C006">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资金分配</w:t>
            </w:r>
          </w:p>
          <w:p w14:paraId="2D093CB3">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合理性</w:t>
            </w:r>
          </w:p>
        </w:tc>
        <w:tc>
          <w:tcPr>
            <w:tcW w:w="2141" w:type="dxa"/>
            <w:shd w:val="clear" w:color="auto" w:fill="auto"/>
            <w:noWrap w:val="0"/>
            <w:vAlign w:val="center"/>
          </w:tcPr>
          <w:p w14:paraId="4C18F1EE">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667E795">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3CD770A9">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①预算资金分配依据是否充分；</w:t>
            </w:r>
          </w:p>
          <w:p w14:paraId="31061D1F">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②资金分配额度是否合理，与项目单位或地方实际是否相适应。</w:t>
            </w:r>
          </w:p>
        </w:tc>
        <w:tc>
          <w:tcPr>
            <w:tcW w:w="785" w:type="dxa"/>
            <w:shd w:val="clear" w:color="auto" w:fill="auto"/>
            <w:noWrap w:val="0"/>
            <w:vAlign w:val="center"/>
          </w:tcPr>
          <w:p w14:paraId="056EEE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198F3C0B">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w:t>
            </w:r>
          </w:p>
        </w:tc>
      </w:tr>
      <w:tr w14:paraId="29F51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513" w:hRule="atLeast"/>
          <w:jc w:val="center"/>
        </w:trPr>
        <w:tc>
          <w:tcPr>
            <w:tcW w:w="861" w:type="dxa"/>
            <w:vMerge w:val="restart"/>
            <w:shd w:val="clear" w:color="auto" w:fill="auto"/>
            <w:noWrap w:val="0"/>
            <w:vAlign w:val="center"/>
          </w:tcPr>
          <w:p w14:paraId="120FB979">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w:t>
            </w:r>
          </w:p>
        </w:tc>
        <w:tc>
          <w:tcPr>
            <w:tcW w:w="727" w:type="dxa"/>
            <w:vMerge w:val="restart"/>
            <w:shd w:val="clear" w:color="auto" w:fill="auto"/>
            <w:noWrap w:val="0"/>
            <w:vAlign w:val="center"/>
          </w:tcPr>
          <w:p w14:paraId="1459E8FF">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820" w:type="dxa"/>
            <w:shd w:val="clear" w:color="auto" w:fill="auto"/>
            <w:noWrap w:val="0"/>
            <w:vAlign w:val="center"/>
          </w:tcPr>
          <w:p w14:paraId="03409CFF">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tc>
        <w:tc>
          <w:tcPr>
            <w:tcW w:w="2141" w:type="dxa"/>
            <w:shd w:val="clear" w:color="auto" w:fill="auto"/>
            <w:noWrap w:val="0"/>
            <w:vAlign w:val="center"/>
          </w:tcPr>
          <w:p w14:paraId="540CABAA">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428D4A4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资金到位率=（</w:t>
            </w:r>
          </w:p>
          <w:p w14:paraId="5580A356">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实际到位资金/预算资金）×100%。</w:t>
            </w:r>
          </w:p>
          <w:p w14:paraId="651215F2">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实际到位资金：一定时期（本年度或项目期）内落实到具体项目的资金。</w:t>
            </w:r>
          </w:p>
          <w:p w14:paraId="207DB305">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预算资金：一定时期（本年度或项目期）内预算安排到具体项目的资金。</w:t>
            </w:r>
          </w:p>
        </w:tc>
        <w:tc>
          <w:tcPr>
            <w:tcW w:w="785" w:type="dxa"/>
            <w:shd w:val="clear" w:color="auto" w:fill="auto"/>
            <w:noWrap w:val="0"/>
            <w:vAlign w:val="center"/>
          </w:tcPr>
          <w:p w14:paraId="4CC77F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DC720CE">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42151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118" w:hRule="atLeast"/>
          <w:jc w:val="center"/>
        </w:trPr>
        <w:tc>
          <w:tcPr>
            <w:tcW w:w="861" w:type="dxa"/>
            <w:vMerge w:val="continue"/>
            <w:shd w:val="clear" w:color="auto" w:fill="auto"/>
            <w:noWrap w:val="0"/>
            <w:vAlign w:val="center"/>
          </w:tcPr>
          <w:p w14:paraId="0E337CA9">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1D5EC876">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14:paraId="5C82E777">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预算执行率</w:t>
            </w:r>
          </w:p>
        </w:tc>
        <w:tc>
          <w:tcPr>
            <w:tcW w:w="2141" w:type="dxa"/>
            <w:shd w:val="clear" w:color="auto" w:fill="auto"/>
            <w:noWrap w:val="0"/>
            <w:vAlign w:val="center"/>
          </w:tcPr>
          <w:p w14:paraId="55EC0A05">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765EAF9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预算执行率=（实际支出资金/实际到位资金）×100%。</w:t>
            </w:r>
          </w:p>
          <w:p w14:paraId="567500F8">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实际支出资金：一定时期（本年度或项目期）内项目实际拨付的资金。</w:t>
            </w:r>
          </w:p>
        </w:tc>
        <w:tc>
          <w:tcPr>
            <w:tcW w:w="785" w:type="dxa"/>
            <w:shd w:val="clear" w:color="auto" w:fill="auto"/>
            <w:noWrap w:val="0"/>
            <w:vAlign w:val="center"/>
          </w:tcPr>
          <w:p w14:paraId="1CC4F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59A6728">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3.67</w:t>
            </w:r>
          </w:p>
        </w:tc>
      </w:tr>
      <w:tr w14:paraId="610E65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670" w:hRule="atLeast"/>
          <w:jc w:val="center"/>
        </w:trPr>
        <w:tc>
          <w:tcPr>
            <w:tcW w:w="861" w:type="dxa"/>
            <w:vMerge w:val="restart"/>
            <w:shd w:val="clear" w:color="auto" w:fill="auto"/>
            <w:noWrap w:val="0"/>
            <w:vAlign w:val="center"/>
          </w:tcPr>
          <w:p w14:paraId="600C118F">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p w14:paraId="12DF9F8E">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过程　</w:t>
            </w:r>
          </w:p>
        </w:tc>
        <w:tc>
          <w:tcPr>
            <w:tcW w:w="727" w:type="dxa"/>
            <w:shd w:val="clear" w:color="auto" w:fill="auto"/>
            <w:noWrap w:val="0"/>
            <w:vAlign w:val="center"/>
          </w:tcPr>
          <w:p w14:paraId="7FD360DA">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资金管理</w:t>
            </w:r>
          </w:p>
        </w:tc>
        <w:tc>
          <w:tcPr>
            <w:tcW w:w="820" w:type="dxa"/>
            <w:shd w:val="clear" w:color="auto" w:fill="auto"/>
            <w:noWrap w:val="0"/>
            <w:vAlign w:val="center"/>
          </w:tcPr>
          <w:p w14:paraId="42F8511C">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资金使用</w:t>
            </w:r>
          </w:p>
          <w:p w14:paraId="2425AB1F">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合规性</w:t>
            </w:r>
          </w:p>
        </w:tc>
        <w:tc>
          <w:tcPr>
            <w:tcW w:w="2141" w:type="dxa"/>
            <w:shd w:val="clear" w:color="auto" w:fill="auto"/>
            <w:noWrap w:val="0"/>
            <w:vAlign w:val="center"/>
          </w:tcPr>
          <w:p w14:paraId="0274879D">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44289ABB">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893533E">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①是否符合国家财经法规和财务管理制度以及有关专项资金管理办法的规定；</w:t>
            </w:r>
          </w:p>
          <w:p w14:paraId="2A368368">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②资金的拨付是否有完整的审批程序和手续；</w:t>
            </w:r>
          </w:p>
          <w:p w14:paraId="401780A8">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③是否符合项目预算批复或合同规定的用途；</w:t>
            </w:r>
          </w:p>
          <w:p w14:paraId="1189F321">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④是否存在截留、挤占、挪用、虚列支出等情况。</w:t>
            </w:r>
          </w:p>
        </w:tc>
        <w:tc>
          <w:tcPr>
            <w:tcW w:w="785" w:type="dxa"/>
            <w:shd w:val="clear" w:color="auto" w:fill="auto"/>
            <w:noWrap w:val="0"/>
            <w:vAlign w:val="center"/>
          </w:tcPr>
          <w:p w14:paraId="69B4B5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0C96D10">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1FD4B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17507A7F">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14:paraId="589A9298">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组织实施</w:t>
            </w:r>
          </w:p>
          <w:p w14:paraId="694FFE5A">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　</w:t>
            </w:r>
          </w:p>
        </w:tc>
        <w:tc>
          <w:tcPr>
            <w:tcW w:w="820" w:type="dxa"/>
            <w:shd w:val="clear" w:color="auto" w:fill="auto"/>
            <w:noWrap w:val="0"/>
            <w:vAlign w:val="center"/>
          </w:tcPr>
          <w:p w14:paraId="09A8CD00">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管理制度</w:t>
            </w:r>
          </w:p>
          <w:p w14:paraId="0B2428EA">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健全性</w:t>
            </w:r>
          </w:p>
        </w:tc>
        <w:tc>
          <w:tcPr>
            <w:tcW w:w="2141" w:type="dxa"/>
            <w:shd w:val="clear" w:color="auto" w:fill="auto"/>
            <w:noWrap w:val="0"/>
            <w:vAlign w:val="center"/>
          </w:tcPr>
          <w:p w14:paraId="13CD0889">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5A94F10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50F00A5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①是否已制定或具有相应的财务和业务管理制度；</w:t>
            </w:r>
          </w:p>
          <w:p w14:paraId="7FB55A8F">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②财务和业务管理制度是否合法、合规、完整。</w:t>
            </w:r>
          </w:p>
        </w:tc>
        <w:tc>
          <w:tcPr>
            <w:tcW w:w="785" w:type="dxa"/>
            <w:shd w:val="clear" w:color="auto" w:fill="auto"/>
            <w:noWrap w:val="0"/>
            <w:vAlign w:val="center"/>
          </w:tcPr>
          <w:p w14:paraId="40CFE8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AA6DBE9">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262B36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87" w:hRule="atLeast"/>
          <w:jc w:val="center"/>
        </w:trPr>
        <w:tc>
          <w:tcPr>
            <w:tcW w:w="861" w:type="dxa"/>
            <w:vMerge w:val="continue"/>
            <w:shd w:val="clear" w:color="auto" w:fill="auto"/>
            <w:noWrap w:val="0"/>
            <w:vAlign w:val="center"/>
          </w:tcPr>
          <w:p w14:paraId="4A262D73">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7671EF09">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14:paraId="23122473">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制度执行</w:t>
            </w:r>
          </w:p>
          <w:p w14:paraId="41978BB8">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有效性</w:t>
            </w:r>
          </w:p>
        </w:tc>
        <w:tc>
          <w:tcPr>
            <w:tcW w:w="2141" w:type="dxa"/>
            <w:shd w:val="clear" w:color="auto" w:fill="auto"/>
            <w:noWrap w:val="0"/>
            <w:vAlign w:val="center"/>
          </w:tcPr>
          <w:p w14:paraId="78414BC2">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5553CC85">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评价要点：</w:t>
            </w:r>
          </w:p>
          <w:p w14:paraId="4C73F5AC">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①是否遵守相关法律法规和相关管理规定；</w:t>
            </w:r>
          </w:p>
          <w:p w14:paraId="462CBBBB">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②项目调整及支出调整手续是否完备；</w:t>
            </w:r>
          </w:p>
          <w:p w14:paraId="0BA94E44">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③项目合同书、验收报告、技术鉴定等资料是否齐全并及时归档；</w:t>
            </w:r>
          </w:p>
          <w:p w14:paraId="079887BF">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④项目实施的人员条件、场地设备、信息支撑等是否落实到位。</w:t>
            </w:r>
          </w:p>
        </w:tc>
        <w:tc>
          <w:tcPr>
            <w:tcW w:w="785" w:type="dxa"/>
            <w:shd w:val="clear" w:color="auto" w:fill="auto"/>
            <w:noWrap w:val="0"/>
            <w:vAlign w:val="center"/>
          </w:tcPr>
          <w:p w14:paraId="7F1F3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5F28566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4</w:t>
            </w:r>
          </w:p>
        </w:tc>
      </w:tr>
      <w:tr w14:paraId="55BA8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34" w:hRule="atLeast"/>
          <w:jc w:val="center"/>
        </w:trPr>
        <w:tc>
          <w:tcPr>
            <w:tcW w:w="861" w:type="dxa"/>
            <w:shd w:val="clear" w:color="auto" w:fill="auto"/>
            <w:noWrap w:val="0"/>
            <w:vAlign w:val="center"/>
          </w:tcPr>
          <w:p w14:paraId="71E5BB55">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14:paraId="652F2223">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820" w:type="dxa"/>
            <w:shd w:val="clear" w:color="auto" w:fill="auto"/>
            <w:noWrap w:val="0"/>
            <w:vAlign w:val="center"/>
          </w:tcPr>
          <w:p w14:paraId="2CDB5AB3">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中职、技校国家免学费</w:t>
            </w:r>
          </w:p>
        </w:tc>
        <w:tc>
          <w:tcPr>
            <w:tcW w:w="2141" w:type="dxa"/>
            <w:shd w:val="clear" w:color="auto" w:fill="auto"/>
            <w:noWrap w:val="0"/>
            <w:vAlign w:val="center"/>
          </w:tcPr>
          <w:p w14:paraId="48E82B5A">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7DE49C9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70302B77">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3DD36974">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5C2A50F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8</w:t>
            </w:r>
          </w:p>
        </w:tc>
        <w:tc>
          <w:tcPr>
            <w:tcW w:w="769" w:type="dxa"/>
            <w:shd w:val="clear" w:color="auto" w:fill="auto"/>
            <w:noWrap w:val="0"/>
            <w:vAlign w:val="center"/>
          </w:tcPr>
          <w:p w14:paraId="22131F65">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8</w:t>
            </w:r>
          </w:p>
        </w:tc>
      </w:tr>
      <w:tr w14:paraId="467A1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34" w:hRule="atLeast"/>
          <w:jc w:val="center"/>
        </w:trPr>
        <w:tc>
          <w:tcPr>
            <w:tcW w:w="861" w:type="dxa"/>
            <w:shd w:val="clear" w:color="auto" w:fill="auto"/>
            <w:noWrap w:val="0"/>
            <w:vAlign w:val="center"/>
          </w:tcPr>
          <w:p w14:paraId="14747671">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08B479CE">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14:paraId="15BA3A96">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中职、技校国家助学金</w:t>
            </w:r>
          </w:p>
        </w:tc>
        <w:tc>
          <w:tcPr>
            <w:tcW w:w="2141" w:type="dxa"/>
            <w:shd w:val="clear" w:color="auto" w:fill="auto"/>
            <w:noWrap w:val="0"/>
            <w:vAlign w:val="center"/>
          </w:tcPr>
          <w:p w14:paraId="5A12707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BD819A5">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实际完成率=（实际产出数/计划产出数）×100%。</w:t>
            </w:r>
          </w:p>
          <w:p w14:paraId="79CE70C2">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实际产出数：一定时期（本年度或项目期）内项目实际产出的产品或提供的服务数量。</w:t>
            </w:r>
          </w:p>
          <w:p w14:paraId="762ACBD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B4BE1F6">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c>
          <w:tcPr>
            <w:tcW w:w="769" w:type="dxa"/>
            <w:shd w:val="clear" w:color="auto" w:fill="auto"/>
            <w:noWrap w:val="0"/>
            <w:vAlign w:val="center"/>
          </w:tcPr>
          <w:p w14:paraId="57E6AEE7">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r>
      <w:tr w14:paraId="55EFD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53" w:hRule="atLeast"/>
          <w:jc w:val="center"/>
        </w:trPr>
        <w:tc>
          <w:tcPr>
            <w:tcW w:w="861" w:type="dxa"/>
            <w:vMerge w:val="restart"/>
            <w:shd w:val="clear" w:color="auto" w:fill="auto"/>
            <w:noWrap w:val="0"/>
            <w:vAlign w:val="center"/>
          </w:tcPr>
          <w:p w14:paraId="7BA9CEAB">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shd w:val="clear" w:color="auto" w:fill="auto"/>
            <w:noWrap w:val="0"/>
            <w:vAlign w:val="center"/>
          </w:tcPr>
          <w:p w14:paraId="11C47559">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820" w:type="dxa"/>
            <w:shd w:val="clear" w:color="auto" w:fill="auto"/>
            <w:noWrap w:val="0"/>
            <w:vAlign w:val="center"/>
          </w:tcPr>
          <w:p w14:paraId="46B8F36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家庭经济困难学生享受免学费政策比例</w:t>
            </w:r>
          </w:p>
        </w:tc>
        <w:tc>
          <w:tcPr>
            <w:tcW w:w="2141" w:type="dxa"/>
            <w:shd w:val="clear" w:color="auto" w:fill="auto"/>
            <w:noWrap w:val="0"/>
            <w:vAlign w:val="center"/>
          </w:tcPr>
          <w:p w14:paraId="1F648E35">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69F09A3D">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质量达标率=（质量达标产出数/实际产出数）×100%。</w:t>
            </w:r>
          </w:p>
          <w:p w14:paraId="0EC4F1DE">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1648BF7">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c>
          <w:tcPr>
            <w:tcW w:w="769" w:type="dxa"/>
            <w:shd w:val="clear" w:color="auto" w:fill="auto"/>
            <w:noWrap w:val="0"/>
            <w:vAlign w:val="center"/>
          </w:tcPr>
          <w:p w14:paraId="6B11F408">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r>
      <w:tr w14:paraId="44FEB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33D5712">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14:paraId="6B3931E5">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820" w:type="dxa"/>
            <w:shd w:val="clear" w:color="auto" w:fill="auto"/>
            <w:noWrap w:val="0"/>
            <w:vAlign w:val="center"/>
          </w:tcPr>
          <w:p w14:paraId="5EC05A94">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及时发放率</w:t>
            </w:r>
          </w:p>
        </w:tc>
        <w:tc>
          <w:tcPr>
            <w:tcW w:w="2141" w:type="dxa"/>
            <w:shd w:val="clear" w:color="auto" w:fill="auto"/>
            <w:noWrap w:val="0"/>
            <w:vAlign w:val="center"/>
          </w:tcPr>
          <w:p w14:paraId="7F5B80BF">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76488479">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实际完成时间：项目实施单位完成该项目实际所耗用的时间。</w:t>
            </w:r>
          </w:p>
          <w:p w14:paraId="62B8F144">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5F97BEF">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c>
          <w:tcPr>
            <w:tcW w:w="769" w:type="dxa"/>
            <w:shd w:val="clear" w:color="auto" w:fill="auto"/>
            <w:noWrap w:val="0"/>
            <w:vAlign w:val="center"/>
          </w:tcPr>
          <w:p w14:paraId="0D6DCD24">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r>
      <w:tr w14:paraId="1981F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177D41F1">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shd w:val="clear" w:color="auto" w:fill="auto"/>
            <w:noWrap w:val="0"/>
            <w:vAlign w:val="center"/>
          </w:tcPr>
          <w:p w14:paraId="58636F2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820" w:type="dxa"/>
            <w:shd w:val="clear" w:color="auto" w:fill="auto"/>
            <w:noWrap w:val="0"/>
            <w:vAlign w:val="center"/>
          </w:tcPr>
          <w:p w14:paraId="6654C87E">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职业教育学生平均标准</w:t>
            </w:r>
          </w:p>
        </w:tc>
        <w:tc>
          <w:tcPr>
            <w:tcW w:w="2141" w:type="dxa"/>
            <w:shd w:val="clear" w:color="auto" w:fill="auto"/>
            <w:noWrap w:val="0"/>
            <w:vAlign w:val="center"/>
          </w:tcPr>
          <w:p w14:paraId="465D7562">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689FB6B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14:paraId="28E786CF">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14:paraId="5E824F1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14:paraId="657CABBE">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4F3172EB">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c>
          <w:tcPr>
            <w:tcW w:w="769" w:type="dxa"/>
            <w:shd w:val="clear" w:color="auto" w:fill="auto"/>
            <w:noWrap w:val="0"/>
            <w:vAlign w:val="center"/>
          </w:tcPr>
          <w:p w14:paraId="4C425BE0">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8</w:t>
            </w:r>
          </w:p>
        </w:tc>
      </w:tr>
      <w:tr w14:paraId="397A75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3" w:hRule="atLeast"/>
          <w:jc w:val="center"/>
        </w:trPr>
        <w:tc>
          <w:tcPr>
            <w:tcW w:w="861" w:type="dxa"/>
            <w:vMerge w:val="restart"/>
            <w:shd w:val="clear" w:color="auto" w:fill="auto"/>
            <w:noWrap w:val="0"/>
            <w:vAlign w:val="center"/>
          </w:tcPr>
          <w:p w14:paraId="75424F18">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14:paraId="79467433">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820" w:type="dxa"/>
            <w:shd w:val="clear" w:color="auto" w:fill="auto"/>
            <w:noWrap w:val="0"/>
            <w:vAlign w:val="center"/>
          </w:tcPr>
          <w:p w14:paraId="7F7BC3FA">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减轻家庭困难学生经济压力</w:t>
            </w:r>
          </w:p>
        </w:tc>
        <w:tc>
          <w:tcPr>
            <w:tcW w:w="2141" w:type="dxa"/>
            <w:shd w:val="clear" w:color="auto" w:fill="auto"/>
            <w:noWrap w:val="0"/>
            <w:vAlign w:val="center"/>
          </w:tcPr>
          <w:p w14:paraId="1DBD20E0">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noWrap w:val="0"/>
            <w:vAlign w:val="center"/>
          </w:tcPr>
          <w:p w14:paraId="7156944D">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38EF4FC4">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7</w:t>
            </w:r>
          </w:p>
        </w:tc>
        <w:tc>
          <w:tcPr>
            <w:tcW w:w="769" w:type="dxa"/>
            <w:shd w:val="clear" w:color="auto" w:fill="auto"/>
            <w:noWrap w:val="0"/>
            <w:vAlign w:val="center"/>
          </w:tcPr>
          <w:p w14:paraId="7E037567">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7</w:t>
            </w:r>
          </w:p>
        </w:tc>
      </w:tr>
      <w:tr w14:paraId="4B00FF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3" w:hRule="atLeast"/>
          <w:jc w:val="center"/>
        </w:trPr>
        <w:tc>
          <w:tcPr>
            <w:tcW w:w="861" w:type="dxa"/>
            <w:vMerge w:val="continue"/>
            <w:shd w:val="clear" w:color="auto" w:fill="auto"/>
            <w:noWrap w:val="0"/>
            <w:vAlign w:val="center"/>
          </w:tcPr>
          <w:p w14:paraId="0B00C967">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597CBF47">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820" w:type="dxa"/>
            <w:shd w:val="clear" w:color="auto" w:fill="auto"/>
            <w:noWrap w:val="0"/>
            <w:vAlign w:val="center"/>
          </w:tcPr>
          <w:p w14:paraId="56BB06C9">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贫困生生活质量</w:t>
            </w:r>
          </w:p>
        </w:tc>
        <w:tc>
          <w:tcPr>
            <w:tcW w:w="2141" w:type="dxa"/>
            <w:shd w:val="clear" w:color="auto" w:fill="auto"/>
            <w:noWrap w:val="0"/>
            <w:vAlign w:val="center"/>
          </w:tcPr>
          <w:p w14:paraId="63EC2EBD">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项目实施所产生的效益。</w:t>
            </w:r>
          </w:p>
        </w:tc>
        <w:tc>
          <w:tcPr>
            <w:tcW w:w="7821" w:type="dxa"/>
            <w:shd w:val="clear" w:color="auto" w:fill="auto"/>
            <w:noWrap w:val="0"/>
            <w:vAlign w:val="center"/>
          </w:tcPr>
          <w:p w14:paraId="6DC24CD1">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14:paraId="60AEBC3C">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7</w:t>
            </w:r>
          </w:p>
        </w:tc>
        <w:tc>
          <w:tcPr>
            <w:tcW w:w="769" w:type="dxa"/>
            <w:shd w:val="clear" w:color="auto" w:fill="auto"/>
            <w:noWrap w:val="0"/>
            <w:vAlign w:val="center"/>
          </w:tcPr>
          <w:p w14:paraId="0EA40DBD">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cs="宋体"/>
                <w:color w:val="000000"/>
                <w:kern w:val="0"/>
                <w:sz w:val="22"/>
                <w:szCs w:val="22"/>
                <w:highlight w:val="none"/>
                <w:lang w:val="en-US" w:eastAsia="zh-CN"/>
              </w:rPr>
              <w:t>7</w:t>
            </w:r>
          </w:p>
        </w:tc>
      </w:tr>
      <w:tr w14:paraId="254513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26B5B8C0">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14:paraId="5BEB8454">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820" w:type="dxa"/>
            <w:shd w:val="clear" w:color="auto" w:fill="auto"/>
            <w:noWrap w:val="0"/>
            <w:vAlign w:val="center"/>
          </w:tcPr>
          <w:p w14:paraId="3C7A238C">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师生满意度</w:t>
            </w:r>
          </w:p>
        </w:tc>
        <w:tc>
          <w:tcPr>
            <w:tcW w:w="2141" w:type="dxa"/>
            <w:shd w:val="clear" w:color="auto" w:fill="auto"/>
            <w:noWrap w:val="0"/>
            <w:vAlign w:val="center"/>
          </w:tcPr>
          <w:p w14:paraId="3BB5B0BB">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社会公众或服务对象对项目实施效果的满意程度。</w:t>
            </w:r>
          </w:p>
        </w:tc>
        <w:tc>
          <w:tcPr>
            <w:tcW w:w="7821" w:type="dxa"/>
            <w:shd w:val="clear" w:color="auto" w:fill="auto"/>
            <w:noWrap w:val="0"/>
            <w:vAlign w:val="center"/>
          </w:tcPr>
          <w:p w14:paraId="15A89642">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1C6D1046">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6</w:t>
            </w:r>
          </w:p>
        </w:tc>
        <w:tc>
          <w:tcPr>
            <w:tcW w:w="769" w:type="dxa"/>
            <w:shd w:val="clear" w:color="auto" w:fill="auto"/>
            <w:noWrap w:val="0"/>
            <w:vAlign w:val="center"/>
          </w:tcPr>
          <w:p w14:paraId="1CB4A0E0">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6</w:t>
            </w:r>
          </w:p>
        </w:tc>
      </w:tr>
      <w:tr w14:paraId="0ED1C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1E76966D">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lang w:val="en-US" w:eastAsia="zh-CN"/>
              </w:rPr>
            </w:pPr>
            <w:r>
              <w:rPr>
                <w:rFonts w:hint="eastAsia" w:ascii="宋体" w:hAnsi="宋体" w:eastAsia="宋体" w:cs="宋体"/>
                <w:color w:val="000000"/>
                <w:kern w:val="0"/>
                <w:sz w:val="22"/>
                <w:szCs w:val="22"/>
                <w:highlight w:val="none"/>
                <w:lang w:val="en-US" w:eastAsia="zh-CN"/>
              </w:rPr>
              <w:t>合计</w:t>
            </w:r>
          </w:p>
        </w:tc>
        <w:tc>
          <w:tcPr>
            <w:tcW w:w="7821" w:type="dxa"/>
            <w:shd w:val="clear" w:color="auto" w:fill="auto"/>
            <w:noWrap w:val="0"/>
            <w:vAlign w:val="center"/>
          </w:tcPr>
          <w:p w14:paraId="4922E003">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p>
        </w:tc>
        <w:tc>
          <w:tcPr>
            <w:tcW w:w="785" w:type="dxa"/>
            <w:shd w:val="clear" w:color="auto" w:fill="auto"/>
            <w:noWrap w:val="0"/>
            <w:vAlign w:val="center"/>
          </w:tcPr>
          <w:p w14:paraId="37EC41E2">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100</w:t>
            </w:r>
          </w:p>
        </w:tc>
        <w:tc>
          <w:tcPr>
            <w:tcW w:w="769" w:type="dxa"/>
            <w:shd w:val="clear" w:color="auto" w:fill="auto"/>
            <w:noWrap w:val="0"/>
            <w:vAlign w:val="center"/>
          </w:tcPr>
          <w:p w14:paraId="6AFA488C">
            <w:pPr>
              <w:pageBreakBefore w:val="0"/>
              <w:widowControl/>
              <w:kinsoku/>
              <w:wordWrap/>
              <w:overflowPunct/>
              <w:topLinePunct w:val="0"/>
              <w:autoSpaceDE/>
              <w:autoSpaceDN/>
              <w:bidi w:val="0"/>
              <w:spacing w:line="240" w:lineRule="auto"/>
              <w:ind w:firstLine="0" w:firstLineChars="0"/>
              <w:textAlignment w:val="auto"/>
              <w:rPr>
                <w:rFonts w:hint="default" w:ascii="宋体" w:hAnsi="宋体" w:eastAsia="宋体" w:cs="宋体"/>
                <w:color w:val="000000"/>
                <w:kern w:val="0"/>
                <w:sz w:val="22"/>
                <w:szCs w:val="22"/>
                <w:highlight w:val="none"/>
                <w:lang w:val="en-US" w:eastAsia="zh-CN"/>
              </w:rPr>
            </w:pPr>
            <w:r>
              <w:rPr>
                <w:rFonts w:hint="eastAsia" w:cs="宋体"/>
                <w:color w:val="000000"/>
                <w:kern w:val="0"/>
                <w:sz w:val="22"/>
                <w:szCs w:val="22"/>
                <w:highlight w:val="none"/>
                <w:lang w:val="en-US" w:eastAsia="zh-CN"/>
              </w:rPr>
              <w:t>98.67</w:t>
            </w:r>
          </w:p>
        </w:tc>
      </w:tr>
    </w:tbl>
    <w:p w14:paraId="2B941C3F">
      <w:pPr>
        <w:pageBreakBefore w:val="0"/>
        <w:kinsoku/>
        <w:wordWrap/>
        <w:overflowPunct/>
        <w:topLinePunct w:val="0"/>
        <w:autoSpaceDE/>
        <w:autoSpaceDN/>
        <w:bidi w:val="0"/>
        <w:spacing w:line="560" w:lineRule="exact"/>
        <w:ind w:firstLine="0" w:firstLineChars="0"/>
        <w:textAlignment w:val="auto"/>
        <w:rPr>
          <w:rFonts w:ascii="Times New Roman" w:hAnsi="Times New Roman" w:eastAsia="仿宋_GB2312" w:cs="Times New Roman"/>
          <w:sz w:val="30"/>
          <w:szCs w:val="24"/>
          <w:highlight w:val="none"/>
        </w:rPr>
      </w:pPr>
    </w:p>
    <w:p w14:paraId="3AE29131">
      <w:pPr>
        <w:pageBreakBefore w:val="0"/>
        <w:kinsoku/>
        <w:wordWrap/>
        <w:overflowPunct/>
        <w:topLinePunct w:val="0"/>
        <w:autoSpaceDE/>
        <w:autoSpaceDN/>
        <w:bidi w:val="0"/>
        <w:spacing w:line="560" w:lineRule="exact"/>
        <w:textAlignment w:val="auto"/>
        <w:rPr>
          <w:rFonts w:hint="default"/>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583D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783C5A">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4783C5A">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39FB2A"/>
    <w:multiLevelType w:val="singleLevel"/>
    <w:tmpl w:val="BB39FB2A"/>
    <w:lvl w:ilvl="0" w:tentative="0">
      <w:start w:val="2"/>
      <w:numFmt w:val="decimal"/>
      <w:suff w:val="space"/>
      <w:lvlText w:val="%1."/>
      <w:lvlJc w:val="left"/>
    </w:lvl>
  </w:abstractNum>
  <w:abstractNum w:abstractNumId="1">
    <w:nsid w:val="F4CD2B0F"/>
    <w:multiLevelType w:val="singleLevel"/>
    <w:tmpl w:val="F4CD2B0F"/>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3C457F"/>
    <w:rsid w:val="007D6A04"/>
    <w:rsid w:val="00A81D22"/>
    <w:rsid w:val="00E23C81"/>
    <w:rsid w:val="01253350"/>
    <w:rsid w:val="01282E62"/>
    <w:rsid w:val="014029CF"/>
    <w:rsid w:val="01470C4C"/>
    <w:rsid w:val="02200440"/>
    <w:rsid w:val="02284B43"/>
    <w:rsid w:val="02B015E2"/>
    <w:rsid w:val="02DC08FA"/>
    <w:rsid w:val="02E62FD5"/>
    <w:rsid w:val="033B569D"/>
    <w:rsid w:val="039C3BA0"/>
    <w:rsid w:val="03A845BB"/>
    <w:rsid w:val="03B45AD1"/>
    <w:rsid w:val="04D12EE4"/>
    <w:rsid w:val="04D63993"/>
    <w:rsid w:val="06793B35"/>
    <w:rsid w:val="074A0B66"/>
    <w:rsid w:val="07890F4F"/>
    <w:rsid w:val="08892439"/>
    <w:rsid w:val="08C81E3A"/>
    <w:rsid w:val="08D15B8E"/>
    <w:rsid w:val="08EB30F3"/>
    <w:rsid w:val="09237408"/>
    <w:rsid w:val="09781BD6"/>
    <w:rsid w:val="09975029"/>
    <w:rsid w:val="09B31CA6"/>
    <w:rsid w:val="09F359DF"/>
    <w:rsid w:val="0A575E65"/>
    <w:rsid w:val="0ACA0AB6"/>
    <w:rsid w:val="0B5D427D"/>
    <w:rsid w:val="0BFF061B"/>
    <w:rsid w:val="0C032502"/>
    <w:rsid w:val="0C27698C"/>
    <w:rsid w:val="0D4452F3"/>
    <w:rsid w:val="0D547DCB"/>
    <w:rsid w:val="0F5E5042"/>
    <w:rsid w:val="0FE95707"/>
    <w:rsid w:val="10510571"/>
    <w:rsid w:val="10787A20"/>
    <w:rsid w:val="108672DE"/>
    <w:rsid w:val="10EC685A"/>
    <w:rsid w:val="10ED552F"/>
    <w:rsid w:val="114D1BEB"/>
    <w:rsid w:val="11BF2C61"/>
    <w:rsid w:val="11FA6155"/>
    <w:rsid w:val="120F4870"/>
    <w:rsid w:val="12C30B98"/>
    <w:rsid w:val="12CF0947"/>
    <w:rsid w:val="12F1313F"/>
    <w:rsid w:val="132D1C36"/>
    <w:rsid w:val="136C678E"/>
    <w:rsid w:val="13EB2FF5"/>
    <w:rsid w:val="14ED4CAC"/>
    <w:rsid w:val="15001CD4"/>
    <w:rsid w:val="157F3836"/>
    <w:rsid w:val="15A46B04"/>
    <w:rsid w:val="161D0664"/>
    <w:rsid w:val="165825BC"/>
    <w:rsid w:val="16BC5D73"/>
    <w:rsid w:val="17375756"/>
    <w:rsid w:val="176F36D7"/>
    <w:rsid w:val="1795226D"/>
    <w:rsid w:val="18456B1E"/>
    <w:rsid w:val="185C36C6"/>
    <w:rsid w:val="1862610F"/>
    <w:rsid w:val="1C1171C5"/>
    <w:rsid w:val="1C844F99"/>
    <w:rsid w:val="1C974C1A"/>
    <w:rsid w:val="1D265138"/>
    <w:rsid w:val="1D7B6BCA"/>
    <w:rsid w:val="1DA41A79"/>
    <w:rsid w:val="1DF53469"/>
    <w:rsid w:val="1E2F24F2"/>
    <w:rsid w:val="1E58492F"/>
    <w:rsid w:val="1E5B6757"/>
    <w:rsid w:val="1ED10AC6"/>
    <w:rsid w:val="1F792252"/>
    <w:rsid w:val="1F7C73FE"/>
    <w:rsid w:val="1F89225F"/>
    <w:rsid w:val="1F900A1F"/>
    <w:rsid w:val="1FC0575D"/>
    <w:rsid w:val="206132C7"/>
    <w:rsid w:val="210A35D4"/>
    <w:rsid w:val="218D48F0"/>
    <w:rsid w:val="21B00C1D"/>
    <w:rsid w:val="23031BEB"/>
    <w:rsid w:val="23917691"/>
    <w:rsid w:val="244D65B8"/>
    <w:rsid w:val="245E1E24"/>
    <w:rsid w:val="24F904EE"/>
    <w:rsid w:val="25AD5E5D"/>
    <w:rsid w:val="26F34DDB"/>
    <w:rsid w:val="2732478D"/>
    <w:rsid w:val="27661469"/>
    <w:rsid w:val="278204EE"/>
    <w:rsid w:val="27900EAD"/>
    <w:rsid w:val="279B538A"/>
    <w:rsid w:val="27FD0030"/>
    <w:rsid w:val="286F545C"/>
    <w:rsid w:val="29115E06"/>
    <w:rsid w:val="29314FBC"/>
    <w:rsid w:val="29A547A1"/>
    <w:rsid w:val="2AA2081A"/>
    <w:rsid w:val="2B203DD5"/>
    <w:rsid w:val="2C024B86"/>
    <w:rsid w:val="2C927671"/>
    <w:rsid w:val="2CB229CC"/>
    <w:rsid w:val="2CC6306F"/>
    <w:rsid w:val="2D7C5CD6"/>
    <w:rsid w:val="2E483E7E"/>
    <w:rsid w:val="2E560BA1"/>
    <w:rsid w:val="2E690493"/>
    <w:rsid w:val="2E71425B"/>
    <w:rsid w:val="2E9854BD"/>
    <w:rsid w:val="2ED226A6"/>
    <w:rsid w:val="2F0D407F"/>
    <w:rsid w:val="2F454B19"/>
    <w:rsid w:val="309440A1"/>
    <w:rsid w:val="30F71D86"/>
    <w:rsid w:val="310224D9"/>
    <w:rsid w:val="31280F0C"/>
    <w:rsid w:val="31B4621C"/>
    <w:rsid w:val="31E3230A"/>
    <w:rsid w:val="326835EA"/>
    <w:rsid w:val="330957E0"/>
    <w:rsid w:val="33356F64"/>
    <w:rsid w:val="33472DAF"/>
    <w:rsid w:val="33944516"/>
    <w:rsid w:val="340572FB"/>
    <w:rsid w:val="3408637D"/>
    <w:rsid w:val="344C6E08"/>
    <w:rsid w:val="34B62907"/>
    <w:rsid w:val="35632CFB"/>
    <w:rsid w:val="359758E5"/>
    <w:rsid w:val="35C42453"/>
    <w:rsid w:val="36BD137C"/>
    <w:rsid w:val="37E1553E"/>
    <w:rsid w:val="38053EDF"/>
    <w:rsid w:val="380812A4"/>
    <w:rsid w:val="385D37E7"/>
    <w:rsid w:val="38782EDD"/>
    <w:rsid w:val="39720A80"/>
    <w:rsid w:val="39C90037"/>
    <w:rsid w:val="3A6366DE"/>
    <w:rsid w:val="3B42664A"/>
    <w:rsid w:val="3BF029BD"/>
    <w:rsid w:val="3CAD1E92"/>
    <w:rsid w:val="3D5440BC"/>
    <w:rsid w:val="3D6D5EB2"/>
    <w:rsid w:val="3D836A4E"/>
    <w:rsid w:val="3E6C0336"/>
    <w:rsid w:val="3EA37E97"/>
    <w:rsid w:val="3FBE0BC5"/>
    <w:rsid w:val="4048103A"/>
    <w:rsid w:val="404C3770"/>
    <w:rsid w:val="40736643"/>
    <w:rsid w:val="40D24A7A"/>
    <w:rsid w:val="425F68B8"/>
    <w:rsid w:val="42621029"/>
    <w:rsid w:val="426B4382"/>
    <w:rsid w:val="42A81866"/>
    <w:rsid w:val="43254ADF"/>
    <w:rsid w:val="435241E2"/>
    <w:rsid w:val="43975C51"/>
    <w:rsid w:val="439E3FA7"/>
    <w:rsid w:val="43E62F75"/>
    <w:rsid w:val="43E8166A"/>
    <w:rsid w:val="44124D90"/>
    <w:rsid w:val="445917CF"/>
    <w:rsid w:val="44B32266"/>
    <w:rsid w:val="44FC64F4"/>
    <w:rsid w:val="454113CA"/>
    <w:rsid w:val="461B7231"/>
    <w:rsid w:val="464942AC"/>
    <w:rsid w:val="467F4585"/>
    <w:rsid w:val="46AF4DDB"/>
    <w:rsid w:val="470628CB"/>
    <w:rsid w:val="4729480B"/>
    <w:rsid w:val="47555BD4"/>
    <w:rsid w:val="47BC2DB1"/>
    <w:rsid w:val="47E32093"/>
    <w:rsid w:val="47E96399"/>
    <w:rsid w:val="47F76025"/>
    <w:rsid w:val="485823E2"/>
    <w:rsid w:val="486E33F5"/>
    <w:rsid w:val="48C4659A"/>
    <w:rsid w:val="48E12B50"/>
    <w:rsid w:val="499441BE"/>
    <w:rsid w:val="499A6C1C"/>
    <w:rsid w:val="4A0B01F8"/>
    <w:rsid w:val="4A174346"/>
    <w:rsid w:val="4A195607"/>
    <w:rsid w:val="4A2138F0"/>
    <w:rsid w:val="4A583887"/>
    <w:rsid w:val="4B774940"/>
    <w:rsid w:val="4B9F6E02"/>
    <w:rsid w:val="4C08741E"/>
    <w:rsid w:val="4C3B7D8F"/>
    <w:rsid w:val="4C89637B"/>
    <w:rsid w:val="4D16138E"/>
    <w:rsid w:val="4E6E48A8"/>
    <w:rsid w:val="4E8D5680"/>
    <w:rsid w:val="4EEC036B"/>
    <w:rsid w:val="4F714FA1"/>
    <w:rsid w:val="4FBE4C9D"/>
    <w:rsid w:val="4FEA106F"/>
    <w:rsid w:val="501D2673"/>
    <w:rsid w:val="50235A38"/>
    <w:rsid w:val="50C80BF1"/>
    <w:rsid w:val="51852833"/>
    <w:rsid w:val="51922AAE"/>
    <w:rsid w:val="51ED6B61"/>
    <w:rsid w:val="51F33474"/>
    <w:rsid w:val="52481FEA"/>
    <w:rsid w:val="52F11AC8"/>
    <w:rsid w:val="534F49D9"/>
    <w:rsid w:val="53555F0F"/>
    <w:rsid w:val="535D23D5"/>
    <w:rsid w:val="5485215F"/>
    <w:rsid w:val="54DC1D64"/>
    <w:rsid w:val="55743D9E"/>
    <w:rsid w:val="55AE6607"/>
    <w:rsid w:val="56150435"/>
    <w:rsid w:val="56892BD1"/>
    <w:rsid w:val="56F4341A"/>
    <w:rsid w:val="575A7321"/>
    <w:rsid w:val="5778511F"/>
    <w:rsid w:val="580C3AB9"/>
    <w:rsid w:val="583C7AE0"/>
    <w:rsid w:val="584274DB"/>
    <w:rsid w:val="586C1E9A"/>
    <w:rsid w:val="586E0800"/>
    <w:rsid w:val="59216F96"/>
    <w:rsid w:val="598C4145"/>
    <w:rsid w:val="59957D1B"/>
    <w:rsid w:val="59D4294E"/>
    <w:rsid w:val="59F579D9"/>
    <w:rsid w:val="5B57329D"/>
    <w:rsid w:val="5B634312"/>
    <w:rsid w:val="5B9D2CCD"/>
    <w:rsid w:val="5B9E71EA"/>
    <w:rsid w:val="5D2A3A89"/>
    <w:rsid w:val="5E226FBC"/>
    <w:rsid w:val="5FE72BD2"/>
    <w:rsid w:val="60120613"/>
    <w:rsid w:val="606F6C7A"/>
    <w:rsid w:val="612E3045"/>
    <w:rsid w:val="614F1975"/>
    <w:rsid w:val="618D5292"/>
    <w:rsid w:val="622E78FA"/>
    <w:rsid w:val="63343F70"/>
    <w:rsid w:val="63CD181C"/>
    <w:rsid w:val="63D418E4"/>
    <w:rsid w:val="64296E1C"/>
    <w:rsid w:val="64386FCC"/>
    <w:rsid w:val="64507CAB"/>
    <w:rsid w:val="649E64A2"/>
    <w:rsid w:val="65E5270A"/>
    <w:rsid w:val="65E9368C"/>
    <w:rsid w:val="663D3C54"/>
    <w:rsid w:val="667A6962"/>
    <w:rsid w:val="66862C89"/>
    <w:rsid w:val="66BB486D"/>
    <w:rsid w:val="671F55B7"/>
    <w:rsid w:val="67394C7D"/>
    <w:rsid w:val="68126B38"/>
    <w:rsid w:val="682409AB"/>
    <w:rsid w:val="68291A1A"/>
    <w:rsid w:val="68352BB8"/>
    <w:rsid w:val="691327EB"/>
    <w:rsid w:val="691B1594"/>
    <w:rsid w:val="693A016B"/>
    <w:rsid w:val="69951B60"/>
    <w:rsid w:val="69E93C5A"/>
    <w:rsid w:val="6A17429C"/>
    <w:rsid w:val="6A567EA3"/>
    <w:rsid w:val="6B3A643C"/>
    <w:rsid w:val="6B4B4368"/>
    <w:rsid w:val="6B79100E"/>
    <w:rsid w:val="6C3A1127"/>
    <w:rsid w:val="6C844C00"/>
    <w:rsid w:val="6D5D5184"/>
    <w:rsid w:val="6E10212C"/>
    <w:rsid w:val="6E43561A"/>
    <w:rsid w:val="6E557973"/>
    <w:rsid w:val="6E791119"/>
    <w:rsid w:val="6E9568DB"/>
    <w:rsid w:val="6F0D6C22"/>
    <w:rsid w:val="6F3F7718"/>
    <w:rsid w:val="6F47657F"/>
    <w:rsid w:val="6FAF23D9"/>
    <w:rsid w:val="6FDE7A53"/>
    <w:rsid w:val="70635CF6"/>
    <w:rsid w:val="70670707"/>
    <w:rsid w:val="711A0B9D"/>
    <w:rsid w:val="720E3691"/>
    <w:rsid w:val="7249173A"/>
    <w:rsid w:val="724E244C"/>
    <w:rsid w:val="72DA6946"/>
    <w:rsid w:val="732764B3"/>
    <w:rsid w:val="73492604"/>
    <w:rsid w:val="74026044"/>
    <w:rsid w:val="74171FC1"/>
    <w:rsid w:val="74325A77"/>
    <w:rsid w:val="74746410"/>
    <w:rsid w:val="748D67AC"/>
    <w:rsid w:val="74E86E97"/>
    <w:rsid w:val="755328D0"/>
    <w:rsid w:val="756248C1"/>
    <w:rsid w:val="75C8506C"/>
    <w:rsid w:val="75E5007C"/>
    <w:rsid w:val="76EC4D8A"/>
    <w:rsid w:val="77636B63"/>
    <w:rsid w:val="77701773"/>
    <w:rsid w:val="77813724"/>
    <w:rsid w:val="77861774"/>
    <w:rsid w:val="78F31435"/>
    <w:rsid w:val="792A1710"/>
    <w:rsid w:val="79300B45"/>
    <w:rsid w:val="794D3E18"/>
    <w:rsid w:val="796A766E"/>
    <w:rsid w:val="79AD0E19"/>
    <w:rsid w:val="79F3729A"/>
    <w:rsid w:val="7A880722"/>
    <w:rsid w:val="7A9026C1"/>
    <w:rsid w:val="7ABE6120"/>
    <w:rsid w:val="7ACB0498"/>
    <w:rsid w:val="7AED0B4D"/>
    <w:rsid w:val="7C1E4487"/>
    <w:rsid w:val="7C215E02"/>
    <w:rsid w:val="7C613B24"/>
    <w:rsid w:val="7CF23764"/>
    <w:rsid w:val="7D3D2E8E"/>
    <w:rsid w:val="7D851A94"/>
    <w:rsid w:val="7E6B0C8A"/>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9"/>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7">
    <w:name w:val="Default Paragraph Font"/>
    <w:autoRedefine/>
    <w:semiHidden/>
    <w:qFormat/>
    <w:uiPriority w:val="0"/>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240" w:after="240" w:line="360" w:lineRule="auto"/>
      <w:jc w:val="center"/>
    </w:pPr>
    <w:rPr>
      <w:b/>
      <w:sz w:val="44"/>
    </w:rPr>
  </w:style>
  <w:style w:type="paragraph" w:styleId="6">
    <w:name w:val="annotation text"/>
    <w:basedOn w:val="1"/>
    <w:autoRedefine/>
    <w:qFormat/>
    <w:uiPriority w:val="0"/>
    <w:pPr>
      <w:jc w:val="left"/>
    </w:pPr>
  </w:style>
  <w:style w:type="paragraph" w:styleId="7">
    <w:name w:val="toc 3"/>
    <w:basedOn w:val="1"/>
    <w:next w:val="1"/>
    <w:qFormat/>
    <w:uiPriority w:val="0"/>
    <w:pPr>
      <w:ind w:left="840" w:leftChars="400"/>
    </w:p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Body Text 2"/>
    <w:basedOn w:val="1"/>
    <w:autoRedefine/>
    <w:qFormat/>
    <w:uiPriority w:val="0"/>
    <w:pPr>
      <w:spacing w:after="120" w:line="480" w:lineRule="auto"/>
    </w:pPr>
    <w:rPr>
      <w:rFonts w:ascii="Times New Roman" w:hAnsi="Times New Roman" w:eastAsia="宋体" w:cs="Times New Roman"/>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5">
    <w:name w:val="Body Text First Indent"/>
    <w:basedOn w:val="2"/>
    <w:qFormat/>
    <w:uiPriority w:val="0"/>
    <w:pPr>
      <w:spacing w:after="0"/>
      <w:ind w:firstLine="200" w:firstLineChars="200"/>
    </w:pPr>
  </w:style>
  <w:style w:type="paragraph" w:customStyle="1" w:styleId="18">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标题 2 Char"/>
    <w:link w:val="4"/>
    <w:autoRedefine/>
    <w:qFormat/>
    <w:uiPriority w:val="0"/>
    <w:rPr>
      <w:rFonts w:ascii="Arial" w:hAnsi="Arial" w:eastAsia="楷体"/>
      <w:b/>
      <w:sz w:val="32"/>
    </w:rPr>
  </w:style>
  <w:style w:type="paragraph" w:customStyle="1" w:styleId="20">
    <w:name w:val="WPSOffice手动目录 1"/>
    <w:autoRedefine/>
    <w:qFormat/>
    <w:uiPriority w:val="0"/>
    <w:pPr>
      <w:ind w:leftChars="0"/>
    </w:pPr>
    <w:rPr>
      <w:rFonts w:ascii="Times New Roman" w:hAnsi="Times New Roman" w:eastAsia="宋体" w:cs="Times New Roman"/>
      <w:sz w:val="20"/>
      <w:szCs w:val="20"/>
    </w:rPr>
  </w:style>
  <w:style w:type="paragraph" w:customStyle="1" w:styleId="21">
    <w:name w:val="WPSOffice手动目录 2"/>
    <w:autoRedefine/>
    <w:qFormat/>
    <w:uiPriority w:val="0"/>
    <w:pPr>
      <w:ind w:leftChars="200"/>
    </w:pPr>
    <w:rPr>
      <w:rFonts w:ascii="Times New Roman" w:hAnsi="Times New Roman" w:eastAsia="宋体" w:cs="Times New Roman"/>
      <w:sz w:val="20"/>
      <w:szCs w:val="20"/>
    </w:rPr>
  </w:style>
  <w:style w:type="paragraph" w:customStyle="1" w:styleId="22">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12126</Words>
  <Characters>12811</Characters>
  <Lines>0</Lines>
  <Paragraphs>0</Paragraphs>
  <TotalTime>1</TotalTime>
  <ScaleCrop>false</ScaleCrop>
  <LinksUpToDate>false</LinksUpToDate>
  <CharactersWithSpaces>12882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苞米</cp:lastModifiedBy>
  <dcterms:modified xsi:type="dcterms:W3CDTF">2025-10-24T03:28:38Z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1D17C581B7B649E79D2BCA767FA9A472_13</vt:lpwstr>
  </property>
  <property fmtid="{D5CDD505-2E9C-101B-9397-08002B2CF9AE}" pid="4" name="KSOTemplateDocerSaveRecord">
    <vt:lpwstr>eyJoZGlkIjoiNTY3MmI4ODZmMjljZWZhNGFkN2U2N2Y4ODgwYjM5ZGIiLCJ1c2VySWQiOiIzNjI1MzY3NzcifQ==</vt:lpwstr>
  </property>
</Properties>
</file>