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560" w:lineRule="exact"/>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cs="宋体"/>
          <w:b/>
          <w:bCs/>
          <w:color w:val="auto"/>
          <w:sz w:val="40"/>
          <w:szCs w:val="40"/>
          <w:highlight w:val="none"/>
          <w:shd w:val="clear" w:color="auto" w:fill="auto"/>
          <w:lang w:eastAsia="zh-CN"/>
        </w:rPr>
      </w:pPr>
      <w:bookmarkStart w:id="0" w:name="_Toc25575"/>
      <w:bookmarkStart w:id="1" w:name="_Toc1949"/>
      <w:bookmarkStart w:id="2" w:name="_Toc29123"/>
      <w:bookmarkStart w:id="3" w:name="_Toc15679"/>
      <w:r>
        <w:rPr>
          <w:rFonts w:hint="eastAsia" w:cs="宋体"/>
          <w:b/>
          <w:bCs/>
          <w:color w:val="auto"/>
          <w:sz w:val="40"/>
          <w:szCs w:val="40"/>
          <w:highlight w:val="none"/>
          <w:shd w:val="clear" w:color="auto" w:fill="auto"/>
          <w:lang w:eastAsia="zh-CN"/>
        </w:rPr>
        <w:t>草原生态保护补助奖励项目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支出绩效评价报告</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auto"/>
          <w:sz w:val="40"/>
          <w:szCs w:val="40"/>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ind w:firstLine="1200" w:firstLineChars="400"/>
        <w:jc w:val="both"/>
        <w:rPr>
          <w:rFonts w:hint="default" w:ascii="黑体" w:hAnsi="Times New Roman" w:eastAsia="黑体"/>
          <w:b w:val="0"/>
          <w:bCs/>
          <w:color w:val="auto"/>
          <w:sz w:val="30"/>
          <w:szCs w:val="30"/>
          <w:highlight w:val="none"/>
          <w:lang w:val="en-US" w:eastAsia="zh-CN"/>
        </w:rPr>
      </w:pPr>
      <w:r>
        <w:rPr>
          <w:rFonts w:hint="eastAsia" w:ascii="黑体" w:hAnsi="Times New Roman" w:eastAsia="黑体"/>
          <w:b w:val="0"/>
          <w:bCs/>
          <w:color w:val="auto"/>
          <w:sz w:val="30"/>
          <w:szCs w:val="30"/>
          <w:highlight w:val="none"/>
        </w:rPr>
        <w:t>项目名称：</w:t>
      </w:r>
      <w:r>
        <w:rPr>
          <w:rFonts w:hint="eastAsia" w:ascii="黑体" w:hAnsi="Times New Roman" w:eastAsia="黑体"/>
          <w:b w:val="0"/>
          <w:bCs/>
          <w:color w:val="auto"/>
          <w:sz w:val="30"/>
          <w:szCs w:val="30"/>
          <w:highlight w:val="none"/>
          <w:lang w:val="en-US" w:eastAsia="zh-CN"/>
        </w:rPr>
        <w:t>草原生态保护补助奖励</w:t>
      </w:r>
    </w:p>
    <w:p>
      <w:pPr>
        <w:ind w:firstLine="1200" w:firstLineChars="400"/>
        <w:jc w:val="both"/>
        <w:rPr>
          <w:rFonts w:hint="default" w:ascii="黑体" w:hAnsi="Times New Roman" w:eastAsia="黑体"/>
          <w:b w:val="0"/>
          <w:bCs/>
          <w:color w:val="auto"/>
          <w:sz w:val="30"/>
          <w:szCs w:val="30"/>
          <w:highlight w:val="none"/>
          <w:lang w:val="en-US" w:eastAsia="zh-CN"/>
        </w:rPr>
      </w:pPr>
      <w:r>
        <w:rPr>
          <w:rFonts w:hint="eastAsia" w:ascii="黑体" w:hAnsi="Times New Roman" w:eastAsia="黑体"/>
          <w:b w:val="0"/>
          <w:bCs/>
          <w:color w:val="auto"/>
          <w:sz w:val="30"/>
          <w:szCs w:val="30"/>
          <w:highlight w:val="none"/>
        </w:rPr>
        <w:t>实施单位：</w:t>
      </w:r>
      <w:r>
        <w:rPr>
          <w:rFonts w:hint="eastAsia" w:ascii="黑体" w:hAnsi="Times New Roman" w:eastAsia="黑体"/>
          <w:b w:val="0"/>
          <w:bCs/>
          <w:color w:val="auto"/>
          <w:sz w:val="30"/>
          <w:szCs w:val="30"/>
          <w:highlight w:val="none"/>
          <w:lang w:val="en-US" w:eastAsia="zh-CN"/>
        </w:rPr>
        <w:t>阜康市林业和草原局</w:t>
      </w:r>
    </w:p>
    <w:p>
      <w:pPr>
        <w:ind w:firstLine="1200" w:firstLineChars="400"/>
        <w:jc w:val="both"/>
        <w:rPr>
          <w:rFonts w:hint="eastAsia" w:ascii="黑体" w:hAnsi="Times New Roman" w:eastAsia="黑体"/>
          <w:b w:val="0"/>
          <w:bCs/>
          <w:color w:val="auto"/>
          <w:sz w:val="30"/>
          <w:szCs w:val="30"/>
          <w:highlight w:val="none"/>
        </w:rPr>
      </w:pPr>
      <w:r>
        <w:rPr>
          <w:rFonts w:hint="eastAsia" w:ascii="黑体" w:hAnsi="Times New Roman" w:eastAsia="黑体"/>
          <w:b w:val="0"/>
          <w:bCs/>
          <w:color w:val="auto"/>
          <w:sz w:val="30"/>
          <w:szCs w:val="30"/>
          <w:highlight w:val="none"/>
        </w:rPr>
        <w:t>主管部门：</w:t>
      </w:r>
      <w:r>
        <w:rPr>
          <w:rFonts w:hint="eastAsia" w:ascii="黑体" w:hAnsi="Times New Roman" w:eastAsia="黑体"/>
          <w:b w:val="0"/>
          <w:bCs/>
          <w:color w:val="auto"/>
          <w:sz w:val="30"/>
          <w:szCs w:val="30"/>
          <w:highlight w:val="none"/>
          <w:lang w:val="en-US" w:eastAsia="zh-CN"/>
        </w:rPr>
        <w:t>阜康市林业和草原局</w:t>
      </w:r>
    </w:p>
    <w:p>
      <w:pPr>
        <w:ind w:firstLine="1200" w:firstLineChars="400"/>
        <w:jc w:val="both"/>
        <w:rPr>
          <w:rFonts w:hint="eastAsia" w:ascii="黑体" w:hAnsi="Times New Roman" w:eastAsia="黑体"/>
          <w:b w:val="0"/>
          <w:bCs/>
          <w:color w:val="auto"/>
          <w:sz w:val="30"/>
          <w:szCs w:val="30"/>
          <w:highlight w:val="none"/>
          <w:lang w:eastAsia="zh-CN"/>
        </w:rPr>
      </w:pPr>
      <w:r>
        <w:rPr>
          <w:rFonts w:hint="eastAsia" w:ascii="黑体" w:hAnsi="Times New Roman" w:eastAsia="黑体"/>
          <w:b w:val="0"/>
          <w:bCs/>
          <w:color w:val="auto"/>
          <w:sz w:val="30"/>
          <w:szCs w:val="30"/>
          <w:highlight w:val="none"/>
          <w:lang w:eastAsia="zh-CN"/>
        </w:rPr>
        <w:t>项目负责人：</w:t>
      </w:r>
      <w:r>
        <w:rPr>
          <w:rFonts w:hint="eastAsia" w:ascii="黑体" w:hAnsi="Times New Roman" w:eastAsia="黑体"/>
          <w:b w:val="0"/>
          <w:bCs/>
          <w:color w:val="auto"/>
          <w:sz w:val="30"/>
          <w:szCs w:val="30"/>
          <w:highlight w:val="none"/>
          <w:lang w:val="en-US" w:eastAsia="zh-CN"/>
        </w:rPr>
        <w:t>张桐毓</w:t>
      </w:r>
    </w:p>
    <w:p>
      <w:pPr>
        <w:ind w:firstLine="1200" w:firstLineChars="400"/>
        <w:jc w:val="both"/>
        <w:rPr>
          <w:rFonts w:hint="default" w:ascii="黑体" w:hAnsi="Times New Roman" w:eastAsia="黑体"/>
          <w:b w:val="0"/>
          <w:bCs/>
          <w:color w:val="auto"/>
          <w:sz w:val="30"/>
          <w:szCs w:val="30"/>
          <w:highlight w:val="none"/>
          <w:lang w:val="en-US" w:eastAsia="zh-CN"/>
        </w:rPr>
      </w:pPr>
      <w:r>
        <w:rPr>
          <w:rFonts w:hint="eastAsia" w:ascii="黑体" w:hAnsi="Times New Roman" w:eastAsia="黑体"/>
          <w:b w:val="0"/>
          <w:bCs/>
          <w:color w:val="auto"/>
          <w:sz w:val="30"/>
          <w:szCs w:val="30"/>
          <w:highlight w:val="none"/>
          <w:lang w:eastAsia="zh-CN"/>
        </w:rPr>
        <w:t>填报时间：</w:t>
      </w:r>
      <w:r>
        <w:rPr>
          <w:rFonts w:hint="eastAsia" w:ascii="黑体" w:hAnsi="Times New Roman" w:eastAsia="黑体"/>
          <w:b w:val="0"/>
          <w:bCs/>
          <w:color w:val="auto"/>
          <w:sz w:val="30"/>
          <w:szCs w:val="30"/>
          <w:highlight w:val="none"/>
          <w:lang w:val="en-US" w:eastAsia="zh-CN"/>
        </w:rPr>
        <w:t>2025年3月31日</w:t>
      </w:r>
    </w:p>
    <w:p>
      <w:pPr>
        <w:pStyle w:val="16"/>
        <w:pageBreakBefore w:val="0"/>
        <w:kinsoku/>
        <w:wordWrap/>
        <w:overflowPunct/>
        <w:topLinePunct w:val="0"/>
        <w:autoSpaceDE/>
        <w:autoSpaceDN/>
        <w:bidi w:val="0"/>
        <w:spacing w:line="560" w:lineRule="exact"/>
        <w:textAlignment w:val="auto"/>
        <w:outlineLvl w:val="9"/>
        <w:rPr>
          <w:rFonts w:hint="eastAsia" w:ascii="宋体" w:hAnsi="宋体" w:eastAsia="宋体" w:cs="宋体"/>
          <w:b/>
          <w:color w:val="auto"/>
          <w:kern w:val="2"/>
          <w:sz w:val="28"/>
          <w:szCs w:val="28"/>
          <w:highlight w:val="none"/>
          <w:shd w:val="clear" w:color="auto" w:fill="auto"/>
          <w:lang w:val="en-US" w:eastAsia="zh-CN"/>
        </w:rPr>
      </w:pPr>
    </w:p>
    <w:p>
      <w:pPr>
        <w:pageBreakBefore w:val="0"/>
        <w:kinsoku/>
        <w:wordWrap/>
        <w:overflowPunct/>
        <w:topLinePunct w:val="0"/>
        <w:autoSpaceDE/>
        <w:autoSpaceDN/>
        <w:bidi w:val="0"/>
        <w:spacing w:line="560" w:lineRule="exact"/>
        <w:textAlignment w:val="auto"/>
        <w:rPr>
          <w:rFonts w:hint="eastAsia"/>
          <w:color w:val="auto"/>
          <w:highlight w:val="none"/>
          <w:lang w:val="en-US" w:eastAsia="zh-CN"/>
        </w:rPr>
      </w:pPr>
      <w:r>
        <w:rPr>
          <w:rFonts w:hint="eastAsia"/>
          <w:color w:val="auto"/>
          <w:highlight w:val="none"/>
          <w:lang w:val="en-US" w:eastAsia="zh-CN"/>
        </w:rPr>
        <w:br w:type="page"/>
      </w:r>
    </w:p>
    <w:p>
      <w:pPr>
        <w:pageBreakBefore w:val="0"/>
        <w:kinsoku/>
        <w:wordWrap/>
        <w:overflowPunct/>
        <w:topLinePunct w:val="0"/>
        <w:autoSpaceDE/>
        <w:autoSpaceDN/>
        <w:bidi w:val="0"/>
        <w:spacing w:line="560" w:lineRule="exact"/>
        <w:textAlignment w:val="auto"/>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2"/>
            <w:shd w:val="clear"/>
            <w:tabs>
              <w:tab w:val="right" w:leader="dot" w:pos="8844"/>
            </w:tabs>
            <w:rPr>
              <w:color w:val="auto"/>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_Toc18485 </w:instrText>
          </w:r>
          <w:r>
            <w:rPr>
              <w:rFonts w:hint="eastAsia"/>
              <w:color w:val="auto"/>
              <w:szCs w:val="28"/>
              <w:highlight w:val="none"/>
              <w:lang w:val="en-US" w:eastAsia="zh-CN"/>
            </w:rPr>
            <w:fldChar w:fldCharType="separate"/>
          </w:r>
          <w:r>
            <w:rPr>
              <w:rFonts w:hint="eastAsia" w:ascii="黑体" w:hAnsi="黑体" w:eastAsia="黑体" w:cs="黑体"/>
              <w:bCs w:val="0"/>
              <w:color w:val="auto"/>
              <w:highlight w:val="none"/>
              <w:shd w:val="clear" w:color="auto" w:fill="auto"/>
            </w:rPr>
            <w:t>一、基本情况</w:t>
          </w:r>
          <w:r>
            <w:rPr>
              <w:color w:val="auto"/>
              <w:highlight w:val="none"/>
            </w:rPr>
            <w:tab/>
          </w:r>
          <w:r>
            <w:rPr>
              <w:color w:val="auto"/>
              <w:highlight w:val="none"/>
            </w:rPr>
            <w:fldChar w:fldCharType="begin"/>
          </w:r>
          <w:r>
            <w:rPr>
              <w:color w:val="auto"/>
              <w:highlight w:val="none"/>
            </w:rPr>
            <w:instrText xml:space="preserve"> PAGEREF _Toc18485 \h </w:instrText>
          </w:r>
          <w:r>
            <w:rPr>
              <w:color w:val="auto"/>
              <w:highlight w:val="none"/>
            </w:rPr>
            <w:fldChar w:fldCharType="separate"/>
          </w:r>
          <w:r>
            <w:rPr>
              <w:color w:val="auto"/>
              <w:highlight w:val="none"/>
            </w:rPr>
            <w:t>4</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_Toc23184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lang w:val="en-US" w:eastAsia="zh-CN"/>
            </w:rPr>
            <w:t>（一）项目概况</w:t>
          </w:r>
          <w:r>
            <w:rPr>
              <w:color w:val="auto"/>
              <w:highlight w:val="none"/>
            </w:rPr>
            <w:tab/>
          </w:r>
          <w:r>
            <w:rPr>
              <w:color w:val="auto"/>
              <w:highlight w:val="none"/>
            </w:rPr>
            <w:fldChar w:fldCharType="begin"/>
          </w:r>
          <w:r>
            <w:rPr>
              <w:color w:val="auto"/>
              <w:highlight w:val="none"/>
            </w:rPr>
            <w:instrText xml:space="preserve"> PAGEREF _Toc23184 \h </w:instrText>
          </w:r>
          <w:r>
            <w:rPr>
              <w:color w:val="auto"/>
              <w:highlight w:val="none"/>
            </w:rPr>
            <w:fldChar w:fldCharType="separate"/>
          </w:r>
          <w:r>
            <w:rPr>
              <w:color w:val="auto"/>
              <w:highlight w:val="none"/>
            </w:rPr>
            <w:t>4</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_Toc9109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lang w:val="en-US" w:eastAsia="zh-CN"/>
            </w:rPr>
            <w:t>（二）项目绩效目标</w:t>
          </w:r>
          <w:r>
            <w:rPr>
              <w:color w:val="auto"/>
              <w:highlight w:val="none"/>
            </w:rPr>
            <w:tab/>
          </w:r>
          <w:r>
            <w:rPr>
              <w:color w:val="auto"/>
              <w:highlight w:val="none"/>
            </w:rPr>
            <w:fldChar w:fldCharType="begin"/>
          </w:r>
          <w:r>
            <w:rPr>
              <w:color w:val="auto"/>
              <w:highlight w:val="none"/>
            </w:rPr>
            <w:instrText xml:space="preserve"> PAGEREF _Toc9109 \h </w:instrText>
          </w:r>
          <w:r>
            <w:rPr>
              <w:color w:val="auto"/>
              <w:highlight w:val="none"/>
            </w:rPr>
            <w:fldChar w:fldCharType="separate"/>
          </w:r>
          <w:r>
            <w:rPr>
              <w:color w:val="auto"/>
              <w:highlight w:val="none"/>
            </w:rPr>
            <w:t>6</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rFonts w:hint="eastAsia" w:ascii="黑体" w:hAnsi="黑体" w:eastAsia="黑体" w:cs="黑体"/>
              <w:color w:val="auto"/>
              <w:highlight w:val="none"/>
            </w:rPr>
          </w:pPr>
          <w:r>
            <w:rPr>
              <w:rFonts w:hint="eastAsia" w:ascii="黑体" w:hAnsi="黑体" w:eastAsia="黑体" w:cs="黑体"/>
              <w:color w:val="auto"/>
              <w:szCs w:val="28"/>
              <w:highlight w:val="none"/>
              <w:lang w:val="en-US" w:eastAsia="zh-CN"/>
            </w:rPr>
            <w:fldChar w:fldCharType="begin"/>
          </w:r>
          <w:r>
            <w:rPr>
              <w:rFonts w:hint="eastAsia" w:ascii="黑体" w:hAnsi="黑体" w:eastAsia="黑体" w:cs="黑体"/>
              <w:color w:val="auto"/>
              <w:szCs w:val="28"/>
              <w:highlight w:val="none"/>
              <w:lang w:val="en-US" w:eastAsia="zh-CN"/>
            </w:rPr>
            <w:instrText xml:space="preserve"> HYPERLINK \l _Toc26567 </w:instrText>
          </w:r>
          <w:r>
            <w:rPr>
              <w:rFonts w:hint="eastAsia" w:ascii="黑体" w:hAnsi="黑体" w:eastAsia="黑体" w:cs="黑体"/>
              <w:color w:val="auto"/>
              <w:szCs w:val="28"/>
              <w:highlight w:val="none"/>
              <w:lang w:val="en-US" w:eastAsia="zh-CN"/>
            </w:rPr>
            <w:fldChar w:fldCharType="separate"/>
          </w:r>
          <w:r>
            <w:rPr>
              <w:rFonts w:hint="eastAsia" w:ascii="黑体" w:hAnsi="黑体" w:eastAsia="黑体" w:cs="黑体"/>
              <w:bCs/>
              <w:color w:val="auto"/>
              <w:highlight w:val="none"/>
              <w:shd w:val="clear" w:color="auto" w:fill="auto"/>
            </w:rPr>
            <w:t>二、绩效评价工作开展情况</w:t>
          </w:r>
          <w:r>
            <w:rPr>
              <w:rFonts w:hint="eastAsia" w:ascii="黑体" w:hAnsi="黑体" w:eastAsia="黑体" w:cs="黑体"/>
              <w:color w:val="auto"/>
              <w:highlight w:val="none"/>
            </w:rPr>
            <w:tab/>
          </w:r>
          <w:r>
            <w:rPr>
              <w:rFonts w:hint="eastAsia" w:ascii="黑体" w:hAnsi="黑体" w:eastAsia="黑体" w:cs="黑体"/>
              <w:color w:val="auto"/>
              <w:highlight w:val="none"/>
            </w:rPr>
            <w:fldChar w:fldCharType="begin"/>
          </w:r>
          <w:r>
            <w:rPr>
              <w:rFonts w:hint="eastAsia" w:ascii="黑体" w:hAnsi="黑体" w:eastAsia="黑体" w:cs="黑体"/>
              <w:color w:val="auto"/>
              <w:highlight w:val="none"/>
            </w:rPr>
            <w:instrText xml:space="preserve"> PAGEREF _Toc26567 \h </w:instrText>
          </w:r>
          <w:r>
            <w:rPr>
              <w:rFonts w:hint="eastAsia" w:ascii="黑体" w:hAnsi="黑体" w:eastAsia="黑体" w:cs="黑体"/>
              <w:color w:val="auto"/>
              <w:highlight w:val="none"/>
            </w:rPr>
            <w:fldChar w:fldCharType="separate"/>
          </w:r>
          <w:r>
            <w:rPr>
              <w:rFonts w:hint="eastAsia" w:ascii="黑体" w:hAnsi="黑体" w:eastAsia="黑体" w:cs="黑体"/>
              <w:color w:val="auto"/>
              <w:highlight w:val="none"/>
            </w:rPr>
            <w:t>8</w:t>
          </w:r>
          <w:r>
            <w:rPr>
              <w:rFonts w:hint="eastAsia" w:ascii="黑体" w:hAnsi="黑体" w:eastAsia="黑体" w:cs="黑体"/>
              <w:color w:val="auto"/>
              <w:highlight w:val="none"/>
            </w:rPr>
            <w:fldChar w:fldCharType="end"/>
          </w:r>
          <w:r>
            <w:rPr>
              <w:rFonts w:hint="eastAsia" w:ascii="黑体" w:hAnsi="黑体" w:eastAsia="黑体" w:cs="黑体"/>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_Toc22839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lang w:val="en-US" w:eastAsia="zh-CN"/>
            </w:rPr>
            <w:t>（一）绩效评价的目的、对象和范围</w:t>
          </w:r>
          <w:r>
            <w:rPr>
              <w:color w:val="auto"/>
              <w:highlight w:val="none"/>
            </w:rPr>
            <w:tab/>
          </w:r>
          <w:r>
            <w:rPr>
              <w:color w:val="auto"/>
              <w:highlight w:val="none"/>
            </w:rPr>
            <w:fldChar w:fldCharType="begin"/>
          </w:r>
          <w:r>
            <w:rPr>
              <w:color w:val="auto"/>
              <w:highlight w:val="none"/>
            </w:rPr>
            <w:instrText xml:space="preserve"> PAGEREF _Toc22839 \h </w:instrText>
          </w:r>
          <w:r>
            <w:rPr>
              <w:color w:val="auto"/>
              <w:highlight w:val="none"/>
            </w:rPr>
            <w:fldChar w:fldCharType="separate"/>
          </w:r>
          <w:r>
            <w:rPr>
              <w:color w:val="auto"/>
              <w:highlight w:val="none"/>
            </w:rPr>
            <w:t>8</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_Toc29785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lang w:val="en-US" w:eastAsia="zh-CN"/>
            </w:rPr>
            <w:t>（二）绩效评价原则、评价指标体系（</w:t>
          </w:r>
          <w:r>
            <w:rPr>
              <w:rFonts w:hint="default" w:ascii="Times New Roman" w:hAnsi="Times New Roman" w:eastAsia="楷体_GB2312" w:cs="Times New Roman"/>
              <w:color w:val="auto"/>
              <w:kern w:val="28"/>
              <w:highlight w:val="none"/>
              <w:lang w:val="en-US" w:eastAsia="zh-CN"/>
            </w:rPr>
            <w:t>详情见</w:t>
          </w:r>
          <w:r>
            <w:rPr>
              <w:rFonts w:hint="eastAsia" w:ascii="Times New Roman" w:hAnsi="Times New Roman" w:eastAsia="楷体_GB2312" w:cs="Times New Roman"/>
              <w:color w:val="auto"/>
              <w:kern w:val="28"/>
              <w:highlight w:val="none"/>
              <w:lang w:val="en-US" w:eastAsia="zh-CN"/>
            </w:rPr>
            <w:t>附件二）、评价方法、评价标准</w:t>
          </w:r>
          <w:r>
            <w:rPr>
              <w:color w:val="auto"/>
              <w:highlight w:val="none"/>
            </w:rPr>
            <w:tab/>
          </w:r>
          <w:r>
            <w:rPr>
              <w:color w:val="auto"/>
              <w:highlight w:val="none"/>
            </w:rPr>
            <w:fldChar w:fldCharType="begin"/>
          </w:r>
          <w:r>
            <w:rPr>
              <w:color w:val="auto"/>
              <w:highlight w:val="none"/>
            </w:rPr>
            <w:instrText xml:space="preserve"> PAGEREF _Toc29785 \h </w:instrText>
          </w:r>
          <w:r>
            <w:rPr>
              <w:color w:val="auto"/>
              <w:highlight w:val="none"/>
            </w:rPr>
            <w:fldChar w:fldCharType="separate"/>
          </w:r>
          <w:r>
            <w:rPr>
              <w:color w:val="auto"/>
              <w:highlight w:val="none"/>
            </w:rPr>
            <w:t>12</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_Toc21435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lang w:val="en-US" w:eastAsia="zh-CN"/>
            </w:rPr>
            <w:t>（三）绩效评价工作过程</w:t>
          </w:r>
          <w:r>
            <w:rPr>
              <w:color w:val="auto"/>
              <w:highlight w:val="none"/>
            </w:rPr>
            <w:tab/>
          </w:r>
          <w:r>
            <w:rPr>
              <w:color w:val="auto"/>
              <w:highlight w:val="none"/>
            </w:rPr>
            <w:fldChar w:fldCharType="begin"/>
          </w:r>
          <w:r>
            <w:rPr>
              <w:color w:val="auto"/>
              <w:highlight w:val="none"/>
            </w:rPr>
            <w:instrText xml:space="preserve"> PAGEREF _Toc21435 \h </w:instrText>
          </w:r>
          <w:r>
            <w:rPr>
              <w:color w:val="auto"/>
              <w:highlight w:val="none"/>
            </w:rPr>
            <w:fldChar w:fldCharType="separate"/>
          </w:r>
          <w:r>
            <w:rPr>
              <w:color w:val="auto"/>
              <w:highlight w:val="none"/>
            </w:rPr>
            <w:t>15</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_Toc19261 </w:instrText>
          </w:r>
          <w:r>
            <w:rPr>
              <w:rFonts w:hint="eastAsia"/>
              <w:color w:val="auto"/>
              <w:szCs w:val="28"/>
              <w:highlight w:val="none"/>
              <w:lang w:val="en-US" w:eastAsia="zh-CN"/>
            </w:rPr>
            <w:fldChar w:fldCharType="separate"/>
          </w:r>
          <w:r>
            <w:rPr>
              <w:rFonts w:hint="eastAsia" w:ascii="黑体" w:hAnsi="黑体" w:eastAsia="黑体" w:cs="黑体"/>
              <w:bCs w:val="0"/>
              <w:color w:val="auto"/>
              <w:highlight w:val="none"/>
              <w:shd w:val="clear" w:color="auto" w:fill="auto"/>
              <w:lang w:val="en-US" w:eastAsia="zh-CN"/>
            </w:rPr>
            <w:t>三、</w:t>
          </w:r>
          <w:r>
            <w:rPr>
              <w:rFonts w:hint="eastAsia" w:ascii="黑体" w:hAnsi="黑体" w:eastAsia="黑体" w:cs="黑体"/>
              <w:bCs w:val="0"/>
              <w:color w:val="auto"/>
              <w:highlight w:val="none"/>
              <w:shd w:val="clear" w:color="auto" w:fill="auto"/>
            </w:rPr>
            <w:t>综合评价情况及评价结论</w:t>
          </w:r>
          <w:r>
            <w:rPr>
              <w:color w:val="auto"/>
              <w:highlight w:val="none"/>
            </w:rPr>
            <w:tab/>
          </w:r>
          <w:r>
            <w:rPr>
              <w:color w:val="auto"/>
              <w:highlight w:val="none"/>
            </w:rPr>
            <w:fldChar w:fldCharType="begin"/>
          </w:r>
          <w:r>
            <w:rPr>
              <w:color w:val="auto"/>
              <w:highlight w:val="none"/>
            </w:rPr>
            <w:instrText xml:space="preserve"> PAGEREF _Toc19261 \h </w:instrText>
          </w:r>
          <w:r>
            <w:rPr>
              <w:color w:val="auto"/>
              <w:highlight w:val="none"/>
            </w:rPr>
            <w:fldChar w:fldCharType="separate"/>
          </w:r>
          <w:r>
            <w:rPr>
              <w:color w:val="auto"/>
              <w:highlight w:val="none"/>
            </w:rPr>
            <w:t>17</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_Toc23319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lang w:val="en-US" w:eastAsia="zh-CN"/>
            </w:rPr>
            <w:t>（一）综合评价情况及评价结论</w:t>
          </w:r>
          <w:r>
            <w:rPr>
              <w:color w:val="auto"/>
              <w:highlight w:val="none"/>
            </w:rPr>
            <w:tab/>
          </w:r>
          <w:r>
            <w:rPr>
              <w:color w:val="auto"/>
              <w:highlight w:val="none"/>
            </w:rPr>
            <w:fldChar w:fldCharType="begin"/>
          </w:r>
          <w:r>
            <w:rPr>
              <w:color w:val="auto"/>
              <w:highlight w:val="none"/>
            </w:rPr>
            <w:instrText xml:space="preserve"> PAGEREF _Toc23319 \h </w:instrText>
          </w:r>
          <w:r>
            <w:rPr>
              <w:color w:val="auto"/>
              <w:highlight w:val="none"/>
            </w:rPr>
            <w:fldChar w:fldCharType="separate"/>
          </w:r>
          <w:r>
            <w:rPr>
              <w:color w:val="auto"/>
              <w:highlight w:val="none"/>
            </w:rPr>
            <w:t>17</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_Toc11863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lang w:val="en-US" w:eastAsia="zh-CN"/>
            </w:rPr>
            <w:t>（二）相关评分表</w:t>
          </w:r>
          <w:r>
            <w:rPr>
              <w:color w:val="auto"/>
              <w:highlight w:val="none"/>
            </w:rPr>
            <w:tab/>
          </w:r>
          <w:r>
            <w:rPr>
              <w:color w:val="auto"/>
              <w:highlight w:val="none"/>
            </w:rPr>
            <w:fldChar w:fldCharType="begin"/>
          </w:r>
          <w:r>
            <w:rPr>
              <w:color w:val="auto"/>
              <w:highlight w:val="none"/>
            </w:rPr>
            <w:instrText xml:space="preserve"> PAGEREF _Toc11863 \h </w:instrText>
          </w:r>
          <w:r>
            <w:rPr>
              <w:color w:val="auto"/>
              <w:highlight w:val="none"/>
            </w:rPr>
            <w:fldChar w:fldCharType="separate"/>
          </w:r>
          <w:r>
            <w:rPr>
              <w:color w:val="auto"/>
              <w:highlight w:val="none"/>
            </w:rPr>
            <w:t>17</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_Toc14941 </w:instrText>
          </w:r>
          <w:r>
            <w:rPr>
              <w:rFonts w:hint="eastAsia"/>
              <w:color w:val="auto"/>
              <w:szCs w:val="28"/>
              <w:highlight w:val="none"/>
              <w:lang w:val="en-US" w:eastAsia="zh-CN"/>
            </w:rPr>
            <w:fldChar w:fldCharType="separate"/>
          </w:r>
          <w:r>
            <w:rPr>
              <w:rFonts w:hint="eastAsia" w:ascii="黑体" w:hAnsi="黑体" w:eastAsia="黑体" w:cs="黑体"/>
              <w:bCs w:val="0"/>
              <w:color w:val="auto"/>
              <w:highlight w:val="none"/>
              <w:shd w:val="clear" w:color="auto" w:fill="auto"/>
              <w:lang w:val="en-US" w:eastAsia="zh-CN"/>
            </w:rPr>
            <w:t>四、绩效评价指标分析</w:t>
          </w:r>
          <w:r>
            <w:rPr>
              <w:color w:val="auto"/>
              <w:highlight w:val="none"/>
            </w:rPr>
            <w:tab/>
          </w:r>
          <w:r>
            <w:rPr>
              <w:color w:val="auto"/>
              <w:highlight w:val="none"/>
            </w:rPr>
            <w:fldChar w:fldCharType="begin"/>
          </w:r>
          <w:r>
            <w:rPr>
              <w:color w:val="auto"/>
              <w:highlight w:val="none"/>
            </w:rPr>
            <w:instrText xml:space="preserve"> PAGEREF _Toc14941 \h </w:instrText>
          </w:r>
          <w:r>
            <w:rPr>
              <w:color w:val="auto"/>
              <w:highlight w:val="none"/>
            </w:rPr>
            <w:fldChar w:fldCharType="separate"/>
          </w:r>
          <w:r>
            <w:rPr>
              <w:color w:val="auto"/>
              <w:highlight w:val="none"/>
            </w:rPr>
            <w:t>18</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_Toc6759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rPr>
            <w:t>（一）项目决策情况</w:t>
          </w:r>
          <w:r>
            <w:rPr>
              <w:color w:val="auto"/>
              <w:highlight w:val="none"/>
            </w:rPr>
            <w:tab/>
          </w:r>
          <w:r>
            <w:rPr>
              <w:color w:val="auto"/>
              <w:highlight w:val="none"/>
            </w:rPr>
            <w:fldChar w:fldCharType="begin"/>
          </w:r>
          <w:r>
            <w:rPr>
              <w:color w:val="auto"/>
              <w:highlight w:val="none"/>
            </w:rPr>
            <w:instrText xml:space="preserve"> PAGEREF _Toc6759 \h </w:instrText>
          </w:r>
          <w:r>
            <w:rPr>
              <w:color w:val="auto"/>
              <w:highlight w:val="none"/>
            </w:rPr>
            <w:fldChar w:fldCharType="separate"/>
          </w:r>
          <w:r>
            <w:rPr>
              <w:color w:val="auto"/>
              <w:highlight w:val="none"/>
            </w:rPr>
            <w:t>18</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_Toc10564 </w:instrText>
          </w:r>
          <w:r>
            <w:rPr>
              <w:rFonts w:hint="eastAsia"/>
              <w:color w:val="auto"/>
              <w:szCs w:val="28"/>
              <w:highlight w:val="none"/>
              <w:lang w:val="en-US" w:eastAsia="zh-CN"/>
            </w:rPr>
            <w:fldChar w:fldCharType="separate"/>
          </w:r>
          <w:r>
            <w:rPr>
              <w:rFonts w:hint="eastAsia" w:ascii="Times New Roman" w:hAnsi="Times New Roman" w:eastAsia="楷体" w:cs="Times New Roman"/>
              <w:color w:val="auto"/>
              <w:kern w:val="28"/>
              <w:highlight w:val="none"/>
              <w:lang w:eastAsia="zh-CN"/>
            </w:rPr>
            <w:t>（</w:t>
          </w:r>
          <w:r>
            <w:rPr>
              <w:rFonts w:hint="eastAsia" w:ascii="Times New Roman" w:hAnsi="Times New Roman" w:eastAsia="楷体" w:cs="Times New Roman"/>
              <w:color w:val="auto"/>
              <w:kern w:val="28"/>
              <w:highlight w:val="none"/>
              <w:lang w:val="en-US" w:eastAsia="zh-CN"/>
            </w:rPr>
            <w:t>二</w:t>
          </w:r>
          <w:r>
            <w:rPr>
              <w:rFonts w:hint="eastAsia" w:ascii="Times New Roman" w:hAnsi="Times New Roman" w:eastAsia="楷体" w:cs="Times New Roman"/>
              <w:color w:val="auto"/>
              <w:kern w:val="28"/>
              <w:highlight w:val="none"/>
              <w:lang w:eastAsia="zh-CN"/>
            </w:rPr>
            <w:t>）</w:t>
          </w:r>
          <w:r>
            <w:rPr>
              <w:rFonts w:hint="eastAsia" w:ascii="Times New Roman" w:hAnsi="Times New Roman" w:eastAsia="楷体" w:cs="Times New Roman"/>
              <w:color w:val="auto"/>
              <w:kern w:val="28"/>
              <w:highlight w:val="none"/>
            </w:rPr>
            <w:t>项目过程情况</w:t>
          </w:r>
          <w:r>
            <w:rPr>
              <w:color w:val="auto"/>
              <w:highlight w:val="none"/>
            </w:rPr>
            <w:tab/>
          </w:r>
          <w:r>
            <w:rPr>
              <w:color w:val="auto"/>
              <w:highlight w:val="none"/>
            </w:rPr>
            <w:fldChar w:fldCharType="begin"/>
          </w:r>
          <w:r>
            <w:rPr>
              <w:color w:val="auto"/>
              <w:highlight w:val="none"/>
            </w:rPr>
            <w:instrText xml:space="preserve"> PAGEREF _Toc10564 \h </w:instrText>
          </w:r>
          <w:r>
            <w:rPr>
              <w:color w:val="auto"/>
              <w:highlight w:val="none"/>
            </w:rPr>
            <w:fldChar w:fldCharType="separate"/>
          </w:r>
          <w:r>
            <w:rPr>
              <w:color w:val="auto"/>
              <w:highlight w:val="none"/>
            </w:rPr>
            <w:t>22</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_Toc2441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lang w:val="en-US" w:eastAsia="zh-CN"/>
            </w:rPr>
            <w:t>（三）项目产出情况</w:t>
          </w:r>
          <w:r>
            <w:rPr>
              <w:color w:val="auto"/>
              <w:highlight w:val="none"/>
            </w:rPr>
            <w:tab/>
          </w:r>
          <w:r>
            <w:rPr>
              <w:color w:val="auto"/>
              <w:highlight w:val="none"/>
            </w:rPr>
            <w:fldChar w:fldCharType="begin"/>
          </w:r>
          <w:r>
            <w:rPr>
              <w:color w:val="auto"/>
              <w:highlight w:val="none"/>
            </w:rPr>
            <w:instrText xml:space="preserve"> PAGEREF _Toc2441 \h </w:instrText>
          </w:r>
          <w:r>
            <w:rPr>
              <w:color w:val="auto"/>
              <w:highlight w:val="none"/>
            </w:rPr>
            <w:fldChar w:fldCharType="separate"/>
          </w:r>
          <w:r>
            <w:rPr>
              <w:color w:val="auto"/>
              <w:highlight w:val="none"/>
            </w:rPr>
            <w:t>24</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_Toc19424 </w:instrText>
          </w:r>
          <w:r>
            <w:rPr>
              <w:rFonts w:hint="eastAsia"/>
              <w:color w:val="auto"/>
              <w:szCs w:val="28"/>
              <w:highlight w:val="none"/>
              <w:lang w:val="en-US" w:eastAsia="zh-CN"/>
            </w:rPr>
            <w:fldChar w:fldCharType="separate"/>
          </w:r>
          <w:r>
            <w:rPr>
              <w:rFonts w:hint="eastAsia" w:ascii="Times New Roman" w:hAnsi="Times New Roman" w:eastAsia="楷体_GB2312" w:cs="Times New Roman"/>
              <w:color w:val="auto"/>
              <w:kern w:val="28"/>
              <w:highlight w:val="none"/>
              <w:lang w:val="en-US" w:eastAsia="zh-CN"/>
            </w:rPr>
            <w:t>（四）项目效益情况</w:t>
          </w:r>
          <w:r>
            <w:rPr>
              <w:color w:val="auto"/>
              <w:highlight w:val="none"/>
            </w:rPr>
            <w:tab/>
          </w:r>
          <w:r>
            <w:rPr>
              <w:color w:val="auto"/>
              <w:highlight w:val="none"/>
            </w:rPr>
            <w:fldChar w:fldCharType="begin"/>
          </w:r>
          <w:r>
            <w:rPr>
              <w:color w:val="auto"/>
              <w:highlight w:val="none"/>
            </w:rPr>
            <w:instrText xml:space="preserve"> PAGEREF _Toc19424 \h </w:instrText>
          </w:r>
          <w:r>
            <w:rPr>
              <w:color w:val="auto"/>
              <w:highlight w:val="none"/>
            </w:rPr>
            <w:fldChar w:fldCharType="separate"/>
          </w:r>
          <w:r>
            <w:rPr>
              <w:color w:val="auto"/>
              <w:highlight w:val="none"/>
            </w:rPr>
            <w:t>26</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_Toc23313 </w:instrText>
          </w:r>
          <w:r>
            <w:rPr>
              <w:rFonts w:hint="eastAsia"/>
              <w:color w:val="auto"/>
              <w:szCs w:val="28"/>
              <w:highlight w:val="none"/>
              <w:lang w:val="en-US" w:eastAsia="zh-CN"/>
            </w:rPr>
            <w:fldChar w:fldCharType="separate"/>
          </w:r>
          <w:r>
            <w:rPr>
              <w:rFonts w:hint="eastAsia" w:ascii="Times New Roman" w:hAnsi="Times New Roman" w:eastAsia="楷体_GB2312" w:cs="Times New Roman"/>
              <w:bCs/>
              <w:color w:val="auto"/>
              <w:kern w:val="28"/>
              <w:highlight w:val="none"/>
              <w:lang w:val="en-US" w:eastAsia="zh-CN"/>
            </w:rPr>
            <w:t>（五）满意度指标完成情况分析</w:t>
          </w:r>
          <w:r>
            <w:rPr>
              <w:color w:val="auto"/>
              <w:highlight w:val="none"/>
            </w:rPr>
            <w:tab/>
          </w:r>
          <w:r>
            <w:rPr>
              <w:color w:val="auto"/>
              <w:highlight w:val="none"/>
            </w:rPr>
            <w:fldChar w:fldCharType="begin"/>
          </w:r>
          <w:r>
            <w:rPr>
              <w:color w:val="auto"/>
              <w:highlight w:val="none"/>
            </w:rPr>
            <w:instrText xml:space="preserve"> PAGEREF _Toc23313 \h </w:instrText>
          </w:r>
          <w:r>
            <w:rPr>
              <w:color w:val="auto"/>
              <w:highlight w:val="none"/>
            </w:rPr>
            <w:fldChar w:fldCharType="separate"/>
          </w:r>
          <w:r>
            <w:rPr>
              <w:color w:val="auto"/>
              <w:highlight w:val="none"/>
            </w:rPr>
            <w:t>27</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rFonts w:hint="eastAsia" w:ascii="黑体" w:hAnsi="黑体" w:eastAsia="黑体" w:cs="黑体"/>
              <w:color w:val="auto"/>
              <w:highlight w:val="none"/>
            </w:rPr>
          </w:pPr>
          <w:r>
            <w:rPr>
              <w:rFonts w:hint="eastAsia" w:ascii="黑体" w:hAnsi="黑体" w:eastAsia="黑体" w:cs="黑体"/>
              <w:color w:val="auto"/>
              <w:szCs w:val="28"/>
              <w:highlight w:val="none"/>
              <w:lang w:val="en-US" w:eastAsia="zh-CN"/>
            </w:rPr>
            <w:fldChar w:fldCharType="begin"/>
          </w:r>
          <w:r>
            <w:rPr>
              <w:rFonts w:hint="eastAsia" w:ascii="黑体" w:hAnsi="黑体" w:eastAsia="黑体" w:cs="黑体"/>
              <w:color w:val="auto"/>
              <w:szCs w:val="28"/>
              <w:highlight w:val="none"/>
              <w:lang w:val="en-US" w:eastAsia="zh-CN"/>
            </w:rPr>
            <w:instrText xml:space="preserve"> HYPERLINK \l _Toc6622 </w:instrText>
          </w:r>
          <w:r>
            <w:rPr>
              <w:rFonts w:hint="eastAsia" w:ascii="黑体" w:hAnsi="黑体" w:eastAsia="黑体" w:cs="黑体"/>
              <w:color w:val="auto"/>
              <w:szCs w:val="28"/>
              <w:highlight w:val="none"/>
              <w:lang w:val="en-US" w:eastAsia="zh-CN"/>
            </w:rPr>
            <w:fldChar w:fldCharType="separate"/>
          </w:r>
          <w:r>
            <w:rPr>
              <w:rFonts w:hint="eastAsia" w:ascii="黑体" w:hAnsi="黑体" w:eastAsia="黑体" w:cs="黑体"/>
              <w:bCs w:val="0"/>
              <w:color w:val="auto"/>
              <w:highlight w:val="none"/>
              <w:shd w:val="clear" w:color="auto" w:fill="auto"/>
              <w:lang w:val="en-US" w:eastAsia="zh-CN"/>
            </w:rPr>
            <w:t>五、主要经验及做法、存在的问题及原因分析</w:t>
          </w:r>
          <w:r>
            <w:rPr>
              <w:rFonts w:hint="eastAsia" w:ascii="黑体" w:hAnsi="黑体" w:eastAsia="黑体" w:cs="黑体"/>
              <w:color w:val="auto"/>
              <w:highlight w:val="none"/>
            </w:rPr>
            <w:tab/>
          </w:r>
          <w:r>
            <w:rPr>
              <w:rFonts w:hint="eastAsia" w:ascii="黑体" w:hAnsi="黑体" w:eastAsia="黑体" w:cs="黑体"/>
              <w:color w:val="auto"/>
              <w:highlight w:val="none"/>
            </w:rPr>
            <w:fldChar w:fldCharType="begin"/>
          </w:r>
          <w:r>
            <w:rPr>
              <w:rFonts w:hint="eastAsia" w:ascii="黑体" w:hAnsi="黑体" w:eastAsia="黑体" w:cs="黑体"/>
              <w:color w:val="auto"/>
              <w:highlight w:val="none"/>
            </w:rPr>
            <w:instrText xml:space="preserve"> PAGEREF _Toc6622 \h </w:instrText>
          </w:r>
          <w:r>
            <w:rPr>
              <w:rFonts w:hint="eastAsia" w:ascii="黑体" w:hAnsi="黑体" w:eastAsia="黑体" w:cs="黑体"/>
              <w:color w:val="auto"/>
              <w:highlight w:val="none"/>
            </w:rPr>
            <w:fldChar w:fldCharType="separate"/>
          </w:r>
          <w:r>
            <w:rPr>
              <w:rFonts w:hint="eastAsia" w:ascii="黑体" w:hAnsi="黑体" w:eastAsia="黑体" w:cs="黑体"/>
              <w:color w:val="auto"/>
              <w:highlight w:val="none"/>
            </w:rPr>
            <w:t>27</w:t>
          </w:r>
          <w:r>
            <w:rPr>
              <w:rFonts w:hint="eastAsia" w:ascii="黑体" w:hAnsi="黑体" w:eastAsia="黑体" w:cs="黑体"/>
              <w:color w:val="auto"/>
              <w:highlight w:val="none"/>
            </w:rPr>
            <w:fldChar w:fldCharType="end"/>
          </w:r>
          <w:r>
            <w:rPr>
              <w:rFonts w:hint="eastAsia" w:ascii="黑体" w:hAnsi="黑体" w:eastAsia="黑体" w:cs="黑体"/>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_Toc15449 </w:instrText>
          </w:r>
          <w:r>
            <w:rPr>
              <w:rFonts w:hint="eastAsia"/>
              <w:color w:val="auto"/>
              <w:szCs w:val="28"/>
              <w:highlight w:val="none"/>
              <w:lang w:val="en-US" w:eastAsia="zh-CN"/>
            </w:rPr>
            <w:fldChar w:fldCharType="separate"/>
          </w:r>
          <w:r>
            <w:rPr>
              <w:rFonts w:hint="eastAsia" w:ascii="Times New Roman" w:hAnsi="Times New Roman" w:eastAsia="楷体_GB2312" w:cs="Times New Roman"/>
              <w:bCs/>
              <w:color w:val="auto"/>
              <w:kern w:val="28"/>
              <w:highlight w:val="none"/>
              <w:lang w:val="en-US" w:eastAsia="zh-CN"/>
            </w:rPr>
            <w:t>（一）主要经验及做法</w:t>
          </w:r>
          <w:r>
            <w:rPr>
              <w:color w:val="auto"/>
              <w:highlight w:val="none"/>
            </w:rPr>
            <w:tab/>
          </w:r>
          <w:r>
            <w:rPr>
              <w:color w:val="auto"/>
              <w:highlight w:val="none"/>
            </w:rPr>
            <w:fldChar w:fldCharType="begin"/>
          </w:r>
          <w:r>
            <w:rPr>
              <w:color w:val="auto"/>
              <w:highlight w:val="none"/>
            </w:rPr>
            <w:instrText xml:space="preserve"> PAGEREF _Toc15449 \h </w:instrText>
          </w:r>
          <w:r>
            <w:rPr>
              <w:color w:val="auto"/>
              <w:highlight w:val="none"/>
            </w:rPr>
            <w:fldChar w:fldCharType="separate"/>
          </w:r>
          <w:r>
            <w:rPr>
              <w:color w:val="auto"/>
              <w:highlight w:val="none"/>
            </w:rPr>
            <w:t>27</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color w:val="auto"/>
              <w:highlight w:val="none"/>
            </w:rPr>
          </w:pP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\l _Toc29168 </w:instrText>
          </w:r>
          <w:r>
            <w:rPr>
              <w:rFonts w:hint="eastAsia"/>
              <w:color w:val="auto"/>
              <w:szCs w:val="28"/>
              <w:highlight w:val="none"/>
              <w:lang w:val="en-US" w:eastAsia="zh-CN"/>
            </w:rPr>
            <w:fldChar w:fldCharType="separate"/>
          </w:r>
          <w:r>
            <w:rPr>
              <w:rFonts w:hint="eastAsia" w:ascii="Times New Roman" w:hAnsi="Times New Roman" w:eastAsia="楷体_GB2312" w:cs="Times New Roman"/>
              <w:bCs/>
              <w:color w:val="auto"/>
              <w:kern w:val="28"/>
              <w:highlight w:val="none"/>
              <w:lang w:val="en-US" w:eastAsia="zh-CN"/>
            </w:rPr>
            <w:t>（二）存在的问题及原因分析</w:t>
          </w:r>
          <w:r>
            <w:rPr>
              <w:color w:val="auto"/>
              <w:highlight w:val="none"/>
            </w:rPr>
            <w:tab/>
          </w:r>
          <w:r>
            <w:rPr>
              <w:color w:val="auto"/>
              <w:highlight w:val="none"/>
            </w:rPr>
            <w:fldChar w:fldCharType="begin"/>
          </w:r>
          <w:r>
            <w:rPr>
              <w:color w:val="auto"/>
              <w:highlight w:val="none"/>
            </w:rPr>
            <w:instrText xml:space="preserve"> PAGEREF _Toc29168 \h </w:instrText>
          </w:r>
          <w:r>
            <w:rPr>
              <w:color w:val="auto"/>
              <w:highlight w:val="none"/>
            </w:rPr>
            <w:fldChar w:fldCharType="separate"/>
          </w:r>
          <w:r>
            <w:rPr>
              <w:color w:val="auto"/>
              <w:highlight w:val="none"/>
            </w:rPr>
            <w:t>28</w:t>
          </w:r>
          <w:r>
            <w:rPr>
              <w:color w:val="auto"/>
              <w:highlight w:val="none"/>
            </w:rPr>
            <w:fldChar w:fldCharType="end"/>
          </w:r>
          <w:r>
            <w:rPr>
              <w:rFonts w:hint="eastAsia"/>
              <w:color w:val="auto"/>
              <w:szCs w:val="28"/>
              <w:highlight w:val="none"/>
              <w:lang w:val="en-US" w:eastAsia="zh-CN"/>
            </w:rPr>
            <w:fldChar w:fldCharType="end"/>
          </w:r>
        </w:p>
        <w:p>
          <w:pPr>
            <w:pStyle w:val="12"/>
            <w:shd w:val="clear"/>
            <w:tabs>
              <w:tab w:val="right" w:leader="dot" w:pos="8844"/>
            </w:tabs>
            <w:rPr>
              <w:rFonts w:hint="eastAsia" w:ascii="黑体" w:hAnsi="黑体" w:eastAsia="黑体" w:cs="黑体"/>
              <w:color w:val="auto"/>
              <w:highlight w:val="none"/>
            </w:rPr>
          </w:pPr>
          <w:r>
            <w:rPr>
              <w:rFonts w:hint="eastAsia" w:ascii="黑体" w:hAnsi="黑体" w:eastAsia="黑体" w:cs="黑体"/>
              <w:color w:val="auto"/>
              <w:szCs w:val="28"/>
              <w:highlight w:val="none"/>
              <w:lang w:val="en-US" w:eastAsia="zh-CN"/>
            </w:rPr>
            <w:fldChar w:fldCharType="begin"/>
          </w:r>
          <w:r>
            <w:rPr>
              <w:rFonts w:hint="eastAsia" w:ascii="黑体" w:hAnsi="黑体" w:eastAsia="黑体" w:cs="黑体"/>
              <w:color w:val="auto"/>
              <w:szCs w:val="28"/>
              <w:highlight w:val="none"/>
              <w:lang w:val="en-US" w:eastAsia="zh-CN"/>
            </w:rPr>
            <w:instrText xml:space="preserve"> HYPERLINK \l _Toc3333 </w:instrText>
          </w:r>
          <w:r>
            <w:rPr>
              <w:rFonts w:hint="eastAsia" w:ascii="黑体" w:hAnsi="黑体" w:eastAsia="黑体" w:cs="黑体"/>
              <w:color w:val="auto"/>
              <w:szCs w:val="28"/>
              <w:highlight w:val="none"/>
              <w:lang w:val="en-US" w:eastAsia="zh-CN"/>
            </w:rPr>
            <w:fldChar w:fldCharType="separate"/>
          </w:r>
          <w:r>
            <w:rPr>
              <w:rFonts w:hint="eastAsia" w:ascii="黑体" w:hAnsi="黑体" w:eastAsia="黑体" w:cs="黑体"/>
              <w:bCs w:val="0"/>
              <w:color w:val="auto"/>
              <w:highlight w:val="none"/>
              <w:shd w:val="clear" w:color="auto" w:fill="auto"/>
              <w:lang w:val="en-US" w:eastAsia="zh-CN"/>
            </w:rPr>
            <w:t>六、有关建议</w:t>
          </w:r>
          <w:r>
            <w:rPr>
              <w:rFonts w:hint="eastAsia" w:ascii="黑体" w:hAnsi="黑体" w:eastAsia="黑体" w:cs="黑体"/>
              <w:color w:val="auto"/>
              <w:highlight w:val="none"/>
            </w:rPr>
            <w:tab/>
          </w:r>
          <w:r>
            <w:rPr>
              <w:rFonts w:hint="eastAsia" w:ascii="黑体" w:hAnsi="黑体" w:eastAsia="黑体" w:cs="黑体"/>
              <w:color w:val="auto"/>
              <w:highlight w:val="none"/>
            </w:rPr>
            <w:fldChar w:fldCharType="begin"/>
          </w:r>
          <w:r>
            <w:rPr>
              <w:rFonts w:hint="eastAsia" w:ascii="黑体" w:hAnsi="黑体" w:eastAsia="黑体" w:cs="黑体"/>
              <w:color w:val="auto"/>
              <w:highlight w:val="none"/>
            </w:rPr>
            <w:instrText xml:space="preserve"> PAGEREF _Toc3333 \h </w:instrText>
          </w:r>
          <w:r>
            <w:rPr>
              <w:rFonts w:hint="eastAsia" w:ascii="黑体" w:hAnsi="黑体" w:eastAsia="黑体" w:cs="黑体"/>
              <w:color w:val="auto"/>
              <w:highlight w:val="none"/>
            </w:rPr>
            <w:fldChar w:fldCharType="separate"/>
          </w:r>
          <w:r>
            <w:rPr>
              <w:rFonts w:hint="eastAsia" w:ascii="黑体" w:hAnsi="黑体" w:eastAsia="黑体" w:cs="黑体"/>
              <w:color w:val="auto"/>
              <w:highlight w:val="none"/>
            </w:rPr>
            <w:t>28</w:t>
          </w:r>
          <w:r>
            <w:rPr>
              <w:rFonts w:hint="eastAsia" w:ascii="黑体" w:hAnsi="黑体" w:eastAsia="黑体" w:cs="黑体"/>
              <w:color w:val="auto"/>
              <w:highlight w:val="none"/>
            </w:rPr>
            <w:fldChar w:fldCharType="end"/>
          </w:r>
          <w:r>
            <w:rPr>
              <w:rFonts w:hint="eastAsia" w:ascii="黑体" w:hAnsi="黑体" w:eastAsia="黑体" w:cs="黑体"/>
              <w:color w:val="auto"/>
              <w:szCs w:val="28"/>
              <w:highlight w:val="none"/>
              <w:lang w:val="en-US" w:eastAsia="zh-CN"/>
            </w:rPr>
            <w:fldChar w:fldCharType="end"/>
          </w:r>
        </w:p>
        <w:p>
          <w:pPr>
            <w:pStyle w:val="12"/>
            <w:shd w:val="clear"/>
            <w:tabs>
              <w:tab w:val="right" w:leader="dot" w:pos="8844"/>
            </w:tabs>
            <w:rPr>
              <w:rFonts w:hint="eastAsia" w:ascii="黑体" w:hAnsi="黑体" w:eastAsia="黑体" w:cs="黑体"/>
              <w:color w:val="auto"/>
              <w:highlight w:val="none"/>
            </w:rPr>
          </w:pPr>
          <w:r>
            <w:rPr>
              <w:rFonts w:hint="eastAsia" w:ascii="黑体" w:hAnsi="黑体" w:eastAsia="黑体" w:cs="黑体"/>
              <w:color w:val="auto"/>
              <w:szCs w:val="28"/>
              <w:highlight w:val="none"/>
              <w:lang w:val="en-US" w:eastAsia="zh-CN"/>
            </w:rPr>
            <w:fldChar w:fldCharType="begin"/>
          </w:r>
          <w:r>
            <w:rPr>
              <w:rFonts w:hint="eastAsia" w:ascii="黑体" w:hAnsi="黑体" w:eastAsia="黑体" w:cs="黑体"/>
              <w:color w:val="auto"/>
              <w:szCs w:val="28"/>
              <w:highlight w:val="none"/>
              <w:lang w:val="en-US" w:eastAsia="zh-CN"/>
            </w:rPr>
            <w:instrText xml:space="preserve"> HYPERLINK \l _Toc14256 </w:instrText>
          </w:r>
          <w:r>
            <w:rPr>
              <w:rFonts w:hint="eastAsia" w:ascii="黑体" w:hAnsi="黑体" w:eastAsia="黑体" w:cs="黑体"/>
              <w:color w:val="auto"/>
              <w:szCs w:val="28"/>
              <w:highlight w:val="none"/>
              <w:lang w:val="en-US" w:eastAsia="zh-CN"/>
            </w:rPr>
            <w:fldChar w:fldCharType="separate"/>
          </w:r>
          <w:r>
            <w:rPr>
              <w:rFonts w:hint="eastAsia" w:ascii="黑体" w:hAnsi="黑体" w:eastAsia="黑体" w:cs="黑体"/>
              <w:bCs w:val="0"/>
              <w:color w:val="auto"/>
              <w:highlight w:val="none"/>
              <w:shd w:val="clear" w:color="auto" w:fill="auto"/>
              <w:lang w:val="en-US" w:eastAsia="zh-CN"/>
            </w:rPr>
            <w:t>七、其他需要说明的问题</w:t>
          </w:r>
          <w:r>
            <w:rPr>
              <w:rFonts w:hint="eastAsia" w:ascii="黑体" w:hAnsi="黑体" w:eastAsia="黑体" w:cs="黑体"/>
              <w:color w:val="auto"/>
              <w:highlight w:val="none"/>
            </w:rPr>
            <w:tab/>
          </w:r>
          <w:r>
            <w:rPr>
              <w:rFonts w:hint="eastAsia" w:ascii="黑体" w:hAnsi="黑体" w:eastAsia="黑体" w:cs="黑体"/>
              <w:color w:val="auto"/>
              <w:highlight w:val="none"/>
            </w:rPr>
            <w:fldChar w:fldCharType="begin"/>
          </w:r>
          <w:r>
            <w:rPr>
              <w:rFonts w:hint="eastAsia" w:ascii="黑体" w:hAnsi="黑体" w:eastAsia="黑体" w:cs="黑体"/>
              <w:color w:val="auto"/>
              <w:highlight w:val="none"/>
            </w:rPr>
            <w:instrText xml:space="preserve"> PAGEREF _Toc14256 \h </w:instrText>
          </w:r>
          <w:r>
            <w:rPr>
              <w:rFonts w:hint="eastAsia" w:ascii="黑体" w:hAnsi="黑体" w:eastAsia="黑体" w:cs="黑体"/>
              <w:color w:val="auto"/>
              <w:highlight w:val="none"/>
            </w:rPr>
            <w:fldChar w:fldCharType="separate"/>
          </w:r>
          <w:r>
            <w:rPr>
              <w:rFonts w:hint="eastAsia" w:ascii="黑体" w:hAnsi="黑体" w:eastAsia="黑体" w:cs="黑体"/>
              <w:color w:val="auto"/>
              <w:highlight w:val="none"/>
            </w:rPr>
            <w:t>29</w:t>
          </w:r>
          <w:r>
            <w:rPr>
              <w:rFonts w:hint="eastAsia" w:ascii="黑体" w:hAnsi="黑体" w:eastAsia="黑体" w:cs="黑体"/>
              <w:color w:val="auto"/>
              <w:highlight w:val="none"/>
            </w:rPr>
            <w:fldChar w:fldCharType="end"/>
          </w:r>
          <w:r>
            <w:rPr>
              <w:rFonts w:hint="eastAsia" w:ascii="黑体" w:hAnsi="黑体" w:eastAsia="黑体" w:cs="黑体"/>
              <w:color w:val="auto"/>
              <w:szCs w:val="28"/>
              <w:highlight w:val="none"/>
              <w:lang w:val="en-US" w:eastAsia="zh-CN"/>
            </w:rPr>
            <w:fldChar w:fldCharType="end"/>
          </w:r>
        </w:p>
        <w:p>
          <w:pPr>
            <w:pStyle w:val="12"/>
            <w:shd w:val="clear"/>
            <w:tabs>
              <w:tab w:val="right" w:leader="dot" w:pos="8844"/>
            </w:tabs>
            <w:rPr>
              <w:rFonts w:hint="eastAsia" w:ascii="黑体" w:hAnsi="黑体" w:eastAsia="黑体" w:cs="黑体"/>
              <w:color w:val="auto"/>
              <w:highlight w:val="none"/>
            </w:rPr>
          </w:pPr>
          <w:r>
            <w:rPr>
              <w:rFonts w:hint="eastAsia" w:ascii="黑体" w:hAnsi="黑体" w:eastAsia="黑体" w:cs="黑体"/>
              <w:color w:val="auto"/>
              <w:szCs w:val="28"/>
              <w:highlight w:val="none"/>
              <w:lang w:val="en-US" w:eastAsia="zh-CN"/>
            </w:rPr>
            <w:fldChar w:fldCharType="begin"/>
          </w:r>
          <w:r>
            <w:rPr>
              <w:rFonts w:hint="eastAsia" w:ascii="黑体" w:hAnsi="黑体" w:eastAsia="黑体" w:cs="黑体"/>
              <w:color w:val="auto"/>
              <w:szCs w:val="28"/>
              <w:highlight w:val="none"/>
              <w:lang w:val="en-US" w:eastAsia="zh-CN"/>
            </w:rPr>
            <w:instrText xml:space="preserve"> HYPERLINK \l _Toc28971 </w:instrText>
          </w:r>
          <w:r>
            <w:rPr>
              <w:rFonts w:hint="eastAsia" w:ascii="黑体" w:hAnsi="黑体" w:eastAsia="黑体" w:cs="黑体"/>
              <w:color w:val="auto"/>
              <w:szCs w:val="28"/>
              <w:highlight w:val="none"/>
              <w:lang w:val="en-US" w:eastAsia="zh-CN"/>
            </w:rPr>
            <w:fldChar w:fldCharType="separate"/>
          </w:r>
          <w:r>
            <w:rPr>
              <w:rFonts w:hint="eastAsia" w:ascii="黑体" w:hAnsi="黑体" w:eastAsia="黑体" w:cs="黑体"/>
              <w:bCs/>
              <w:color w:val="auto"/>
              <w:highlight w:val="none"/>
              <w:shd w:val="clear" w:color="auto" w:fill="auto"/>
              <w:lang w:val="en-US" w:eastAsia="zh-CN"/>
            </w:rPr>
            <w:t>附件一、项目支出绩效自评表</w:t>
          </w:r>
          <w:r>
            <w:rPr>
              <w:rFonts w:hint="eastAsia" w:ascii="黑体" w:hAnsi="黑体" w:eastAsia="黑体" w:cs="黑体"/>
              <w:color w:val="auto"/>
              <w:highlight w:val="none"/>
            </w:rPr>
            <w:tab/>
          </w:r>
          <w:r>
            <w:rPr>
              <w:rFonts w:hint="eastAsia" w:ascii="黑体" w:hAnsi="黑体" w:eastAsia="黑体" w:cs="黑体"/>
              <w:color w:val="auto"/>
              <w:highlight w:val="none"/>
            </w:rPr>
            <w:fldChar w:fldCharType="begin"/>
          </w:r>
          <w:r>
            <w:rPr>
              <w:rFonts w:hint="eastAsia" w:ascii="黑体" w:hAnsi="黑体" w:eastAsia="黑体" w:cs="黑体"/>
              <w:color w:val="auto"/>
              <w:highlight w:val="none"/>
            </w:rPr>
            <w:instrText xml:space="preserve"> PAGEREF _Toc28971 \h </w:instrText>
          </w:r>
          <w:r>
            <w:rPr>
              <w:rFonts w:hint="eastAsia" w:ascii="黑体" w:hAnsi="黑体" w:eastAsia="黑体" w:cs="黑体"/>
              <w:color w:val="auto"/>
              <w:highlight w:val="none"/>
            </w:rPr>
            <w:fldChar w:fldCharType="separate"/>
          </w:r>
          <w:r>
            <w:rPr>
              <w:rFonts w:hint="eastAsia" w:ascii="黑体" w:hAnsi="黑体" w:eastAsia="黑体" w:cs="黑体"/>
              <w:color w:val="auto"/>
              <w:highlight w:val="none"/>
            </w:rPr>
            <w:t>30</w:t>
          </w:r>
          <w:r>
            <w:rPr>
              <w:rFonts w:hint="eastAsia" w:ascii="黑体" w:hAnsi="黑体" w:eastAsia="黑体" w:cs="黑体"/>
              <w:color w:val="auto"/>
              <w:highlight w:val="none"/>
            </w:rPr>
            <w:fldChar w:fldCharType="end"/>
          </w:r>
          <w:r>
            <w:rPr>
              <w:rFonts w:hint="eastAsia" w:ascii="黑体" w:hAnsi="黑体" w:eastAsia="黑体" w:cs="黑体"/>
              <w:color w:val="auto"/>
              <w:szCs w:val="28"/>
              <w:highlight w:val="none"/>
              <w:lang w:val="en-US" w:eastAsia="zh-CN"/>
            </w:rPr>
            <w:fldChar w:fldCharType="end"/>
          </w:r>
        </w:p>
        <w:p>
          <w:pPr>
            <w:pStyle w:val="12"/>
            <w:shd w:val="clear"/>
            <w:tabs>
              <w:tab w:val="right" w:leader="dot" w:pos="8844"/>
            </w:tabs>
            <w:rPr>
              <w:rFonts w:hint="eastAsia" w:ascii="黑体" w:hAnsi="黑体" w:eastAsia="黑体" w:cs="黑体"/>
              <w:color w:val="auto"/>
              <w:highlight w:val="none"/>
            </w:rPr>
          </w:pPr>
          <w:r>
            <w:rPr>
              <w:rFonts w:hint="eastAsia" w:ascii="黑体" w:hAnsi="黑体" w:eastAsia="黑体" w:cs="黑体"/>
              <w:color w:val="auto"/>
              <w:szCs w:val="28"/>
              <w:highlight w:val="none"/>
              <w:lang w:val="en-US" w:eastAsia="zh-CN"/>
            </w:rPr>
            <w:fldChar w:fldCharType="begin"/>
          </w:r>
          <w:r>
            <w:rPr>
              <w:rFonts w:hint="eastAsia" w:ascii="黑体" w:hAnsi="黑体" w:eastAsia="黑体" w:cs="黑体"/>
              <w:color w:val="auto"/>
              <w:szCs w:val="28"/>
              <w:highlight w:val="none"/>
              <w:lang w:val="en-US" w:eastAsia="zh-CN"/>
            </w:rPr>
            <w:instrText xml:space="preserve"> HYPERLINK \l _Toc11223 </w:instrText>
          </w:r>
          <w:r>
            <w:rPr>
              <w:rFonts w:hint="eastAsia" w:ascii="黑体" w:hAnsi="黑体" w:eastAsia="黑体" w:cs="黑体"/>
              <w:color w:val="auto"/>
              <w:szCs w:val="28"/>
              <w:highlight w:val="none"/>
              <w:lang w:val="en-US" w:eastAsia="zh-CN"/>
            </w:rPr>
            <w:fldChar w:fldCharType="separate"/>
          </w:r>
          <w:r>
            <w:rPr>
              <w:rFonts w:hint="eastAsia" w:ascii="黑体" w:hAnsi="黑体" w:eastAsia="黑体" w:cs="黑体"/>
              <w:bCs/>
              <w:color w:val="auto"/>
              <w:highlight w:val="none"/>
              <w:shd w:val="clear" w:color="auto" w:fill="auto"/>
              <w:lang w:val="en-US" w:eastAsia="zh-CN"/>
            </w:rPr>
            <w:t>附件二、项目支出绩效评价指标体系打分表</w:t>
          </w:r>
          <w:r>
            <w:rPr>
              <w:rFonts w:hint="eastAsia" w:ascii="黑体" w:hAnsi="黑体" w:eastAsia="黑体" w:cs="黑体"/>
              <w:color w:val="auto"/>
              <w:highlight w:val="none"/>
            </w:rPr>
            <w:tab/>
          </w:r>
          <w:r>
            <w:rPr>
              <w:rFonts w:hint="eastAsia" w:ascii="黑体" w:hAnsi="黑体" w:eastAsia="黑体" w:cs="黑体"/>
              <w:color w:val="auto"/>
              <w:highlight w:val="none"/>
            </w:rPr>
            <w:fldChar w:fldCharType="begin"/>
          </w:r>
          <w:r>
            <w:rPr>
              <w:rFonts w:hint="eastAsia" w:ascii="黑体" w:hAnsi="黑体" w:eastAsia="黑体" w:cs="黑体"/>
              <w:color w:val="auto"/>
              <w:highlight w:val="none"/>
            </w:rPr>
            <w:instrText xml:space="preserve"> PAGEREF _Toc11223 \h </w:instrText>
          </w:r>
          <w:r>
            <w:rPr>
              <w:rFonts w:hint="eastAsia" w:ascii="黑体" w:hAnsi="黑体" w:eastAsia="黑体" w:cs="黑体"/>
              <w:color w:val="auto"/>
              <w:highlight w:val="none"/>
            </w:rPr>
            <w:fldChar w:fldCharType="separate"/>
          </w:r>
          <w:r>
            <w:rPr>
              <w:rFonts w:hint="eastAsia" w:ascii="黑体" w:hAnsi="黑体" w:eastAsia="黑体" w:cs="黑体"/>
              <w:color w:val="auto"/>
              <w:highlight w:val="none"/>
            </w:rPr>
            <w:t>34</w:t>
          </w:r>
          <w:r>
            <w:rPr>
              <w:rFonts w:hint="eastAsia" w:ascii="黑体" w:hAnsi="黑体" w:eastAsia="黑体" w:cs="黑体"/>
              <w:color w:val="auto"/>
              <w:highlight w:val="none"/>
            </w:rPr>
            <w:fldChar w:fldCharType="end"/>
          </w:r>
          <w:r>
            <w:rPr>
              <w:rFonts w:hint="eastAsia" w:ascii="黑体" w:hAnsi="黑体" w:eastAsia="黑体" w:cs="黑体"/>
              <w:color w:val="auto"/>
              <w:szCs w:val="28"/>
              <w:highlight w:val="none"/>
              <w:lang w:val="en-US" w:eastAsia="zh-CN"/>
            </w:rPr>
            <w:fldChar w:fldCharType="end"/>
          </w:r>
        </w:p>
        <w:p>
          <w:pPr>
            <w:keepNext w:val="0"/>
            <w:keepLines w:val="0"/>
            <w:pageBreakBefore w:val="0"/>
            <w:shd w:val="clear"/>
            <w:kinsoku/>
            <w:wordWrap/>
            <w:overflowPunct/>
            <w:topLinePunct w:val="0"/>
            <w:autoSpaceDE/>
            <w:autoSpaceDN/>
            <w:bidi w:val="0"/>
            <w:adjustRightInd/>
            <w:snapToGrid/>
            <w:spacing w:line="56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auto"/>
          <w:highlight w:val="none"/>
          <w:shd w:val="clear" w:color="auto" w:fill="auto"/>
        </w:rPr>
      </w:pPr>
      <w:bookmarkStart w:id="4" w:name="_Toc22946"/>
      <w:bookmarkStart w:id="5" w:name="_Toc1194"/>
      <w:bookmarkStart w:id="6" w:name="_Toc20432"/>
      <w:bookmarkStart w:id="7" w:name="_Toc3663"/>
      <w:r>
        <w:rPr>
          <w:rFonts w:hint="eastAsia" w:cs="宋体"/>
          <w:b/>
          <w:bCs/>
          <w:color w:val="auto"/>
          <w:sz w:val="36"/>
          <w:szCs w:val="36"/>
          <w:highlight w:val="none"/>
          <w:shd w:val="clear" w:color="auto" w:fill="auto"/>
          <w:lang w:val="en-US" w:eastAsia="zh-CN"/>
        </w:rPr>
        <w:t>草原生态保护补助奖励项目</w:t>
      </w:r>
      <w:r>
        <w:rPr>
          <w:rFonts w:hint="eastAsia" w:ascii="宋体" w:hAnsi="宋体" w:eastAsia="宋体" w:cs="宋体"/>
          <w:b/>
          <w:bCs/>
          <w:color w:val="auto"/>
          <w:sz w:val="36"/>
          <w:szCs w:val="36"/>
          <w:highlight w:val="none"/>
          <w:shd w:val="clear" w:color="auto" w:fill="auto"/>
        </w:rPr>
        <w:t>支出绩效评价报告</w:t>
      </w:r>
      <w:bookmarkEnd w:id="4"/>
      <w:bookmarkEnd w:id="5"/>
      <w:bookmarkEnd w:id="6"/>
      <w:bookmarkEnd w:id="7"/>
    </w:p>
    <w:p>
      <w:pPr>
        <w:pStyle w:val="3"/>
        <w:pageBreakBefore w:val="0"/>
        <w:kinsoku/>
        <w:wordWrap/>
        <w:overflowPunct/>
        <w:topLinePunct w:val="0"/>
        <w:autoSpaceDE/>
        <w:autoSpaceDN/>
        <w:bidi w:val="0"/>
        <w:adjustRightInd/>
        <w:snapToGrid/>
        <w:spacing w:beforeLines="0" w:afterLines="0" w:line="560" w:lineRule="exact"/>
        <w:textAlignment w:val="auto"/>
        <w:rPr>
          <w:rFonts w:hint="eastAsia" w:ascii="黑体" w:hAnsi="黑体" w:eastAsia="黑体" w:cs="黑体"/>
          <w:b w:val="0"/>
          <w:bCs w:val="0"/>
          <w:color w:val="auto"/>
          <w:highlight w:val="none"/>
          <w:shd w:val="clear" w:color="auto" w:fill="auto"/>
        </w:rPr>
      </w:pPr>
      <w:bookmarkStart w:id="8" w:name="_Toc18485"/>
    </w:p>
    <w:p>
      <w:pPr>
        <w:pStyle w:val="3"/>
        <w:pageBreakBefore w:val="0"/>
        <w:kinsoku/>
        <w:wordWrap/>
        <w:overflowPunct/>
        <w:topLinePunct w:val="0"/>
        <w:autoSpaceDE/>
        <w:autoSpaceDN/>
        <w:bidi w:val="0"/>
        <w:adjustRightInd/>
        <w:snapToGrid/>
        <w:spacing w:beforeLines="0" w:afterLines="0" w:line="560" w:lineRule="exact"/>
        <w:textAlignment w:val="auto"/>
        <w:rPr>
          <w:rFonts w:hint="eastAsia" w:ascii="黑体" w:hAnsi="黑体" w:eastAsia="黑体" w:cs="黑体"/>
          <w:b w:val="0"/>
          <w:bCs w:val="0"/>
          <w:color w:val="auto"/>
          <w:highlight w:val="none"/>
          <w:shd w:val="clear" w:color="auto" w:fill="auto"/>
        </w:rPr>
      </w:pPr>
      <w:r>
        <w:rPr>
          <w:rFonts w:hint="eastAsia" w:ascii="黑体" w:hAnsi="黑体" w:eastAsia="黑体" w:cs="黑体"/>
          <w:b w:val="0"/>
          <w:bCs w:val="0"/>
          <w:color w:val="auto"/>
          <w:highlight w:val="none"/>
          <w:shd w:val="clear" w:color="auto" w:fill="auto"/>
        </w:rPr>
        <w:t>一、基本情况</w:t>
      </w:r>
      <w:bookmarkEnd w:id="8"/>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9" w:name="_Toc23184"/>
      <w:r>
        <w:rPr>
          <w:rFonts w:hint="eastAsia" w:ascii="Times New Roman" w:hAnsi="Times New Roman" w:eastAsia="楷体_GB2312" w:cs="Times New Roman"/>
          <w:color w:val="auto"/>
          <w:kern w:val="28"/>
          <w:sz w:val="32"/>
          <w:highlight w:val="none"/>
          <w:lang w:val="en-US" w:eastAsia="zh-CN"/>
        </w:rPr>
        <w:t>（一）项目概况</w:t>
      </w:r>
      <w:bookmarkEnd w:id="9"/>
    </w:p>
    <w:p>
      <w:pPr>
        <w:pStyle w:val="4"/>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bookmarkStart w:id="10" w:name="_Toc22346"/>
      <w:bookmarkStart w:id="11" w:name="_Toc5043"/>
      <w:bookmarkStart w:id="12" w:name="_Toc10645"/>
      <w:bookmarkStart w:id="13" w:name="_Toc29812"/>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rPr>
        <w:t>项目背景</w:t>
      </w:r>
      <w:bookmarkEnd w:id="10"/>
      <w:bookmarkEnd w:id="11"/>
      <w:bookmarkEnd w:id="12"/>
      <w:bookmarkEnd w:id="13"/>
    </w:p>
    <w:p>
      <w:pPr>
        <w:pStyle w:val="2"/>
        <w:pageBreakBefore w:val="0"/>
        <w:kinsoku/>
        <w:wordWrap/>
        <w:overflowPunct/>
        <w:topLinePunct w:val="0"/>
        <w:bidi w:val="0"/>
        <w:snapToGrid/>
        <w:spacing w:before="0" w:beforeLines="0" w:after="0" w:afterLines="0" w:line="520" w:lineRule="exact"/>
        <w:ind w:firstLine="64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十四五”期间，国家启动实施第三轮草原补奖政策，是贯彻习近平生态文明思想，统筹我国经济社会发展全局作出的重大决策；是坚持以人民为中心的发展思想，促进人与自然和谐共生的具体体现；是统筹推进草原生态保护、农牧民生活改善、草牧业生产转型和可持续发展，实现牧区生产生态互促共赢的重要举措我市要从加快建设生态文明、</w:t>
      </w:r>
      <w:bookmarkStart w:id="158" w:name="_GoBack"/>
      <w:bookmarkEnd w:id="158"/>
      <w:r>
        <w:rPr>
          <w:rFonts w:hint="eastAsia" w:ascii="仿宋_GB2312" w:hAnsi="仿宋_GB2312" w:eastAsia="仿宋_GB2312" w:cs="仿宋_GB2312"/>
          <w:b w:val="0"/>
          <w:bCs w:val="0"/>
          <w:color w:val="auto"/>
          <w:kern w:val="0"/>
          <w:sz w:val="32"/>
          <w:szCs w:val="32"/>
          <w:highlight w:val="none"/>
          <w:lang w:val="en-US" w:eastAsia="zh-CN"/>
        </w:rPr>
        <w:t>巩固拓展脱贫攻坚成果与乡村振兴有效衔接、维护民族团结和边疆稳定的战略高度出发，深刻认识实施第三轮草原补奖政策的重要性和必要性，精心组织，周密部署，加强协作，务必把落实好这项政策作为重大任务抓好抓实、抓出成效。</w:t>
      </w:r>
    </w:p>
    <w:p>
      <w:pPr>
        <w:pStyle w:val="4"/>
        <w:pageBreakBefore w:val="0"/>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color w:val="auto"/>
          <w:sz w:val="32"/>
          <w:szCs w:val="32"/>
          <w:highlight w:val="none"/>
          <w:shd w:val="clear" w:color="auto" w:fill="auto"/>
        </w:rPr>
      </w:pPr>
      <w:bookmarkStart w:id="14" w:name="_Toc10730"/>
      <w:bookmarkStart w:id="15" w:name="_Toc27343"/>
      <w:bookmarkStart w:id="16" w:name="_Toc17880"/>
      <w:bookmarkStart w:id="17" w:name="_Toc1630"/>
      <w:r>
        <w:rPr>
          <w:rFonts w:hint="eastAsia" w:ascii="仿宋_GB2312" w:hAnsi="仿宋_GB2312" w:eastAsia="仿宋_GB2312" w:cs="仿宋_GB2312"/>
          <w:color w:val="auto"/>
          <w:sz w:val="32"/>
          <w:szCs w:val="32"/>
          <w:highlight w:val="none"/>
          <w:shd w:val="clear" w:color="auto" w:fill="auto"/>
          <w:lang w:val="en-US" w:eastAsia="zh-CN"/>
        </w:rPr>
        <w:t>2.</w:t>
      </w:r>
      <w:r>
        <w:rPr>
          <w:rFonts w:hint="eastAsia" w:ascii="仿宋_GB2312" w:hAnsi="仿宋_GB2312" w:eastAsia="仿宋_GB2312" w:cs="仿宋_GB2312"/>
          <w:color w:val="auto"/>
          <w:sz w:val="32"/>
          <w:szCs w:val="32"/>
          <w:highlight w:val="none"/>
          <w:shd w:val="clear" w:color="auto" w:fill="auto"/>
        </w:rPr>
        <w:t>主要内容及实施情况</w:t>
      </w:r>
      <w:bookmarkEnd w:id="14"/>
      <w:bookmarkEnd w:id="15"/>
      <w:bookmarkEnd w:id="16"/>
      <w:bookmarkEnd w:id="17"/>
    </w:p>
    <w:p>
      <w:pPr>
        <w:keepNext w:val="0"/>
        <w:keepLines w:val="0"/>
        <w:pageBreakBefore w:val="0"/>
        <w:widowControl/>
        <w:kinsoku/>
        <w:wordWrap/>
        <w:overflowPunct/>
        <w:topLinePunct w:val="0"/>
        <w:autoSpaceDE/>
        <w:autoSpaceDN/>
        <w:bidi w:val="0"/>
        <w:adjustRightInd/>
        <w:snapToGrid/>
        <w:spacing w:line="560" w:lineRule="exact"/>
        <w:ind w:firstLine="800" w:firstLineChars="250"/>
        <w:jc w:val="left"/>
        <w:textAlignment w:val="auto"/>
        <w:rPr>
          <w:rFonts w:hint="eastAsia" w:ascii="仿宋_GB2312" w:hAnsi="仿宋_GB2312" w:eastAsia="仿宋_GB2312" w:cs="仿宋_GB2312"/>
          <w:color w:val="auto"/>
          <w:kern w:val="0"/>
          <w:sz w:val="32"/>
          <w:szCs w:val="32"/>
          <w:highlight w:val="none"/>
        </w:rPr>
      </w:pPr>
      <w:bookmarkStart w:id="18" w:name="_Toc16592"/>
      <w:bookmarkStart w:id="19" w:name="_Toc27409"/>
      <w:bookmarkStart w:id="20" w:name="_Toc21898"/>
      <w:bookmarkStart w:id="21" w:name="_Toc27245"/>
      <w:r>
        <w:rPr>
          <w:rFonts w:hint="eastAsia" w:ascii="仿宋_GB2312" w:hAnsi="仿宋_GB2312" w:eastAsia="仿宋_GB2312" w:cs="仿宋_GB2312"/>
          <w:color w:val="auto"/>
          <w:sz w:val="32"/>
          <w:szCs w:val="32"/>
          <w:highlight w:val="none"/>
          <w:shd w:val="clear" w:color="auto" w:fill="auto"/>
          <w:lang w:val="en-US" w:eastAsia="zh-CN"/>
        </w:rPr>
        <w:t>项目主要内容：</w:t>
      </w:r>
      <w:r>
        <w:rPr>
          <w:rFonts w:hint="eastAsia" w:ascii="仿宋_GB2312" w:hAnsi="仿宋_GB2312" w:eastAsia="仿宋_GB2312" w:cs="仿宋_GB2312"/>
          <w:color w:val="auto"/>
          <w:kern w:val="0"/>
          <w:sz w:val="32"/>
          <w:szCs w:val="32"/>
          <w:highlight w:val="none"/>
        </w:rPr>
        <w:t>阜康市所辖7个乡镇，其中纯牧业乡镇3个，半农半牧乡镇2个，共有牧业村11个。全市2009年末在册牧民3298户12651人。</w:t>
      </w:r>
    </w:p>
    <w:p>
      <w:pPr>
        <w:keepNext w:val="0"/>
        <w:keepLines w:val="0"/>
        <w:pageBreakBefore w:val="0"/>
        <w:widowControl/>
        <w:kinsoku/>
        <w:wordWrap/>
        <w:overflowPunct/>
        <w:topLinePunct w:val="0"/>
        <w:autoSpaceDE/>
        <w:autoSpaceDN/>
        <w:bidi w:val="0"/>
        <w:adjustRightInd/>
        <w:snapToGrid/>
        <w:spacing w:line="560" w:lineRule="exact"/>
        <w:ind w:firstLine="800" w:firstLineChars="25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阜康市2024年草原生态保护补助奖励共涉及5个乡镇11个村3315户01785人，总面积653.15万亩；其中：禁牧草原327.91万亩（一般性禁牧288.35万亩，水源涵养区草原禁牧39.56万亩），实施草畜平衡区域面积325.24万亩，共应发放补助奖励资金约</w:t>
      </w:r>
      <w:r>
        <w:rPr>
          <w:rFonts w:hint="eastAsia" w:ascii="仿宋_GB2312" w:hAnsi="仿宋_GB2312" w:eastAsia="仿宋_GB2312" w:cs="仿宋_GB2312"/>
          <w:color w:val="auto"/>
          <w:sz w:val="32"/>
          <w:szCs w:val="32"/>
          <w:highlight w:val="none"/>
          <w:shd w:val="clear" w:color="auto" w:fill="auto"/>
          <w:lang w:val="en-US" w:eastAsia="zh-CN"/>
        </w:rPr>
        <w:t>4521.37</w:t>
      </w:r>
      <w:r>
        <w:rPr>
          <w:rFonts w:hint="eastAsia" w:ascii="仿宋_GB2312" w:hAnsi="仿宋_GB2312" w:eastAsia="仿宋_GB2312" w:cs="仿宋_GB2312"/>
          <w:color w:val="auto"/>
          <w:kern w:val="0"/>
          <w:sz w:val="32"/>
          <w:szCs w:val="32"/>
          <w:highlight w:val="none"/>
          <w:lang w:val="en-US" w:eastAsia="zh-CN"/>
        </w:rPr>
        <w:t>万元、实发资金实际发放资金</w:t>
      </w:r>
      <w:r>
        <w:rPr>
          <w:rFonts w:hint="eastAsia" w:ascii="仿宋_GB2312" w:hAnsi="仿宋_GB2312" w:eastAsia="仿宋_GB2312" w:cs="仿宋_GB2312"/>
          <w:bCs/>
          <w:color w:val="auto"/>
          <w:sz w:val="32"/>
          <w:szCs w:val="32"/>
          <w:highlight w:val="none"/>
          <w:lang w:val="en-US" w:eastAsia="zh-CN"/>
        </w:rPr>
        <w:t>4519.037573</w:t>
      </w:r>
      <w:r>
        <w:rPr>
          <w:rFonts w:hint="eastAsia" w:ascii="仿宋_GB2312" w:hAnsi="仿宋_GB2312" w:eastAsia="仿宋_GB2312" w:cs="仿宋_GB2312"/>
          <w:color w:val="auto"/>
          <w:kern w:val="0"/>
          <w:sz w:val="32"/>
          <w:szCs w:val="32"/>
          <w:highlight w:val="none"/>
          <w:lang w:val="en-US" w:eastAsia="zh-CN"/>
        </w:rPr>
        <w:t>万元；未发放资金23345.03元；水磨沟乡人民政府已上报水磨沟乡村民毛吾列提•伊利亚斯一直联系不上，现将该牧民资金23345.03元退回代管户，待联系后按流程发放。</w:t>
      </w:r>
    </w:p>
    <w:bookmarkEnd w:id="18"/>
    <w:bookmarkEnd w:id="19"/>
    <w:bookmarkEnd w:id="20"/>
    <w:bookmarkEnd w:id="21"/>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项目实施情况：</w:t>
      </w:r>
      <w:r>
        <w:rPr>
          <w:rFonts w:hint="eastAsia" w:ascii="仿宋_GB2312" w:hAnsi="仿宋_GB2312" w:eastAsia="仿宋_GB2312" w:cs="仿宋_GB2312"/>
          <w:color w:val="auto"/>
          <w:sz w:val="32"/>
          <w:szCs w:val="32"/>
          <w:highlight w:val="none"/>
          <w:shd w:val="clear" w:color="auto" w:fill="auto"/>
          <w:lang w:val="en-US" w:eastAsia="zh-CN"/>
        </w:rPr>
        <w:t>本项目自2023年12月25日经</w:t>
      </w:r>
      <w:r>
        <w:rPr>
          <w:rFonts w:hint="eastAsia" w:ascii="仿宋_GB2312" w:hAnsi="仿宋_GB2312" w:eastAsia="仿宋_GB2312" w:cs="仿宋_GB2312"/>
          <w:bCs/>
          <w:color w:val="auto"/>
          <w:sz w:val="32"/>
          <w:szCs w:val="32"/>
          <w:highlight w:val="none"/>
          <w:lang w:eastAsia="zh-CN"/>
        </w:rPr>
        <w:t>昌吉州财政局《关于</w:t>
      </w:r>
      <w:r>
        <w:rPr>
          <w:rFonts w:hint="eastAsia" w:ascii="仿宋_GB2312" w:hAnsi="仿宋_GB2312" w:eastAsia="仿宋_GB2312" w:cs="仿宋_GB2312"/>
          <w:bCs/>
          <w:color w:val="auto"/>
          <w:sz w:val="32"/>
          <w:szCs w:val="32"/>
          <w:highlight w:val="none"/>
          <w:lang w:val="en-US" w:eastAsia="zh-CN"/>
        </w:rPr>
        <w:t>提前</w:t>
      </w:r>
      <w:r>
        <w:rPr>
          <w:rFonts w:hint="eastAsia" w:ascii="仿宋_GB2312" w:hAnsi="仿宋_GB2312" w:eastAsia="仿宋_GB2312" w:cs="仿宋_GB2312"/>
          <w:bCs/>
          <w:color w:val="auto"/>
          <w:sz w:val="32"/>
          <w:szCs w:val="32"/>
          <w:highlight w:val="none"/>
          <w:lang w:eastAsia="zh-CN"/>
        </w:rPr>
        <w:t>下达</w:t>
      </w:r>
      <w:r>
        <w:rPr>
          <w:rFonts w:hint="eastAsia" w:ascii="仿宋_GB2312" w:hAnsi="仿宋_GB2312" w:eastAsia="仿宋_GB2312" w:cs="仿宋_GB2312"/>
          <w:bCs/>
          <w:color w:val="auto"/>
          <w:sz w:val="32"/>
          <w:szCs w:val="32"/>
          <w:highlight w:val="none"/>
          <w:lang w:val="en-US" w:eastAsia="zh-CN"/>
        </w:rPr>
        <w:t>2024年中央农业生态资源保护资金预算</w:t>
      </w:r>
      <w:r>
        <w:rPr>
          <w:rFonts w:hint="eastAsia" w:ascii="仿宋_GB2312" w:hAnsi="仿宋_GB2312" w:eastAsia="仿宋_GB2312" w:cs="仿宋_GB2312"/>
          <w:bCs/>
          <w:color w:val="auto"/>
          <w:sz w:val="32"/>
          <w:szCs w:val="32"/>
          <w:highlight w:val="none"/>
          <w:lang w:eastAsia="zh-CN"/>
        </w:rPr>
        <w:t>的通知》（昌州财农〔2023〕</w:t>
      </w:r>
      <w:r>
        <w:rPr>
          <w:rFonts w:hint="eastAsia" w:ascii="仿宋_GB2312" w:hAnsi="仿宋_GB2312" w:eastAsia="仿宋_GB2312" w:cs="仿宋_GB2312"/>
          <w:bCs/>
          <w:color w:val="auto"/>
          <w:sz w:val="32"/>
          <w:szCs w:val="32"/>
          <w:highlight w:val="none"/>
          <w:lang w:val="en-US" w:eastAsia="zh-CN"/>
        </w:rPr>
        <w:t>63</w:t>
      </w:r>
      <w:r>
        <w:rPr>
          <w:rFonts w:hint="eastAsia" w:ascii="仿宋_GB2312" w:hAnsi="仿宋_GB2312" w:eastAsia="仿宋_GB2312" w:cs="仿宋_GB2312"/>
          <w:bCs/>
          <w:color w:val="auto"/>
          <w:sz w:val="32"/>
          <w:szCs w:val="32"/>
          <w:highlight w:val="none"/>
          <w:lang w:eastAsia="zh-CN"/>
        </w:rPr>
        <w:t>号）</w:t>
      </w:r>
      <w:r>
        <w:rPr>
          <w:rFonts w:hint="eastAsia" w:ascii="仿宋_GB2312" w:hAnsi="仿宋_GB2312" w:eastAsia="仿宋_GB2312" w:cs="仿宋_GB2312"/>
          <w:color w:val="auto"/>
          <w:sz w:val="32"/>
          <w:szCs w:val="32"/>
          <w:highlight w:val="none"/>
          <w:shd w:val="clear" w:color="auto" w:fill="auto"/>
          <w:lang w:val="en-US" w:eastAsia="zh-CN"/>
        </w:rPr>
        <w:t>文件批复，经市委常务委员会会议，确定了项目领导小组，明确了责任分工：组长为市委常委（分管林业行业），副组长为市政府副市长（分管林业行业），项目负责人为林草局主要领导,组员为各乡镇政府主要领导和相关市直部门书记和局长。其中：市林草局负责禁牧草畜平衡区域的监管工作、政策制定、资金发放等工作；负责项目档案资料。市财政部门负责资金拨付工作。</w:t>
      </w:r>
    </w:p>
    <w:p>
      <w:pPr>
        <w:pStyle w:val="6"/>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至2024年12月31日，本项目以6元/亩的标准完成一般性禁牧草原288.35万亩，以50元/亩的标准完成水源涵养区草原禁牧39.56万亩，以2.5元/亩的标准完成草畜平衡管理325.24万亩，完成发放草原生态保护补助奖励补资金4521.37万元。</w:t>
      </w:r>
    </w:p>
    <w:p>
      <w:pPr>
        <w:pStyle w:val="4"/>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22" w:name="_Toc10240"/>
      <w:bookmarkStart w:id="23" w:name="_Toc569"/>
      <w:bookmarkStart w:id="24" w:name="_Toc1858"/>
      <w:bookmarkStart w:id="25" w:name="_Toc12348"/>
      <w:r>
        <w:rPr>
          <w:rFonts w:hint="eastAsia" w:ascii="仿宋_GB2312" w:hAnsi="仿宋_GB2312" w:eastAsia="仿宋_GB2312" w:cs="仿宋_GB2312"/>
          <w:color w:val="auto"/>
          <w:sz w:val="32"/>
          <w:szCs w:val="32"/>
          <w:highlight w:val="none"/>
          <w:shd w:val="clear" w:color="auto" w:fill="auto"/>
          <w:lang w:val="en-US" w:eastAsia="zh-CN"/>
        </w:rPr>
        <w:t>3.资金投入和使用情况</w:t>
      </w:r>
      <w:bookmarkEnd w:id="22"/>
      <w:bookmarkEnd w:id="23"/>
      <w:bookmarkEnd w:id="24"/>
      <w:bookmarkEnd w:id="25"/>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26" w:name="_Toc23509"/>
      <w:bookmarkStart w:id="27" w:name="_Toc26369"/>
      <w:bookmarkStart w:id="28" w:name="_Toc694"/>
      <w:r>
        <w:rPr>
          <w:rFonts w:hint="eastAsia" w:ascii="仿宋_GB2312" w:hAnsi="仿宋_GB2312" w:eastAsia="仿宋_GB2312" w:cs="仿宋_GB2312"/>
          <w:color w:val="auto"/>
          <w:sz w:val="32"/>
          <w:szCs w:val="32"/>
          <w:highlight w:val="none"/>
          <w:lang w:val="en-US" w:eastAsia="zh-CN"/>
        </w:rPr>
        <w:t>（1）资金投入情况</w:t>
      </w:r>
      <w:bookmarkEnd w:id="26"/>
      <w:bookmarkEnd w:id="27"/>
      <w:bookmarkEnd w:id="28"/>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29" w:name="_Toc5573"/>
      <w:bookmarkStart w:id="30" w:name="_Toc9464"/>
      <w:bookmarkStart w:id="31" w:name="_Toc29190"/>
      <w:r>
        <w:rPr>
          <w:rFonts w:hint="eastAsia" w:ascii="仿宋_GB2312" w:hAnsi="仿宋_GB2312" w:eastAsia="仿宋_GB2312" w:cs="仿宋_GB2312"/>
          <w:color w:val="auto"/>
          <w:sz w:val="32"/>
          <w:szCs w:val="32"/>
          <w:highlight w:val="none"/>
          <w:lang w:val="en-US" w:eastAsia="zh-CN"/>
        </w:rPr>
        <w:t>该项目年初预算数</w:t>
      </w:r>
      <w:r>
        <w:rPr>
          <w:rFonts w:hint="eastAsia" w:ascii="仿宋_GB2312" w:hAnsi="仿宋_GB2312" w:eastAsia="仿宋_GB2312" w:cs="仿宋_GB2312"/>
          <w:bCs/>
          <w:color w:val="auto"/>
          <w:sz w:val="32"/>
          <w:szCs w:val="32"/>
          <w:highlight w:val="none"/>
          <w:lang w:val="en-US" w:eastAsia="zh-CN"/>
        </w:rPr>
        <w:t>4557.76</w:t>
      </w:r>
      <w:r>
        <w:rPr>
          <w:rFonts w:hint="eastAsia" w:ascii="仿宋_GB2312" w:hAnsi="仿宋_GB2312" w:eastAsia="仿宋_GB2312" w:cs="仿宋_GB2312"/>
          <w:color w:val="auto"/>
          <w:sz w:val="32"/>
          <w:szCs w:val="32"/>
          <w:highlight w:val="none"/>
          <w:lang w:val="en-US" w:eastAsia="zh-CN"/>
        </w:rPr>
        <w:t>万元，全年预算数</w:t>
      </w:r>
      <w:r>
        <w:rPr>
          <w:rFonts w:hint="eastAsia" w:ascii="仿宋_GB2312" w:hAnsi="仿宋_GB2312" w:eastAsia="仿宋_GB2312" w:cs="仿宋_GB2312"/>
          <w:bCs/>
          <w:color w:val="auto"/>
          <w:sz w:val="32"/>
          <w:szCs w:val="32"/>
          <w:highlight w:val="none"/>
          <w:lang w:val="en-US" w:eastAsia="zh-CN"/>
        </w:rPr>
        <w:t>4557.76</w:t>
      </w:r>
      <w:r>
        <w:rPr>
          <w:rFonts w:hint="eastAsia" w:ascii="仿宋_GB2312" w:hAnsi="仿宋_GB2312" w:eastAsia="仿宋_GB2312" w:cs="仿宋_GB2312"/>
          <w:color w:val="auto"/>
          <w:sz w:val="32"/>
          <w:szCs w:val="32"/>
          <w:highlight w:val="none"/>
          <w:lang w:val="en-US" w:eastAsia="zh-CN"/>
        </w:rPr>
        <w:t>万元，该项目资金已全部落实到位，资金来源为中央财政拨款资金</w:t>
      </w:r>
      <w:bookmarkEnd w:id="29"/>
      <w:bookmarkEnd w:id="30"/>
      <w:bookmarkEnd w:id="31"/>
      <w:r>
        <w:rPr>
          <w:rFonts w:hint="eastAsia" w:ascii="仿宋_GB2312" w:hAnsi="仿宋_GB2312" w:eastAsia="仿宋_GB2312" w:cs="仿宋_GB2312"/>
          <w:color w:val="auto"/>
          <w:sz w:val="32"/>
          <w:szCs w:val="32"/>
          <w:highlight w:val="none"/>
          <w:lang w:val="en-US"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32" w:name="_Toc1166"/>
      <w:bookmarkStart w:id="33" w:name="_Toc3409"/>
      <w:bookmarkStart w:id="34" w:name="_Toc28187"/>
      <w:r>
        <w:rPr>
          <w:rFonts w:hint="eastAsia" w:ascii="仿宋_GB2312" w:hAnsi="仿宋_GB2312" w:eastAsia="仿宋_GB2312" w:cs="仿宋_GB2312"/>
          <w:color w:val="auto"/>
          <w:sz w:val="32"/>
          <w:szCs w:val="32"/>
          <w:highlight w:val="none"/>
          <w:lang w:val="en-US" w:eastAsia="zh-CN"/>
        </w:rPr>
        <w:t>（2）资金使用情况</w:t>
      </w:r>
      <w:bookmarkEnd w:id="32"/>
      <w:bookmarkEnd w:id="33"/>
      <w:bookmarkEnd w:id="34"/>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35" w:name="_Toc1430"/>
      <w:bookmarkStart w:id="36" w:name="_Toc11647"/>
      <w:bookmarkStart w:id="37" w:name="_Toc29121"/>
      <w:r>
        <w:rPr>
          <w:rFonts w:hint="eastAsia" w:ascii="仿宋_GB2312" w:hAnsi="仿宋_GB2312" w:eastAsia="仿宋_GB2312" w:cs="仿宋_GB2312"/>
          <w:color w:val="auto"/>
          <w:sz w:val="32"/>
          <w:szCs w:val="32"/>
          <w:highlight w:val="none"/>
          <w:lang w:val="en-US" w:eastAsia="zh-CN"/>
        </w:rPr>
        <w:t>该项目年初预算数</w:t>
      </w:r>
      <w:r>
        <w:rPr>
          <w:rFonts w:hint="eastAsia" w:ascii="仿宋_GB2312" w:hAnsi="仿宋_GB2312" w:eastAsia="仿宋_GB2312" w:cs="仿宋_GB2312"/>
          <w:bCs/>
          <w:color w:val="auto"/>
          <w:sz w:val="32"/>
          <w:szCs w:val="32"/>
          <w:highlight w:val="none"/>
          <w:lang w:val="en-US" w:eastAsia="zh-CN"/>
        </w:rPr>
        <w:t>4557.76</w:t>
      </w:r>
      <w:r>
        <w:rPr>
          <w:rFonts w:hint="eastAsia" w:ascii="仿宋_GB2312" w:hAnsi="仿宋_GB2312" w:eastAsia="仿宋_GB2312" w:cs="仿宋_GB2312"/>
          <w:color w:val="auto"/>
          <w:sz w:val="32"/>
          <w:szCs w:val="32"/>
          <w:highlight w:val="none"/>
          <w:lang w:val="en-US" w:eastAsia="zh-CN"/>
        </w:rPr>
        <w:t>万元，全年预算数</w:t>
      </w:r>
      <w:r>
        <w:rPr>
          <w:rFonts w:hint="eastAsia" w:ascii="仿宋_GB2312" w:hAnsi="仿宋_GB2312" w:eastAsia="仿宋_GB2312" w:cs="仿宋_GB2312"/>
          <w:bCs/>
          <w:color w:val="auto"/>
          <w:sz w:val="32"/>
          <w:szCs w:val="32"/>
          <w:highlight w:val="none"/>
          <w:lang w:val="en-US" w:eastAsia="zh-CN"/>
        </w:rPr>
        <w:t>4557.76</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shd w:val="clear" w:color="auto" w:fill="auto"/>
          <w:lang w:val="en-US" w:eastAsia="zh-CN"/>
        </w:rPr>
        <w:t>截至2024年12月31日，</w:t>
      </w:r>
      <w:r>
        <w:rPr>
          <w:rFonts w:hint="eastAsia" w:ascii="仿宋_GB2312" w:hAnsi="仿宋_GB2312" w:eastAsia="仿宋_GB2312" w:cs="仿宋_GB2312"/>
          <w:color w:val="auto"/>
          <w:sz w:val="32"/>
          <w:szCs w:val="32"/>
          <w:highlight w:val="none"/>
          <w:lang w:val="en-US" w:eastAsia="zh-CN"/>
        </w:rPr>
        <w:t>全年执行数</w:t>
      </w:r>
      <w:r>
        <w:rPr>
          <w:rFonts w:hint="eastAsia" w:ascii="仿宋_GB2312" w:hAnsi="仿宋_GB2312" w:eastAsia="仿宋_GB2312" w:cs="仿宋_GB2312"/>
          <w:bCs/>
          <w:color w:val="auto"/>
          <w:sz w:val="32"/>
          <w:szCs w:val="32"/>
          <w:highlight w:val="none"/>
          <w:lang w:val="en-US" w:eastAsia="zh-CN"/>
        </w:rPr>
        <w:t>4521.37</w:t>
      </w:r>
      <w:r>
        <w:rPr>
          <w:rFonts w:hint="eastAsia" w:ascii="仿宋_GB2312" w:hAnsi="仿宋_GB2312" w:eastAsia="仿宋_GB2312" w:cs="仿宋_GB2312"/>
          <w:color w:val="auto"/>
          <w:sz w:val="32"/>
          <w:szCs w:val="32"/>
          <w:highlight w:val="none"/>
          <w:lang w:val="en-US" w:eastAsia="zh-CN"/>
        </w:rPr>
        <w:t>万元，预算执行率为</w:t>
      </w:r>
      <w:r>
        <w:rPr>
          <w:rFonts w:hint="eastAsia" w:ascii="仿宋_GB2312" w:hAnsi="仿宋_GB2312" w:eastAsia="仿宋_GB2312" w:cs="仿宋_GB2312"/>
          <w:bCs/>
          <w:color w:val="auto"/>
          <w:sz w:val="32"/>
          <w:szCs w:val="32"/>
          <w:highlight w:val="none"/>
          <w:lang w:val="en-US" w:eastAsia="zh-CN"/>
        </w:rPr>
        <w:t>99.20%</w:t>
      </w:r>
      <w:r>
        <w:rPr>
          <w:rFonts w:hint="eastAsia" w:ascii="仿宋_GB2312" w:hAnsi="仿宋_GB2312" w:eastAsia="仿宋_GB2312" w:cs="仿宋_GB2312"/>
          <w:color w:val="auto"/>
          <w:sz w:val="32"/>
          <w:szCs w:val="32"/>
          <w:highlight w:val="none"/>
          <w:lang w:val="en-US" w:eastAsia="zh-CN"/>
        </w:rPr>
        <w:t>，主要用于：全市五个乡镇3314户牧民履行禁牧和草畜平衡义务的牧民发放到户资金。</w:t>
      </w:r>
      <w:bookmarkEnd w:id="35"/>
      <w:bookmarkEnd w:id="36"/>
      <w:bookmarkEnd w:id="37"/>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38" w:name="_Toc9109"/>
      <w:r>
        <w:rPr>
          <w:rFonts w:hint="eastAsia" w:ascii="Times New Roman" w:hAnsi="Times New Roman" w:eastAsia="楷体_GB2312" w:cs="Times New Roman"/>
          <w:color w:val="auto"/>
          <w:kern w:val="28"/>
          <w:sz w:val="32"/>
          <w:highlight w:val="none"/>
          <w:lang w:val="en-US" w:eastAsia="zh-CN"/>
        </w:rPr>
        <w:t>（二）项目绩效目标</w:t>
      </w:r>
      <w:bookmarkEnd w:id="38"/>
    </w:p>
    <w:p>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39" w:name="_Toc8528"/>
      <w:bookmarkStart w:id="40" w:name="_Toc10047"/>
      <w:bookmarkStart w:id="41" w:name="_Toc2547"/>
      <w:bookmarkStart w:id="42" w:name="_Toc14758"/>
      <w:r>
        <w:rPr>
          <w:rFonts w:hint="eastAsia" w:ascii="仿宋_GB2312" w:hAnsi="仿宋_GB2312" w:eastAsia="仿宋_GB2312" w:cs="仿宋_GB2312"/>
          <w:color w:val="auto"/>
          <w:sz w:val="32"/>
          <w:szCs w:val="32"/>
          <w:highlight w:val="none"/>
          <w:shd w:val="clear" w:color="auto" w:fill="auto"/>
          <w:lang w:val="en-US" w:eastAsia="zh-CN"/>
        </w:rPr>
        <w:t>1.总体目标</w:t>
      </w:r>
      <w:bookmarkEnd w:id="39"/>
      <w:bookmarkEnd w:id="40"/>
      <w:bookmarkEnd w:id="41"/>
      <w:bookmarkEnd w:id="42"/>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草原生态保护补助奖励项目绩效总体目标为：</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阜康市林业和草原局2024年预计完成草原生态保护补助奖励一般性禁牧草原面积288.35万亩；水源涵养区草原禁牧面积39.56万亩；草畜平衡管理面积325.24万亩，发放草原生态保护补助奖励补资金约4521.37万元，项目的实施将改善牧民生活质量，持续发挥生态作用，使牧民政策满意度达90%以上。</w:t>
      </w:r>
    </w:p>
    <w:p>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43" w:name="_Toc4487"/>
      <w:bookmarkStart w:id="44" w:name="_Toc8990"/>
      <w:bookmarkStart w:id="45" w:name="_Toc4007"/>
      <w:bookmarkStart w:id="46" w:name="_Toc3255"/>
      <w:r>
        <w:rPr>
          <w:rFonts w:hint="eastAsia" w:ascii="仿宋_GB2312" w:hAnsi="仿宋_GB2312" w:eastAsia="仿宋_GB2312" w:cs="仿宋_GB2312"/>
          <w:color w:val="auto"/>
          <w:sz w:val="32"/>
          <w:szCs w:val="32"/>
          <w:highlight w:val="none"/>
          <w:shd w:val="clear" w:color="auto" w:fill="auto"/>
          <w:lang w:val="en-US" w:eastAsia="zh-CN"/>
        </w:rPr>
        <w:t>2.阶段性目标</w:t>
      </w:r>
      <w:bookmarkEnd w:id="43"/>
      <w:bookmarkEnd w:id="44"/>
      <w:bookmarkEnd w:id="45"/>
      <w:bookmarkEnd w:id="46"/>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Cs/>
          <w:color w:val="auto"/>
          <w:sz w:val="32"/>
          <w:szCs w:val="32"/>
          <w:highlight w:val="none"/>
          <w:shd w:val="clear" w:color="auto" w:fill="auto"/>
          <w:lang w:eastAsia="zh-CN"/>
        </w:rPr>
      </w:pPr>
      <w:r>
        <w:rPr>
          <w:rFonts w:hint="eastAsia" w:ascii="仿宋_GB2312" w:hAnsi="仿宋_GB2312" w:eastAsia="仿宋_GB2312" w:cs="仿宋_GB2312"/>
          <w:bCs/>
          <w:color w:val="auto"/>
          <w:sz w:val="32"/>
          <w:szCs w:val="32"/>
          <w:highlight w:val="none"/>
          <w:shd w:val="clear" w:color="auto" w:fill="auto"/>
          <w:lang w:eastAsia="zh-CN"/>
        </w:rPr>
        <w:t>根据《预算法》《财政支出绩效评价管理暂行办法》（财预〔20</w:t>
      </w:r>
      <w:r>
        <w:rPr>
          <w:rFonts w:hint="eastAsia" w:ascii="仿宋_GB2312" w:hAnsi="仿宋_GB2312" w:eastAsia="仿宋_GB2312" w:cs="仿宋_GB2312"/>
          <w:bCs/>
          <w:color w:val="auto"/>
          <w:sz w:val="32"/>
          <w:szCs w:val="32"/>
          <w:highlight w:val="none"/>
          <w:shd w:val="clear" w:color="auto" w:fill="auto"/>
          <w:lang w:val="en-US" w:eastAsia="zh-CN"/>
        </w:rPr>
        <w:t>20</w:t>
      </w:r>
      <w:r>
        <w:rPr>
          <w:rFonts w:hint="eastAsia" w:ascii="仿宋_GB2312" w:hAnsi="仿宋_GB2312" w:eastAsia="仿宋_GB2312" w:cs="仿宋_GB2312"/>
          <w:bCs/>
          <w:color w:val="auto"/>
          <w:sz w:val="32"/>
          <w:szCs w:val="32"/>
          <w:highlight w:val="none"/>
          <w:shd w:val="clear" w:color="auto" w:fill="auto"/>
          <w:lang w:eastAsia="zh-CN"/>
        </w:rPr>
        <w:t>〕</w:t>
      </w:r>
      <w:r>
        <w:rPr>
          <w:rFonts w:hint="eastAsia" w:ascii="仿宋_GB2312" w:hAnsi="仿宋_GB2312" w:eastAsia="仿宋_GB2312" w:cs="仿宋_GB2312"/>
          <w:bCs/>
          <w:color w:val="auto"/>
          <w:sz w:val="32"/>
          <w:szCs w:val="32"/>
          <w:highlight w:val="none"/>
          <w:shd w:val="clear" w:color="auto" w:fill="auto"/>
          <w:lang w:val="en-US" w:eastAsia="zh-CN"/>
        </w:rPr>
        <w:t>10</w:t>
      </w:r>
      <w:r>
        <w:rPr>
          <w:rFonts w:hint="eastAsia" w:ascii="仿宋_GB2312" w:hAnsi="仿宋_GB2312" w:eastAsia="仿宋_GB2312" w:cs="仿宋_GB2312"/>
          <w:bCs/>
          <w:color w:val="auto"/>
          <w:sz w:val="32"/>
          <w:szCs w:val="32"/>
          <w:highlight w:val="none"/>
          <w:shd w:val="clear" w:color="auto" w:fill="auto"/>
          <w:lang w:eastAsia="zh-CN"/>
        </w:rPr>
        <w:t>号）</w:t>
      </w:r>
      <w:r>
        <w:rPr>
          <w:rFonts w:hint="eastAsia" w:ascii="仿宋_GB2312" w:hAnsi="仿宋_GB2312" w:eastAsia="仿宋_GB2312" w:cs="仿宋_GB2312"/>
          <w:color w:val="auto"/>
          <w:sz w:val="32"/>
          <w:szCs w:val="32"/>
          <w:highlight w:val="none"/>
          <w:shd w:val="clear" w:color="auto" w:fill="auto"/>
          <w:lang w:val="en-US" w:eastAsia="zh-CN"/>
        </w:rPr>
        <w:t>等文件</w:t>
      </w:r>
      <w:r>
        <w:rPr>
          <w:rFonts w:hint="eastAsia" w:ascii="仿宋_GB2312" w:hAnsi="仿宋_GB2312" w:eastAsia="仿宋_GB2312" w:cs="仿宋_GB2312"/>
          <w:bCs/>
          <w:color w:val="auto"/>
          <w:sz w:val="32"/>
          <w:szCs w:val="32"/>
          <w:highlight w:val="none"/>
          <w:shd w:val="clear" w:color="auto" w:fill="auto"/>
          <w:lang w:eastAsia="zh-CN"/>
        </w:rPr>
        <w:t>的规定，结合项目实施单位的规章制度以及财务相关资料，评价小组对项目绩效目标进行了进一步的完善，完善</w:t>
      </w:r>
      <w:r>
        <w:rPr>
          <w:rFonts w:hint="eastAsia" w:ascii="仿宋_GB2312" w:hAnsi="仿宋_GB2312" w:eastAsia="仿宋_GB2312" w:cs="仿宋_GB2312"/>
          <w:bCs/>
          <w:color w:val="auto"/>
          <w:sz w:val="32"/>
          <w:szCs w:val="32"/>
          <w:highlight w:val="none"/>
          <w:shd w:val="clear" w:color="auto" w:fill="auto"/>
          <w:lang w:val="en-US" w:eastAsia="zh-CN"/>
        </w:rPr>
        <w:t>后</w:t>
      </w:r>
      <w:r>
        <w:rPr>
          <w:rFonts w:hint="eastAsia" w:ascii="仿宋_GB2312" w:hAnsi="仿宋_GB2312" w:eastAsia="仿宋_GB2312" w:cs="仿宋_GB2312"/>
          <w:bCs/>
          <w:color w:val="auto"/>
          <w:sz w:val="32"/>
          <w:szCs w:val="32"/>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1</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rPr>
        <w:t>项目产出</w:t>
      </w:r>
      <w:r>
        <w:rPr>
          <w:rFonts w:hint="eastAsia" w:ascii="仿宋_GB2312" w:hAnsi="仿宋_GB2312" w:eastAsia="仿宋_GB2312" w:cs="仿宋_GB2312"/>
          <w:color w:val="auto"/>
          <w:sz w:val="32"/>
          <w:szCs w:val="32"/>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一般性禁牧草原面</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指标，预期目标值为≥288.35万亩；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水源涵养区草原禁牧面积</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预期目标值为≥39.56万亩；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草畜平衡管理面积</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预期目标值为≥325.24万亩；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①质量指标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“草原生态保护补助奖励兑付率”指标，预期目标值为=100%；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③时效指标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“草原生态保护补助奖励发放及时率”指标，预期目标值为=100%；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（2）成本指标(经济成本指标)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“一般性禁牧草原补助资金（元/亩）”指标，预期目标值为≤6元/亩；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“水源涵养区草原禁牧补助资金（元/亩）”预期目标值为≤50元/亩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“草畜平衡管理补助资金（元/亩）”指标，预期目标值为≤2.5元/亩；</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）项目效益</w:t>
      </w:r>
      <w:r>
        <w:rPr>
          <w:rFonts w:hint="eastAsia" w:ascii="仿宋_GB2312" w:hAnsi="仿宋_GB2312" w:eastAsia="仿宋_GB2312" w:cs="仿宋_GB2312"/>
          <w:color w:val="auto"/>
          <w:sz w:val="32"/>
          <w:szCs w:val="32"/>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本项目不涉及经济效益指标。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改善牧民生活质量</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指标，预期目标值为显著；</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③生态效益指标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“持续发挥生态作用”</w:t>
      </w:r>
      <w:r>
        <w:rPr>
          <w:rFonts w:hint="eastAsia" w:ascii="仿宋_GB2312" w:hAnsi="仿宋_GB2312" w:eastAsia="仿宋_GB2312" w:cs="仿宋_GB2312"/>
          <w:color w:val="auto"/>
          <w:sz w:val="32"/>
          <w:szCs w:val="32"/>
          <w:highlight w:val="none"/>
          <w:shd w:val="clear" w:color="auto" w:fill="auto"/>
          <w:lang w:val="en-US" w:eastAsia="zh-CN"/>
        </w:rPr>
        <w:t>指标，预期目标值为显著；</w:t>
      </w:r>
    </w:p>
    <w:p>
      <w:pPr>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④可持续影响指标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本项目不涉及可持续影响指标；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⑤满意度指标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“牧民政策满意度”指标，预期目标值为≥90%。</w:t>
      </w:r>
    </w:p>
    <w:p>
      <w:pPr>
        <w:pStyle w:val="3"/>
        <w:pageBreakBefore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47" w:name="_Toc26567"/>
      <w:r>
        <w:rPr>
          <w:rFonts w:hint="eastAsia" w:ascii="宋体" w:hAnsi="宋体" w:eastAsia="宋体" w:cs="宋体"/>
          <w:b/>
          <w:bCs/>
          <w:color w:val="auto"/>
          <w:highlight w:val="none"/>
          <w:shd w:val="clear" w:color="auto" w:fill="auto"/>
        </w:rPr>
        <w:t>二、绩效评价工作开展情况</w:t>
      </w:r>
      <w:bookmarkEnd w:id="47"/>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48" w:name="_Toc5258"/>
      <w:bookmarkStart w:id="49" w:name="_Toc22922"/>
      <w:bookmarkStart w:id="50" w:name="_Toc22169_WPSOffice_Level2"/>
      <w:bookmarkStart w:id="51" w:name="_Toc26632"/>
      <w:bookmarkStart w:id="52" w:name="_Toc12868"/>
      <w:bookmarkStart w:id="53" w:name="_Toc5462343"/>
      <w:bookmarkStart w:id="54" w:name="_Toc21664"/>
      <w:bookmarkStart w:id="55" w:name="_Toc480473081"/>
      <w:bookmarkStart w:id="56" w:name="_Toc22839"/>
      <w:r>
        <w:rPr>
          <w:rFonts w:hint="eastAsia" w:ascii="Times New Roman" w:hAnsi="Times New Roman" w:eastAsia="楷体_GB2312" w:cs="Times New Roman"/>
          <w:color w:val="auto"/>
          <w:kern w:val="28"/>
          <w:sz w:val="32"/>
          <w:highlight w:val="none"/>
          <w:lang w:val="en-US" w:eastAsia="zh-CN"/>
        </w:rPr>
        <w:t>（一）绩效评价的目的</w:t>
      </w:r>
      <w:bookmarkEnd w:id="48"/>
      <w:bookmarkEnd w:id="49"/>
      <w:bookmarkEnd w:id="50"/>
      <w:bookmarkEnd w:id="51"/>
      <w:bookmarkEnd w:id="52"/>
      <w:bookmarkEnd w:id="53"/>
      <w:bookmarkEnd w:id="54"/>
      <w:bookmarkEnd w:id="55"/>
      <w:r>
        <w:rPr>
          <w:rFonts w:hint="eastAsia" w:ascii="Times New Roman" w:hAnsi="Times New Roman" w:eastAsia="楷体_GB2312" w:cs="Times New Roman"/>
          <w:color w:val="auto"/>
          <w:kern w:val="28"/>
          <w:sz w:val="32"/>
          <w:highlight w:val="none"/>
          <w:lang w:val="en-US" w:eastAsia="zh-CN"/>
        </w:rPr>
        <w:t>、对象和范围</w:t>
      </w:r>
      <w:bookmarkEnd w:id="56"/>
    </w:p>
    <w:p>
      <w:pPr>
        <w:pStyle w:val="16"/>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color w:val="auto"/>
          <w:kern w:val="2"/>
          <w:sz w:val="32"/>
          <w:szCs w:val="32"/>
          <w:highlight w:val="none"/>
          <w:lang w:val="en-US" w:eastAsia="zh-CN" w:bidi="ar-SA"/>
        </w:rPr>
      </w:pPr>
      <w:bookmarkStart w:id="57" w:name="_Toc15732"/>
      <w:r>
        <w:rPr>
          <w:rFonts w:hint="default" w:ascii="Times New Roman" w:hAnsi="Times New Roman" w:eastAsia="仿宋_GB2312" w:cs="Times New Roman"/>
          <w:b/>
          <w:bCs/>
          <w:color w:val="auto"/>
          <w:kern w:val="2"/>
          <w:sz w:val="32"/>
          <w:szCs w:val="32"/>
          <w:highlight w:val="none"/>
          <w:lang w:val="en-US" w:eastAsia="zh-CN" w:bidi="ar-SA"/>
        </w:rPr>
        <w:t>1.绩效评价完整性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color w:val="auto"/>
          <w:sz w:val="32"/>
          <w:szCs w:val="32"/>
          <w:highlight w:val="none"/>
          <w:lang w:val="en-US" w:eastAsia="zh-CN"/>
        </w:rPr>
        <w:t>生态</w:t>
      </w:r>
      <w:r>
        <w:rPr>
          <w:rFonts w:hint="default" w:ascii="Times New Roman" w:hAnsi="Times New Roman" w:eastAsia="仿宋_GB2312" w:cs="Times New Roman"/>
          <w:color w:val="auto"/>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58" w:name="_Toc417"/>
      <w:bookmarkStart w:id="59" w:name="_Toc21770"/>
      <w:r>
        <w:rPr>
          <w:rFonts w:hint="eastAsia" w:cs="仿宋_GB2312"/>
          <w:color w:val="auto"/>
          <w:sz w:val="32"/>
          <w:szCs w:val="32"/>
          <w:highlight w:val="none"/>
          <w:shd w:val="clear" w:color="auto" w:fill="auto"/>
          <w:lang w:val="en-US" w:eastAsia="zh-CN"/>
        </w:rPr>
        <w:t>2</w:t>
      </w:r>
      <w:r>
        <w:rPr>
          <w:rFonts w:hint="eastAsia" w:ascii="仿宋_GB2312" w:hAnsi="仿宋_GB2312" w:eastAsia="仿宋_GB2312" w:cs="仿宋_GB2312"/>
          <w:color w:val="auto"/>
          <w:sz w:val="32"/>
          <w:szCs w:val="32"/>
          <w:highlight w:val="none"/>
          <w:shd w:val="clear" w:color="auto" w:fill="auto"/>
          <w:lang w:val="en-US" w:eastAsia="zh-CN"/>
        </w:rPr>
        <w:t>.</w:t>
      </w:r>
      <w:r>
        <w:rPr>
          <w:rFonts w:hint="eastAsia" w:ascii="仿宋_GB2312" w:hAnsi="仿宋_GB2312" w:eastAsia="仿宋_GB2312" w:cs="仿宋_GB2312"/>
          <w:color w:val="auto"/>
          <w:sz w:val="32"/>
          <w:szCs w:val="32"/>
          <w:highlight w:val="none"/>
          <w:shd w:val="clear" w:color="auto" w:fill="auto"/>
          <w:lang w:eastAsia="zh-CN"/>
        </w:rPr>
        <w:t>绩效评价的目的</w:t>
      </w:r>
      <w:bookmarkEnd w:id="57"/>
      <w:bookmarkEnd w:id="58"/>
      <w:bookmarkEnd w:id="59"/>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lang w:eastAsia="zh-CN"/>
        </w:rPr>
        <w:t>为全面了解</w:t>
      </w:r>
      <w:r>
        <w:rPr>
          <w:rFonts w:hint="eastAsia" w:ascii="仿宋_GB2312" w:hAnsi="仿宋_GB2312" w:eastAsia="仿宋_GB2312" w:cs="仿宋_GB2312"/>
          <w:color w:val="auto"/>
          <w:sz w:val="32"/>
          <w:szCs w:val="32"/>
          <w:highlight w:val="none"/>
          <w:shd w:val="clear" w:color="auto" w:fill="auto"/>
          <w:lang w:val="en-US" w:eastAsia="zh-CN"/>
        </w:rPr>
        <w:t>该</w:t>
      </w:r>
      <w:r>
        <w:rPr>
          <w:rFonts w:hint="eastAsia" w:ascii="仿宋_GB2312" w:hAnsi="仿宋_GB2312" w:eastAsia="仿宋_GB2312" w:cs="仿宋_GB2312"/>
          <w:color w:val="auto"/>
          <w:sz w:val="32"/>
          <w:szCs w:val="32"/>
          <w:highlight w:val="none"/>
          <w:shd w:val="clear" w:color="auto" w:fill="auto"/>
          <w:lang w:eastAsia="zh-CN"/>
        </w:rPr>
        <w:t>项目预算编制合理性、资金使用合规性、项目管理的规范性、</w:t>
      </w:r>
      <w:r>
        <w:rPr>
          <w:rFonts w:hint="eastAsia" w:ascii="仿宋_GB2312" w:hAnsi="仿宋_GB2312" w:eastAsia="仿宋_GB2312" w:cs="仿宋_GB2312"/>
          <w:color w:val="auto"/>
          <w:sz w:val="32"/>
          <w:szCs w:val="32"/>
          <w:highlight w:val="none"/>
          <w:shd w:val="clear" w:color="auto" w:fill="auto"/>
          <w:lang w:val="en-US" w:eastAsia="zh-CN"/>
        </w:rPr>
        <w:t>绩效</w:t>
      </w:r>
      <w:r>
        <w:rPr>
          <w:rFonts w:hint="eastAsia" w:ascii="仿宋_GB2312" w:hAnsi="仿宋_GB2312" w:eastAsia="仿宋_GB2312" w:cs="仿宋_GB2312"/>
          <w:color w:val="auto"/>
          <w:sz w:val="32"/>
          <w:szCs w:val="32"/>
          <w:highlight w:val="none"/>
          <w:shd w:val="clear" w:color="auto" w:fill="auto"/>
          <w:lang w:eastAsia="zh-CN"/>
        </w:rPr>
        <w:t>目标的实现情况、服务对象的满意度等，通过本次</w:t>
      </w:r>
      <w:r>
        <w:rPr>
          <w:rFonts w:hint="eastAsia" w:ascii="仿宋_GB2312" w:hAnsi="仿宋_GB2312" w:eastAsia="仿宋_GB2312" w:cs="仿宋_GB2312"/>
          <w:color w:val="auto"/>
          <w:sz w:val="32"/>
          <w:szCs w:val="32"/>
          <w:highlight w:val="none"/>
          <w:shd w:val="clear" w:color="auto" w:fill="auto"/>
          <w:lang w:val="en-US" w:eastAsia="zh-CN"/>
        </w:rPr>
        <w:t>部门</w:t>
      </w:r>
      <w:r>
        <w:rPr>
          <w:rFonts w:hint="eastAsia" w:ascii="仿宋_GB2312" w:hAnsi="仿宋_GB2312" w:eastAsia="仿宋_GB2312" w:cs="仿宋_GB2312"/>
          <w:color w:val="auto"/>
          <w:sz w:val="32"/>
          <w:szCs w:val="32"/>
          <w:highlight w:val="none"/>
          <w:shd w:val="clear" w:color="auto" w:fill="auto"/>
          <w:lang w:eastAsia="zh-CN"/>
        </w:rPr>
        <w:t>绩效评价来总结经验和教训，促进项目成果转化和应用，为今后类似项目的长效管理，提供可行性参考建议。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bookmarkStart w:id="60" w:name="_Toc30609"/>
      <w:r>
        <w:rPr>
          <w:rFonts w:hint="default" w:ascii="Times New Roman" w:hAnsi="Times New Roman" w:eastAsia="仿宋_GB2312" w:cs="Times New Roman"/>
          <w:color w:val="auto"/>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color w:val="auto"/>
          <w:sz w:val="32"/>
          <w:szCs w:val="32"/>
          <w:highlight w:val="none"/>
          <w:lang w:val="en-US" w:eastAsia="zh-CN"/>
        </w:rPr>
        <w:t>生态</w:t>
      </w:r>
      <w:r>
        <w:rPr>
          <w:rFonts w:hint="default" w:ascii="Times New Roman" w:hAnsi="Times New Roman" w:eastAsia="仿宋_GB2312" w:cs="Times New Roman"/>
          <w:color w:val="auto"/>
          <w:sz w:val="32"/>
          <w:szCs w:val="32"/>
          <w:highlight w:val="none"/>
        </w:rPr>
        <w:t>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4"/>
        <w:pageBreakBefore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61" w:name="_Toc31970"/>
      <w:bookmarkStart w:id="62" w:name="_Toc16346"/>
      <w:r>
        <w:rPr>
          <w:rFonts w:hint="eastAsia"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lang w:val="en-US" w:eastAsia="zh-CN"/>
        </w:rPr>
        <w:t>.绩效评价的对象</w:t>
      </w:r>
      <w:bookmarkEnd w:id="60"/>
      <w:bookmarkEnd w:id="61"/>
      <w:bookmarkEnd w:id="6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此次我单位根据</w:t>
      </w:r>
      <w:r>
        <w:rPr>
          <w:rFonts w:hint="eastAsia" w:ascii="仿宋_GB2312" w:hAnsi="仿宋_GB2312" w:eastAsia="仿宋_GB2312" w:cs="仿宋_GB2312"/>
          <w:color w:val="auto"/>
          <w:sz w:val="32"/>
          <w:szCs w:val="32"/>
          <w:highlight w:val="none"/>
          <w:shd w:val="clear" w:color="auto" w:fill="auto"/>
        </w:rPr>
        <w:t>《财政支出绩效评价管理暂行办法》（</w:t>
      </w:r>
      <w:r>
        <w:rPr>
          <w:rFonts w:hint="eastAsia" w:ascii="仿宋_GB2312" w:hAnsi="仿宋_GB2312" w:eastAsia="仿宋_GB2312" w:cs="仿宋_GB2312"/>
          <w:color w:val="auto"/>
          <w:sz w:val="32"/>
          <w:szCs w:val="32"/>
          <w:highlight w:val="none"/>
          <w:shd w:val="clear" w:color="auto" w:fill="auto"/>
          <w:lang w:eastAsia="zh-CN"/>
        </w:rPr>
        <w:t>财预〔2020〕10号</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文件要求对2024年度我单位实施的草原生态保护补助奖励项目</w:t>
      </w:r>
      <w:r>
        <w:rPr>
          <w:rFonts w:hint="default" w:ascii="仿宋_GB2312" w:hAnsi="仿宋_GB2312" w:eastAsia="仿宋_GB2312" w:cs="仿宋_GB2312"/>
          <w:color w:val="auto"/>
          <w:sz w:val="32"/>
          <w:szCs w:val="32"/>
          <w:highlight w:val="none"/>
          <w:shd w:val="clear" w:color="auto" w:fill="auto"/>
        </w:rPr>
        <w:t>及其预算执行情况</w:t>
      </w:r>
      <w:r>
        <w:rPr>
          <w:rFonts w:hint="eastAsia" w:ascii="仿宋_GB2312" w:hAnsi="仿宋_GB2312" w:eastAsia="仿宋_GB2312" w:cs="仿宋_GB2312"/>
          <w:color w:val="auto"/>
          <w:sz w:val="32"/>
          <w:szCs w:val="32"/>
          <w:highlight w:val="none"/>
          <w:shd w:val="clear" w:color="auto" w:fill="auto"/>
          <w:lang w:val="en-US" w:eastAsia="zh-CN"/>
        </w:rPr>
        <w:t>开展部门绩效评价。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pP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该项目由</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阜康市林业和草原局</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负责实施，旨在</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以6元/亩的标准完成一般性禁牧草原288.35万亩，以50元/亩的标准完成水源涵养区草原禁牧39.56万亩，以2.5元/亩的标准完成草畜平衡管理325.24万亩，完成发放草原生态保护补助奖励补资金4521.37万元。项目的实施改善牧民的生活质量，持续发挥生态作用显著</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。项目预算涵盖从</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2024年1月1日</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至</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2024年12月31日</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的全部资金投入与支出，涉及资金总额为</w:t>
      </w:r>
      <w:r>
        <w:rPr>
          <w:rFonts w:hint="eastAsia" w:ascii="仿宋_GB2312" w:hAnsi="仿宋_GB2312" w:eastAsia="仿宋_GB2312" w:cs="仿宋_GB2312"/>
          <w:color w:val="auto"/>
          <w:sz w:val="32"/>
          <w:szCs w:val="32"/>
          <w:highlight w:val="none"/>
          <w:shd w:val="clear" w:color="auto" w:fill="auto"/>
          <w:lang w:val="en-US" w:eastAsia="zh-CN"/>
        </w:rPr>
        <w:t>4521.37</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万元。</w:t>
      </w:r>
    </w:p>
    <w:p>
      <w:pPr>
        <w:pStyle w:val="4"/>
        <w:pageBreakBefore w:val="0"/>
        <w:kinsoku/>
        <w:wordWrap/>
        <w:overflowPunct/>
        <w:topLinePunct w:val="0"/>
        <w:autoSpaceDE/>
        <w:autoSpaceDN/>
        <w:bidi w:val="0"/>
        <w:adjustRightInd/>
        <w:spacing w:line="560" w:lineRule="exact"/>
        <w:textAlignment w:val="auto"/>
        <w:rPr>
          <w:rFonts w:hint="default" w:cs="仿宋_GB2312"/>
          <w:color w:val="auto"/>
          <w:sz w:val="32"/>
          <w:szCs w:val="32"/>
          <w:highlight w:val="none"/>
          <w:shd w:val="clear" w:color="auto" w:fill="auto"/>
          <w:lang w:val="en-US" w:eastAsia="zh-CN"/>
        </w:rPr>
      </w:pPr>
      <w:bookmarkStart w:id="63" w:name="_Toc11666"/>
      <w:bookmarkStart w:id="64" w:name="_Toc21311"/>
      <w:r>
        <w:rPr>
          <w:rFonts w:hint="default" w:cs="仿宋_GB2312"/>
          <w:color w:val="auto"/>
          <w:sz w:val="32"/>
          <w:szCs w:val="32"/>
          <w:highlight w:val="none"/>
          <w:shd w:val="clear" w:color="auto" w:fill="auto"/>
          <w:lang w:val="en-US" w:eastAsia="zh-CN"/>
        </w:rPr>
        <w:t>4.绩效评价的范围</w:t>
      </w:r>
      <w:bookmarkEnd w:id="63"/>
      <w:bookmarkEnd w:id="64"/>
    </w:p>
    <w:p>
      <w:pPr>
        <w:pStyle w:val="16"/>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本项目预算绩效评价报告的评价范围广泛而全面，涵盖了从项目立项至评价时点期间的所有关键预算活动和财务流程。具体而言，评价范围包括但不限于以下几个方面：</w:t>
      </w:r>
    </w:p>
    <w:p>
      <w:pPr>
        <w:pStyle w:val="16"/>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项目预算编制与执行：全面审视项目预算的编制依据、合理性、科学性以及实际执行情况，包括预算调整的原因和效果。</w:t>
      </w:r>
    </w:p>
    <w:p>
      <w:pPr>
        <w:pStyle w:val="16"/>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资金管理：深入分析项目资金的分配、使用和监管情况，确保资金使用的合规性、高效性和透明度。</w:t>
      </w:r>
    </w:p>
    <w:p>
      <w:pPr>
        <w:pStyle w:val="16"/>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项目实施进度与产出：评估项目是否按照既定计划顺利推进，各项任务是否按时完成，以及项目产出的数量、质量和时效性是否符合预期。</w:t>
      </w:r>
    </w:p>
    <w:p>
      <w:pPr>
        <w:pStyle w:val="1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color w:val="auto"/>
          <w:highlight w:val="none"/>
          <w:lang w:eastAsia="zh-CN"/>
        </w:rPr>
      </w:pP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社会</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生态等</w:t>
      </w:r>
      <w:r>
        <w:rPr>
          <w:rFonts w:hint="eastAsia" w:ascii="仿宋_GB2312" w:hAnsi="仿宋_GB2312" w:eastAsia="仿宋_GB2312" w:cs="仿宋_GB2312"/>
          <w:b w:val="0"/>
          <w:bCs w:val="0"/>
          <w:color w:val="auto"/>
          <w:sz w:val="32"/>
          <w:szCs w:val="32"/>
          <w:highlight w:val="none"/>
        </w:rPr>
        <w:t>影响：考察项目对社会、</w:t>
      </w:r>
      <w:r>
        <w:rPr>
          <w:rFonts w:hint="eastAsia" w:ascii="仿宋_GB2312" w:hAnsi="仿宋_GB2312" w:eastAsia="仿宋_GB2312" w:cs="仿宋_GB2312"/>
          <w:b w:val="0"/>
          <w:bCs w:val="0"/>
          <w:color w:val="auto"/>
          <w:sz w:val="32"/>
          <w:szCs w:val="32"/>
          <w:highlight w:val="none"/>
          <w:lang w:val="en-US" w:eastAsia="zh-CN"/>
        </w:rPr>
        <w:t>生态</w:t>
      </w:r>
      <w:r>
        <w:rPr>
          <w:rFonts w:hint="eastAsia" w:ascii="仿宋_GB2312" w:hAnsi="仿宋_GB2312" w:eastAsia="仿宋_GB2312" w:cs="仿宋_GB2312"/>
          <w:b w:val="0"/>
          <w:bCs w:val="0"/>
          <w:color w:val="auto"/>
          <w:sz w:val="32"/>
          <w:szCs w:val="32"/>
          <w:highlight w:val="none"/>
        </w:rPr>
        <w:t>、经济等方面的综合影响。</w:t>
      </w:r>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65" w:name="_Toc1286"/>
      <w:bookmarkStart w:id="66" w:name="_Toc29785"/>
      <w:r>
        <w:rPr>
          <w:rFonts w:hint="eastAsia" w:ascii="Times New Roman" w:hAnsi="Times New Roman" w:eastAsia="楷体_GB2312" w:cs="Times New Roman"/>
          <w:color w:val="auto"/>
          <w:kern w:val="28"/>
          <w:sz w:val="32"/>
          <w:highlight w:val="none"/>
          <w:lang w:val="en-US" w:eastAsia="zh-CN"/>
        </w:rPr>
        <w:t>（二）绩效评价原则、评价指标体系（</w:t>
      </w:r>
      <w:r>
        <w:rPr>
          <w:rFonts w:hint="default" w:ascii="Times New Roman" w:hAnsi="Times New Roman" w:eastAsia="楷体_GB2312" w:cs="Times New Roman"/>
          <w:color w:val="auto"/>
          <w:kern w:val="28"/>
          <w:sz w:val="32"/>
          <w:highlight w:val="none"/>
          <w:lang w:val="en-US" w:eastAsia="zh-CN"/>
        </w:rPr>
        <w:t>详情见</w:t>
      </w:r>
      <w:r>
        <w:rPr>
          <w:rFonts w:hint="eastAsia" w:ascii="Times New Roman" w:hAnsi="Times New Roman" w:eastAsia="楷体_GB2312" w:cs="Times New Roman"/>
          <w:color w:val="auto"/>
          <w:kern w:val="28"/>
          <w:sz w:val="32"/>
          <w:highlight w:val="none"/>
          <w:lang w:val="en-US" w:eastAsia="zh-CN"/>
        </w:rPr>
        <w:t>附件二）、评价方法、评价标准</w:t>
      </w:r>
      <w:bookmarkEnd w:id="65"/>
      <w:bookmarkEnd w:id="66"/>
    </w:p>
    <w:p>
      <w:pPr>
        <w:pStyle w:val="4"/>
        <w:pageBreakBefore w:val="0"/>
        <w:kinsoku/>
        <w:wordWrap/>
        <w:overflowPunct/>
        <w:topLinePunct w:val="0"/>
        <w:autoSpaceDE/>
        <w:autoSpaceDN/>
        <w:bidi w:val="0"/>
        <w:adjustRightInd/>
        <w:spacing w:line="560" w:lineRule="exact"/>
        <w:textAlignment w:val="auto"/>
        <w:rPr>
          <w:rFonts w:hint="eastAsia" w:ascii="Times New Roman" w:hAnsi="Times New Roman" w:eastAsia="仿宋_GB2312" w:cs="Times New Roman"/>
          <w:b/>
          <w:bCs/>
          <w:color w:val="auto"/>
          <w:kern w:val="2"/>
          <w:sz w:val="32"/>
          <w:szCs w:val="32"/>
          <w:highlight w:val="none"/>
          <w:lang w:val="en-US" w:eastAsia="zh-CN" w:bidi="ar-SA"/>
        </w:rPr>
      </w:pPr>
      <w:bookmarkStart w:id="67" w:name="_Toc5354"/>
      <w:bookmarkStart w:id="68" w:name="_Toc13694"/>
      <w:bookmarkStart w:id="69" w:name="_Toc24506"/>
      <w:r>
        <w:rPr>
          <w:rFonts w:hint="eastAsia" w:ascii="Times New Roman" w:hAnsi="Times New Roman" w:eastAsia="仿宋_GB2312" w:cs="Times New Roman"/>
          <w:b/>
          <w:bCs/>
          <w:color w:val="auto"/>
          <w:kern w:val="2"/>
          <w:sz w:val="32"/>
          <w:szCs w:val="32"/>
          <w:highlight w:val="none"/>
          <w:lang w:val="en-US" w:eastAsia="zh-CN" w:bidi="ar-SA"/>
        </w:rPr>
        <w:t>1.绩效评价原则</w:t>
      </w:r>
      <w:bookmarkEnd w:id="67"/>
      <w:bookmarkEnd w:id="68"/>
      <w:bookmarkEnd w:id="69"/>
    </w:p>
    <w:p>
      <w:pPr>
        <w:spacing w:line="56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依据《财政支出绩效评价管理暂行办法》（财预〔20</w:t>
      </w:r>
      <w:r>
        <w:rPr>
          <w:rFonts w:hint="eastAsia" w:ascii="Times New Roman" w:hAnsi="Times New Roman" w:eastAsia="仿宋_GB2312" w:cs="Times New Roman"/>
          <w:color w:val="auto"/>
          <w:sz w:val="32"/>
          <w:szCs w:val="32"/>
          <w:highlight w:val="none"/>
          <w:lang w:val="en-US" w:eastAsia="zh-CN"/>
        </w:rPr>
        <w:t>20</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sz w:val="32"/>
          <w:szCs w:val="32"/>
          <w:highlight w:val="none"/>
          <w:lang w:eastAsia="zh-CN"/>
        </w:rPr>
        <w:t>号）本次绩效评价秉承科学规范、公正公开、分级分类、绩效相关等原则，按照从投入、过程到产出效果和影响的绩效逻辑路径，结合</w:t>
      </w:r>
      <w:r>
        <w:rPr>
          <w:rFonts w:hint="eastAsia" w:ascii="仿宋_GB2312" w:hAnsi="仿宋_GB2312" w:eastAsia="仿宋_GB2312" w:cs="仿宋_GB2312"/>
          <w:bCs/>
          <w:color w:val="auto"/>
          <w:sz w:val="32"/>
          <w:szCs w:val="32"/>
          <w:highlight w:val="none"/>
          <w:lang w:val="en-US" w:eastAsia="zh-CN"/>
        </w:rPr>
        <w:t>草原生态保护补助奖励</w:t>
      </w:r>
      <w:r>
        <w:rPr>
          <w:rFonts w:hint="eastAsia" w:ascii="Times New Roman" w:hAnsi="Times New Roman" w:eastAsia="仿宋_GB2312" w:cs="Times New Roman"/>
          <w:color w:val="auto"/>
          <w:sz w:val="32"/>
          <w:szCs w:val="32"/>
          <w:highlight w:val="none"/>
          <w:lang w:eastAsia="zh-CN"/>
        </w:rPr>
        <w:t>实际开展情况，运用定量和定性分析相结合的方法，总结经验做法，反思项目实施和管理中的问题，以切实提升财政资金管理的科学化、规范化和精细化水平。</w:t>
      </w:r>
    </w:p>
    <w:p>
      <w:pPr>
        <w:spacing w:line="56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根据以上原则，绩效评价应遵循如下要求：</w:t>
      </w:r>
    </w:p>
    <w:p>
      <w:pPr>
        <w:spacing w:line="56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eastAsia="zh-CN"/>
        </w:rPr>
        <w:t>）科学公正。绩效评价应当运用科学合理的方法，按照规范的程序，对项目绩效进行客观、公正的反映。</w:t>
      </w:r>
    </w:p>
    <w:p>
      <w:pPr>
        <w:spacing w:line="56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eastAsia="zh-CN"/>
        </w:rPr>
        <w:t>）统筹兼顾。单位自评、部门评价和财政评价应职责明确，各有侧重，相互衔接。单位自评应由项目单位自主实施，即“谁支出、谁自评”。</w:t>
      </w:r>
    </w:p>
    <w:p>
      <w:pPr>
        <w:spacing w:line="56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eastAsia="zh-CN"/>
        </w:rPr>
        <w:t>）激励约束。绩效评价结果应与预算安排、政策调整、改进管理实质性挂钩，体现奖优罚劣和激励相容导向，有效要安排、低效要压减、无效要问责。</w:t>
      </w:r>
    </w:p>
    <w:p>
      <w:pPr>
        <w:spacing w:line="56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lang w:eastAsia="zh-CN"/>
        </w:rPr>
        <w:t>）公开透明。绩效评价结果应依法依规公开，并自觉接受社会监督。</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eastAsia="zh-CN"/>
        </w:rPr>
      </w:pPr>
      <w:bookmarkStart w:id="70" w:name="_Toc419984722"/>
      <w:bookmarkStart w:id="71" w:name="_Toc26131"/>
      <w:bookmarkStart w:id="72" w:name="_Toc1913"/>
      <w:bookmarkStart w:id="73" w:name="_Toc428278230"/>
      <w:bookmarkStart w:id="74" w:name="_Toc24396"/>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绩效评价指标体系</w:t>
      </w:r>
      <w:bookmarkEnd w:id="70"/>
      <w:bookmarkEnd w:id="71"/>
      <w:bookmarkEnd w:id="72"/>
      <w:bookmarkEnd w:id="73"/>
      <w:bookmarkEnd w:id="74"/>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auto"/>
          <w:spacing w:val="17"/>
          <w:sz w:val="32"/>
          <w:szCs w:val="32"/>
          <w:highlight w:val="none"/>
        </w:rPr>
      </w:pPr>
      <w:bookmarkStart w:id="75" w:name="_Toc9941"/>
      <w:r>
        <w:rPr>
          <w:rFonts w:hint="eastAsia" w:ascii="仿宋_GB2312" w:hAnsi="仿宋_GB2312" w:eastAsia="仿宋_GB2312" w:cs="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auto"/>
          <w:spacing w:val="17"/>
          <w:sz w:val="32"/>
          <w:szCs w:val="32"/>
          <w:highlight w:val="none"/>
        </w:rPr>
      </w:pPr>
      <w:r>
        <w:rPr>
          <w:rFonts w:hint="eastAsia" w:ascii="仿宋_GB2312" w:hAnsi="仿宋_GB2312" w:eastAsia="仿宋_GB2312" w:cs="仿宋_GB2312"/>
          <w:color w:val="auto"/>
          <w:spacing w:val="17"/>
          <w:sz w:val="32"/>
          <w:szCs w:val="32"/>
          <w:highlight w:val="none"/>
        </w:rPr>
        <w:t>（1）确定评价指标</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auto"/>
          <w:spacing w:val="17"/>
          <w:sz w:val="32"/>
          <w:szCs w:val="32"/>
          <w:highlight w:val="none"/>
        </w:rPr>
      </w:pPr>
      <w:r>
        <w:rPr>
          <w:rFonts w:hint="eastAsia" w:ascii="仿宋_GB2312" w:hAnsi="仿宋_GB2312" w:eastAsia="仿宋_GB2312" w:cs="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auto"/>
          <w:spacing w:val="17"/>
          <w:sz w:val="32"/>
          <w:szCs w:val="32"/>
          <w:highlight w:val="none"/>
        </w:rPr>
      </w:pPr>
      <w:r>
        <w:rPr>
          <w:rFonts w:hint="eastAsia" w:ascii="仿宋_GB2312" w:hAnsi="仿宋_GB2312" w:eastAsia="仿宋_GB2312" w:cs="仿宋_GB2312"/>
          <w:color w:val="auto"/>
          <w:spacing w:val="17"/>
          <w:sz w:val="32"/>
          <w:szCs w:val="32"/>
          <w:highlight w:val="none"/>
        </w:rPr>
        <w:t>（2）确定权重</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auto"/>
          <w:spacing w:val="17"/>
          <w:sz w:val="32"/>
          <w:szCs w:val="32"/>
          <w:highlight w:val="none"/>
          <w:lang w:eastAsia="zh-CN"/>
        </w:rPr>
      </w:pPr>
      <w:r>
        <w:rPr>
          <w:rFonts w:hint="eastAsia" w:ascii="仿宋_GB2312" w:hAnsi="仿宋_GB2312" w:eastAsia="仿宋_GB2312" w:cs="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auto"/>
          <w:spacing w:val="17"/>
          <w:sz w:val="32"/>
          <w:szCs w:val="32"/>
          <w:highlight w:val="none"/>
        </w:rPr>
      </w:pPr>
      <w:r>
        <w:rPr>
          <w:rFonts w:hint="eastAsia" w:ascii="仿宋_GB2312" w:hAnsi="仿宋_GB2312" w:eastAsia="仿宋_GB2312" w:cs="仿宋_GB2312"/>
          <w:color w:val="auto"/>
          <w:spacing w:val="17"/>
          <w:sz w:val="32"/>
          <w:szCs w:val="32"/>
          <w:highlight w:val="none"/>
        </w:rPr>
        <w:t>（3）确定指标标准值</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auto"/>
          <w:spacing w:val="17"/>
          <w:sz w:val="32"/>
          <w:szCs w:val="32"/>
          <w:highlight w:val="none"/>
        </w:rPr>
      </w:pPr>
      <w:r>
        <w:rPr>
          <w:rFonts w:hint="eastAsia" w:ascii="仿宋_GB2312" w:hAnsi="仿宋_GB2312" w:eastAsia="仿宋_GB2312" w:cs="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auto"/>
          <w:spacing w:val="17"/>
          <w:sz w:val="32"/>
          <w:szCs w:val="32"/>
          <w:highlight w:val="none"/>
        </w:rPr>
      </w:pPr>
      <w:r>
        <w:rPr>
          <w:rFonts w:hint="eastAsia" w:ascii="仿宋_GB2312" w:hAnsi="仿宋_GB2312" w:eastAsia="仿宋_GB2312" w:cs="仿宋_GB2312"/>
          <w:color w:val="auto"/>
          <w:spacing w:val="17"/>
          <w:sz w:val="32"/>
          <w:szCs w:val="32"/>
          <w:highlight w:val="none"/>
        </w:rPr>
        <w:t>绩效评价总分值100分，根据综合评分结果，90（含）-100分为优、80（含）-90分为良、60（含）-80分为中、60分以下为差。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w:t>
      </w:r>
      <w:r>
        <w:rPr>
          <w:rFonts w:hint="eastAsia" w:ascii="仿宋_GB2312" w:hAnsi="仿宋_GB2312" w:eastAsia="仿宋_GB2312" w:cs="仿宋_GB2312"/>
          <w:color w:val="auto"/>
          <w:sz w:val="32"/>
          <w:szCs w:val="32"/>
          <w:highlight w:val="none"/>
          <w:lang w:val="zh-TW" w:eastAsia="zh-TW"/>
        </w:rPr>
        <w:t>根据项目的</w:t>
      </w:r>
      <w:r>
        <w:rPr>
          <w:rFonts w:hint="eastAsia" w:ascii="仿宋_GB2312" w:hAnsi="仿宋_GB2312" w:eastAsia="仿宋_GB2312" w:cs="仿宋_GB2312"/>
          <w:color w:val="auto"/>
          <w:sz w:val="32"/>
          <w:szCs w:val="32"/>
          <w:highlight w:val="none"/>
          <w:lang w:val="en-US" w:eastAsia="zh-CN"/>
        </w:rPr>
        <w:t>实施</w:t>
      </w:r>
      <w:r>
        <w:rPr>
          <w:rFonts w:hint="eastAsia" w:ascii="仿宋_GB2312" w:hAnsi="仿宋_GB2312" w:eastAsia="仿宋_GB2312" w:cs="仿宋_GB2312"/>
          <w:color w:val="auto"/>
          <w:sz w:val="32"/>
          <w:szCs w:val="32"/>
          <w:highlight w:val="none"/>
          <w:lang w:val="zh-TW" w:eastAsia="zh-TW"/>
        </w:rPr>
        <w:t>资料研读及前期调研，结合项目的实际开展情况，最终形成了项目绩效评价指标体系</w:t>
      </w:r>
      <w:r>
        <w:rPr>
          <w:rFonts w:hint="eastAsia" w:ascii="仿宋_GB2312" w:hAnsi="仿宋_GB2312" w:eastAsia="仿宋_GB2312" w:cs="仿宋_GB2312"/>
          <w:color w:val="auto"/>
          <w:sz w:val="32"/>
          <w:szCs w:val="32"/>
          <w:highlight w:val="none"/>
          <w:lang w:val="zh-TW" w:eastAsia="zh-CN"/>
        </w:rPr>
        <w:t>，</w:t>
      </w:r>
      <w:r>
        <w:rPr>
          <w:rFonts w:hint="eastAsia" w:ascii="仿宋_GB2312" w:hAnsi="仿宋_GB2312" w:eastAsia="仿宋_GB2312" w:cs="仿宋_GB2312"/>
          <w:color w:val="auto"/>
          <w:sz w:val="32"/>
          <w:szCs w:val="32"/>
          <w:highlight w:val="none"/>
          <w:lang w:val="en-US" w:eastAsia="zh-CN"/>
        </w:rPr>
        <w:t>详见上传的附件二。</w:t>
      </w:r>
    </w:p>
    <w:p>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76" w:name="_Toc30114"/>
      <w:bookmarkStart w:id="77" w:name="_Toc5690"/>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评价</w:t>
      </w:r>
      <w:r>
        <w:rPr>
          <w:rFonts w:hint="eastAsia" w:ascii="仿宋_GB2312" w:hAnsi="仿宋_GB2312" w:eastAsia="仿宋_GB2312" w:cs="仿宋_GB2312"/>
          <w:color w:val="auto"/>
          <w:sz w:val="32"/>
          <w:szCs w:val="32"/>
          <w:highlight w:val="none"/>
          <w:shd w:val="clear" w:color="auto" w:fill="auto"/>
          <w:lang w:val="en-US" w:eastAsia="zh-CN"/>
        </w:rPr>
        <w:t>方法</w:t>
      </w:r>
      <w:bookmarkEnd w:id="75"/>
      <w:bookmarkEnd w:id="76"/>
      <w:bookmarkEnd w:id="77"/>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auto"/>
          <w:spacing w:val="17"/>
          <w:sz w:val="32"/>
          <w:szCs w:val="32"/>
          <w:highlight w:val="none"/>
        </w:rPr>
      </w:pPr>
      <w:bookmarkStart w:id="78" w:name="_Toc25391"/>
      <w:r>
        <w:rPr>
          <w:rFonts w:hint="eastAsia" w:ascii="仿宋_GB2312" w:hAnsi="仿宋_GB2312" w:eastAsia="仿宋_GB2312" w:cs="仿宋_GB2312"/>
          <w:color w:val="auto"/>
          <w:spacing w:val="17"/>
          <w:sz w:val="32"/>
          <w:szCs w:val="32"/>
          <w:highlight w:val="none"/>
        </w:rPr>
        <w:t>绩效评价从项目决策、项目过程、项目产出、项目效益四个维度进行评价。评价对象为项目目标实施情况</w:t>
      </w:r>
      <w:r>
        <w:rPr>
          <w:rFonts w:hint="eastAsia" w:ascii="仿宋_GB2312" w:hAnsi="仿宋_GB2312" w:eastAsia="仿宋_GB2312" w:cs="仿宋_GB2312"/>
          <w:color w:val="auto"/>
          <w:spacing w:val="17"/>
          <w:sz w:val="32"/>
          <w:szCs w:val="32"/>
          <w:highlight w:val="none"/>
          <w:lang w:eastAsia="zh-CN"/>
        </w:rPr>
        <w:t>，</w:t>
      </w:r>
      <w:r>
        <w:rPr>
          <w:rFonts w:hint="eastAsia" w:ascii="仿宋_GB2312" w:hAnsi="仿宋_GB2312" w:eastAsia="仿宋_GB2312" w:cs="仿宋_GB2312"/>
          <w:color w:val="auto"/>
          <w:spacing w:val="17"/>
          <w:sz w:val="32"/>
          <w:szCs w:val="32"/>
          <w:highlight w:val="none"/>
        </w:rPr>
        <w:t>评价核心为资金的支出完成情况和项目的产出效益。</w:t>
      </w:r>
    </w:p>
    <w:p>
      <w:pPr>
        <w:pStyle w:val="6"/>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ascii="Times New Roman" w:hAnsi="Times New Roman" w:eastAsia="仿宋_GB2312" w:cs="Times New Roman"/>
          <w:color w:val="auto"/>
          <w:spacing w:val="17"/>
          <w:sz w:val="32"/>
          <w:szCs w:val="32"/>
          <w:highlight w:val="none"/>
          <w:lang w:val="en-US" w:eastAsia="zh-CN"/>
        </w:rPr>
        <w:t>1</w:t>
      </w:r>
      <w:r>
        <w:rPr>
          <w:rFonts w:hint="default" w:ascii="Times New Roman" w:hAnsi="Times New Roman" w:eastAsia="仿宋_GB2312" w:cs="Times New Roman"/>
          <w:color w:val="auto"/>
          <w:spacing w:val="17"/>
          <w:sz w:val="32"/>
          <w:szCs w:val="32"/>
          <w:highlight w:val="none"/>
        </w:rPr>
        <w:t>）因素分析法。是指综合分析影响绩效目标实现、实施效果的内外部因素的方法。</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ascii="Times New Roman" w:hAnsi="Times New Roman" w:eastAsia="仿宋_GB2312" w:cs="Times New Roman"/>
          <w:color w:val="auto"/>
          <w:spacing w:val="17"/>
          <w:sz w:val="32"/>
          <w:szCs w:val="32"/>
          <w:highlight w:val="none"/>
          <w:lang w:val="en-US" w:eastAsia="zh-CN"/>
        </w:rPr>
        <w:t>2</w:t>
      </w:r>
      <w:r>
        <w:rPr>
          <w:rFonts w:hint="default" w:ascii="Times New Roman" w:hAnsi="Times New Roman" w:eastAsia="仿宋_GB2312" w:cs="Times New Roman"/>
          <w:color w:val="auto"/>
          <w:spacing w:val="17"/>
          <w:sz w:val="32"/>
          <w:szCs w:val="32"/>
          <w:highlight w:val="none"/>
        </w:rPr>
        <w:t>）公众评判法。是指通过专家评估、公众问卷及抽样调查等方式进行评判的方法。</w:t>
      </w:r>
    </w:p>
    <w:p>
      <w:pPr>
        <w:spacing w:line="560" w:lineRule="exact"/>
        <w:ind w:firstLine="708" w:firstLineChars="200"/>
        <w:rPr>
          <w:rFonts w:hint="default" w:ascii="Times New Roman" w:hAnsi="Times New Roman" w:eastAsia="仿宋_GB2312" w:cs="Times New Roman"/>
          <w:color w:val="auto"/>
          <w:spacing w:val="17"/>
          <w:sz w:val="32"/>
          <w:szCs w:val="32"/>
          <w:highlight w:val="none"/>
          <w:lang w:val="en-US" w:eastAsia="zh-CN"/>
        </w:rPr>
      </w:pPr>
      <w:bookmarkStart w:id="79" w:name="_Toc25651"/>
      <w:bookmarkStart w:id="80" w:name="_Toc6081"/>
      <w:r>
        <w:rPr>
          <w:rFonts w:hint="eastAsia" w:ascii="Times New Roman" w:hAnsi="Times New Roman" w:eastAsia="仿宋_GB2312" w:cs="Times New Roman"/>
          <w:color w:val="auto"/>
          <w:spacing w:val="17"/>
          <w:sz w:val="32"/>
          <w:szCs w:val="32"/>
          <w:highlight w:val="none"/>
          <w:lang w:val="en-US" w:eastAsia="zh-CN"/>
        </w:rPr>
        <w:t>按照区州有关工作安排通过开展每季度走访入户抽查禁牧区和草畜平和区域核查工作；禁牧区内无存在违规放牧情况和草畜平和区域无超载情况；走访入户群众对草原生态保护补助奖励项目工作绩效满意度评价、通过开展此项工作牧民对此项政策满意绿95%以上。通过开展草地监测工作、草原植被恢复费监测、草原植被平均高度13.63厘米，植被盖度34.5%、鲜草量1296.99公斤/公顷。</w:t>
      </w:r>
    </w:p>
    <w:p>
      <w:pPr>
        <w:pStyle w:val="4"/>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4.评价标准</w:t>
      </w:r>
      <w:bookmarkEnd w:id="78"/>
      <w:bookmarkEnd w:id="79"/>
      <w:bookmarkEnd w:id="80"/>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color w:val="auto"/>
          <w:spacing w:val="17"/>
          <w:sz w:val="32"/>
          <w:szCs w:val="32"/>
          <w:highlight w:val="none"/>
          <w:lang w:eastAsia="zh-CN"/>
        </w:rPr>
        <w:t>计划指标和</w:t>
      </w:r>
      <w:r>
        <w:rPr>
          <w:rFonts w:hint="default" w:ascii="Times New Roman" w:hAnsi="Times New Roman" w:eastAsia="仿宋_GB2312" w:cs="Times New Roman"/>
          <w:color w:val="auto"/>
          <w:spacing w:val="17"/>
          <w:sz w:val="32"/>
          <w:szCs w:val="32"/>
          <w:highlight w:val="none"/>
        </w:rPr>
        <w:t>财政部门和预算部门确认或认可的其他标准。</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lang w:eastAsia="zh-CN"/>
        </w:rPr>
        <w:t>（</w:t>
      </w:r>
      <w:r>
        <w:rPr>
          <w:rFonts w:hint="default" w:ascii="Times New Roman" w:hAnsi="Times New Roman" w:eastAsia="仿宋_GB2312" w:cs="Times New Roman"/>
          <w:color w:val="auto"/>
          <w:spacing w:val="17"/>
          <w:sz w:val="32"/>
          <w:szCs w:val="32"/>
          <w:highlight w:val="none"/>
          <w:lang w:val="en-US" w:eastAsia="zh-CN"/>
        </w:rPr>
        <w:t>1</w:t>
      </w:r>
      <w:r>
        <w:rPr>
          <w:rFonts w:hint="default" w:ascii="Times New Roman" w:hAnsi="Times New Roman" w:eastAsia="仿宋_GB2312" w:cs="Times New Roman"/>
          <w:color w:val="auto"/>
          <w:spacing w:val="17"/>
          <w:sz w:val="32"/>
          <w:szCs w:val="32"/>
          <w:highlight w:val="none"/>
          <w:lang w:eastAsia="zh-CN"/>
        </w:rPr>
        <w:t>）</w:t>
      </w:r>
      <w:r>
        <w:rPr>
          <w:rFonts w:hint="default" w:ascii="Times New Roman" w:hAnsi="Times New Roman" w:eastAsia="仿宋_GB2312" w:cs="Times New Roman"/>
          <w:color w:val="auto"/>
          <w:spacing w:val="17"/>
          <w:sz w:val="32"/>
          <w:szCs w:val="32"/>
          <w:highlight w:val="none"/>
        </w:rPr>
        <w:t>计划标准。指以预先制定的目标、计划、预算、定额等作为评价标准。</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lang w:eastAsia="zh-CN"/>
        </w:rPr>
        <w:t>（</w:t>
      </w:r>
      <w:r>
        <w:rPr>
          <w:rFonts w:hint="default" w:ascii="Times New Roman" w:hAnsi="Times New Roman" w:eastAsia="仿宋_GB2312" w:cs="Times New Roman"/>
          <w:color w:val="auto"/>
          <w:spacing w:val="17"/>
          <w:sz w:val="32"/>
          <w:szCs w:val="32"/>
          <w:highlight w:val="none"/>
          <w:lang w:val="en-US" w:eastAsia="zh-CN"/>
        </w:rPr>
        <w:t>2</w:t>
      </w:r>
      <w:r>
        <w:rPr>
          <w:rFonts w:hint="default" w:ascii="Times New Roman" w:hAnsi="Times New Roman" w:eastAsia="仿宋_GB2312" w:cs="Times New Roman"/>
          <w:color w:val="auto"/>
          <w:spacing w:val="17"/>
          <w:sz w:val="32"/>
          <w:szCs w:val="32"/>
          <w:highlight w:val="none"/>
          <w:lang w:eastAsia="zh-CN"/>
        </w:rPr>
        <w:t>）</w:t>
      </w:r>
      <w:r>
        <w:rPr>
          <w:rFonts w:hint="default" w:ascii="Times New Roman" w:hAnsi="Times New Roman" w:eastAsia="仿宋_GB2312" w:cs="Times New Roman"/>
          <w:color w:val="auto"/>
          <w:spacing w:val="17"/>
          <w:sz w:val="32"/>
          <w:szCs w:val="32"/>
          <w:highlight w:val="none"/>
        </w:rPr>
        <w:t>财政部门和预算部门确认或认可的其他标准。</w:t>
      </w:r>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81" w:name="_Toc21435"/>
      <w:r>
        <w:rPr>
          <w:rFonts w:hint="eastAsia" w:ascii="Times New Roman" w:hAnsi="Times New Roman" w:eastAsia="楷体_GB2312" w:cs="Times New Roman"/>
          <w:color w:val="auto"/>
          <w:kern w:val="28"/>
          <w:sz w:val="32"/>
          <w:highlight w:val="none"/>
          <w:lang w:val="en-US" w:eastAsia="zh-CN"/>
        </w:rPr>
        <w:t>（三）绩效评价工作过程</w:t>
      </w:r>
      <w:bookmarkEnd w:id="81"/>
    </w:p>
    <w:p>
      <w:pPr>
        <w:spacing w:line="560" w:lineRule="exact"/>
        <w:ind w:firstLine="711" w:firstLineChars="200"/>
        <w:rPr>
          <w:rFonts w:hint="eastAsia" w:ascii="Times New Roman" w:hAnsi="Times New Roman" w:eastAsia="仿宋_GB2312" w:cs="Times New Roman"/>
          <w:b/>
          <w:bCs/>
          <w:color w:val="auto"/>
          <w:spacing w:val="17"/>
          <w:sz w:val="32"/>
          <w:szCs w:val="32"/>
          <w:highlight w:val="none"/>
          <w:lang w:val="en-US" w:eastAsia="zh-CN"/>
        </w:rPr>
      </w:pPr>
      <w:bookmarkStart w:id="82" w:name="_Toc12862"/>
      <w:r>
        <w:rPr>
          <w:rFonts w:hint="eastAsia" w:ascii="Times New Roman" w:hAnsi="Times New Roman" w:eastAsia="仿宋_GB2312" w:cs="Times New Roman"/>
          <w:b/>
          <w:bCs/>
          <w:color w:val="auto"/>
          <w:spacing w:val="17"/>
          <w:sz w:val="32"/>
          <w:szCs w:val="32"/>
          <w:highlight w:val="none"/>
          <w:lang w:val="en-US" w:eastAsia="zh-CN"/>
        </w:rPr>
        <w:t>1.前期准备</w:t>
      </w:r>
      <w:bookmarkEnd w:id="82"/>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r>
        <w:rPr>
          <w:rFonts w:hint="eastAsia" w:ascii="Times New Roman" w:hAnsi="Times New Roman" w:eastAsia="仿宋_GB2312" w:cs="Times New Roman"/>
          <w:color w:val="auto"/>
          <w:spacing w:val="17"/>
          <w:sz w:val="32"/>
          <w:szCs w:val="32"/>
          <w:highlight w:val="none"/>
          <w:lang w:val="en-US" w:eastAsia="zh-CN"/>
        </w:rPr>
        <w:t>（1）成立绩效评价项目小组</w:t>
      </w:r>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r>
        <w:rPr>
          <w:rFonts w:hint="eastAsia" w:ascii="Times New Roman" w:hAnsi="Times New Roman" w:eastAsia="仿宋_GB2312" w:cs="Times New Roman"/>
          <w:color w:val="auto"/>
          <w:spacing w:val="17"/>
          <w:sz w:val="32"/>
          <w:szCs w:val="32"/>
          <w:highlight w:val="none"/>
          <w:lang w:val="en-US" w:eastAsia="zh-CN"/>
        </w:rPr>
        <w:t>为确保该项目绩效评价的顺利实施，评价机构组建了绩效评价项目小组。项目小组负责建立联络制度、明确评价责任人、制定评价方案、实施具体评价等工作。</w:t>
      </w:r>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83" w:name="_Toc31571"/>
      <w:r>
        <w:rPr>
          <w:rFonts w:hint="eastAsia" w:ascii="Times New Roman" w:hAnsi="Times New Roman" w:eastAsia="仿宋_GB2312" w:cs="Times New Roman"/>
          <w:color w:val="auto"/>
          <w:spacing w:val="17"/>
          <w:sz w:val="32"/>
          <w:szCs w:val="32"/>
          <w:highlight w:val="none"/>
          <w:lang w:val="en-US" w:eastAsia="zh-CN"/>
        </w:rPr>
        <w:t>（2）开展前期调研</w:t>
      </w:r>
      <w:bookmarkEnd w:id="83"/>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84" w:name="_Toc21240"/>
      <w:r>
        <w:rPr>
          <w:rFonts w:hint="eastAsia" w:ascii="Times New Roman" w:hAnsi="Times New Roman" w:eastAsia="仿宋_GB2312" w:cs="Times New Roman"/>
          <w:color w:val="auto"/>
          <w:spacing w:val="17"/>
          <w:sz w:val="32"/>
          <w:szCs w:val="32"/>
          <w:highlight w:val="none"/>
          <w:lang w:val="en-US" w:eastAsia="zh-CN"/>
        </w:rPr>
        <w:t>绩效评价项目小组依据此次绩效评价受委托内容，对拟评价的项目实施前期调研。通过调研对</w:t>
      </w:r>
      <w:r>
        <w:rPr>
          <w:rFonts w:hint="eastAsia" w:ascii="仿宋_GB2312" w:hAnsi="仿宋_GB2312" w:eastAsia="仿宋_GB2312" w:cs="仿宋_GB2312"/>
          <w:bCs/>
          <w:color w:val="auto"/>
          <w:sz w:val="32"/>
          <w:szCs w:val="32"/>
          <w:highlight w:val="none"/>
          <w:lang w:val="en-US" w:eastAsia="zh-CN"/>
        </w:rPr>
        <w:t>草原生态保护补助奖励</w:t>
      </w:r>
      <w:r>
        <w:rPr>
          <w:rFonts w:hint="eastAsia" w:ascii="Times New Roman" w:hAnsi="Times New Roman" w:eastAsia="仿宋_GB2312" w:cs="Times New Roman"/>
          <w:color w:val="auto"/>
          <w:spacing w:val="17"/>
          <w:sz w:val="32"/>
          <w:szCs w:val="32"/>
          <w:highlight w:val="none"/>
          <w:lang w:val="en-US" w:eastAsia="zh-CN"/>
        </w:rPr>
        <w:t>实施内容、目标信息、预算信息以及其他的一些项目基本信息，有了初步了解，为制定绩效评价工作方案做好准备。</w:t>
      </w:r>
      <w:bookmarkEnd w:id="84"/>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85" w:name="_Toc27977"/>
      <w:r>
        <w:rPr>
          <w:rFonts w:hint="eastAsia" w:ascii="Times New Roman" w:hAnsi="Times New Roman" w:eastAsia="仿宋_GB2312" w:cs="Times New Roman"/>
          <w:color w:val="auto"/>
          <w:spacing w:val="17"/>
          <w:sz w:val="32"/>
          <w:szCs w:val="32"/>
          <w:highlight w:val="none"/>
          <w:lang w:val="en-US" w:eastAsia="zh-CN"/>
        </w:rPr>
        <w:t>（3）制订绩效评价工作方案</w:t>
      </w:r>
      <w:bookmarkEnd w:id="85"/>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86" w:name="_Toc19659"/>
      <w:r>
        <w:rPr>
          <w:rFonts w:hint="eastAsia" w:ascii="Times New Roman" w:hAnsi="Times New Roman" w:eastAsia="仿宋_GB2312" w:cs="Times New Roman"/>
          <w:color w:val="auto"/>
          <w:spacing w:val="17"/>
          <w:sz w:val="32"/>
          <w:szCs w:val="32"/>
          <w:highlight w:val="none"/>
          <w:lang w:val="en-US" w:eastAsia="zh-CN"/>
        </w:rPr>
        <w:t>绩效评价项目小组根据有关规定和评价对象的特点以及前期调研收集的一些信息，拟定详细的绩效评价工作方案。</w:t>
      </w:r>
      <w:bookmarkEnd w:id="86"/>
    </w:p>
    <w:p>
      <w:pPr>
        <w:spacing w:line="560" w:lineRule="exact"/>
        <w:ind w:firstLine="711" w:firstLineChars="200"/>
        <w:rPr>
          <w:rFonts w:hint="eastAsia" w:ascii="Times New Roman" w:hAnsi="Times New Roman" w:eastAsia="仿宋_GB2312" w:cs="Times New Roman"/>
          <w:b/>
          <w:bCs/>
          <w:color w:val="auto"/>
          <w:spacing w:val="17"/>
          <w:sz w:val="32"/>
          <w:szCs w:val="32"/>
          <w:highlight w:val="none"/>
          <w:lang w:val="en-US" w:eastAsia="zh-CN"/>
        </w:rPr>
      </w:pPr>
      <w:bookmarkStart w:id="87" w:name="_Toc11353"/>
      <w:r>
        <w:rPr>
          <w:rFonts w:hint="eastAsia" w:ascii="Times New Roman" w:hAnsi="Times New Roman" w:eastAsia="仿宋_GB2312" w:cs="Times New Roman"/>
          <w:b/>
          <w:bCs/>
          <w:color w:val="auto"/>
          <w:spacing w:val="17"/>
          <w:sz w:val="32"/>
          <w:szCs w:val="32"/>
          <w:highlight w:val="none"/>
          <w:lang w:val="en-US" w:eastAsia="zh-CN"/>
        </w:rPr>
        <w:t>2.具体实施</w:t>
      </w:r>
      <w:bookmarkEnd w:id="87"/>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88" w:name="_Toc14111"/>
      <w:r>
        <w:rPr>
          <w:rFonts w:hint="eastAsia" w:ascii="Times New Roman" w:hAnsi="Times New Roman" w:eastAsia="仿宋_GB2312" w:cs="Times New Roman"/>
          <w:color w:val="auto"/>
          <w:spacing w:val="17"/>
          <w:sz w:val="32"/>
          <w:szCs w:val="32"/>
          <w:highlight w:val="none"/>
          <w:lang w:val="en-US" w:eastAsia="zh-CN"/>
        </w:rPr>
        <w:t>（1）收集基础资料</w:t>
      </w:r>
      <w:bookmarkEnd w:id="88"/>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89" w:name="_Toc28524"/>
      <w:r>
        <w:rPr>
          <w:rFonts w:hint="eastAsia" w:ascii="Times New Roman" w:hAnsi="Times New Roman" w:eastAsia="仿宋_GB2312" w:cs="Times New Roman"/>
          <w:color w:val="auto"/>
          <w:spacing w:val="17"/>
          <w:sz w:val="32"/>
          <w:szCs w:val="32"/>
          <w:highlight w:val="none"/>
          <w:lang w:val="en-US" w:eastAsia="zh-CN"/>
        </w:rPr>
        <w:t>根据评价工作的需要和要求，在前期调研的基础上，通过多种渠道全面收集项目基础信息资料，主要包括：</w:t>
      </w:r>
      <w:bookmarkEnd w:id="89"/>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90" w:name="_Toc32216"/>
      <w:r>
        <w:rPr>
          <w:rFonts w:hint="eastAsia" w:ascii="Times New Roman" w:hAnsi="Times New Roman" w:eastAsia="仿宋_GB2312" w:cs="Times New Roman"/>
          <w:color w:val="auto"/>
          <w:spacing w:val="17"/>
          <w:sz w:val="32"/>
          <w:szCs w:val="32"/>
          <w:highlight w:val="none"/>
          <w:lang w:val="en-US" w:eastAsia="zh-CN"/>
        </w:rPr>
        <w:t>①被评价单位基本概况，如单位职能、事业发展规划、预决算情况、项目立项依据等；</w:t>
      </w:r>
      <w:bookmarkEnd w:id="90"/>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91" w:name="_Toc10505"/>
      <w:r>
        <w:rPr>
          <w:rFonts w:hint="eastAsia" w:ascii="Times New Roman" w:hAnsi="Times New Roman" w:eastAsia="仿宋_GB2312" w:cs="Times New Roman"/>
          <w:color w:val="auto"/>
          <w:spacing w:val="17"/>
          <w:sz w:val="32"/>
          <w:szCs w:val="32"/>
          <w:highlight w:val="none"/>
          <w:lang w:val="en-US" w:eastAsia="zh-CN"/>
        </w:rPr>
        <w:t>②绩效目标及其设立依据和调整情况；</w:t>
      </w:r>
      <w:bookmarkEnd w:id="91"/>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92" w:name="_Toc28365"/>
      <w:r>
        <w:rPr>
          <w:rFonts w:hint="eastAsia" w:ascii="Times New Roman" w:hAnsi="Times New Roman" w:eastAsia="仿宋_GB2312" w:cs="Times New Roman"/>
          <w:color w:val="auto"/>
          <w:spacing w:val="17"/>
          <w:sz w:val="32"/>
          <w:szCs w:val="32"/>
          <w:highlight w:val="none"/>
          <w:lang w:val="en-US" w:eastAsia="zh-CN"/>
        </w:rPr>
        <w:t>③管理措施及组织实施情况；</w:t>
      </w:r>
      <w:bookmarkEnd w:id="92"/>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93" w:name="_Toc10091"/>
      <w:r>
        <w:rPr>
          <w:rFonts w:hint="eastAsia" w:ascii="Times New Roman" w:hAnsi="Times New Roman" w:eastAsia="仿宋_GB2312" w:cs="Times New Roman"/>
          <w:color w:val="auto"/>
          <w:spacing w:val="17"/>
          <w:sz w:val="32"/>
          <w:szCs w:val="32"/>
          <w:highlight w:val="none"/>
          <w:lang w:val="en-US" w:eastAsia="zh-CN"/>
        </w:rPr>
        <w:t>④被评价单位总结分析的绩效目标完成情况及绩效报告；</w:t>
      </w:r>
      <w:bookmarkEnd w:id="93"/>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94" w:name="_Toc1"/>
      <w:r>
        <w:rPr>
          <w:rFonts w:hint="eastAsia" w:ascii="Times New Roman" w:hAnsi="Times New Roman" w:eastAsia="仿宋_GB2312" w:cs="Times New Roman"/>
          <w:color w:val="auto"/>
          <w:spacing w:val="17"/>
          <w:sz w:val="32"/>
          <w:szCs w:val="32"/>
          <w:highlight w:val="none"/>
          <w:lang w:val="en-US" w:eastAsia="zh-CN"/>
        </w:rPr>
        <w:t>⑤与绩效评价相关的计划标准、行业标准、历史标准等；</w:t>
      </w:r>
      <w:bookmarkEnd w:id="94"/>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95" w:name="_Toc20059"/>
      <w:r>
        <w:rPr>
          <w:rFonts w:hint="eastAsia" w:ascii="Times New Roman" w:hAnsi="Times New Roman" w:eastAsia="仿宋_GB2312" w:cs="Times New Roman"/>
          <w:color w:val="auto"/>
          <w:spacing w:val="17"/>
          <w:sz w:val="32"/>
          <w:szCs w:val="32"/>
          <w:highlight w:val="none"/>
          <w:lang w:val="en-US" w:eastAsia="zh-CN"/>
        </w:rPr>
        <w:t>⑥其他必要的相关资料等。</w:t>
      </w:r>
      <w:bookmarkEnd w:id="95"/>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96" w:name="_Toc31911"/>
      <w:r>
        <w:rPr>
          <w:rFonts w:hint="eastAsia" w:ascii="Times New Roman" w:hAnsi="Times New Roman" w:eastAsia="仿宋_GB2312" w:cs="Times New Roman"/>
          <w:color w:val="auto"/>
          <w:spacing w:val="17"/>
          <w:sz w:val="32"/>
          <w:szCs w:val="32"/>
          <w:highlight w:val="none"/>
          <w:lang w:val="en-US" w:eastAsia="zh-CN"/>
        </w:rPr>
        <w:t>（2）整理、研读基础资料</w:t>
      </w:r>
      <w:bookmarkEnd w:id="96"/>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97" w:name="_Toc167"/>
      <w:r>
        <w:rPr>
          <w:rFonts w:hint="eastAsia" w:ascii="Times New Roman" w:hAnsi="Times New Roman" w:eastAsia="仿宋_GB2312" w:cs="Times New Roman"/>
          <w:color w:val="auto"/>
          <w:spacing w:val="17"/>
          <w:sz w:val="32"/>
          <w:szCs w:val="32"/>
          <w:highlight w:val="none"/>
          <w:lang w:val="en-US" w:eastAsia="zh-CN"/>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97"/>
    </w:p>
    <w:p>
      <w:pPr>
        <w:spacing w:line="560" w:lineRule="exact"/>
        <w:ind w:firstLine="711" w:firstLineChars="200"/>
        <w:rPr>
          <w:rFonts w:hint="default" w:ascii="Times New Roman" w:hAnsi="Times New Roman" w:eastAsia="仿宋_GB2312" w:cs="Times New Roman"/>
          <w:b/>
          <w:bCs/>
          <w:color w:val="auto"/>
          <w:spacing w:val="17"/>
          <w:sz w:val="32"/>
          <w:szCs w:val="32"/>
          <w:highlight w:val="none"/>
          <w:lang w:val="en-US" w:eastAsia="zh-CN"/>
        </w:rPr>
      </w:pPr>
      <w:bookmarkStart w:id="98" w:name="_Toc30513"/>
      <w:r>
        <w:rPr>
          <w:rFonts w:hint="eastAsia" w:ascii="Times New Roman" w:hAnsi="Times New Roman" w:eastAsia="仿宋_GB2312" w:cs="Times New Roman"/>
          <w:b/>
          <w:bCs/>
          <w:color w:val="auto"/>
          <w:spacing w:val="17"/>
          <w:sz w:val="32"/>
          <w:szCs w:val="32"/>
          <w:highlight w:val="none"/>
          <w:lang w:val="en-US" w:eastAsia="zh-CN"/>
        </w:rPr>
        <w:t>3.分析评价和撰写报告</w:t>
      </w:r>
      <w:bookmarkEnd w:id="98"/>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99" w:name="_Toc15974"/>
      <w:r>
        <w:rPr>
          <w:rFonts w:hint="eastAsia" w:ascii="Times New Roman" w:hAnsi="Times New Roman" w:eastAsia="仿宋_GB2312" w:cs="Times New Roman"/>
          <w:color w:val="auto"/>
          <w:spacing w:val="17"/>
          <w:sz w:val="32"/>
          <w:szCs w:val="32"/>
          <w:highlight w:val="none"/>
          <w:lang w:eastAsia="zh-CN"/>
        </w:rPr>
        <w:t>（</w:t>
      </w:r>
      <w:r>
        <w:rPr>
          <w:rFonts w:hint="eastAsia" w:ascii="Times New Roman" w:hAnsi="Times New Roman" w:eastAsia="仿宋_GB2312" w:cs="Times New Roman"/>
          <w:color w:val="auto"/>
          <w:spacing w:val="17"/>
          <w:sz w:val="32"/>
          <w:szCs w:val="32"/>
          <w:highlight w:val="none"/>
          <w:lang w:val="en-US" w:eastAsia="zh-CN"/>
        </w:rPr>
        <w:t>1）综合分析评价</w:t>
      </w:r>
      <w:bookmarkEnd w:id="99"/>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100" w:name="_Toc4352"/>
      <w:r>
        <w:rPr>
          <w:rFonts w:hint="eastAsia" w:ascii="Times New Roman" w:hAnsi="Times New Roman" w:eastAsia="仿宋_GB2312" w:cs="Times New Roman"/>
          <w:color w:val="auto"/>
          <w:spacing w:val="17"/>
          <w:sz w:val="32"/>
          <w:szCs w:val="32"/>
          <w:highlight w:val="none"/>
          <w:lang w:val="en-US" w:eastAsia="zh-CN"/>
        </w:rPr>
        <w:t>①根据所收集的基础资料，结合现场核查的有关情况，整理出绩效评价所需的项目材料和基础数据。</w:t>
      </w:r>
      <w:bookmarkEnd w:id="100"/>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101" w:name="_Toc26231"/>
      <w:r>
        <w:rPr>
          <w:rFonts w:hint="eastAsia" w:ascii="Times New Roman" w:hAnsi="Times New Roman" w:eastAsia="仿宋_GB2312" w:cs="Times New Roman"/>
          <w:color w:val="auto"/>
          <w:spacing w:val="17"/>
          <w:sz w:val="32"/>
          <w:szCs w:val="32"/>
          <w:highlight w:val="none"/>
          <w:lang w:val="en-US" w:eastAsia="zh-CN"/>
        </w:rPr>
        <w:t>②将初步评价结论、调整事项、专家咨询意见和有关说明等提交单位内部讨论并征求意见。之后，对所征求的意见及时地进行收集和整理。</w:t>
      </w:r>
      <w:bookmarkEnd w:id="101"/>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102" w:name="_Toc27759"/>
      <w:r>
        <w:rPr>
          <w:rFonts w:hint="eastAsia" w:ascii="Times New Roman" w:hAnsi="Times New Roman" w:eastAsia="仿宋_GB2312" w:cs="Times New Roman"/>
          <w:color w:val="auto"/>
          <w:spacing w:val="17"/>
          <w:sz w:val="32"/>
          <w:szCs w:val="32"/>
          <w:highlight w:val="none"/>
          <w:lang w:val="en-US" w:eastAsia="zh-CN"/>
        </w:rPr>
        <w:t>（2）撰写报告</w:t>
      </w:r>
      <w:bookmarkEnd w:id="102"/>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103" w:name="_Toc15579"/>
      <w:r>
        <w:rPr>
          <w:rFonts w:hint="eastAsia" w:ascii="Times New Roman" w:hAnsi="Times New Roman" w:eastAsia="仿宋_GB2312" w:cs="Times New Roman"/>
          <w:color w:val="auto"/>
          <w:spacing w:val="17"/>
          <w:sz w:val="32"/>
          <w:szCs w:val="32"/>
          <w:highlight w:val="none"/>
          <w:lang w:val="en-US" w:eastAsia="zh-CN"/>
        </w:rPr>
        <w:t>绩效评价项目小组依照整理、分析后的项目材料、数据资料，依据评价形成的初步结论，按照既定的格式和内容要求撰写绩效评价初步报告，最终形成评价结果。</w:t>
      </w:r>
      <w:bookmarkEnd w:id="103"/>
    </w:p>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auto"/>
          <w:highlight w:val="none"/>
          <w:shd w:val="clear" w:color="auto" w:fill="auto"/>
        </w:rPr>
      </w:pPr>
      <w:bookmarkStart w:id="104" w:name="_Toc19261"/>
      <w:r>
        <w:rPr>
          <w:rFonts w:hint="eastAsia" w:ascii="黑体" w:hAnsi="黑体" w:eastAsia="黑体" w:cs="黑体"/>
          <w:b w:val="0"/>
          <w:bCs w:val="0"/>
          <w:color w:val="auto"/>
          <w:highlight w:val="none"/>
          <w:shd w:val="clear" w:color="auto" w:fill="auto"/>
          <w:lang w:val="en-US" w:eastAsia="zh-CN"/>
        </w:rPr>
        <w:t>三、</w:t>
      </w:r>
      <w:r>
        <w:rPr>
          <w:rFonts w:hint="eastAsia" w:ascii="黑体" w:hAnsi="黑体" w:eastAsia="黑体" w:cs="黑体"/>
          <w:b w:val="0"/>
          <w:bCs w:val="0"/>
          <w:color w:val="auto"/>
          <w:highlight w:val="none"/>
          <w:shd w:val="clear" w:color="auto" w:fill="auto"/>
        </w:rPr>
        <w:t>综合评价情况及评价结论</w:t>
      </w:r>
      <w:bookmarkEnd w:id="104"/>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105" w:name="_Toc23319"/>
      <w:r>
        <w:rPr>
          <w:rFonts w:hint="eastAsia" w:ascii="Times New Roman" w:hAnsi="Times New Roman" w:eastAsia="楷体_GB2312" w:cs="Times New Roman"/>
          <w:color w:val="auto"/>
          <w:kern w:val="28"/>
          <w:sz w:val="32"/>
          <w:highlight w:val="none"/>
          <w:lang w:val="en-US" w:eastAsia="zh-CN"/>
        </w:rPr>
        <w:t>（一）综合评价情况及评价结论</w:t>
      </w:r>
      <w:bookmarkEnd w:id="105"/>
    </w:p>
    <w:p>
      <w:pPr>
        <w:pStyle w:val="1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w:t>
      </w:r>
      <w:r>
        <w:rPr>
          <w:rFonts w:hint="eastAsia" w:ascii="仿宋_GB2312" w:hAnsi="仿宋_GB2312" w:eastAsia="仿宋_GB2312" w:cs="仿宋_GB2312"/>
          <w:bCs/>
          <w:color w:val="auto"/>
          <w:sz w:val="32"/>
          <w:szCs w:val="32"/>
          <w:highlight w:val="none"/>
          <w:lang w:val="en-US" w:eastAsia="zh-CN"/>
        </w:rPr>
        <w:t>草原生态保护补助奖励</w:t>
      </w:r>
      <w:r>
        <w:rPr>
          <w:rFonts w:hint="default" w:ascii="Times New Roman" w:hAnsi="Times New Roman" w:eastAsia="仿宋_GB2312" w:cs="Times New Roman"/>
          <w:color w:val="auto"/>
          <w:sz w:val="32"/>
          <w:szCs w:val="32"/>
          <w:highlight w:val="none"/>
        </w:rPr>
        <w:t>在</w:t>
      </w:r>
      <w:r>
        <w:rPr>
          <w:rFonts w:hint="eastAsia" w:ascii="Times New Roman" w:hAnsi="Times New Roman" w:eastAsia="仿宋_GB2312" w:cs="Times New Roman"/>
          <w:color w:val="auto"/>
          <w:sz w:val="32"/>
          <w:szCs w:val="32"/>
          <w:highlight w:val="none"/>
          <w:lang w:val="en-US" w:eastAsia="zh-CN"/>
        </w:rPr>
        <w:t>项目产出方面完成较好</w:t>
      </w:r>
      <w:r>
        <w:rPr>
          <w:rFonts w:hint="default" w:ascii="Times New Roman" w:hAnsi="Times New Roman" w:eastAsia="仿宋_GB2312" w:cs="Times New Roman"/>
          <w:color w:val="auto"/>
          <w:sz w:val="32"/>
          <w:szCs w:val="32"/>
          <w:highlight w:val="none"/>
        </w:rPr>
        <w:t>，达到了预期的标准与要求。</w:t>
      </w:r>
    </w:p>
    <w:p>
      <w:pPr>
        <w:pStyle w:val="1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ascii="Times New Roman" w:hAnsi="Times New Roman" w:eastAsia="仿宋_GB2312" w:cs="Times New Roman"/>
          <w:color w:val="auto"/>
          <w:sz w:val="32"/>
          <w:szCs w:val="32"/>
          <w:highlight w:val="none"/>
          <w:lang w:val="en-US" w:eastAsia="zh-CN"/>
        </w:rPr>
        <w:t>阜康市林业和草原局</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pPr>
        <w:pStyle w:val="1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从项目效益的角度来看，本项目不仅实现了预期的社会效益、</w:t>
      </w:r>
      <w:r>
        <w:rPr>
          <w:rFonts w:hint="eastAsia" w:eastAsia="仿宋_GB2312" w:cs="Times New Roman"/>
          <w:color w:val="auto"/>
          <w:sz w:val="32"/>
          <w:szCs w:val="32"/>
          <w:highlight w:val="none"/>
          <w:lang w:val="en-US" w:eastAsia="zh-CN"/>
        </w:rPr>
        <w:t>生态</w:t>
      </w:r>
      <w:r>
        <w:rPr>
          <w:rFonts w:hint="default" w:ascii="Times New Roman" w:hAnsi="Times New Roman" w:eastAsia="仿宋_GB2312" w:cs="Times New Roman"/>
          <w:color w:val="auto"/>
          <w:sz w:val="32"/>
          <w:szCs w:val="32"/>
          <w:highlight w:val="none"/>
        </w:rPr>
        <w:t>效益</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等方面产生了积极的影响。具体而言，</w:t>
      </w:r>
      <w:r>
        <w:rPr>
          <w:rFonts w:hint="eastAsia" w:ascii="Times New Roman" w:hAnsi="Times New Roman" w:eastAsia="仿宋_GB2312" w:cs="Times New Roman"/>
          <w:color w:val="auto"/>
          <w:sz w:val="32"/>
          <w:szCs w:val="32"/>
          <w:highlight w:val="none"/>
          <w:lang w:val="en-US" w:eastAsia="zh-CN"/>
        </w:rPr>
        <w:t>改善牧民生活质量、持续发挥生态作用</w:t>
      </w:r>
      <w:r>
        <w:rPr>
          <w:rFonts w:hint="default" w:ascii="Times New Roman" w:hAnsi="Times New Roman" w:eastAsia="仿宋_GB2312" w:cs="Times New Roman"/>
          <w:color w:val="auto"/>
          <w:sz w:val="32"/>
          <w:szCs w:val="32"/>
          <w:highlight w:val="none"/>
        </w:rPr>
        <w:t>等方面的提升，为项目的利益相关者带来了实实在在的利益。</w:t>
      </w:r>
    </w:p>
    <w:p>
      <w:pPr>
        <w:pStyle w:val="15"/>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w:t>
      </w:r>
      <w:r>
        <w:rPr>
          <w:rFonts w:hint="eastAsia" w:ascii="仿宋_GB2312" w:hAnsi="仿宋_GB2312" w:eastAsia="仿宋_GB2312" w:cs="仿宋_GB2312"/>
          <w:bCs/>
          <w:color w:val="auto"/>
          <w:sz w:val="32"/>
          <w:szCs w:val="32"/>
          <w:highlight w:val="none"/>
          <w:lang w:val="en-US" w:eastAsia="zh-CN"/>
        </w:rPr>
        <w:t>草原生态保护补助奖励项目</w:t>
      </w:r>
      <w:r>
        <w:rPr>
          <w:rFonts w:hint="default" w:ascii="Times New Roman" w:hAnsi="Times New Roman" w:eastAsia="仿宋_GB2312" w:cs="Times New Roman"/>
          <w:color w:val="auto"/>
          <w:sz w:val="32"/>
          <w:szCs w:val="32"/>
          <w:highlight w:val="none"/>
        </w:rPr>
        <w:t>在绩效评价中表现出色，达到了项目的预期目标，并在多个方面取得了显著的成效</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评价等级为优</w:t>
      </w:r>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106" w:name="_Toc11863"/>
      <w:r>
        <w:rPr>
          <w:rFonts w:hint="eastAsia" w:ascii="Times New Roman" w:hAnsi="Times New Roman" w:eastAsia="楷体_GB2312" w:cs="Times New Roman"/>
          <w:color w:val="auto"/>
          <w:kern w:val="28"/>
          <w:sz w:val="32"/>
          <w:highlight w:val="none"/>
          <w:lang w:val="en-US" w:eastAsia="zh-CN"/>
        </w:rPr>
        <w:t>（二）相关评分表</w:t>
      </w:r>
      <w:bookmarkEnd w:id="106"/>
    </w:p>
    <w:p>
      <w:pPr>
        <w:spacing w:line="560" w:lineRule="exact"/>
        <w:ind w:firstLine="708" w:firstLineChars="200"/>
        <w:rPr>
          <w:rFonts w:hint="eastAsia" w:ascii="Times New Roman" w:hAnsi="Times New Roman" w:eastAsia="仿宋_GB2312" w:cs="Times New Roman"/>
          <w:color w:val="auto"/>
          <w:spacing w:val="17"/>
          <w:sz w:val="32"/>
          <w:szCs w:val="32"/>
          <w:highlight w:val="none"/>
          <w:lang w:val="zh-TW" w:eastAsia="zh-TW"/>
        </w:rPr>
      </w:pPr>
      <w:r>
        <w:rPr>
          <w:rFonts w:hint="eastAsia" w:ascii="Times New Roman" w:hAnsi="Times New Roman" w:eastAsia="仿宋_GB2312" w:cs="Times New Roman"/>
          <w:color w:val="auto"/>
          <w:spacing w:val="17"/>
          <w:sz w:val="32"/>
          <w:szCs w:val="32"/>
          <w:highlight w:val="none"/>
          <w:lang w:val="en-US" w:eastAsia="zh-CN"/>
        </w:rPr>
        <w:t>此次绩效评价</w:t>
      </w:r>
      <w:r>
        <w:rPr>
          <w:rFonts w:hint="eastAsia" w:ascii="Times New Roman" w:hAnsi="Times New Roman" w:eastAsia="仿宋_GB2312" w:cs="Times New Roman"/>
          <w:color w:val="auto"/>
          <w:spacing w:val="17"/>
          <w:sz w:val="32"/>
          <w:szCs w:val="32"/>
          <w:highlight w:val="none"/>
          <w:lang w:val="zh-TW" w:eastAsia="zh-TW"/>
        </w:rPr>
        <w:t>通过组论证的评价指标体系及评分标准，</w:t>
      </w:r>
      <w:r>
        <w:rPr>
          <w:rFonts w:hint="eastAsia" w:ascii="Times New Roman" w:hAnsi="Times New Roman" w:eastAsia="仿宋_GB2312" w:cs="Times New Roman"/>
          <w:color w:val="auto"/>
          <w:spacing w:val="17"/>
          <w:sz w:val="32"/>
          <w:szCs w:val="32"/>
          <w:highlight w:val="none"/>
          <w:lang w:val="en-US" w:eastAsia="zh-CN"/>
        </w:rPr>
        <w:t>采用的方法比较法、因素分析法、公众评判法，</w:t>
      </w:r>
      <w:r>
        <w:rPr>
          <w:rFonts w:hint="eastAsia" w:ascii="Times New Roman" w:hAnsi="Times New Roman" w:eastAsia="仿宋_GB2312" w:cs="Times New Roman"/>
          <w:color w:val="auto"/>
          <w:spacing w:val="17"/>
          <w:sz w:val="32"/>
          <w:szCs w:val="32"/>
          <w:highlight w:val="none"/>
          <w:lang w:val="zh-TW" w:eastAsia="zh-TW"/>
        </w:rPr>
        <w:t>对</w:t>
      </w:r>
      <w:r>
        <w:rPr>
          <w:rFonts w:hint="eastAsia" w:ascii="仿宋_GB2312" w:hAnsi="仿宋_GB2312" w:eastAsia="仿宋_GB2312" w:cs="仿宋_GB2312"/>
          <w:bCs/>
          <w:color w:val="auto"/>
          <w:sz w:val="32"/>
          <w:szCs w:val="32"/>
          <w:highlight w:val="none"/>
          <w:lang w:val="en-US" w:eastAsia="zh-CN"/>
        </w:rPr>
        <w:t>草原生态保护补助奖励</w:t>
      </w:r>
      <w:r>
        <w:rPr>
          <w:rFonts w:hint="eastAsia" w:ascii="Times New Roman" w:hAnsi="Times New Roman" w:eastAsia="仿宋_GB2312" w:cs="Times New Roman"/>
          <w:color w:val="auto"/>
          <w:spacing w:val="17"/>
          <w:sz w:val="32"/>
          <w:szCs w:val="32"/>
          <w:highlight w:val="none"/>
          <w:lang w:val="en-US" w:eastAsia="zh-CN"/>
        </w:rPr>
        <w:t>项目</w:t>
      </w:r>
      <w:r>
        <w:rPr>
          <w:rFonts w:hint="eastAsia" w:ascii="Times New Roman" w:hAnsi="Times New Roman" w:eastAsia="仿宋_GB2312" w:cs="Times New Roman"/>
          <w:color w:val="auto"/>
          <w:spacing w:val="17"/>
          <w:sz w:val="32"/>
          <w:szCs w:val="32"/>
          <w:highlight w:val="none"/>
          <w:lang w:val="zh-TW" w:eastAsia="zh-TW"/>
        </w:rPr>
        <w:t>绩效进行客观评价，最终评分结果：</w:t>
      </w:r>
      <w:r>
        <w:rPr>
          <w:rFonts w:hint="default" w:ascii="Times New Roman" w:hAnsi="Times New Roman" w:eastAsia="仿宋_GB2312" w:cs="Times New Roman"/>
          <w:color w:val="auto"/>
          <w:spacing w:val="17"/>
          <w:sz w:val="32"/>
          <w:szCs w:val="32"/>
          <w:highlight w:val="none"/>
          <w:lang w:val="en-US" w:eastAsia="zh-CN"/>
        </w:rPr>
        <w:t>总得分为</w:t>
      </w:r>
      <w:r>
        <w:rPr>
          <w:rFonts w:hint="eastAsia" w:ascii="Times New Roman" w:hAnsi="Times New Roman" w:eastAsia="仿宋_GB2312" w:cs="Times New Roman"/>
          <w:color w:val="auto"/>
          <w:spacing w:val="17"/>
          <w:sz w:val="32"/>
          <w:szCs w:val="32"/>
          <w:highlight w:val="none"/>
          <w:lang w:val="en-US" w:eastAsia="zh-CN"/>
        </w:rPr>
        <w:t>99.92</w:t>
      </w:r>
      <w:r>
        <w:rPr>
          <w:rFonts w:hint="default" w:ascii="Times New Roman" w:hAnsi="Times New Roman" w:eastAsia="仿宋_GB2312" w:cs="Times New Roman"/>
          <w:color w:val="auto"/>
          <w:spacing w:val="17"/>
          <w:sz w:val="32"/>
          <w:szCs w:val="32"/>
          <w:highlight w:val="none"/>
          <w:lang w:val="en-US" w:eastAsia="zh-CN"/>
        </w:rPr>
        <w:t>分，属于“优”。其中，项目决策类指标权重为20分，得分为</w:t>
      </w:r>
      <w:r>
        <w:rPr>
          <w:rFonts w:hint="eastAsia" w:ascii="Times New Roman" w:hAnsi="Times New Roman" w:eastAsia="仿宋_GB2312" w:cs="Times New Roman"/>
          <w:color w:val="auto"/>
          <w:spacing w:val="17"/>
          <w:sz w:val="32"/>
          <w:szCs w:val="32"/>
          <w:highlight w:val="none"/>
          <w:lang w:val="en-US" w:eastAsia="zh-CN"/>
        </w:rPr>
        <w:t>19</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95</w:t>
      </w:r>
      <w:r>
        <w:rPr>
          <w:rFonts w:hint="default" w:ascii="Times New Roman" w:hAnsi="Times New Roman" w:eastAsia="仿宋_GB2312" w:cs="Times New Roman"/>
          <w:color w:val="auto"/>
          <w:spacing w:val="17"/>
          <w:sz w:val="32"/>
          <w:szCs w:val="32"/>
          <w:highlight w:val="none"/>
          <w:lang w:val="en-US" w:eastAsia="zh-CN"/>
        </w:rPr>
        <w:t>%。项目过程类指标权重为20分，得分为</w:t>
      </w:r>
      <w:r>
        <w:rPr>
          <w:rFonts w:hint="eastAsia" w:ascii="Times New Roman" w:hAnsi="Times New Roman" w:eastAsia="仿宋_GB2312" w:cs="Times New Roman"/>
          <w:color w:val="auto"/>
          <w:spacing w:val="17"/>
          <w:sz w:val="32"/>
          <w:szCs w:val="32"/>
          <w:highlight w:val="none"/>
          <w:lang w:val="en-US" w:eastAsia="zh-CN"/>
        </w:rPr>
        <w:t>19.97</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99.85</w:t>
      </w:r>
      <w:r>
        <w:rPr>
          <w:rFonts w:hint="default" w:ascii="Times New Roman" w:hAnsi="Times New Roman" w:eastAsia="仿宋_GB2312" w:cs="Times New Roman"/>
          <w:color w:val="auto"/>
          <w:spacing w:val="17"/>
          <w:sz w:val="32"/>
          <w:szCs w:val="32"/>
          <w:highlight w:val="none"/>
          <w:lang w:val="en-US" w:eastAsia="zh-CN"/>
        </w:rPr>
        <w:t>%。项目产出类指标权重为40分，得分为</w:t>
      </w:r>
      <w:r>
        <w:rPr>
          <w:rFonts w:hint="eastAsia" w:ascii="Times New Roman" w:hAnsi="Times New Roman" w:eastAsia="仿宋_GB2312" w:cs="Times New Roman"/>
          <w:color w:val="auto"/>
          <w:spacing w:val="17"/>
          <w:sz w:val="32"/>
          <w:szCs w:val="32"/>
          <w:highlight w:val="none"/>
          <w:lang w:val="en-US" w:eastAsia="zh-CN"/>
        </w:rPr>
        <w:t>40</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%。项目效益类指标权重为20分，得分为</w:t>
      </w:r>
      <w:r>
        <w:rPr>
          <w:rFonts w:hint="eastAsia" w:ascii="Times New Roman" w:hAnsi="Times New Roman" w:eastAsia="仿宋_GB2312" w:cs="Times New Roman"/>
          <w:color w:val="auto"/>
          <w:spacing w:val="17"/>
          <w:sz w:val="32"/>
          <w:szCs w:val="32"/>
          <w:highlight w:val="none"/>
          <w:shd w:val="clear"/>
          <w:lang w:val="en-US" w:eastAsia="zh-CN"/>
        </w:rPr>
        <w:t>20</w:t>
      </w:r>
      <w:r>
        <w:rPr>
          <w:rFonts w:hint="default" w:ascii="Times New Roman" w:hAnsi="Times New Roman" w:eastAsia="仿宋_GB2312" w:cs="Times New Roman"/>
          <w:color w:val="auto"/>
          <w:spacing w:val="17"/>
          <w:sz w:val="32"/>
          <w:szCs w:val="32"/>
          <w:highlight w:val="none"/>
          <w:shd w:val="clear"/>
          <w:lang w:val="en-US" w:eastAsia="zh-CN"/>
        </w:rPr>
        <w:t>分，</w:t>
      </w:r>
      <w:r>
        <w:rPr>
          <w:rFonts w:hint="default" w:ascii="Times New Roman" w:hAnsi="Times New Roman" w:eastAsia="仿宋_GB2312" w:cs="Times New Roman"/>
          <w:color w:val="auto"/>
          <w:spacing w:val="17"/>
          <w:sz w:val="32"/>
          <w:szCs w:val="32"/>
          <w:highlight w:val="none"/>
          <w:lang w:val="en-US" w:eastAsia="zh-CN"/>
        </w:rPr>
        <w:t>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w:t>
      </w:r>
      <w:r>
        <w:rPr>
          <w:rFonts w:hint="eastAsia" w:ascii="Times New Roman" w:hAnsi="Times New Roman" w:eastAsia="仿宋_GB2312" w:cs="Times New Roman"/>
          <w:color w:val="auto"/>
          <w:spacing w:val="17"/>
          <w:sz w:val="32"/>
          <w:szCs w:val="32"/>
          <w:highlight w:val="none"/>
          <w:lang w:val="zh-TW" w:eastAsia="zh-TW"/>
        </w:rPr>
        <w:t>各部分权重和绩效</w:t>
      </w:r>
      <w:r>
        <w:rPr>
          <w:rFonts w:hint="eastAsia" w:ascii="Times New Roman" w:hAnsi="Times New Roman" w:eastAsia="仿宋_GB2312" w:cs="Times New Roman"/>
          <w:color w:val="auto"/>
          <w:spacing w:val="17"/>
          <w:sz w:val="32"/>
          <w:szCs w:val="32"/>
          <w:highlight w:val="none"/>
          <w:lang w:val="en-US" w:eastAsia="zh-CN"/>
        </w:rPr>
        <w:t>汇总</w:t>
      </w:r>
      <w:r>
        <w:rPr>
          <w:rFonts w:hint="eastAsia" w:ascii="Times New Roman" w:hAnsi="Times New Roman" w:eastAsia="仿宋_GB2312" w:cs="Times New Roman"/>
          <w:color w:val="auto"/>
          <w:spacing w:val="17"/>
          <w:sz w:val="32"/>
          <w:szCs w:val="32"/>
          <w:highlight w:val="none"/>
          <w:lang w:val="zh-TW" w:eastAsia="zh-TW"/>
        </w:rPr>
        <w:t>分值如下表</w:t>
      </w:r>
      <w:r>
        <w:rPr>
          <w:rFonts w:hint="eastAsia" w:ascii="Times New Roman" w:hAnsi="Times New Roman" w:eastAsia="仿宋_GB2312" w:cs="Times New Roman"/>
          <w:color w:val="auto"/>
          <w:spacing w:val="17"/>
          <w:sz w:val="32"/>
          <w:szCs w:val="32"/>
          <w:highlight w:val="none"/>
          <w:lang w:val="en-US" w:eastAsia="zh-CN"/>
        </w:rPr>
        <w:t>3-1</w:t>
      </w:r>
      <w:r>
        <w:rPr>
          <w:rFonts w:hint="eastAsia" w:ascii="Times New Roman" w:hAnsi="Times New Roman" w:eastAsia="仿宋_GB2312" w:cs="Times New Roman"/>
          <w:color w:val="auto"/>
          <w:spacing w:val="17"/>
          <w:sz w:val="32"/>
          <w:szCs w:val="32"/>
          <w:highlight w:val="none"/>
          <w:lang w:val="zh-TW" w:eastAsia="zh-TW"/>
        </w:rPr>
        <w:t>所示</w:t>
      </w:r>
      <w:r>
        <w:rPr>
          <w:rFonts w:hint="eastAsia" w:ascii="Times New Roman" w:hAnsi="Times New Roman" w:eastAsia="仿宋_GB2312" w:cs="Times New Roman"/>
          <w:color w:val="auto"/>
          <w:spacing w:val="17"/>
          <w:sz w:val="32"/>
          <w:szCs w:val="32"/>
          <w:highlight w:val="none"/>
          <w:lang w:val="zh-TW" w:eastAsia="zh-CN"/>
        </w:rPr>
        <w:t>（</w:t>
      </w:r>
      <w:r>
        <w:rPr>
          <w:rFonts w:hint="eastAsia" w:ascii="Times New Roman" w:hAnsi="Times New Roman" w:eastAsia="仿宋_GB2312" w:cs="Times New Roman"/>
          <w:color w:val="auto"/>
          <w:spacing w:val="17"/>
          <w:sz w:val="32"/>
          <w:szCs w:val="32"/>
          <w:highlight w:val="none"/>
          <w:lang w:val="en-US" w:eastAsia="zh-CN"/>
        </w:rPr>
        <w:t>详见上传的附件</w:t>
      </w:r>
      <w:r>
        <w:rPr>
          <w:rFonts w:hint="eastAsia" w:ascii="Times New Roman" w:hAnsi="Times New Roman" w:eastAsia="仿宋_GB2312" w:cs="Times New Roman"/>
          <w:color w:val="auto"/>
          <w:spacing w:val="17"/>
          <w:sz w:val="32"/>
          <w:szCs w:val="32"/>
          <w:highlight w:val="none"/>
          <w:lang w:val="zh-TW" w:eastAsia="zh-CN"/>
        </w:rPr>
        <w:t>）</w:t>
      </w:r>
      <w:r>
        <w:rPr>
          <w:rFonts w:hint="eastAsia" w:ascii="Times New Roman" w:hAnsi="Times New Roman" w:eastAsia="仿宋_GB2312" w:cs="Times New Roman"/>
          <w:color w:val="auto"/>
          <w:spacing w:val="17"/>
          <w:sz w:val="32"/>
          <w:szCs w:val="32"/>
          <w:highlight w:val="none"/>
          <w:lang w:val="zh-TW" w:eastAsia="zh-TW"/>
        </w:rPr>
        <w:t>：</w:t>
      </w:r>
    </w:p>
    <w:tbl>
      <w:tblPr>
        <w:tblStyle w:val="19"/>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草原生态保护补助奖励</w:t>
            </w:r>
            <w:r>
              <w:rPr>
                <w:rFonts w:hint="eastAsia" w:ascii="宋体" w:hAnsi="宋体" w:eastAsia="宋体" w:cs="宋体"/>
                <w:b/>
                <w:bCs/>
                <w:color w:val="auto"/>
                <w:kern w:val="0"/>
                <w:sz w:val="28"/>
                <w:szCs w:val="28"/>
                <w:highlight w:val="none"/>
                <w:shd w:val="clear" w:color="auto" w:fill="auto"/>
                <w:lang w:val="en-US" w:eastAsia="zh-CN"/>
              </w:rPr>
              <w:t>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19.97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98.97</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99.85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98.97</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auto"/>
          <w:highlight w:val="none"/>
          <w:shd w:val="clear" w:color="auto" w:fill="auto"/>
          <w:lang w:val="en-US" w:eastAsia="zh-CN"/>
        </w:rPr>
      </w:pPr>
      <w:bookmarkStart w:id="107" w:name="_Toc14941"/>
      <w:r>
        <w:rPr>
          <w:rFonts w:hint="eastAsia" w:ascii="黑体" w:hAnsi="黑体" w:eastAsia="黑体" w:cs="黑体"/>
          <w:b w:val="0"/>
          <w:bCs w:val="0"/>
          <w:color w:val="auto"/>
          <w:highlight w:val="none"/>
          <w:shd w:val="clear" w:color="auto" w:fill="auto"/>
          <w:lang w:val="en-US" w:eastAsia="zh-CN"/>
        </w:rPr>
        <w:t>四、绩效评价指标分析</w:t>
      </w:r>
      <w:bookmarkEnd w:id="107"/>
    </w:p>
    <w:p>
      <w:pPr>
        <w:pStyle w:val="16"/>
        <w:widowControl/>
        <w:spacing w:before="0" w:beforeLines="-2147483648" w:after="0" w:afterLines="-2147483648" w:line="560" w:lineRule="exact"/>
        <w:ind w:firstLine="643" w:firstLineChars="200"/>
        <w:jc w:val="both"/>
        <w:rPr>
          <w:rFonts w:hint="eastAsia" w:ascii="Times New Roman" w:hAnsi="Times New Roman" w:eastAsia="楷体_GB2312" w:cs="Times New Roman"/>
          <w:color w:val="auto"/>
          <w:kern w:val="28"/>
          <w:sz w:val="32"/>
          <w:highlight w:val="none"/>
        </w:rPr>
      </w:pPr>
      <w:bookmarkStart w:id="108" w:name="_Toc6759"/>
      <w:r>
        <w:rPr>
          <w:rFonts w:hint="eastAsia" w:ascii="Times New Roman" w:hAnsi="Times New Roman" w:eastAsia="楷体_GB2312" w:cs="Times New Roman"/>
          <w:color w:val="auto"/>
          <w:kern w:val="28"/>
          <w:sz w:val="32"/>
          <w:highlight w:val="none"/>
        </w:rPr>
        <w:t>（一）项目决策情况</w:t>
      </w:r>
      <w:bookmarkEnd w:id="108"/>
    </w:p>
    <w:p>
      <w:pPr>
        <w:keepNext w:val="0"/>
        <w:keepLines w:val="0"/>
        <w:pageBreakBefore w:val="0"/>
        <w:widowControl w:val="0"/>
        <w:kinsoku/>
        <w:wordWrap/>
        <w:overflowPunct/>
        <w:topLinePunct w:val="0"/>
        <w:autoSpaceDE/>
        <w:autoSpaceDN/>
        <w:bidi w:val="0"/>
        <w:adjustRightInd/>
        <w:snapToGrid/>
        <w:spacing w:line="560" w:lineRule="exact"/>
        <w:ind w:firstLine="723"/>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项目决策由3个二级指标和6个三级指标构成，权重分20分，实际得分19分，</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4</w:t>
      </w:r>
      <w:r>
        <w:rPr>
          <w:rFonts w:hint="eastAsia" w:ascii="仿宋_GB2312" w:hAnsi="仿宋_GB2312" w:eastAsia="仿宋_GB2312" w:cs="仿宋_GB2312"/>
          <w:b/>
          <w:bCs/>
          <w:color w:val="auto"/>
          <w:kern w:val="2"/>
          <w:sz w:val="32"/>
          <w:szCs w:val="32"/>
          <w:highlight w:val="none"/>
          <w:u w:color="000000"/>
          <w:shd w:val="clear" w:color="auto" w:fill="auto"/>
          <w:lang w:eastAsia="zh-CN"/>
        </w:rPr>
        <w:t>-1</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b/>
          <w:bCs/>
          <w:color w:val="auto"/>
          <w:sz w:val="32"/>
          <w:szCs w:val="32"/>
          <w:highlight w:val="none"/>
          <w:shd w:val="clear" w:color="auto" w:fill="auto"/>
          <w:lang w:val="en-US" w:eastAsia="zh-CN"/>
        </w:rPr>
        <w:t>详见上传的附件二</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color w:val="auto"/>
          <w:sz w:val="32"/>
          <w:szCs w:val="32"/>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仿宋_GB2312" w:hAnsi="仿宋_GB2312" w:eastAsia="仿宋_GB2312" w:cs="仿宋_GB2312"/>
          <w:b/>
          <w:bCs/>
          <w:color w:val="auto"/>
          <w:kern w:val="0"/>
          <w:sz w:val="32"/>
          <w:szCs w:val="32"/>
          <w:highlight w:val="none"/>
          <w:shd w:val="clear" w:color="auto" w:fill="auto"/>
          <w:lang w:val="en-US" w:eastAsia="zh-CN"/>
        </w:rPr>
      </w:pPr>
      <w:r>
        <w:rPr>
          <w:rFonts w:hint="eastAsia" w:ascii="仿宋_GB2312" w:hAnsi="仿宋_GB2312" w:eastAsia="仿宋_GB2312" w:cs="仿宋_GB2312"/>
          <w:b/>
          <w:bCs/>
          <w:color w:val="auto"/>
          <w:kern w:val="0"/>
          <w:sz w:val="32"/>
          <w:szCs w:val="32"/>
          <w:highlight w:val="none"/>
          <w:shd w:val="clear" w:color="auto" w:fill="auto"/>
          <w:lang w:val="zh-TW" w:eastAsia="zh-TW"/>
        </w:rPr>
        <w:t>表</w:t>
      </w:r>
      <w:r>
        <w:rPr>
          <w:rFonts w:hint="eastAsia" w:ascii="仿宋_GB2312" w:hAnsi="仿宋_GB2312" w:eastAsia="仿宋_GB2312" w:cs="仿宋_GB2312"/>
          <w:b/>
          <w:bCs/>
          <w:color w:val="auto"/>
          <w:kern w:val="0"/>
          <w:sz w:val="32"/>
          <w:szCs w:val="32"/>
          <w:highlight w:val="none"/>
          <w:shd w:val="clear" w:color="auto" w:fill="auto"/>
          <w:lang w:val="en-US" w:eastAsia="zh-CN"/>
        </w:rPr>
        <w:t>4-1</w:t>
      </w:r>
      <w:r>
        <w:rPr>
          <w:rFonts w:hint="eastAsia" w:ascii="仿宋_GB2312" w:hAnsi="仿宋_GB2312" w:eastAsia="仿宋_GB2312" w:cs="仿宋_GB2312"/>
          <w:b/>
          <w:bCs/>
          <w:color w:val="auto"/>
          <w:kern w:val="0"/>
          <w:sz w:val="32"/>
          <w:szCs w:val="32"/>
          <w:highlight w:val="none"/>
          <w:shd w:val="clear" w:color="auto" w:fill="auto"/>
          <w:lang w:val="zh-TW" w:eastAsia="zh-TW"/>
        </w:rPr>
        <w:t>项目决策指标及分值</w:t>
      </w:r>
    </w:p>
    <w:tbl>
      <w:tblPr>
        <w:tblStyle w:val="19"/>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op w:val="single" w:color="auto" w:sz="4" w:space="0"/>
              <w:left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op w:val="single" w:color="auto"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auto"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09" w:name="_Toc28069"/>
      <w:bookmarkStart w:id="110" w:name="_Toc13522"/>
      <w:r>
        <w:rPr>
          <w:rFonts w:hint="eastAsia" w:ascii="仿宋_GB2312" w:hAnsi="仿宋_GB2312" w:eastAsia="仿宋_GB2312" w:cs="仿宋_GB2312"/>
          <w:b/>
          <w:bCs/>
          <w:color w:val="auto"/>
          <w:sz w:val="32"/>
          <w:szCs w:val="32"/>
          <w:highlight w:val="none"/>
          <w:lang w:val="en-US" w:eastAsia="zh-CN"/>
        </w:rPr>
        <w:t>1.立项依据充分性</w:t>
      </w:r>
      <w:bookmarkEnd w:id="109"/>
      <w:bookmarkEnd w:id="110"/>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①项目立项符合</w:t>
      </w:r>
      <w:r>
        <w:rPr>
          <w:rFonts w:hint="eastAsia" w:ascii="仿宋_GB2312" w:hAnsi="仿宋_GB2312" w:eastAsia="仿宋_GB2312" w:cs="仿宋_GB2312"/>
          <w:color w:val="auto"/>
          <w:kern w:val="0"/>
          <w:sz w:val="32"/>
          <w:szCs w:val="32"/>
          <w:highlight w:val="none"/>
          <w:lang w:val="en-US" w:eastAsia="en-US"/>
        </w:rPr>
        <w:t>（2021-2025</w:t>
      </w:r>
      <w:r>
        <w:rPr>
          <w:rFonts w:hint="eastAsia" w:ascii="仿宋_GB2312" w:hAnsi="仿宋_GB2312" w:eastAsia="仿宋_GB2312" w:cs="仿宋_GB2312"/>
          <w:color w:val="auto"/>
          <w:kern w:val="0"/>
          <w:sz w:val="32"/>
          <w:szCs w:val="32"/>
          <w:highlight w:val="none"/>
          <w:lang w:val="zh-TW" w:eastAsia="zh-TW"/>
        </w:rPr>
        <w:t>年）》</w:t>
      </w:r>
      <w:r>
        <w:rPr>
          <w:rFonts w:hint="eastAsia" w:ascii="仿宋_GB2312" w:hAnsi="仿宋_GB2312" w:eastAsia="仿宋_GB2312" w:cs="仿宋_GB2312"/>
          <w:color w:val="auto"/>
          <w:kern w:val="0"/>
          <w:sz w:val="32"/>
          <w:szCs w:val="32"/>
          <w:highlight w:val="none"/>
          <w:lang w:val="zh-TW" w:eastAsia="zh-CN"/>
        </w:rPr>
        <w:t>新财农【</w:t>
      </w:r>
      <w:r>
        <w:rPr>
          <w:rFonts w:hint="eastAsia" w:ascii="仿宋_GB2312" w:hAnsi="仿宋_GB2312" w:eastAsia="仿宋_GB2312" w:cs="仿宋_GB2312"/>
          <w:color w:val="auto"/>
          <w:kern w:val="0"/>
          <w:sz w:val="32"/>
          <w:szCs w:val="32"/>
          <w:highlight w:val="none"/>
          <w:lang w:val="en-US" w:eastAsia="zh-CN"/>
        </w:rPr>
        <w:t>2021</w:t>
      </w:r>
      <w:r>
        <w:rPr>
          <w:rFonts w:hint="eastAsia" w:ascii="仿宋_GB2312" w:hAnsi="仿宋_GB2312" w:eastAsia="仿宋_GB2312" w:cs="仿宋_GB2312"/>
          <w:color w:val="auto"/>
          <w:kern w:val="0"/>
          <w:sz w:val="32"/>
          <w:szCs w:val="32"/>
          <w:highlight w:val="none"/>
          <w:lang w:val="zh-TW" w:eastAsia="zh-CN"/>
        </w:rPr>
        <w:t>】</w:t>
      </w:r>
      <w:r>
        <w:rPr>
          <w:rFonts w:hint="eastAsia" w:ascii="仿宋_GB2312" w:hAnsi="仿宋_GB2312" w:eastAsia="仿宋_GB2312" w:cs="仿宋_GB2312"/>
          <w:color w:val="auto"/>
          <w:kern w:val="0"/>
          <w:sz w:val="32"/>
          <w:szCs w:val="32"/>
          <w:highlight w:val="none"/>
          <w:lang w:val="en-US" w:eastAsia="zh-CN"/>
        </w:rPr>
        <w:t>78号,</w:t>
      </w:r>
      <w:r>
        <w:rPr>
          <w:rFonts w:hint="default" w:ascii="仿宋_GB2312" w:hAnsi="仿宋_GB2312" w:eastAsia="仿宋_GB2312" w:cs="仿宋_GB2312"/>
          <w:color w:val="auto"/>
          <w:kern w:val="0"/>
          <w:sz w:val="32"/>
          <w:szCs w:val="32"/>
          <w:highlight w:val="none"/>
          <w:lang w:val="zh-TW" w:eastAsia="zh-TW"/>
        </w:rPr>
        <w:t>《关于</w:t>
      </w:r>
      <w:r>
        <w:rPr>
          <w:rFonts w:hint="default" w:ascii="仿宋_GB2312" w:hAnsi="仿宋_GB2312" w:eastAsia="仿宋_GB2312" w:cs="仿宋_GB2312"/>
          <w:color w:val="auto"/>
          <w:kern w:val="0"/>
          <w:sz w:val="32"/>
          <w:szCs w:val="32"/>
          <w:highlight w:val="none"/>
          <w:lang w:val="zh-TW" w:eastAsia="zh-CN"/>
        </w:rPr>
        <w:t>印发</w:t>
      </w:r>
      <w:r>
        <w:rPr>
          <w:rFonts w:hint="eastAsia" w:ascii="仿宋_GB2312" w:hAnsi="仿宋_GB2312" w:eastAsia="仿宋_GB2312" w:cs="仿宋_GB2312"/>
          <w:color w:val="auto"/>
          <w:kern w:val="0"/>
          <w:sz w:val="32"/>
          <w:szCs w:val="32"/>
          <w:highlight w:val="none"/>
          <w:lang w:val="en-US" w:eastAsia="zh-CN"/>
        </w:rPr>
        <w:t>&lt;</w:t>
      </w:r>
      <w:r>
        <w:rPr>
          <w:rFonts w:hint="default" w:ascii="仿宋_GB2312" w:hAnsi="仿宋_GB2312" w:eastAsia="仿宋_GB2312" w:cs="仿宋_GB2312"/>
          <w:color w:val="auto"/>
          <w:kern w:val="0"/>
          <w:sz w:val="32"/>
          <w:szCs w:val="32"/>
          <w:highlight w:val="none"/>
          <w:lang w:val="zh-TW" w:eastAsia="zh-TW"/>
        </w:rPr>
        <w:t>昌吉</w:t>
      </w:r>
      <w:r>
        <w:rPr>
          <w:rFonts w:hint="default" w:ascii="仿宋_GB2312" w:hAnsi="仿宋_GB2312" w:eastAsia="仿宋_GB2312" w:cs="仿宋_GB2312"/>
          <w:color w:val="auto"/>
          <w:kern w:val="0"/>
          <w:sz w:val="32"/>
          <w:szCs w:val="32"/>
          <w:highlight w:val="none"/>
          <w:lang w:val="zh-TW" w:eastAsia="zh-CN"/>
        </w:rPr>
        <w:t>回族自治</w:t>
      </w:r>
      <w:r>
        <w:rPr>
          <w:rFonts w:hint="default" w:ascii="仿宋_GB2312" w:hAnsi="仿宋_GB2312" w:eastAsia="仿宋_GB2312" w:cs="仿宋_GB2312"/>
          <w:color w:val="auto"/>
          <w:kern w:val="0"/>
          <w:sz w:val="32"/>
          <w:szCs w:val="32"/>
          <w:highlight w:val="none"/>
          <w:lang w:val="zh-TW" w:eastAsia="zh-TW"/>
        </w:rPr>
        <w:t>州</w:t>
      </w:r>
      <w:r>
        <w:rPr>
          <w:rFonts w:hint="default" w:ascii="仿宋_GB2312" w:hAnsi="仿宋_GB2312" w:eastAsia="仿宋_GB2312" w:cs="仿宋_GB2312"/>
          <w:color w:val="auto"/>
          <w:kern w:val="0"/>
          <w:sz w:val="32"/>
          <w:szCs w:val="32"/>
          <w:highlight w:val="none"/>
          <w:lang w:val="zh-TW" w:eastAsia="zh-CN"/>
        </w:rPr>
        <w:t>第三轮</w:t>
      </w:r>
      <w:r>
        <w:rPr>
          <w:rFonts w:hint="default" w:ascii="仿宋_GB2312" w:hAnsi="仿宋_GB2312" w:eastAsia="仿宋_GB2312" w:cs="仿宋_GB2312"/>
          <w:color w:val="auto"/>
          <w:kern w:val="0"/>
          <w:sz w:val="32"/>
          <w:szCs w:val="32"/>
          <w:highlight w:val="none"/>
          <w:lang w:val="zh-TW" w:eastAsia="zh-TW"/>
        </w:rPr>
        <w:t>草原</w:t>
      </w:r>
      <w:r>
        <w:rPr>
          <w:rFonts w:hint="default" w:ascii="仿宋_GB2312" w:hAnsi="仿宋_GB2312" w:eastAsia="仿宋_GB2312" w:cs="仿宋_GB2312"/>
          <w:color w:val="auto"/>
          <w:kern w:val="0"/>
          <w:sz w:val="32"/>
          <w:szCs w:val="32"/>
          <w:highlight w:val="none"/>
          <w:lang w:val="en-US" w:eastAsia="zh-CN"/>
        </w:rPr>
        <w:t>生态</w:t>
      </w:r>
      <w:r>
        <w:rPr>
          <w:rFonts w:hint="default" w:ascii="仿宋_GB2312" w:hAnsi="仿宋_GB2312" w:eastAsia="仿宋_GB2312" w:cs="仿宋_GB2312"/>
          <w:color w:val="auto"/>
          <w:kern w:val="0"/>
          <w:sz w:val="32"/>
          <w:szCs w:val="32"/>
          <w:highlight w:val="none"/>
          <w:lang w:val="zh-TW" w:eastAsia="zh-TW"/>
        </w:rPr>
        <w:t>保护补助奖励政策实施方案</w:t>
      </w:r>
      <w:r>
        <w:rPr>
          <w:rFonts w:hint="default" w:ascii="仿宋_GB2312" w:hAnsi="仿宋_GB2312" w:eastAsia="仿宋_GB2312" w:cs="仿宋_GB2312"/>
          <w:color w:val="auto"/>
          <w:kern w:val="0"/>
          <w:sz w:val="32"/>
          <w:szCs w:val="32"/>
          <w:highlight w:val="none"/>
          <w:lang w:val="zh-TW" w:eastAsia="zh-CN"/>
        </w:rPr>
        <w:t>（</w:t>
      </w:r>
      <w:r>
        <w:rPr>
          <w:rFonts w:hint="default" w:ascii="仿宋_GB2312" w:hAnsi="仿宋_GB2312" w:eastAsia="仿宋_GB2312" w:cs="仿宋_GB2312"/>
          <w:color w:val="auto"/>
          <w:kern w:val="0"/>
          <w:sz w:val="32"/>
          <w:szCs w:val="32"/>
          <w:highlight w:val="none"/>
          <w:lang w:val="en-US" w:eastAsia="zh-CN"/>
        </w:rPr>
        <w:t>2021-2025年）</w:t>
      </w:r>
      <w:r>
        <w:rPr>
          <w:rFonts w:hint="eastAsia" w:ascii="仿宋_GB2312" w:hAnsi="仿宋_GB2312" w:eastAsia="仿宋_GB2312" w:cs="仿宋_GB2312"/>
          <w:color w:val="auto"/>
          <w:kern w:val="0"/>
          <w:sz w:val="32"/>
          <w:szCs w:val="32"/>
          <w:highlight w:val="none"/>
          <w:lang w:val="en-US" w:eastAsia="zh-CN"/>
        </w:rPr>
        <w:t>&gt;</w:t>
      </w:r>
      <w:r>
        <w:rPr>
          <w:rFonts w:hint="default" w:ascii="仿宋_GB2312" w:hAnsi="仿宋_GB2312" w:eastAsia="仿宋_GB2312" w:cs="仿宋_GB2312"/>
          <w:color w:val="auto"/>
          <w:kern w:val="0"/>
          <w:sz w:val="32"/>
          <w:szCs w:val="32"/>
          <w:highlight w:val="none"/>
          <w:lang w:val="zh-TW" w:eastAsia="zh-TW"/>
        </w:rPr>
        <w:t>的</w:t>
      </w:r>
      <w:r>
        <w:rPr>
          <w:rFonts w:hint="default" w:ascii="仿宋_GB2312" w:hAnsi="仿宋_GB2312" w:eastAsia="仿宋_GB2312" w:cs="仿宋_GB2312"/>
          <w:color w:val="auto"/>
          <w:kern w:val="0"/>
          <w:sz w:val="32"/>
          <w:szCs w:val="32"/>
          <w:highlight w:val="none"/>
          <w:lang w:val="zh-TW" w:eastAsia="zh-CN"/>
        </w:rPr>
        <w:t>通知</w:t>
      </w:r>
      <w:r>
        <w:rPr>
          <w:rFonts w:hint="default" w:ascii="仿宋_GB2312" w:hAnsi="仿宋_GB2312" w:eastAsia="仿宋_GB2312" w:cs="仿宋_GB2312"/>
          <w:color w:val="auto"/>
          <w:kern w:val="0"/>
          <w:sz w:val="32"/>
          <w:szCs w:val="32"/>
          <w:highlight w:val="none"/>
          <w:lang w:val="zh-TW" w:eastAsia="zh-TW"/>
        </w:rPr>
        <w:t>》昌州</w:t>
      </w:r>
      <w:r>
        <w:rPr>
          <w:rFonts w:hint="default" w:ascii="仿宋_GB2312" w:hAnsi="仿宋_GB2312" w:eastAsia="仿宋_GB2312" w:cs="仿宋_GB2312"/>
          <w:color w:val="auto"/>
          <w:kern w:val="0"/>
          <w:sz w:val="32"/>
          <w:szCs w:val="32"/>
          <w:highlight w:val="none"/>
          <w:lang w:val="en-US" w:eastAsia="zh-CN"/>
        </w:rPr>
        <w:t>财农</w:t>
      </w:r>
      <w:r>
        <w:rPr>
          <w:rFonts w:hint="default" w:ascii="仿宋_GB2312" w:hAnsi="仿宋_GB2312" w:eastAsia="仿宋_GB2312" w:cs="仿宋_GB2312"/>
          <w:color w:val="auto"/>
          <w:kern w:val="0"/>
          <w:sz w:val="32"/>
          <w:szCs w:val="32"/>
          <w:highlight w:val="none"/>
          <w:lang w:val="zh-TW" w:eastAsia="zh-TW"/>
        </w:rPr>
        <w:t>〔</w:t>
      </w:r>
      <w:r>
        <w:rPr>
          <w:rFonts w:hint="default" w:ascii="仿宋_GB2312" w:hAnsi="仿宋_GB2312" w:eastAsia="仿宋_GB2312" w:cs="仿宋_GB2312"/>
          <w:color w:val="auto"/>
          <w:kern w:val="0"/>
          <w:sz w:val="32"/>
          <w:szCs w:val="32"/>
          <w:highlight w:val="none"/>
          <w:lang w:val="en-US" w:eastAsia="zh-CN"/>
        </w:rPr>
        <w:t>2021</w:t>
      </w:r>
      <w:r>
        <w:rPr>
          <w:rFonts w:hint="default" w:ascii="仿宋_GB2312" w:hAnsi="仿宋_GB2312" w:eastAsia="仿宋_GB2312" w:cs="仿宋_GB2312"/>
          <w:color w:val="auto"/>
          <w:kern w:val="0"/>
          <w:sz w:val="32"/>
          <w:szCs w:val="32"/>
          <w:highlight w:val="none"/>
          <w:lang w:val="zh-TW" w:eastAsia="zh-TW"/>
        </w:rPr>
        <w:t>〕</w:t>
      </w:r>
      <w:r>
        <w:rPr>
          <w:rFonts w:hint="default" w:ascii="仿宋_GB2312" w:hAnsi="仿宋_GB2312" w:eastAsia="仿宋_GB2312" w:cs="仿宋_GB2312"/>
          <w:color w:val="auto"/>
          <w:kern w:val="0"/>
          <w:sz w:val="32"/>
          <w:szCs w:val="32"/>
          <w:highlight w:val="none"/>
          <w:lang w:val="en-US" w:eastAsia="zh-CN"/>
        </w:rPr>
        <w:t>50</w:t>
      </w:r>
      <w:r>
        <w:rPr>
          <w:rFonts w:hint="default" w:ascii="仿宋_GB2312" w:hAnsi="仿宋_GB2312" w:eastAsia="仿宋_GB2312" w:cs="仿宋_GB2312"/>
          <w:color w:val="auto"/>
          <w:kern w:val="0"/>
          <w:sz w:val="32"/>
          <w:szCs w:val="32"/>
          <w:highlight w:val="none"/>
          <w:lang w:val="zh-TW" w:eastAsia="zh-TW"/>
        </w:rPr>
        <w:t>号</w:t>
      </w:r>
      <w:r>
        <w:rPr>
          <w:rFonts w:hint="eastAsia" w:ascii="仿宋_GB2312" w:hAnsi="仿宋_GB2312" w:eastAsia="仿宋_GB2312" w:cs="仿宋_GB2312"/>
          <w:color w:val="auto"/>
          <w:kern w:val="0"/>
          <w:sz w:val="32"/>
          <w:szCs w:val="32"/>
          <w:highlight w:val="none"/>
          <w:lang w:val="en-US" w:eastAsia="zh-CN"/>
        </w:rPr>
        <w:t>文件</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②项目立项符合</w:t>
      </w:r>
      <w:r>
        <w:rPr>
          <w:rFonts w:hint="eastAsia" w:ascii="仿宋_GB2312" w:hAnsi="仿宋_GB2312" w:eastAsia="仿宋_GB2312" w:cs="仿宋_GB2312"/>
          <w:color w:val="auto"/>
          <w:kern w:val="0"/>
          <w:sz w:val="32"/>
          <w:szCs w:val="32"/>
          <w:highlight w:val="none"/>
          <w:lang w:val="en-US" w:eastAsia="en-US"/>
        </w:rPr>
        <w:t>（2021-2025</w:t>
      </w:r>
      <w:r>
        <w:rPr>
          <w:rFonts w:hint="eastAsia" w:ascii="仿宋_GB2312" w:hAnsi="仿宋_GB2312" w:eastAsia="仿宋_GB2312" w:cs="仿宋_GB2312"/>
          <w:color w:val="auto"/>
          <w:kern w:val="0"/>
          <w:sz w:val="32"/>
          <w:szCs w:val="32"/>
          <w:highlight w:val="none"/>
          <w:lang w:val="zh-TW" w:eastAsia="zh-TW"/>
        </w:rPr>
        <w:t>年）》</w:t>
      </w:r>
      <w:r>
        <w:rPr>
          <w:rFonts w:hint="eastAsia" w:ascii="仿宋_GB2312" w:hAnsi="仿宋_GB2312" w:eastAsia="仿宋_GB2312" w:cs="仿宋_GB2312"/>
          <w:color w:val="auto"/>
          <w:kern w:val="0"/>
          <w:sz w:val="32"/>
          <w:szCs w:val="32"/>
          <w:highlight w:val="none"/>
          <w:lang w:val="zh-TW" w:eastAsia="zh-CN"/>
        </w:rPr>
        <w:t>新财农【</w:t>
      </w:r>
      <w:r>
        <w:rPr>
          <w:rFonts w:hint="eastAsia" w:ascii="仿宋_GB2312" w:hAnsi="仿宋_GB2312" w:eastAsia="仿宋_GB2312" w:cs="仿宋_GB2312"/>
          <w:color w:val="auto"/>
          <w:kern w:val="0"/>
          <w:sz w:val="32"/>
          <w:szCs w:val="32"/>
          <w:highlight w:val="none"/>
          <w:lang w:val="en-US" w:eastAsia="zh-CN"/>
        </w:rPr>
        <w:t>2021</w:t>
      </w:r>
      <w:r>
        <w:rPr>
          <w:rFonts w:hint="eastAsia" w:ascii="仿宋_GB2312" w:hAnsi="仿宋_GB2312" w:eastAsia="仿宋_GB2312" w:cs="仿宋_GB2312"/>
          <w:color w:val="auto"/>
          <w:kern w:val="0"/>
          <w:sz w:val="32"/>
          <w:szCs w:val="32"/>
          <w:highlight w:val="none"/>
          <w:lang w:val="zh-TW" w:eastAsia="zh-CN"/>
        </w:rPr>
        <w:t>】</w:t>
      </w:r>
      <w:r>
        <w:rPr>
          <w:rFonts w:hint="eastAsia" w:ascii="仿宋_GB2312" w:hAnsi="仿宋_GB2312" w:eastAsia="仿宋_GB2312" w:cs="仿宋_GB2312"/>
          <w:color w:val="auto"/>
          <w:kern w:val="0"/>
          <w:sz w:val="32"/>
          <w:szCs w:val="32"/>
          <w:highlight w:val="none"/>
          <w:lang w:val="en-US" w:eastAsia="zh-CN"/>
        </w:rPr>
        <w:t>78号,</w:t>
      </w:r>
      <w:r>
        <w:rPr>
          <w:rFonts w:hint="default" w:ascii="仿宋_GB2312" w:hAnsi="仿宋_GB2312" w:eastAsia="仿宋_GB2312" w:cs="仿宋_GB2312"/>
          <w:color w:val="auto"/>
          <w:kern w:val="0"/>
          <w:sz w:val="32"/>
          <w:szCs w:val="32"/>
          <w:highlight w:val="none"/>
          <w:lang w:val="zh-TW" w:eastAsia="zh-TW"/>
        </w:rPr>
        <w:t>《关于</w:t>
      </w:r>
      <w:r>
        <w:rPr>
          <w:rFonts w:hint="default" w:ascii="仿宋_GB2312" w:hAnsi="仿宋_GB2312" w:eastAsia="仿宋_GB2312" w:cs="仿宋_GB2312"/>
          <w:color w:val="auto"/>
          <w:kern w:val="0"/>
          <w:sz w:val="32"/>
          <w:szCs w:val="32"/>
          <w:highlight w:val="none"/>
          <w:lang w:val="zh-TW" w:eastAsia="zh-CN"/>
        </w:rPr>
        <w:t>印发</w:t>
      </w:r>
      <w:r>
        <w:rPr>
          <w:rFonts w:hint="eastAsia" w:ascii="仿宋_GB2312" w:hAnsi="仿宋_GB2312" w:eastAsia="仿宋_GB2312" w:cs="仿宋_GB2312"/>
          <w:color w:val="auto"/>
          <w:kern w:val="0"/>
          <w:sz w:val="32"/>
          <w:szCs w:val="32"/>
          <w:highlight w:val="none"/>
          <w:lang w:val="en-US" w:eastAsia="zh-CN"/>
        </w:rPr>
        <w:t>&lt;</w:t>
      </w:r>
      <w:r>
        <w:rPr>
          <w:rFonts w:hint="default" w:ascii="仿宋_GB2312" w:hAnsi="仿宋_GB2312" w:eastAsia="仿宋_GB2312" w:cs="仿宋_GB2312"/>
          <w:color w:val="auto"/>
          <w:kern w:val="0"/>
          <w:sz w:val="32"/>
          <w:szCs w:val="32"/>
          <w:highlight w:val="none"/>
          <w:lang w:val="zh-TW" w:eastAsia="zh-TW"/>
        </w:rPr>
        <w:t>昌吉</w:t>
      </w:r>
      <w:r>
        <w:rPr>
          <w:rFonts w:hint="default" w:ascii="仿宋_GB2312" w:hAnsi="仿宋_GB2312" w:eastAsia="仿宋_GB2312" w:cs="仿宋_GB2312"/>
          <w:color w:val="auto"/>
          <w:kern w:val="0"/>
          <w:sz w:val="32"/>
          <w:szCs w:val="32"/>
          <w:highlight w:val="none"/>
          <w:lang w:val="zh-TW" w:eastAsia="zh-CN"/>
        </w:rPr>
        <w:t>回族自治</w:t>
      </w:r>
      <w:r>
        <w:rPr>
          <w:rFonts w:hint="default" w:ascii="仿宋_GB2312" w:hAnsi="仿宋_GB2312" w:eastAsia="仿宋_GB2312" w:cs="仿宋_GB2312"/>
          <w:color w:val="auto"/>
          <w:kern w:val="0"/>
          <w:sz w:val="32"/>
          <w:szCs w:val="32"/>
          <w:highlight w:val="none"/>
          <w:lang w:val="zh-TW" w:eastAsia="zh-TW"/>
        </w:rPr>
        <w:t>州</w:t>
      </w:r>
      <w:r>
        <w:rPr>
          <w:rFonts w:hint="default" w:ascii="仿宋_GB2312" w:hAnsi="仿宋_GB2312" w:eastAsia="仿宋_GB2312" w:cs="仿宋_GB2312"/>
          <w:color w:val="auto"/>
          <w:kern w:val="0"/>
          <w:sz w:val="32"/>
          <w:szCs w:val="32"/>
          <w:highlight w:val="none"/>
          <w:lang w:val="zh-TW" w:eastAsia="zh-CN"/>
        </w:rPr>
        <w:t>第三轮</w:t>
      </w:r>
      <w:r>
        <w:rPr>
          <w:rFonts w:hint="default" w:ascii="仿宋_GB2312" w:hAnsi="仿宋_GB2312" w:eastAsia="仿宋_GB2312" w:cs="仿宋_GB2312"/>
          <w:color w:val="auto"/>
          <w:kern w:val="0"/>
          <w:sz w:val="32"/>
          <w:szCs w:val="32"/>
          <w:highlight w:val="none"/>
          <w:lang w:val="zh-TW" w:eastAsia="zh-TW"/>
        </w:rPr>
        <w:t>草原</w:t>
      </w:r>
      <w:r>
        <w:rPr>
          <w:rFonts w:hint="default" w:ascii="仿宋_GB2312" w:hAnsi="仿宋_GB2312" w:eastAsia="仿宋_GB2312" w:cs="仿宋_GB2312"/>
          <w:color w:val="auto"/>
          <w:kern w:val="0"/>
          <w:sz w:val="32"/>
          <w:szCs w:val="32"/>
          <w:highlight w:val="none"/>
          <w:lang w:val="en-US" w:eastAsia="zh-CN"/>
        </w:rPr>
        <w:t>生态</w:t>
      </w:r>
      <w:r>
        <w:rPr>
          <w:rFonts w:hint="default" w:ascii="仿宋_GB2312" w:hAnsi="仿宋_GB2312" w:eastAsia="仿宋_GB2312" w:cs="仿宋_GB2312"/>
          <w:color w:val="auto"/>
          <w:kern w:val="0"/>
          <w:sz w:val="32"/>
          <w:szCs w:val="32"/>
          <w:highlight w:val="none"/>
          <w:lang w:val="zh-TW" w:eastAsia="zh-TW"/>
        </w:rPr>
        <w:t>保护补助奖励政策实施方案</w:t>
      </w:r>
      <w:r>
        <w:rPr>
          <w:rFonts w:hint="default" w:ascii="仿宋_GB2312" w:hAnsi="仿宋_GB2312" w:eastAsia="仿宋_GB2312" w:cs="仿宋_GB2312"/>
          <w:color w:val="auto"/>
          <w:kern w:val="0"/>
          <w:sz w:val="32"/>
          <w:szCs w:val="32"/>
          <w:highlight w:val="none"/>
          <w:lang w:val="zh-TW" w:eastAsia="zh-CN"/>
        </w:rPr>
        <w:t>（</w:t>
      </w:r>
      <w:r>
        <w:rPr>
          <w:rFonts w:hint="default" w:ascii="仿宋_GB2312" w:hAnsi="仿宋_GB2312" w:eastAsia="仿宋_GB2312" w:cs="仿宋_GB2312"/>
          <w:color w:val="auto"/>
          <w:kern w:val="0"/>
          <w:sz w:val="32"/>
          <w:szCs w:val="32"/>
          <w:highlight w:val="none"/>
          <w:lang w:val="en-US" w:eastAsia="zh-CN"/>
        </w:rPr>
        <w:t>2021-2025年）</w:t>
      </w:r>
      <w:r>
        <w:rPr>
          <w:rFonts w:hint="eastAsia" w:ascii="仿宋_GB2312" w:hAnsi="仿宋_GB2312" w:eastAsia="仿宋_GB2312" w:cs="仿宋_GB2312"/>
          <w:color w:val="auto"/>
          <w:kern w:val="0"/>
          <w:sz w:val="32"/>
          <w:szCs w:val="32"/>
          <w:highlight w:val="none"/>
          <w:lang w:val="en-US" w:eastAsia="zh-CN"/>
        </w:rPr>
        <w:t>&gt;</w:t>
      </w:r>
      <w:r>
        <w:rPr>
          <w:rFonts w:hint="default" w:ascii="仿宋_GB2312" w:hAnsi="仿宋_GB2312" w:eastAsia="仿宋_GB2312" w:cs="仿宋_GB2312"/>
          <w:color w:val="auto"/>
          <w:kern w:val="0"/>
          <w:sz w:val="32"/>
          <w:szCs w:val="32"/>
          <w:highlight w:val="none"/>
          <w:lang w:val="zh-TW" w:eastAsia="zh-TW"/>
        </w:rPr>
        <w:t>的</w:t>
      </w:r>
      <w:r>
        <w:rPr>
          <w:rFonts w:hint="default" w:ascii="仿宋_GB2312" w:hAnsi="仿宋_GB2312" w:eastAsia="仿宋_GB2312" w:cs="仿宋_GB2312"/>
          <w:color w:val="auto"/>
          <w:kern w:val="0"/>
          <w:sz w:val="32"/>
          <w:szCs w:val="32"/>
          <w:highlight w:val="none"/>
          <w:lang w:val="zh-TW" w:eastAsia="zh-CN"/>
        </w:rPr>
        <w:t>通知</w:t>
      </w:r>
      <w:r>
        <w:rPr>
          <w:rFonts w:hint="default" w:ascii="仿宋_GB2312" w:hAnsi="仿宋_GB2312" w:eastAsia="仿宋_GB2312" w:cs="仿宋_GB2312"/>
          <w:color w:val="auto"/>
          <w:kern w:val="0"/>
          <w:sz w:val="32"/>
          <w:szCs w:val="32"/>
          <w:highlight w:val="none"/>
          <w:lang w:val="zh-TW" w:eastAsia="zh-TW"/>
        </w:rPr>
        <w:t>》昌州</w:t>
      </w:r>
      <w:r>
        <w:rPr>
          <w:rFonts w:hint="default" w:ascii="仿宋_GB2312" w:hAnsi="仿宋_GB2312" w:eastAsia="仿宋_GB2312" w:cs="仿宋_GB2312"/>
          <w:color w:val="auto"/>
          <w:kern w:val="0"/>
          <w:sz w:val="32"/>
          <w:szCs w:val="32"/>
          <w:highlight w:val="none"/>
          <w:lang w:val="en-US" w:eastAsia="zh-CN"/>
        </w:rPr>
        <w:t>财农</w:t>
      </w:r>
      <w:r>
        <w:rPr>
          <w:rFonts w:hint="default" w:ascii="仿宋_GB2312" w:hAnsi="仿宋_GB2312" w:eastAsia="仿宋_GB2312" w:cs="仿宋_GB2312"/>
          <w:color w:val="auto"/>
          <w:kern w:val="0"/>
          <w:sz w:val="32"/>
          <w:szCs w:val="32"/>
          <w:highlight w:val="none"/>
          <w:lang w:val="zh-TW" w:eastAsia="zh-TW"/>
        </w:rPr>
        <w:t>〔</w:t>
      </w:r>
      <w:r>
        <w:rPr>
          <w:rFonts w:hint="default" w:ascii="仿宋_GB2312" w:hAnsi="仿宋_GB2312" w:eastAsia="仿宋_GB2312" w:cs="仿宋_GB2312"/>
          <w:color w:val="auto"/>
          <w:kern w:val="0"/>
          <w:sz w:val="32"/>
          <w:szCs w:val="32"/>
          <w:highlight w:val="none"/>
          <w:lang w:val="en-US" w:eastAsia="zh-CN"/>
        </w:rPr>
        <w:t>2021</w:t>
      </w:r>
      <w:r>
        <w:rPr>
          <w:rFonts w:hint="default" w:ascii="仿宋_GB2312" w:hAnsi="仿宋_GB2312" w:eastAsia="仿宋_GB2312" w:cs="仿宋_GB2312"/>
          <w:color w:val="auto"/>
          <w:kern w:val="0"/>
          <w:sz w:val="32"/>
          <w:szCs w:val="32"/>
          <w:highlight w:val="none"/>
          <w:lang w:val="zh-TW" w:eastAsia="zh-TW"/>
        </w:rPr>
        <w:t>〕</w:t>
      </w:r>
      <w:r>
        <w:rPr>
          <w:rFonts w:hint="default" w:ascii="仿宋_GB2312" w:hAnsi="仿宋_GB2312" w:eastAsia="仿宋_GB2312" w:cs="仿宋_GB2312"/>
          <w:color w:val="auto"/>
          <w:kern w:val="0"/>
          <w:sz w:val="32"/>
          <w:szCs w:val="32"/>
          <w:highlight w:val="none"/>
          <w:lang w:val="en-US" w:eastAsia="zh-CN"/>
        </w:rPr>
        <w:t>50</w:t>
      </w:r>
      <w:r>
        <w:rPr>
          <w:rFonts w:hint="default" w:ascii="仿宋_GB2312" w:hAnsi="仿宋_GB2312" w:eastAsia="仿宋_GB2312" w:cs="仿宋_GB2312"/>
          <w:color w:val="auto"/>
          <w:kern w:val="0"/>
          <w:sz w:val="32"/>
          <w:szCs w:val="32"/>
          <w:highlight w:val="none"/>
          <w:lang w:val="zh-TW" w:eastAsia="zh-TW"/>
        </w:rPr>
        <w:t>号</w:t>
      </w:r>
      <w:r>
        <w:rPr>
          <w:rFonts w:hint="eastAsia" w:ascii="仿宋_GB2312" w:hAnsi="仿宋_GB2312" w:eastAsia="仿宋_GB2312" w:cs="仿宋_GB2312"/>
          <w:color w:val="auto"/>
          <w:kern w:val="0"/>
          <w:sz w:val="32"/>
          <w:szCs w:val="32"/>
          <w:highlight w:val="none"/>
          <w:lang w:val="en-US" w:eastAsia="zh-CN"/>
        </w:rPr>
        <w:t>文件，</w:t>
      </w:r>
      <w:r>
        <w:rPr>
          <w:rFonts w:hint="default" w:ascii="仿宋_GB2312" w:hAnsi="仿宋_GB2312" w:eastAsia="仿宋_GB2312" w:cs="仿宋_GB2312"/>
          <w:color w:val="auto"/>
          <w:kern w:val="0"/>
          <w:sz w:val="32"/>
          <w:szCs w:val="32"/>
          <w:highlight w:val="none"/>
          <w:lang w:val="zh-TW" w:eastAsia="zh-TW"/>
        </w:rPr>
        <w:t>《</w:t>
      </w:r>
      <w:r>
        <w:rPr>
          <w:rFonts w:hint="eastAsia" w:ascii="仿宋_GB2312" w:hAnsi="仿宋_GB2312" w:eastAsia="仿宋_GB2312" w:cs="仿宋_GB2312"/>
          <w:color w:val="auto"/>
          <w:kern w:val="0"/>
          <w:sz w:val="32"/>
          <w:szCs w:val="32"/>
          <w:highlight w:val="none"/>
          <w:lang w:val="en-US" w:eastAsia="zh-CN"/>
        </w:rPr>
        <w:t>新疆维吾尔自治区草原生态补助奖励政策</w:t>
      </w:r>
      <w:r>
        <w:rPr>
          <w:rFonts w:hint="eastAsia" w:ascii="仿宋_GB2312" w:hAnsi="仿宋_GB2312" w:eastAsia="仿宋_GB2312" w:cs="仿宋_GB2312"/>
          <w:color w:val="auto"/>
          <w:kern w:val="0"/>
          <w:sz w:val="32"/>
          <w:szCs w:val="32"/>
          <w:highlight w:val="none"/>
          <w:lang w:val="zh-TW" w:eastAsia="zh-TW"/>
        </w:rPr>
        <w:t>》</w:t>
      </w:r>
      <w:r>
        <w:rPr>
          <w:rFonts w:hint="eastAsia" w:ascii="仿宋_GB2312" w:hAnsi="仿宋_GB2312" w:eastAsia="仿宋_GB2312" w:cs="仿宋_GB2312"/>
          <w:color w:val="auto"/>
          <w:kern w:val="0"/>
          <w:sz w:val="32"/>
          <w:szCs w:val="32"/>
          <w:highlight w:val="none"/>
          <w:lang w:val="zh-TW"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③项目立项与全市草原生态保护补助奖励政策具体组织实施和管理相符，属于部门履职所需；</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④项目属于公共财政支持范围，符合中央、地方事权支出责任划分原则；</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⑤项目与相关部门同类项目、部门内部相关项目</w:t>
      </w:r>
      <w:r>
        <w:rPr>
          <w:rFonts w:hint="eastAsia" w:ascii="仿宋_GB2312" w:hAnsi="仿宋_GB2312" w:eastAsia="仿宋_GB2312" w:cs="仿宋_GB2312"/>
          <w:color w:val="auto"/>
          <w:sz w:val="32"/>
          <w:szCs w:val="32"/>
          <w:highlight w:val="none"/>
          <w:lang w:val="en-US" w:eastAsia="zh-CN"/>
        </w:rPr>
        <w:t>不</w:t>
      </w:r>
      <w:r>
        <w:rPr>
          <w:rFonts w:hint="eastAsia" w:ascii="仿宋_GB2312" w:hAnsi="仿宋_GB2312" w:eastAsia="仿宋_GB2312" w:cs="仿宋_GB2312"/>
          <w:color w:val="auto"/>
          <w:sz w:val="32"/>
          <w:szCs w:val="32"/>
          <w:highlight w:val="none"/>
          <w:lang w:eastAsia="zh-CN"/>
        </w:rPr>
        <w:t>重复。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综上，该项指标满分2分，得分2分。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11" w:name="_Toc21976"/>
      <w:bookmarkStart w:id="112" w:name="_Toc23240"/>
      <w:r>
        <w:rPr>
          <w:rFonts w:hint="eastAsia" w:ascii="仿宋_GB2312" w:hAnsi="仿宋_GB2312" w:eastAsia="仿宋_GB2312" w:cs="仿宋_GB2312"/>
          <w:b/>
          <w:bCs/>
          <w:color w:val="auto"/>
          <w:sz w:val="32"/>
          <w:szCs w:val="32"/>
          <w:highlight w:val="none"/>
          <w:lang w:val="en-US" w:eastAsia="zh-CN"/>
        </w:rPr>
        <w:t>2.立项程序规范性</w:t>
      </w:r>
      <w:bookmarkEnd w:id="111"/>
      <w:bookmarkEnd w:id="112"/>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①项目按照规定的程序申请设立；</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②审批文件、材料符合相关要求；</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③事前未经过必要的可行性研究、专家论证、风险评估、绩效评估、集体决策。</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综上，该项指标满分3分，得分2分。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13" w:name="_Toc23542"/>
      <w:bookmarkStart w:id="114" w:name="_Toc15382"/>
      <w:r>
        <w:rPr>
          <w:rFonts w:hint="eastAsia" w:ascii="仿宋_GB2312" w:hAnsi="仿宋_GB2312" w:eastAsia="仿宋_GB2312" w:cs="仿宋_GB2312"/>
          <w:b/>
          <w:bCs/>
          <w:color w:val="auto"/>
          <w:sz w:val="32"/>
          <w:szCs w:val="32"/>
          <w:highlight w:val="none"/>
          <w:lang w:val="en-US" w:eastAsia="zh-CN"/>
        </w:rPr>
        <w:t>3.绩效目标合理性</w:t>
      </w:r>
      <w:bookmarkEnd w:id="113"/>
      <w:bookmarkEnd w:id="11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①该项目已设置年度绩效目标。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该项目实际工作内容为：完成草原生态保护补助奖励一般性禁牧草原面积288.35万亩；水源涵养区草原禁牧面积39.56万亩；草畜平衡管理面积325.24万亩，发放草原生态保护补助奖励补资金约4521.37万元。绩效目标与实际工作内容一致，两者具有相关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③该项目按照绩效目标完成数量指标、质量指标、时效指标、成本指标，完成发放草原生态保护补助奖励补资金4521.37万元。项目的实施改善了牧民的生活质量，持续发挥生态作用显著。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④《项目支出绩效目标表》中预算金额为4557.76万元，预算确定的项目资金与预算确定的项目投资额相匹配。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综上，该项指标满分5分，得分5分。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15" w:name="_Toc10650"/>
      <w:bookmarkStart w:id="116" w:name="_Toc18198"/>
      <w:r>
        <w:rPr>
          <w:rFonts w:hint="eastAsia" w:ascii="仿宋_GB2312" w:hAnsi="仿宋_GB2312" w:eastAsia="仿宋_GB2312" w:cs="仿宋_GB2312"/>
          <w:b/>
          <w:bCs/>
          <w:color w:val="auto"/>
          <w:sz w:val="32"/>
          <w:szCs w:val="32"/>
          <w:highlight w:val="none"/>
          <w:lang w:val="en-US" w:eastAsia="zh-CN"/>
        </w:rPr>
        <w:t>4.绩效指标明确性</w:t>
      </w:r>
      <w:bookmarkEnd w:id="115"/>
      <w:bookmarkEnd w:id="116"/>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①将项目绩效目标细化分解为具体的绩效指标，</w:t>
      </w:r>
      <w:r>
        <w:rPr>
          <w:rFonts w:hint="eastAsia" w:ascii="仿宋_GB2312" w:hAnsi="仿宋_GB2312" w:eastAsia="仿宋_GB2312" w:cs="仿宋_GB2312"/>
          <w:color w:val="auto"/>
          <w:sz w:val="32"/>
          <w:szCs w:val="32"/>
          <w:highlight w:val="none"/>
          <w:lang w:val="en-US" w:eastAsia="zh-CN"/>
        </w:rPr>
        <w:t>其中三级指标共计11个</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②通过清晰、可衡量的指标值予以体现，</w:t>
      </w:r>
      <w:r>
        <w:rPr>
          <w:rFonts w:hint="eastAsia" w:ascii="仿宋_GB2312" w:hAnsi="仿宋_GB2312" w:eastAsia="仿宋_GB2312" w:cs="仿宋_GB2312"/>
          <w:color w:val="auto"/>
          <w:sz w:val="32"/>
          <w:szCs w:val="32"/>
          <w:highlight w:val="none"/>
          <w:lang w:val="en-US" w:eastAsia="zh-CN"/>
        </w:rPr>
        <w:t>量化率达到81.82%</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③《项目绩效目标申报表》中，三级指标的年度指标值与年度绩效目标中任务数一致。</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已设置的绩效目标具备明确性、可衡量性、可实现性、相关性、时限性。</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综上，该项指标满分5分，得分5分。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17" w:name="_Toc8296"/>
      <w:bookmarkStart w:id="118" w:name="_Toc19401"/>
      <w:r>
        <w:rPr>
          <w:rFonts w:hint="eastAsia" w:ascii="仿宋_GB2312" w:hAnsi="仿宋_GB2312" w:eastAsia="仿宋_GB2312" w:cs="仿宋_GB2312"/>
          <w:b/>
          <w:bCs/>
          <w:color w:val="auto"/>
          <w:sz w:val="32"/>
          <w:szCs w:val="32"/>
          <w:highlight w:val="none"/>
          <w:lang w:val="en-US" w:eastAsia="zh-CN"/>
        </w:rPr>
        <w:t>5.预算编制科学性</w:t>
      </w:r>
      <w:bookmarkEnd w:id="117"/>
      <w:bookmarkEnd w:id="118"/>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w:t>
      </w:r>
      <w:r>
        <w:rPr>
          <w:rFonts w:hint="eastAsia" w:ascii="仿宋_GB2312" w:hAnsi="仿宋_GB2312" w:eastAsia="仿宋_GB2312" w:cs="仿宋_GB2312"/>
          <w:color w:val="auto"/>
          <w:sz w:val="32"/>
          <w:szCs w:val="32"/>
          <w:highlight w:val="none"/>
          <w:lang w:val="en-US" w:eastAsia="zh-CN"/>
        </w:rPr>
        <w:t>根据项目预算批复，项目的</w:t>
      </w:r>
      <w:r>
        <w:rPr>
          <w:rFonts w:hint="eastAsia" w:ascii="仿宋_GB2312" w:hAnsi="仿宋_GB2312" w:eastAsia="仿宋_GB2312" w:cs="仿宋_GB2312"/>
          <w:color w:val="auto"/>
          <w:sz w:val="32"/>
          <w:szCs w:val="32"/>
          <w:highlight w:val="none"/>
          <w:lang w:eastAsia="zh-CN"/>
        </w:rPr>
        <w:t>预算编制经过科学论证；</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②</w:t>
      </w:r>
      <w:r>
        <w:rPr>
          <w:rFonts w:hint="eastAsia" w:ascii="仿宋_GB2312" w:hAnsi="仿宋_GB2312" w:eastAsia="仿宋_GB2312" w:cs="仿宋_GB2312"/>
          <w:color w:val="auto"/>
          <w:sz w:val="32"/>
          <w:szCs w:val="32"/>
          <w:highlight w:val="none"/>
          <w:lang w:eastAsia="zh-CN"/>
        </w:rPr>
        <w:t>预算申请内容为阜康市林业和草原局2024年预计完成草原生态保护补助奖励一般性禁牧草原面积288.35万亩；水源涵养区草原禁牧面积39.56万亩；草畜平衡管理面积325.24万亩，发放草原生态保护补助奖励补资金约4521.37万元。项目实际内容为以6元/亩的标准完成一般性禁牧草原288.35万亩，以50元/亩的标准完成水源涵养区草原禁牧39.56万亩，以2.5元/亩的标准完成草畜平衡管理325.24万亩，完成发放草原生态保护补助奖励补资金4521.37万元。预算申请与项目内容匹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③</w:t>
      </w:r>
      <w:r>
        <w:rPr>
          <w:rFonts w:hint="eastAsia" w:ascii="仿宋_GB2312" w:hAnsi="仿宋_GB2312" w:eastAsia="仿宋_GB2312" w:cs="仿宋_GB2312"/>
          <w:color w:val="auto"/>
          <w:sz w:val="32"/>
          <w:szCs w:val="32"/>
          <w:highlight w:val="none"/>
          <w:lang w:eastAsia="zh-CN"/>
        </w:rPr>
        <w:t>项目预算申请资金</w:t>
      </w:r>
      <w:r>
        <w:rPr>
          <w:rFonts w:hint="eastAsia" w:ascii="仿宋_GB2312" w:hAnsi="仿宋_GB2312" w:eastAsia="仿宋_GB2312" w:cs="仿宋_GB2312"/>
          <w:color w:val="auto"/>
          <w:sz w:val="32"/>
          <w:szCs w:val="32"/>
          <w:highlight w:val="none"/>
          <w:lang w:val="en-US" w:eastAsia="zh-CN"/>
        </w:rPr>
        <w:t>4557.76万</w:t>
      </w:r>
      <w:r>
        <w:rPr>
          <w:rFonts w:hint="eastAsia" w:ascii="仿宋_GB2312" w:hAnsi="仿宋_GB2312" w:eastAsia="仿宋_GB2312" w:cs="仿宋_GB2312"/>
          <w:color w:val="auto"/>
          <w:sz w:val="32"/>
          <w:szCs w:val="32"/>
          <w:highlight w:val="none"/>
          <w:lang w:eastAsia="zh-CN"/>
        </w:rPr>
        <w:t>元，我单位在预算申请中严格按照项目实施内容及测算标准进行核算，其中：草原生态保护补助奖励一般性禁牧草原面积288.35万亩；水源涵养区草原禁牧面积39.56万亩；草畜平衡管理面积325.24万亩，共发放补助奖励资金约4521.37万元。</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④</w:t>
      </w:r>
      <w:r>
        <w:rPr>
          <w:rFonts w:hint="eastAsia" w:ascii="仿宋_GB2312" w:hAnsi="仿宋_GB2312" w:eastAsia="仿宋_GB2312" w:cs="仿宋_GB2312"/>
          <w:color w:val="auto"/>
          <w:sz w:val="32"/>
          <w:szCs w:val="32"/>
          <w:highlight w:val="none"/>
          <w:lang w:eastAsia="zh-CN"/>
        </w:rPr>
        <w:t>预算确定资金量与实际工作任务相匹配。项目预算额度测算依据充分，严格按照标准编制，项目资金量与</w:t>
      </w:r>
      <w:r>
        <w:rPr>
          <w:rFonts w:hint="eastAsia" w:ascii="仿宋_GB2312" w:hAnsi="仿宋_GB2312" w:eastAsia="仿宋_GB2312" w:cs="仿宋_GB2312"/>
          <w:color w:val="auto"/>
          <w:sz w:val="32"/>
          <w:szCs w:val="32"/>
          <w:highlight w:val="none"/>
          <w:lang w:val="en-US" w:eastAsia="zh-CN"/>
        </w:rPr>
        <w:t>项目实施内容</w:t>
      </w:r>
      <w:r>
        <w:rPr>
          <w:rFonts w:hint="eastAsia" w:ascii="仿宋_GB2312" w:hAnsi="仿宋_GB2312" w:eastAsia="仿宋_GB2312" w:cs="仿宋_GB2312"/>
          <w:color w:val="auto"/>
          <w:sz w:val="32"/>
          <w:szCs w:val="32"/>
          <w:highlight w:val="none"/>
          <w:lang w:eastAsia="zh-CN"/>
        </w:rPr>
        <w:t>相匹配。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综上，该项指标满分2分，得分2分。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19" w:name="_Toc697"/>
      <w:bookmarkStart w:id="120" w:name="_Toc20556"/>
      <w:r>
        <w:rPr>
          <w:rFonts w:hint="eastAsia" w:ascii="仿宋_GB2312" w:hAnsi="仿宋_GB2312" w:eastAsia="仿宋_GB2312" w:cs="仿宋_GB2312"/>
          <w:b/>
          <w:bCs/>
          <w:color w:val="auto"/>
          <w:sz w:val="32"/>
          <w:szCs w:val="32"/>
          <w:highlight w:val="none"/>
          <w:lang w:val="en-US" w:eastAsia="zh-CN"/>
        </w:rPr>
        <w:t>6.资金分配合理性</w:t>
      </w:r>
      <w:bookmarkEnd w:id="119"/>
      <w:bookmarkEnd w:id="120"/>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①项目实际分配资金以</w:t>
      </w:r>
      <w:r>
        <w:rPr>
          <w:rFonts w:hint="eastAsia" w:ascii="仿宋_GB2312" w:hAnsi="仿宋_GB2312" w:eastAsia="仿宋_GB2312" w:cs="仿宋_GB2312"/>
          <w:color w:val="auto"/>
          <w:sz w:val="32"/>
          <w:szCs w:val="32"/>
          <w:highlight w:val="none"/>
          <w:lang w:eastAsia="zh-Hans"/>
        </w:rPr>
        <w:t>《关于</w:t>
      </w:r>
      <w:r>
        <w:rPr>
          <w:rFonts w:hint="eastAsia" w:ascii="仿宋_GB2312" w:hAnsi="仿宋_GB2312" w:eastAsia="仿宋_GB2312" w:cs="仿宋_GB2312"/>
          <w:color w:val="auto"/>
          <w:sz w:val="32"/>
          <w:szCs w:val="32"/>
          <w:highlight w:val="none"/>
          <w:lang w:eastAsia="zh-CN"/>
        </w:rPr>
        <w:t>申请中央农业生态资源保护资金</w:t>
      </w:r>
      <w:r>
        <w:rPr>
          <w:rFonts w:hint="eastAsia" w:ascii="仿宋_GB2312" w:hAnsi="仿宋_GB2312" w:eastAsia="仿宋_GB2312" w:cs="仿宋_GB2312"/>
          <w:bCs/>
          <w:color w:val="auto"/>
          <w:sz w:val="32"/>
          <w:szCs w:val="32"/>
          <w:highlight w:val="none"/>
          <w:lang w:eastAsia="zh-CN"/>
        </w:rPr>
        <w:t>草原生态保护补助</w:t>
      </w:r>
      <w:r>
        <w:rPr>
          <w:rFonts w:hint="eastAsia" w:ascii="仿宋_GB2312" w:hAnsi="仿宋_GB2312" w:eastAsia="仿宋_GB2312" w:cs="仿宋_GB2312"/>
          <w:color w:val="auto"/>
          <w:sz w:val="32"/>
          <w:szCs w:val="32"/>
          <w:highlight w:val="none"/>
          <w:lang w:eastAsia="zh-CN"/>
        </w:rPr>
        <w:t>项目资金的请示</w:t>
      </w:r>
      <w:r>
        <w:rPr>
          <w:rFonts w:hint="eastAsia" w:ascii="仿宋_GB2312" w:hAnsi="仿宋_GB2312" w:eastAsia="仿宋_GB2312" w:cs="仿宋_GB2312"/>
          <w:color w:val="auto"/>
          <w:sz w:val="32"/>
          <w:szCs w:val="32"/>
          <w:highlight w:val="none"/>
          <w:lang w:eastAsia="zh-Hans"/>
        </w:rPr>
        <w:t>》为依据进行资金分配，预算资金分配依据充分</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②项目实际到位资金</w:t>
      </w:r>
      <w:r>
        <w:rPr>
          <w:rFonts w:hint="eastAsia" w:ascii="仿宋_GB2312" w:hAnsi="仿宋_GB2312" w:eastAsia="仿宋_GB2312" w:cs="仿宋_GB2312"/>
          <w:color w:val="auto"/>
          <w:sz w:val="32"/>
          <w:szCs w:val="32"/>
          <w:highlight w:val="none"/>
          <w:lang w:val="en-US" w:eastAsia="zh-CN"/>
        </w:rPr>
        <w:t>4557.76</w:t>
      </w:r>
      <w:r>
        <w:rPr>
          <w:rFonts w:hint="eastAsia" w:ascii="仿宋_GB2312" w:hAnsi="仿宋_GB2312" w:eastAsia="仿宋_GB2312" w:cs="仿宋_GB2312"/>
          <w:color w:val="auto"/>
          <w:sz w:val="32"/>
          <w:szCs w:val="32"/>
          <w:highlight w:val="none"/>
          <w:lang w:eastAsia="zh-CN"/>
        </w:rPr>
        <w:t>万元，资金分配额度合理，与项目单位</w:t>
      </w:r>
      <w:r>
        <w:rPr>
          <w:rFonts w:hint="eastAsia" w:ascii="仿宋_GB2312" w:hAnsi="仿宋_GB2312" w:eastAsia="仿宋_GB2312" w:cs="仿宋_GB2312"/>
          <w:color w:val="auto"/>
          <w:sz w:val="32"/>
          <w:szCs w:val="32"/>
          <w:highlight w:val="none"/>
          <w:lang w:val="en-US" w:eastAsia="zh-CN"/>
        </w:rPr>
        <w:t>及项目实际实施情况相</w:t>
      </w:r>
      <w:r>
        <w:rPr>
          <w:rFonts w:hint="eastAsia" w:ascii="仿宋_GB2312" w:hAnsi="仿宋_GB2312" w:eastAsia="仿宋_GB2312" w:cs="仿宋_GB2312"/>
          <w:color w:val="auto"/>
          <w:sz w:val="32"/>
          <w:szCs w:val="32"/>
          <w:highlight w:val="none"/>
          <w:lang w:eastAsia="zh-CN"/>
        </w:rPr>
        <w:t>适应。</w:t>
      </w:r>
    </w:p>
    <w:p>
      <w:pPr>
        <w:pageBreakBefore w:val="0"/>
        <w:kinsoku/>
        <w:wordWrap/>
        <w:overflowPunct/>
        <w:topLinePunct w:val="0"/>
        <w:autoSpaceDE/>
        <w:autoSpaceDN/>
        <w:bidi w:val="0"/>
        <w:spacing w:line="560" w:lineRule="exact"/>
        <w:textAlignment w:val="auto"/>
        <w:rPr>
          <w:rFonts w:hint="eastAsia"/>
          <w:color w:val="auto"/>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综上，该项指标满分3分，得分3分。</w:t>
      </w:r>
    </w:p>
    <w:p>
      <w:pPr>
        <w:pStyle w:val="16"/>
        <w:widowControl/>
        <w:numPr>
          <w:ilvl w:val="0"/>
          <w:numId w:val="0"/>
        </w:numPr>
        <w:spacing w:before="0" w:beforeLines="-2147483648" w:after="0" w:afterLines="-2147483648" w:line="560" w:lineRule="exact"/>
        <w:ind w:firstLine="643" w:firstLineChars="200"/>
        <w:jc w:val="both"/>
        <w:rPr>
          <w:rFonts w:hint="eastAsia" w:ascii="Times New Roman" w:hAnsi="Times New Roman" w:eastAsia="楷体" w:cs="Times New Roman"/>
          <w:color w:val="auto"/>
          <w:kern w:val="28"/>
          <w:sz w:val="32"/>
          <w:highlight w:val="none"/>
        </w:rPr>
      </w:pPr>
      <w:bookmarkStart w:id="121" w:name="_Toc10564"/>
      <w:r>
        <w:rPr>
          <w:rFonts w:hint="eastAsia" w:ascii="Times New Roman" w:hAnsi="Times New Roman" w:eastAsia="楷体" w:cs="Times New Roman"/>
          <w:color w:val="auto"/>
          <w:kern w:val="28"/>
          <w:sz w:val="32"/>
          <w:highlight w:val="none"/>
          <w:lang w:eastAsia="zh-CN"/>
        </w:rPr>
        <w:t>（</w:t>
      </w:r>
      <w:r>
        <w:rPr>
          <w:rFonts w:hint="eastAsia" w:ascii="Times New Roman" w:hAnsi="Times New Roman" w:eastAsia="楷体" w:cs="Times New Roman"/>
          <w:color w:val="auto"/>
          <w:kern w:val="28"/>
          <w:sz w:val="32"/>
          <w:highlight w:val="none"/>
          <w:lang w:val="en-US" w:eastAsia="zh-CN"/>
        </w:rPr>
        <w:t>二</w:t>
      </w:r>
      <w:r>
        <w:rPr>
          <w:rFonts w:hint="eastAsia" w:ascii="Times New Roman" w:hAnsi="Times New Roman" w:eastAsia="楷体" w:cs="Times New Roman"/>
          <w:color w:val="auto"/>
          <w:kern w:val="28"/>
          <w:sz w:val="32"/>
          <w:highlight w:val="none"/>
          <w:lang w:eastAsia="zh-CN"/>
        </w:rPr>
        <w:t>）</w:t>
      </w:r>
      <w:r>
        <w:rPr>
          <w:rFonts w:hint="eastAsia" w:ascii="Times New Roman" w:hAnsi="Times New Roman" w:eastAsia="楷体" w:cs="Times New Roman"/>
          <w:color w:val="auto"/>
          <w:kern w:val="28"/>
          <w:sz w:val="32"/>
          <w:highlight w:val="none"/>
        </w:rPr>
        <w:t>项目过程情况</w:t>
      </w:r>
      <w:bookmarkEnd w:id="121"/>
    </w:p>
    <w:p>
      <w:pPr>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rPr>
        <w:t>过程</w:t>
      </w:r>
      <w:r>
        <w:rPr>
          <w:rFonts w:hint="eastAsia" w:ascii="仿宋_GB2312" w:hAnsi="仿宋_GB2312" w:eastAsia="仿宋_GB2312" w:cs="仿宋_GB2312"/>
          <w:color w:val="auto"/>
          <w:kern w:val="2"/>
          <w:sz w:val="32"/>
          <w:szCs w:val="32"/>
          <w:highlight w:val="none"/>
          <w:u w:color="000000"/>
          <w:shd w:val="clear" w:color="auto" w:fill="auto"/>
          <w:lang w:eastAsia="zh-CN"/>
        </w:rPr>
        <w:t>管理</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类指标由</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5</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19.97</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详见上传的附件二</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cs="宋体"/>
          <w:b/>
          <w:bCs/>
          <w:color w:val="auto"/>
          <w:kern w:val="0"/>
          <w:sz w:val="28"/>
          <w:szCs w:val="28"/>
          <w:highlight w:val="none"/>
          <w:shd w:val="clear" w:color="auto" w:fill="auto"/>
          <w:lang w:val="en-US" w:eastAsia="zh-CN"/>
        </w:rPr>
        <w:t>过程</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9"/>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3.97</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19.97</w:t>
            </w:r>
          </w:p>
        </w:tc>
      </w:tr>
    </w:tbl>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22" w:name="_Toc20449"/>
      <w:bookmarkStart w:id="123" w:name="_Toc3886"/>
      <w:r>
        <w:rPr>
          <w:rFonts w:hint="eastAsia" w:ascii="仿宋_GB2312" w:hAnsi="仿宋_GB2312" w:eastAsia="仿宋_GB2312" w:cs="仿宋_GB2312"/>
          <w:b/>
          <w:bCs/>
          <w:color w:val="auto"/>
          <w:sz w:val="32"/>
          <w:szCs w:val="32"/>
          <w:highlight w:val="none"/>
          <w:lang w:val="en-US" w:eastAsia="zh-CN"/>
        </w:rPr>
        <w:t>1.资金到位率</w:t>
      </w:r>
      <w:bookmarkEnd w:id="122"/>
      <w:bookmarkEnd w:id="123"/>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项目预算资金为</w:t>
      </w:r>
      <w:r>
        <w:rPr>
          <w:rFonts w:hint="eastAsia" w:ascii="仿宋_GB2312" w:hAnsi="仿宋_GB2312" w:eastAsia="仿宋_GB2312" w:cs="仿宋_GB2312"/>
          <w:b w:val="0"/>
          <w:bCs w:val="0"/>
          <w:color w:val="auto"/>
          <w:sz w:val="32"/>
          <w:szCs w:val="32"/>
          <w:highlight w:val="none"/>
          <w:lang w:val="en-US" w:eastAsia="zh-CN"/>
        </w:rPr>
        <w:t>4557.76</w:t>
      </w:r>
      <w:r>
        <w:rPr>
          <w:rFonts w:hint="eastAsia" w:ascii="仿宋_GB2312" w:hAnsi="仿宋_GB2312" w:eastAsia="仿宋_GB2312" w:cs="仿宋_GB2312"/>
          <w:b w:val="0"/>
          <w:bCs w:val="0"/>
          <w:color w:val="auto"/>
          <w:sz w:val="32"/>
          <w:szCs w:val="32"/>
          <w:highlight w:val="none"/>
        </w:rPr>
        <w:t>万元，其中：财政安排资金</w:t>
      </w:r>
      <w:r>
        <w:rPr>
          <w:rFonts w:hint="eastAsia" w:ascii="仿宋_GB2312" w:hAnsi="仿宋_GB2312" w:eastAsia="仿宋_GB2312" w:cs="仿宋_GB2312"/>
          <w:b w:val="0"/>
          <w:bCs w:val="0"/>
          <w:color w:val="auto"/>
          <w:sz w:val="32"/>
          <w:szCs w:val="32"/>
          <w:highlight w:val="none"/>
          <w:lang w:val="en-US" w:eastAsia="zh-CN"/>
        </w:rPr>
        <w:t>4557.76</w:t>
      </w:r>
      <w:r>
        <w:rPr>
          <w:rFonts w:hint="eastAsia" w:ascii="仿宋_GB2312" w:hAnsi="仿宋_GB2312" w:eastAsia="仿宋_GB2312" w:cs="仿宋_GB2312"/>
          <w:b w:val="0"/>
          <w:bCs w:val="0"/>
          <w:color w:val="auto"/>
          <w:sz w:val="32"/>
          <w:szCs w:val="32"/>
          <w:highlight w:val="none"/>
        </w:rPr>
        <w:t>万元，其他资金</w:t>
      </w:r>
      <w:r>
        <w:rPr>
          <w:rFonts w:hint="eastAsia" w:ascii="仿宋_GB2312" w:hAnsi="仿宋_GB2312" w:eastAsia="仿宋_GB2312" w:cs="仿宋_GB2312"/>
          <w:b w:val="0"/>
          <w:bCs w:val="0"/>
          <w:color w:val="auto"/>
          <w:sz w:val="32"/>
          <w:szCs w:val="32"/>
          <w:highlight w:val="none"/>
          <w:lang w:val="en-US" w:eastAsia="zh-CN"/>
        </w:rPr>
        <w:t>0</w:t>
      </w:r>
      <w:r>
        <w:rPr>
          <w:rFonts w:hint="eastAsia" w:ascii="仿宋_GB2312" w:hAnsi="仿宋_GB2312" w:eastAsia="仿宋_GB2312" w:cs="仿宋_GB2312"/>
          <w:b w:val="0"/>
          <w:bCs w:val="0"/>
          <w:color w:val="auto"/>
          <w:sz w:val="32"/>
          <w:szCs w:val="32"/>
          <w:highlight w:val="none"/>
        </w:rPr>
        <w:t>万元</w:t>
      </w:r>
      <w:r>
        <w:rPr>
          <w:rFonts w:hint="eastAsia" w:ascii="仿宋_GB2312" w:hAnsi="仿宋_GB2312" w:eastAsia="仿宋_GB2312" w:cs="仿宋_GB2312"/>
          <w:b w:val="0"/>
          <w:bCs w:val="0"/>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资金到位率=（</w:t>
      </w:r>
      <w:r>
        <w:rPr>
          <w:rFonts w:hint="eastAsia" w:ascii="仿宋_GB2312" w:hAnsi="仿宋_GB2312" w:eastAsia="仿宋_GB2312" w:cs="仿宋_GB2312"/>
          <w:color w:val="auto"/>
          <w:sz w:val="32"/>
          <w:szCs w:val="32"/>
          <w:highlight w:val="none"/>
          <w:lang w:val="en-US" w:eastAsia="zh-CN"/>
        </w:rPr>
        <w:t>4557.76</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4557.76</w:t>
      </w:r>
      <w:r>
        <w:rPr>
          <w:rFonts w:hint="eastAsia" w:ascii="仿宋_GB2312" w:hAnsi="仿宋_GB2312" w:eastAsia="仿宋_GB2312" w:cs="仿宋_GB2312"/>
          <w:color w:val="auto"/>
          <w:sz w:val="32"/>
          <w:szCs w:val="32"/>
          <w:highlight w:val="none"/>
          <w:lang w:eastAsia="zh-CN"/>
        </w:rPr>
        <w:t>）×100%</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24" w:name="_Toc17709"/>
      <w:bookmarkStart w:id="125" w:name="_Toc9705"/>
      <w:r>
        <w:rPr>
          <w:rFonts w:hint="eastAsia" w:ascii="仿宋_GB2312" w:hAnsi="仿宋_GB2312" w:eastAsia="仿宋_GB2312" w:cs="仿宋_GB2312"/>
          <w:b/>
          <w:bCs/>
          <w:color w:val="auto"/>
          <w:sz w:val="32"/>
          <w:szCs w:val="32"/>
          <w:highlight w:val="none"/>
          <w:lang w:val="en-US" w:eastAsia="zh-CN"/>
        </w:rPr>
        <w:t>2.预算执行率</w:t>
      </w:r>
      <w:bookmarkEnd w:id="124"/>
      <w:bookmarkEnd w:id="125"/>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截至2024年12月31日，项目实际支出</w:t>
      </w:r>
      <w:r>
        <w:rPr>
          <w:rFonts w:hint="eastAsia" w:ascii="仿宋_GB2312" w:hAnsi="仿宋_GB2312" w:eastAsia="仿宋_GB2312" w:cs="仿宋_GB2312"/>
          <w:b w:val="0"/>
          <w:bCs w:val="0"/>
          <w:color w:val="auto"/>
          <w:sz w:val="32"/>
          <w:szCs w:val="32"/>
          <w:highlight w:val="none"/>
        </w:rPr>
        <w:t>4521.37</w:t>
      </w:r>
      <w:r>
        <w:rPr>
          <w:rFonts w:hint="eastAsia" w:ascii="仿宋_GB2312" w:hAnsi="仿宋_GB2312" w:eastAsia="仿宋_GB2312" w:cs="仿宋_GB2312"/>
          <w:color w:val="auto"/>
          <w:sz w:val="32"/>
          <w:szCs w:val="32"/>
          <w:highlight w:val="none"/>
          <w:lang w:val="en-US" w:eastAsia="zh-CN"/>
        </w:rPr>
        <w:t>万元。</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预算执行率=（</w:t>
      </w:r>
      <w:r>
        <w:rPr>
          <w:rFonts w:hint="eastAsia" w:ascii="仿宋_GB2312" w:hAnsi="仿宋_GB2312" w:eastAsia="仿宋_GB2312" w:cs="仿宋_GB2312"/>
          <w:b w:val="0"/>
          <w:bCs w:val="0"/>
          <w:color w:val="auto"/>
          <w:sz w:val="32"/>
          <w:szCs w:val="32"/>
          <w:highlight w:val="none"/>
        </w:rPr>
        <w:t>4521.37</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4557.76</w:t>
      </w:r>
      <w:r>
        <w:rPr>
          <w:rFonts w:hint="eastAsia" w:ascii="仿宋_GB2312" w:hAnsi="仿宋_GB2312" w:eastAsia="仿宋_GB2312" w:cs="仿宋_GB2312"/>
          <w:b w:val="0"/>
          <w:bCs w:val="0"/>
          <w:color w:val="auto"/>
          <w:sz w:val="32"/>
          <w:szCs w:val="32"/>
          <w:highlight w:val="none"/>
        </w:rPr>
        <w:t>万元</w:t>
      </w:r>
      <w:r>
        <w:rPr>
          <w:rFonts w:hint="eastAsia" w:ascii="仿宋_GB2312" w:hAnsi="仿宋_GB2312" w:eastAsia="仿宋_GB2312" w:cs="仿宋_GB2312"/>
          <w:color w:val="auto"/>
          <w:sz w:val="32"/>
          <w:szCs w:val="32"/>
          <w:highlight w:val="none"/>
          <w:lang w:eastAsia="zh-CN"/>
        </w:rPr>
        <w:t>）×100%</w:t>
      </w:r>
      <w:r>
        <w:rPr>
          <w:rFonts w:hint="eastAsia" w:ascii="仿宋_GB2312" w:hAnsi="仿宋_GB2312" w:eastAsia="仿宋_GB2312" w:cs="仿宋_GB2312"/>
          <w:b w:val="0"/>
          <w:bCs w:val="0"/>
          <w:color w:val="auto"/>
          <w:sz w:val="32"/>
          <w:szCs w:val="32"/>
          <w:highlight w:val="none"/>
          <w:lang w:val="en-US" w:eastAsia="zh-CN"/>
        </w:rPr>
        <w:t>=99.20%。扣0.03分。</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综上，该项指标满分4分，得分3.97分。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26" w:name="_Toc18691"/>
      <w:bookmarkStart w:id="127" w:name="_Toc28875"/>
      <w:r>
        <w:rPr>
          <w:rFonts w:hint="eastAsia" w:ascii="仿宋_GB2312" w:hAnsi="仿宋_GB2312" w:eastAsia="仿宋_GB2312" w:cs="仿宋_GB2312"/>
          <w:b/>
          <w:bCs/>
          <w:color w:val="auto"/>
          <w:sz w:val="32"/>
          <w:szCs w:val="32"/>
          <w:highlight w:val="none"/>
          <w:lang w:val="en-US" w:eastAsia="zh-CN"/>
        </w:rPr>
        <w:t>3.资金使用合规性</w:t>
      </w:r>
      <w:bookmarkEnd w:id="126"/>
      <w:bookmarkEnd w:id="127"/>
    </w:p>
    <w:p>
      <w:pPr>
        <w:pageBreakBefore w:val="0"/>
        <w:kinsoku/>
        <w:wordWrap/>
        <w:overflowPunct/>
        <w:topLinePunct w:val="0"/>
        <w:autoSpaceDE/>
        <w:autoSpaceDN/>
        <w:bidi w:val="0"/>
        <w:spacing w:line="560" w:lineRule="exact"/>
        <w:textAlignment w:val="auto"/>
        <w:rPr>
          <w:rFonts w:hint="eastAsia" w:ascii="方正仿宋_GBK" w:hAnsi="方正仿宋_GBK" w:eastAsia="方正仿宋_GBK" w:cs="方正仿宋_GBK"/>
          <w:color w:val="auto"/>
          <w:sz w:val="32"/>
          <w:szCs w:val="32"/>
          <w:highlight w:val="none"/>
        </w:rPr>
      </w:pPr>
      <w:r>
        <w:rPr>
          <w:rFonts w:hint="eastAsia" w:ascii="仿宋_GB2312" w:hAnsi="仿宋_GB2312" w:eastAsia="仿宋_GB2312" w:cs="仿宋_GB2312"/>
          <w:color w:val="auto"/>
          <w:sz w:val="32"/>
          <w:szCs w:val="32"/>
          <w:highlight w:val="none"/>
          <w:lang w:eastAsia="zh-CN"/>
        </w:rPr>
        <w:t>①本项目资金支出符合国家财经法规、《政府会计制度》《阜康市林业和草原局资金管理办法》《自治区草原生态保护补助奖励专项资金管理办法》；</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②资金的拨付有完整的审批程序和手续；</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③符合项目预算批复或合同规定的用途；</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④</w:t>
      </w:r>
      <w:r>
        <w:rPr>
          <w:rFonts w:hint="eastAsia" w:ascii="仿宋_GB2312" w:hAnsi="仿宋_GB2312" w:eastAsia="仿宋_GB2312" w:cs="仿宋_GB2312"/>
          <w:color w:val="auto"/>
          <w:sz w:val="32"/>
          <w:szCs w:val="32"/>
          <w:highlight w:val="none"/>
          <w:lang w:val="en-US" w:eastAsia="zh-CN"/>
        </w:rPr>
        <w:t>不</w:t>
      </w:r>
      <w:r>
        <w:rPr>
          <w:rFonts w:hint="eastAsia" w:ascii="仿宋_GB2312" w:hAnsi="仿宋_GB2312" w:eastAsia="仿宋_GB2312" w:cs="仿宋_GB2312"/>
          <w:color w:val="auto"/>
          <w:sz w:val="32"/>
          <w:szCs w:val="32"/>
          <w:highlight w:val="none"/>
          <w:lang w:eastAsia="zh-CN"/>
        </w:rPr>
        <w:t>存在截留、挤占、挪用、虚列支出等情况。</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Times New Roman" w:hAnsi="Times New Roman" w:eastAsia="仿宋_GB2312" w:cs="Times New Roman"/>
          <w:color w:val="auto"/>
          <w:sz w:val="32"/>
          <w:szCs w:val="32"/>
          <w:highlight w:val="none"/>
          <w:lang w:val="en-US" w:eastAsia="zh-CN"/>
        </w:rPr>
        <w:t xml:space="preserve"> </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pPr>
        <w:pageBreakBefore w:val="0"/>
        <w:numPr>
          <w:ilvl w:val="0"/>
          <w:numId w:val="0"/>
        </w:numPr>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4.</w:t>
      </w:r>
      <w:r>
        <w:rPr>
          <w:rFonts w:hint="eastAsia" w:ascii="仿宋_GB2312" w:hAnsi="仿宋_GB2312" w:eastAsia="仿宋_GB2312" w:cs="仿宋_GB2312"/>
          <w:b/>
          <w:bCs/>
          <w:color w:val="auto"/>
          <w:sz w:val="32"/>
          <w:szCs w:val="32"/>
          <w:highlight w:val="none"/>
          <w:lang w:val="en-US" w:eastAsia="zh-CN"/>
        </w:rPr>
        <w:t>管理制度健全性</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①</w:t>
      </w:r>
      <w:r>
        <w:rPr>
          <w:rFonts w:hint="eastAsia" w:ascii="仿宋_GB2312" w:hAnsi="仿宋_GB2312" w:eastAsia="仿宋_GB2312" w:cs="仿宋_GB2312"/>
          <w:color w:val="auto"/>
          <w:sz w:val="32"/>
          <w:szCs w:val="32"/>
          <w:highlight w:val="none"/>
          <w:lang w:eastAsia="zh-CN"/>
        </w:rPr>
        <w:t>我单位依据《新疆维吾尔自治区草原生态保护补助奖励资金管理办法》《惠农惠民资金收支业务管理制度》，</w:t>
      </w:r>
      <w:r>
        <w:rPr>
          <w:rFonts w:hint="eastAsia" w:ascii="仿宋_GB2312" w:hAnsi="仿宋_GB2312" w:eastAsia="仿宋_GB2312" w:cs="仿宋_GB2312"/>
          <w:color w:val="auto"/>
          <w:sz w:val="32"/>
          <w:szCs w:val="32"/>
          <w:highlight w:val="none"/>
          <w:lang w:val="en-US" w:eastAsia="zh-CN"/>
        </w:rPr>
        <w:t>相关</w:t>
      </w:r>
      <w:r>
        <w:rPr>
          <w:rFonts w:hint="eastAsia" w:ascii="仿宋_GB2312" w:hAnsi="仿宋_GB2312" w:eastAsia="仿宋_GB2312" w:cs="仿宋_GB2312"/>
          <w:color w:val="auto"/>
          <w:sz w:val="32"/>
          <w:szCs w:val="32"/>
          <w:highlight w:val="none"/>
          <w:lang w:eastAsia="zh-CN"/>
        </w:rPr>
        <w:t>制度均符合行政事业单位内控管理要求；</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②已制定的</w:t>
      </w:r>
      <w:r>
        <w:rPr>
          <w:rFonts w:hint="eastAsia" w:ascii="仿宋_GB2312" w:hAnsi="仿宋_GB2312" w:eastAsia="仿宋_GB2312" w:cs="仿宋_GB2312"/>
          <w:color w:val="auto"/>
          <w:sz w:val="32"/>
          <w:szCs w:val="32"/>
          <w:highlight w:val="none"/>
          <w:lang w:eastAsia="zh-CN"/>
        </w:rPr>
        <w:t>财务和业务管理制度合法、合规、完整，本项目执行符合上述制度规定。</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pPr>
        <w:pageBreakBefore w:val="0"/>
        <w:kinsoku/>
        <w:wordWrap/>
        <w:overflowPunct/>
        <w:topLinePunct w:val="0"/>
        <w:autoSpaceDE/>
        <w:autoSpaceDN/>
        <w:bidi w:val="0"/>
        <w:spacing w:line="560" w:lineRule="exact"/>
        <w:ind w:left="1524" w:leftChars="200" w:hanging="964" w:hangingChars="300"/>
        <w:textAlignment w:val="auto"/>
        <w:outlineLvl w:val="2"/>
        <w:rPr>
          <w:rFonts w:hint="eastAsia" w:ascii="仿宋_GB2312" w:hAnsi="仿宋_GB2312" w:eastAsia="仿宋_GB2312" w:cs="仿宋_GB2312"/>
          <w:b/>
          <w:bCs/>
          <w:color w:val="auto"/>
          <w:sz w:val="32"/>
          <w:szCs w:val="32"/>
          <w:highlight w:val="none"/>
          <w:lang w:val="en-US" w:eastAsia="zh-CN"/>
        </w:rPr>
      </w:pPr>
      <w:bookmarkStart w:id="128" w:name="_Toc31684"/>
      <w:bookmarkStart w:id="129" w:name="_Toc13984"/>
      <w:r>
        <w:rPr>
          <w:rFonts w:hint="eastAsia" w:ascii="仿宋_GB2312" w:hAnsi="仿宋_GB2312" w:eastAsia="仿宋_GB2312" w:cs="仿宋_GB2312"/>
          <w:b/>
          <w:bCs/>
          <w:color w:val="auto"/>
          <w:sz w:val="32"/>
          <w:szCs w:val="32"/>
          <w:highlight w:val="none"/>
          <w:lang w:val="en-US" w:eastAsia="zh-CN"/>
        </w:rPr>
        <w:t>5.制度执行有效性</w:t>
      </w:r>
      <w:bookmarkEnd w:id="128"/>
      <w:bookmarkEnd w:id="129"/>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w:t>
      </w:r>
      <w:r>
        <w:rPr>
          <w:rFonts w:hint="eastAsia" w:ascii="仿宋_GB2312" w:hAnsi="仿宋_GB2312" w:eastAsia="仿宋_GB2312" w:cs="仿宋_GB2312"/>
          <w:color w:val="auto"/>
          <w:sz w:val="32"/>
          <w:szCs w:val="32"/>
          <w:highlight w:val="none"/>
        </w:rPr>
        <w:t>项目的实施</w:t>
      </w:r>
      <w:r>
        <w:rPr>
          <w:rFonts w:hint="eastAsia" w:ascii="仿宋_GB2312" w:hAnsi="仿宋_GB2312" w:eastAsia="仿宋_GB2312" w:cs="仿宋_GB2312"/>
          <w:color w:val="auto"/>
          <w:sz w:val="32"/>
          <w:szCs w:val="32"/>
          <w:highlight w:val="none"/>
          <w:lang w:eastAsia="zh-CN"/>
        </w:rPr>
        <w:t>遵守相关法律法规</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eastAsia="zh-CN"/>
        </w:rPr>
        <w:t>相关管理规定，</w:t>
      </w:r>
      <w:r>
        <w:rPr>
          <w:rFonts w:hint="eastAsia" w:ascii="仿宋_GB2312" w:hAnsi="仿宋_GB2312" w:eastAsia="仿宋_GB2312" w:cs="仿宋_GB2312"/>
          <w:color w:val="auto"/>
          <w:sz w:val="32"/>
          <w:szCs w:val="32"/>
          <w:highlight w:val="none"/>
        </w:rPr>
        <w:t>符合《</w:t>
      </w:r>
      <w:r>
        <w:rPr>
          <w:rFonts w:hint="eastAsia" w:ascii="仿宋_GB2312" w:hAnsi="仿宋_GB2312" w:eastAsia="仿宋_GB2312" w:cs="仿宋_GB2312"/>
          <w:color w:val="auto"/>
          <w:sz w:val="32"/>
          <w:szCs w:val="32"/>
          <w:highlight w:val="none"/>
          <w:lang w:eastAsia="zh-CN"/>
        </w:rPr>
        <w:t>新疆维吾尔自治区草原生态保护补助奖励资金管理办法</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新疆维吾尔自治区禁牧草畜平和区域</w:t>
      </w:r>
      <w:r>
        <w:rPr>
          <w:rFonts w:hint="eastAsia" w:ascii="仿宋_GB2312" w:hAnsi="仿宋_GB2312" w:eastAsia="仿宋_GB2312" w:cs="仿宋_GB2312"/>
          <w:color w:val="auto"/>
          <w:sz w:val="32"/>
          <w:szCs w:val="32"/>
          <w:highlight w:val="none"/>
        </w:rPr>
        <w:t>管理制度》等管理规定</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w:t>
      </w:r>
      <w:r>
        <w:rPr>
          <w:rFonts w:hint="eastAsia" w:ascii="仿宋_GB2312" w:hAnsi="仿宋_GB2312" w:eastAsia="仿宋_GB2312" w:cs="仿宋_GB2312"/>
          <w:color w:val="auto"/>
          <w:sz w:val="32"/>
          <w:szCs w:val="32"/>
          <w:highlight w:val="none"/>
        </w:rPr>
        <w:t>该项目实施过程中不存在调整事项</w:t>
      </w:r>
      <w:r>
        <w:rPr>
          <w:rFonts w:hint="eastAsia" w:ascii="仿宋_GB2312" w:hAnsi="仿宋_GB2312" w:eastAsia="仿宋_GB2312" w:cs="仿宋_GB2312"/>
          <w:color w:val="auto"/>
          <w:sz w:val="32"/>
          <w:szCs w:val="32"/>
          <w:highlight w:val="none"/>
          <w:lang w:eastAsia="zh-CN"/>
        </w:rPr>
        <w:t>；</w:t>
      </w:r>
    </w:p>
    <w:p>
      <w:pPr>
        <w:pageBreakBefore w:val="0"/>
        <w:widowControl w:val="0"/>
        <w:kinsoku/>
        <w:wordWrap/>
        <w:topLinePunct w:val="0"/>
        <w:autoSpaceDE/>
        <w:autoSpaceDN/>
        <w:bidi w:val="0"/>
        <w:spacing w:line="560" w:lineRule="exact"/>
        <w:ind w:left="0" w:leftChars="0" w:firstLine="643"/>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③</w:t>
      </w:r>
      <w:r>
        <w:rPr>
          <w:rFonts w:hint="eastAsia" w:ascii="仿宋_GB2312" w:hAnsi="仿宋_GB2312" w:eastAsia="仿宋_GB2312" w:cs="仿宋_GB2312"/>
          <w:color w:val="auto"/>
          <w:sz w:val="32"/>
          <w:szCs w:val="32"/>
          <w:highlight w:val="none"/>
        </w:rPr>
        <w:t>项目合同书、验收评审表、财务支付凭证等资料齐全并及时归档。</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④项目实施所需要的项目人员和场地设备均已落实到位，具体涉及内容包括：项目资金支出严格按照自治区、地区以及本单位资金管理办法执行，项目启动实施后，为了加快本项目的实施，成立了</w:t>
      </w:r>
      <w:r>
        <w:rPr>
          <w:rFonts w:hint="eastAsia" w:ascii="仿宋_GB2312" w:hAnsi="仿宋_GB2312" w:eastAsia="仿宋_GB2312" w:cs="仿宋_GB2312"/>
          <w:bCs/>
          <w:color w:val="auto"/>
          <w:sz w:val="32"/>
          <w:szCs w:val="32"/>
          <w:highlight w:val="none"/>
          <w:lang w:eastAsia="zh-CN"/>
        </w:rPr>
        <w:t>草原生态保护补助</w:t>
      </w:r>
      <w:r>
        <w:rPr>
          <w:rFonts w:hint="eastAsia" w:ascii="仿宋_GB2312" w:hAnsi="仿宋_GB2312" w:eastAsia="仿宋_GB2312" w:cs="仿宋_GB2312"/>
          <w:color w:val="auto"/>
          <w:sz w:val="32"/>
          <w:szCs w:val="32"/>
          <w:highlight w:val="none"/>
          <w:lang w:eastAsia="zh-CN"/>
        </w:rPr>
        <w:t>项目工作领导小组，由市委</w:t>
      </w:r>
      <w:r>
        <w:rPr>
          <w:rFonts w:hint="eastAsia" w:ascii="仿宋_GB2312" w:hAnsi="仿宋_GB2312" w:eastAsia="仿宋_GB2312" w:cs="仿宋_GB2312"/>
          <w:color w:val="auto"/>
          <w:sz w:val="32"/>
          <w:szCs w:val="32"/>
          <w:highlight w:val="none"/>
          <w:lang w:val="en-US" w:eastAsia="zh-CN"/>
        </w:rPr>
        <w:t>分管常委（林草行业）</w:t>
      </w:r>
      <w:r>
        <w:rPr>
          <w:rFonts w:hint="eastAsia" w:ascii="仿宋_GB2312" w:hAnsi="仿宋_GB2312" w:eastAsia="仿宋_GB2312" w:cs="仿宋_GB2312"/>
          <w:color w:val="auto"/>
          <w:sz w:val="32"/>
          <w:szCs w:val="32"/>
          <w:highlight w:val="none"/>
          <w:lang w:eastAsia="zh-CN"/>
        </w:rPr>
        <w:t>任组长，负责项目的组织工作；市政府副市长（</w:t>
      </w:r>
      <w:r>
        <w:rPr>
          <w:rFonts w:hint="eastAsia" w:ascii="仿宋_GB2312" w:hAnsi="仿宋_GB2312" w:eastAsia="仿宋_GB2312" w:cs="仿宋_GB2312"/>
          <w:color w:val="auto"/>
          <w:sz w:val="32"/>
          <w:szCs w:val="32"/>
          <w:highlight w:val="none"/>
          <w:lang w:val="en-US" w:eastAsia="zh-CN"/>
        </w:rPr>
        <w:t>分管林草行业</w:t>
      </w:r>
      <w:r>
        <w:rPr>
          <w:rFonts w:hint="eastAsia" w:ascii="仿宋_GB2312" w:hAnsi="仿宋_GB2312" w:eastAsia="仿宋_GB2312" w:cs="仿宋_GB2312"/>
          <w:color w:val="auto"/>
          <w:sz w:val="32"/>
          <w:szCs w:val="32"/>
          <w:highlight w:val="none"/>
          <w:lang w:eastAsia="zh-CN"/>
        </w:rPr>
        <w:t>）任副组长，负责项目的实施工作；组员包括：各乡政府主要领导和市直相关部门书记和局长，主要负责项目监督管理、验收以及资金核拨等工作。</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130" w:name="_Toc2441"/>
      <w:r>
        <w:rPr>
          <w:rFonts w:hint="eastAsia" w:ascii="Times New Roman" w:hAnsi="Times New Roman" w:eastAsia="楷体_GB2312" w:cs="Times New Roman"/>
          <w:color w:val="auto"/>
          <w:kern w:val="28"/>
          <w:sz w:val="32"/>
          <w:highlight w:val="none"/>
          <w:lang w:val="en-US" w:eastAsia="zh-CN"/>
        </w:rPr>
        <w:t>（三）项目产出情况</w:t>
      </w:r>
      <w:bookmarkEnd w:id="130"/>
    </w:p>
    <w:p>
      <w:pPr>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产出</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w:t>
      </w:r>
      <w:r>
        <w:rPr>
          <w:rFonts w:hint="default" w:ascii="Times New Roman" w:hAnsi="Times New Roman" w:eastAsia="仿宋_GB2312" w:cs="Times New Roman"/>
          <w:color w:val="auto"/>
          <w:sz w:val="32"/>
          <w:szCs w:val="32"/>
          <w:highlight w:val="none"/>
          <w:lang w:val="en-US" w:eastAsia="zh-CN"/>
        </w:rPr>
        <w:t>包括产出数量、产出质量、产出时效、产出成本四方面的内容，</w:t>
      </w:r>
      <w:r>
        <w:rPr>
          <w:rFonts w:hint="eastAsia" w:ascii="Times New Roman" w:hAnsi="Times New Roman" w:eastAsia="仿宋_GB2312" w:cs="Times New Roman"/>
          <w:color w:val="auto"/>
          <w:sz w:val="32"/>
          <w:szCs w:val="32"/>
          <w:highlight w:val="none"/>
          <w:lang w:val="en-US" w:eastAsia="zh-CN"/>
        </w:rPr>
        <w:t>共</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8</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40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40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3</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9"/>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750"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一般性禁牧草原面积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≥288.35万亩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288.35万亩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75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水源涵养区草原禁牧面积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≥39.56万亩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39.56万亩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草畜平衡管理面积</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≥325.24万亩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325.24万亩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草原生态保护补助奖励兑付率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草原生态保护补助奖励发放及时率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tabs>
                <w:tab w:val="left" w:pos="257"/>
              </w:tabs>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一般性禁牧草原补助资金（元/亩）</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≤6元/亩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6元/亩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水源涵养区草原禁牧补助资金（元/亩）</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≤50元/亩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50元/亩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草畜平衡管理补助资金（元/亩）</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r>
              <w:rPr>
                <w:rFonts w:hint="eastAsia" w:ascii="宋体" w:hAnsi="宋体" w:eastAsia="宋体" w:cs="宋体"/>
                <w:color w:val="auto"/>
                <w:kern w:val="0"/>
                <w:sz w:val="20"/>
                <w:szCs w:val="20"/>
                <w:highlight w:val="none"/>
                <w:shd w:val="clear" w:color="auto" w:fill="auto"/>
                <w:lang w:val="en-US" w:eastAsia="zh-CN"/>
              </w:rPr>
              <w:t>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r>
              <w:rPr>
                <w:rFonts w:hint="eastAsia" w:ascii="宋体" w:hAnsi="宋体" w:eastAsia="宋体" w:cs="宋体"/>
                <w:color w:val="auto"/>
                <w:kern w:val="0"/>
                <w:sz w:val="20"/>
                <w:szCs w:val="20"/>
                <w:highlight w:val="none"/>
                <w:shd w:val="clear" w:color="auto" w:fill="auto"/>
                <w:lang w:val="en-US" w:eastAsia="zh-CN"/>
              </w:rPr>
              <w:t>0</w:t>
            </w:r>
          </w:p>
        </w:tc>
      </w:tr>
    </w:tbl>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31" w:name="_Toc11067"/>
      <w:bookmarkStart w:id="132" w:name="_Toc26689"/>
      <w:r>
        <w:rPr>
          <w:rFonts w:hint="eastAsia" w:ascii="仿宋_GB2312" w:hAnsi="仿宋_GB2312" w:eastAsia="仿宋_GB2312" w:cs="仿宋_GB2312"/>
          <w:b/>
          <w:bCs/>
          <w:color w:val="auto"/>
          <w:sz w:val="32"/>
          <w:szCs w:val="32"/>
          <w:highlight w:val="none"/>
          <w:lang w:val="en-US" w:eastAsia="zh-CN"/>
        </w:rPr>
        <w:t>1.数量指标完成情况</w:t>
      </w:r>
      <w:bookmarkEnd w:id="131"/>
      <w:bookmarkEnd w:id="132"/>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一般性禁牧草原面积</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指标，预期目标值为≥288.35万亩，实际完成为288.35万亩。实际完成率=（288.35万亩/288.35万亩）×100%=100%。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“水源涵养区草原禁牧面积”指标，预期目标值为≥39.56万亩，实际完成为39.56万亩。实际完成率=（39.56万亩/39.56万亩）×100%=100%。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“草畜平衡管理面积”指标，预期目标值为≥325.24万亩，实际完成为325.24万亩。实际完成率=（325.24万亩/325.24万亩）×100%=100%。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综上，该项指标满分16分，得分16分。</w:t>
      </w:r>
    </w:p>
    <w:p>
      <w:pPr>
        <w:pageBreakBefore w:val="0"/>
        <w:kinsoku/>
        <w:wordWrap/>
        <w:overflowPunct/>
        <w:topLinePunct w:val="0"/>
        <w:autoSpaceDE/>
        <w:autoSpaceDN/>
        <w:bidi w:val="0"/>
        <w:spacing w:line="560" w:lineRule="exact"/>
        <w:textAlignment w:val="auto"/>
        <w:outlineLvl w:val="2"/>
        <w:rPr>
          <w:rFonts w:hint="default" w:ascii="仿宋_GB2312" w:hAnsi="仿宋_GB2312" w:eastAsia="仿宋_GB2312" w:cs="仿宋_GB2312"/>
          <w:b/>
          <w:bCs/>
          <w:color w:val="auto"/>
          <w:sz w:val="32"/>
          <w:szCs w:val="32"/>
          <w:highlight w:val="none"/>
          <w:lang w:val="en-US" w:eastAsia="zh-CN"/>
        </w:rPr>
      </w:pPr>
      <w:bookmarkStart w:id="133" w:name="_Toc31739"/>
      <w:bookmarkStart w:id="134" w:name="_Toc14255"/>
      <w:r>
        <w:rPr>
          <w:rFonts w:hint="eastAsia" w:ascii="仿宋_GB2312" w:hAnsi="仿宋_GB2312" w:eastAsia="仿宋_GB2312" w:cs="仿宋_GB2312"/>
          <w:b/>
          <w:bCs/>
          <w:color w:val="auto"/>
          <w:sz w:val="32"/>
          <w:szCs w:val="32"/>
          <w:highlight w:val="none"/>
          <w:lang w:val="en-US" w:eastAsia="zh-CN"/>
        </w:rPr>
        <w:t>2.</w:t>
      </w:r>
      <w:bookmarkEnd w:id="133"/>
      <w:r>
        <w:rPr>
          <w:rFonts w:hint="eastAsia" w:ascii="仿宋_GB2312" w:hAnsi="仿宋_GB2312" w:eastAsia="仿宋_GB2312" w:cs="仿宋_GB2312"/>
          <w:b/>
          <w:bCs/>
          <w:color w:val="auto"/>
          <w:sz w:val="32"/>
          <w:szCs w:val="32"/>
          <w:highlight w:val="none"/>
          <w:lang w:val="en-US" w:eastAsia="zh-CN"/>
        </w:rPr>
        <w:t>质量指标完成情况</w:t>
      </w:r>
      <w:bookmarkEnd w:id="134"/>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“草原生态保护补助奖励兑付率”指标，预期目标值为=100%，实际完成为100%。实际完成率100%。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综上，该项指标满分6分，得分6分。</w:t>
      </w:r>
    </w:p>
    <w:p>
      <w:pPr>
        <w:pageBreakBefore w:val="0"/>
        <w:kinsoku/>
        <w:wordWrap/>
        <w:overflowPunct/>
        <w:topLinePunct w:val="0"/>
        <w:autoSpaceDE/>
        <w:autoSpaceDN/>
        <w:bidi w:val="0"/>
        <w:spacing w:line="560" w:lineRule="exact"/>
        <w:textAlignment w:val="auto"/>
        <w:outlineLvl w:val="2"/>
        <w:rPr>
          <w:rFonts w:hint="default" w:ascii="仿宋_GB2312" w:hAnsi="仿宋_GB2312" w:eastAsia="仿宋_GB2312" w:cs="仿宋_GB2312"/>
          <w:b/>
          <w:bCs/>
          <w:color w:val="auto"/>
          <w:sz w:val="32"/>
          <w:szCs w:val="32"/>
          <w:highlight w:val="none"/>
          <w:lang w:val="en-US" w:eastAsia="zh-CN"/>
        </w:rPr>
      </w:pPr>
      <w:bookmarkStart w:id="135" w:name="_Toc18307"/>
      <w:bookmarkStart w:id="136" w:name="_Toc28885"/>
      <w:r>
        <w:rPr>
          <w:rFonts w:hint="eastAsia" w:ascii="仿宋_GB2312" w:hAnsi="仿宋_GB2312" w:eastAsia="仿宋_GB2312" w:cs="仿宋_GB2312"/>
          <w:b/>
          <w:bCs/>
          <w:color w:val="auto"/>
          <w:sz w:val="32"/>
          <w:szCs w:val="32"/>
          <w:highlight w:val="none"/>
          <w:lang w:val="en-US" w:eastAsia="zh-CN"/>
        </w:rPr>
        <w:t>3.</w:t>
      </w:r>
      <w:bookmarkEnd w:id="135"/>
      <w:r>
        <w:rPr>
          <w:rFonts w:hint="eastAsia" w:ascii="仿宋_GB2312" w:hAnsi="仿宋_GB2312" w:eastAsia="仿宋_GB2312" w:cs="仿宋_GB2312"/>
          <w:b/>
          <w:bCs/>
          <w:color w:val="auto"/>
          <w:sz w:val="32"/>
          <w:szCs w:val="32"/>
          <w:highlight w:val="none"/>
          <w:lang w:val="en-US" w:eastAsia="zh-CN"/>
        </w:rPr>
        <w:t>时效指标完成情况</w:t>
      </w:r>
      <w:bookmarkEnd w:id="136"/>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“草原生态保护补助奖励发放及时率”指标，预期目标值为=100%，实际完成为100%。实际完成率100%。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综上，该项指标满分3分，得分3分。</w:t>
      </w:r>
    </w:p>
    <w:p>
      <w:pPr>
        <w:pageBreakBefore w:val="0"/>
        <w:kinsoku/>
        <w:wordWrap/>
        <w:overflowPunct/>
        <w:topLinePunct w:val="0"/>
        <w:autoSpaceDE/>
        <w:autoSpaceDN/>
        <w:bidi w:val="0"/>
        <w:spacing w:line="560" w:lineRule="exact"/>
        <w:textAlignment w:val="auto"/>
        <w:outlineLvl w:val="2"/>
        <w:rPr>
          <w:rFonts w:hint="default" w:ascii="仿宋_GB2312" w:hAnsi="仿宋_GB2312" w:eastAsia="仿宋_GB2312" w:cs="仿宋_GB2312"/>
          <w:b/>
          <w:bCs/>
          <w:color w:val="auto"/>
          <w:sz w:val="32"/>
          <w:szCs w:val="32"/>
          <w:highlight w:val="none"/>
          <w:lang w:val="en-US" w:eastAsia="zh-CN"/>
        </w:rPr>
      </w:pPr>
      <w:bookmarkStart w:id="137" w:name="_Toc32765"/>
      <w:bookmarkStart w:id="138" w:name="_Toc20607"/>
      <w:r>
        <w:rPr>
          <w:rFonts w:hint="eastAsia" w:ascii="仿宋_GB2312" w:hAnsi="仿宋_GB2312" w:eastAsia="仿宋_GB2312" w:cs="仿宋_GB2312"/>
          <w:b/>
          <w:bCs/>
          <w:color w:val="auto"/>
          <w:sz w:val="32"/>
          <w:szCs w:val="32"/>
          <w:highlight w:val="none"/>
          <w:lang w:val="en-US" w:eastAsia="zh-CN"/>
        </w:rPr>
        <w:t>4.项目</w:t>
      </w:r>
      <w:bookmarkEnd w:id="137"/>
      <w:r>
        <w:rPr>
          <w:rFonts w:hint="eastAsia" w:ascii="仿宋_GB2312" w:hAnsi="仿宋_GB2312" w:eastAsia="仿宋_GB2312" w:cs="仿宋_GB2312"/>
          <w:b/>
          <w:bCs/>
          <w:color w:val="auto"/>
          <w:sz w:val="32"/>
          <w:szCs w:val="32"/>
          <w:highlight w:val="none"/>
          <w:lang w:val="en-US" w:eastAsia="zh-CN"/>
        </w:rPr>
        <w:t>成本情况</w:t>
      </w:r>
      <w:bookmarkEnd w:id="138"/>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一般性禁牧草原补助资金（元/亩）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指标，预期目标值为≤6元/亩，实际完成为6元/亩。实际完成率=（6元/亩/6元/亩）×100%=100%。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水源涵养区草原禁牧补助资金（元/亩）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指标，预期目标值为≤50元/亩，实际完成为50元/亩。实际完成率=（50元/亩/50元/亩）×100%=100%。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草畜平衡管理补助资金（元/亩）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指标，预期目标值为≤2.5元/亩，实际完成为2.5元/亩。实际完成率=（2.5元/亩/2.5元/亩）×100%=100%。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综上，该项指标满分15分，得分15分。</w:t>
      </w:r>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139" w:name="_Toc19424"/>
      <w:r>
        <w:rPr>
          <w:rFonts w:hint="eastAsia" w:ascii="Times New Roman" w:hAnsi="Times New Roman" w:eastAsia="楷体_GB2312" w:cs="Times New Roman"/>
          <w:color w:val="auto"/>
          <w:kern w:val="28"/>
          <w:sz w:val="32"/>
          <w:highlight w:val="none"/>
          <w:lang w:val="en-US" w:eastAsia="zh-CN"/>
        </w:rPr>
        <w:t>（四）项目效益情况</w:t>
      </w:r>
      <w:bookmarkEnd w:id="139"/>
    </w:p>
    <w:p>
      <w:pPr>
        <w:pageBreakBefore w:val="0"/>
        <w:widowControl w:val="0"/>
        <w:kinsoku/>
        <w:wordWrap/>
        <w:overflowPunct/>
        <w:topLinePunct w:val="0"/>
        <w:autoSpaceDE/>
        <w:autoSpaceDN/>
        <w:bidi w:val="0"/>
        <w:adjustRightInd/>
        <w:spacing w:line="560" w:lineRule="exact"/>
        <w:ind w:firstLine="560"/>
        <w:jc w:val="left"/>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效益</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w:t>
      </w:r>
      <w:r>
        <w:rPr>
          <w:rFonts w:hint="default" w:ascii="Times New Roman" w:hAnsi="Times New Roman" w:eastAsia="仿宋_GB2312" w:cs="Times New Roman"/>
          <w:color w:val="auto"/>
          <w:sz w:val="32"/>
          <w:szCs w:val="32"/>
          <w:highlight w:val="none"/>
          <w:lang w:val="en-US" w:eastAsia="zh-CN"/>
        </w:rPr>
        <w:t>包括项目实施效益和满意度两方面的内容，</w:t>
      </w:r>
      <w:r>
        <w:rPr>
          <w:rFonts w:hint="eastAsia" w:ascii="仿宋_GB2312" w:hAnsi="仿宋_GB2312" w:eastAsia="仿宋_GB2312" w:cs="仿宋_GB2312"/>
          <w:color w:val="auto"/>
          <w:kern w:val="2"/>
          <w:sz w:val="32"/>
          <w:szCs w:val="32"/>
          <w:highlight w:val="none"/>
          <w:u w:color="000000"/>
          <w:shd w:val="clear" w:color="auto" w:fill="auto"/>
          <w:lang w:val="zh-TW" w:eastAsia="zh-TW"/>
        </w:rPr>
        <w:t>由</w:t>
      </w:r>
      <w:r>
        <w:rPr>
          <w:rFonts w:hint="eastAsia" w:ascii="仿宋_GB2312" w:hAnsi="仿宋_GB2312" w:eastAsia="仿宋_GB2312" w:cs="仿宋_GB2312"/>
          <w:color w:val="auto"/>
          <w:kern w:val="2"/>
          <w:sz w:val="32"/>
          <w:szCs w:val="32"/>
          <w:highlight w:val="none"/>
          <w:u w:color="000000"/>
          <w:shd w:val="clear" w:color="auto" w:fill="auto"/>
          <w:lang w:val="en-US" w:eastAsia="zh-CN"/>
        </w:rPr>
        <w:t>3</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3</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560" w:lineRule="exact"/>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9"/>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改善牧民生活质量</w:t>
            </w:r>
          </w:p>
        </w:tc>
        <w:tc>
          <w:tcPr>
            <w:tcW w:w="8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显著</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达到预期指标</w:t>
            </w:r>
          </w:p>
        </w:tc>
        <w:tc>
          <w:tcPr>
            <w:tcW w:w="6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持续发挥生态作用</w:t>
            </w:r>
          </w:p>
        </w:tc>
        <w:tc>
          <w:tcPr>
            <w:tcW w:w="8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显著</w:t>
            </w:r>
          </w:p>
        </w:tc>
        <w:tc>
          <w:tcPr>
            <w:tcW w:w="6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0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达到预期指标</w:t>
            </w:r>
          </w:p>
        </w:tc>
        <w:tc>
          <w:tcPr>
            <w:tcW w:w="6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519" w:hRule="atLeast"/>
          <w:jc w:val="center"/>
        </w:trPr>
        <w:tc>
          <w:tcPr>
            <w:tcW w:w="685"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满意度指标</w:t>
            </w:r>
          </w:p>
        </w:tc>
        <w:tc>
          <w:tcPr>
            <w:tcW w:w="2744" w:type="dxa"/>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村民政策满意度</w:t>
            </w:r>
          </w:p>
        </w:tc>
        <w:tc>
          <w:tcPr>
            <w:tcW w:w="87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90%</w:t>
            </w:r>
          </w:p>
        </w:tc>
        <w:tc>
          <w:tcPr>
            <w:tcW w:w="64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05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53"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r>
              <w:rPr>
                <w:rFonts w:hint="eastAsia" w:ascii="宋体" w:hAnsi="宋体" w:eastAsia="宋体" w:cs="宋体"/>
                <w:color w:val="auto"/>
                <w:kern w:val="0"/>
                <w:sz w:val="20"/>
                <w:szCs w:val="20"/>
                <w:highlight w:val="none"/>
                <w:shd w:val="clear" w:color="auto" w:fill="auto"/>
                <w:lang w:val="en-US" w:eastAsia="zh-CN"/>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auto"/>
          <w:sz w:val="32"/>
          <w:szCs w:val="32"/>
          <w:highlight w:val="none"/>
          <w:lang w:val="en-US" w:eastAsia="zh-CN"/>
        </w:rPr>
      </w:pPr>
      <w:bookmarkStart w:id="140" w:name="_Toc5170"/>
      <w:bookmarkStart w:id="141" w:name="_Toc8010"/>
      <w:r>
        <w:rPr>
          <w:rFonts w:hint="eastAsia" w:ascii="仿宋_GB2312" w:hAnsi="仿宋_GB2312" w:eastAsia="仿宋_GB2312" w:cs="仿宋_GB2312"/>
          <w:b/>
          <w:bCs/>
          <w:color w:val="auto"/>
          <w:sz w:val="32"/>
          <w:szCs w:val="32"/>
          <w:highlight w:val="none"/>
          <w:lang w:val="en-US" w:eastAsia="zh-CN"/>
        </w:rPr>
        <w:t>1.</w:t>
      </w:r>
      <w:bookmarkEnd w:id="140"/>
      <w:bookmarkEnd w:id="141"/>
      <w:bookmarkStart w:id="142" w:name="_Toc27006"/>
      <w:bookmarkStart w:id="143" w:name="_Toc29606"/>
      <w:r>
        <w:rPr>
          <w:rFonts w:hint="eastAsia" w:ascii="仿宋_GB2312" w:hAnsi="仿宋_GB2312" w:eastAsia="仿宋_GB2312" w:cs="仿宋_GB2312"/>
          <w:b/>
          <w:bCs/>
          <w:color w:val="auto"/>
          <w:sz w:val="32"/>
          <w:szCs w:val="32"/>
          <w:highlight w:val="none"/>
          <w:lang w:val="en-US" w:eastAsia="zh-CN"/>
        </w:rPr>
        <w:t>社会效益指标</w:t>
      </w:r>
      <w:bookmarkEnd w:id="142"/>
      <w:r>
        <w:rPr>
          <w:rFonts w:hint="eastAsia" w:ascii="仿宋_GB2312" w:hAnsi="仿宋_GB2312" w:eastAsia="仿宋_GB2312" w:cs="仿宋_GB2312"/>
          <w:b/>
          <w:bCs/>
          <w:color w:val="auto"/>
          <w:sz w:val="32"/>
          <w:szCs w:val="32"/>
          <w:highlight w:val="none"/>
          <w:lang w:val="en-US" w:eastAsia="zh-CN"/>
        </w:rPr>
        <w:t>完成情况</w:t>
      </w:r>
      <w:bookmarkEnd w:id="14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“改善牧民生活质量”指标，预期目标值为显著，实际完成为达到预期指标。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通过项目的实施，</w:t>
      </w:r>
      <w:r>
        <w:rPr>
          <w:rFonts w:hint="eastAsia" w:ascii="仿宋_GB2312" w:hAnsi="仿宋_GB2312" w:eastAsia="仿宋_GB2312" w:cs="仿宋_GB2312"/>
          <w:color w:val="auto"/>
          <w:sz w:val="32"/>
          <w:szCs w:val="32"/>
          <w:highlight w:val="none"/>
        </w:rPr>
        <w:t>将改善牧民生活质量，持续发挥生态作用。</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综上，该项指标满分10分，得分10分。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44" w:name="_Toc23106"/>
      <w:bookmarkStart w:id="145" w:name="_Toc14320"/>
      <w:r>
        <w:rPr>
          <w:rFonts w:hint="eastAsia" w:ascii="仿宋_GB2312" w:hAnsi="仿宋_GB2312" w:eastAsia="仿宋_GB2312" w:cs="仿宋_GB2312"/>
          <w:b/>
          <w:bCs/>
          <w:color w:val="auto"/>
          <w:sz w:val="32"/>
          <w:szCs w:val="32"/>
          <w:highlight w:val="none"/>
          <w:lang w:val="en-US" w:eastAsia="zh-CN"/>
        </w:rPr>
        <w:t>2.生态效益指标</w:t>
      </w:r>
      <w:bookmarkEnd w:id="144"/>
      <w:r>
        <w:rPr>
          <w:rFonts w:hint="eastAsia" w:ascii="仿宋_GB2312" w:hAnsi="仿宋_GB2312" w:eastAsia="仿宋_GB2312" w:cs="仿宋_GB2312"/>
          <w:b/>
          <w:bCs/>
          <w:color w:val="auto"/>
          <w:sz w:val="32"/>
          <w:szCs w:val="32"/>
          <w:highlight w:val="none"/>
          <w:lang w:val="en-US" w:eastAsia="zh-CN"/>
        </w:rPr>
        <w:t>完成情况</w:t>
      </w:r>
      <w:bookmarkEnd w:id="14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“持续发挥生态作用”指标，预期目标值为显著，实际完成为达到预期指标。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通过项目的实施将改善牧民生活质量，持续发挥生态作用。</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综上，该项指标满分5分，得分5分。</w:t>
      </w:r>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default" w:ascii="Times New Roman" w:hAnsi="Times New Roman" w:eastAsia="楷体_GB2312" w:cs="Times New Roman"/>
          <w:b/>
          <w:bCs/>
          <w:color w:val="auto"/>
          <w:kern w:val="28"/>
          <w:sz w:val="32"/>
          <w:highlight w:val="none"/>
          <w:lang w:val="en-US" w:eastAsia="zh-CN"/>
        </w:rPr>
      </w:pPr>
      <w:bookmarkStart w:id="146" w:name="_Toc23313"/>
      <w:r>
        <w:rPr>
          <w:rFonts w:hint="eastAsia" w:ascii="Times New Roman" w:hAnsi="Times New Roman" w:eastAsia="楷体_GB2312" w:cs="Times New Roman"/>
          <w:b/>
          <w:bCs/>
          <w:color w:val="auto"/>
          <w:kern w:val="28"/>
          <w:sz w:val="32"/>
          <w:highlight w:val="none"/>
          <w:lang w:val="en-US" w:eastAsia="zh-CN"/>
        </w:rPr>
        <w:t>（五）满意度指标完成情况分析</w:t>
      </w:r>
      <w:bookmarkEnd w:id="146"/>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牧民政策满意度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指标，预期目标值为≥90%，实际完成为90%。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综上，该项指标满分5分，得分5分。</w:t>
      </w:r>
    </w:p>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auto"/>
          <w:highlight w:val="none"/>
          <w:shd w:val="clear" w:color="auto" w:fill="auto"/>
          <w:lang w:val="en-US" w:eastAsia="zh-CN"/>
        </w:rPr>
      </w:pPr>
      <w:bookmarkStart w:id="147" w:name="_Toc6622"/>
      <w:r>
        <w:rPr>
          <w:rFonts w:hint="eastAsia" w:ascii="黑体" w:hAnsi="黑体" w:cs="黑体"/>
          <w:b w:val="0"/>
          <w:bCs w:val="0"/>
          <w:color w:val="auto"/>
          <w:highlight w:val="none"/>
          <w:shd w:val="clear" w:color="auto" w:fill="auto"/>
          <w:lang w:val="en-US" w:eastAsia="zh-CN"/>
        </w:rPr>
        <w:t>五</w:t>
      </w:r>
      <w:r>
        <w:rPr>
          <w:rFonts w:hint="eastAsia" w:ascii="黑体" w:hAnsi="黑体" w:eastAsia="黑体" w:cs="黑体"/>
          <w:b w:val="0"/>
          <w:bCs w:val="0"/>
          <w:color w:val="auto"/>
          <w:highlight w:val="none"/>
          <w:shd w:val="clear" w:color="auto" w:fill="auto"/>
          <w:lang w:val="en-US" w:eastAsia="zh-CN"/>
        </w:rPr>
        <w:t>、主要经验及做法、存在的问题及原因分析</w:t>
      </w:r>
      <w:bookmarkEnd w:id="147"/>
    </w:p>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b/>
          <w:bCs/>
          <w:color w:val="auto"/>
          <w:kern w:val="28"/>
          <w:sz w:val="32"/>
          <w:highlight w:val="none"/>
          <w:lang w:val="en-US" w:eastAsia="zh-CN"/>
        </w:rPr>
      </w:pPr>
      <w:bookmarkStart w:id="148" w:name="_Toc15449"/>
      <w:bookmarkStart w:id="149" w:name="_Toc28290"/>
      <w:bookmarkStart w:id="150" w:name="_Toc1921"/>
      <w:r>
        <w:rPr>
          <w:rFonts w:hint="eastAsia" w:ascii="Times New Roman" w:hAnsi="Times New Roman" w:eastAsia="楷体_GB2312" w:cs="Times New Roman"/>
          <w:b/>
          <w:bCs/>
          <w:color w:val="auto"/>
          <w:kern w:val="28"/>
          <w:sz w:val="32"/>
          <w:highlight w:val="none"/>
          <w:lang w:val="en-US" w:eastAsia="zh-CN"/>
        </w:rPr>
        <w:t>（一）主要经验及做法</w:t>
      </w:r>
      <w:bookmarkEnd w:id="148"/>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Cs/>
          <w:color w:val="auto"/>
          <w:sz w:val="32"/>
          <w:szCs w:val="32"/>
          <w:highlight w:val="none"/>
          <w:lang w:eastAsia="zh-CN"/>
        </w:rPr>
        <w:t>草原生态保护补助</w:t>
      </w: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eastAsia="zh-CN"/>
        </w:rPr>
        <w:t>20</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lang w:eastAsia="zh-CN"/>
        </w:rPr>
        <w:t>年预算</w:t>
      </w:r>
      <w:r>
        <w:rPr>
          <w:rFonts w:hint="eastAsia" w:ascii="仿宋_GB2312" w:hAnsi="仿宋_GB2312" w:eastAsia="仿宋_GB2312" w:cs="仿宋_GB2312"/>
          <w:color w:val="auto"/>
          <w:sz w:val="32"/>
          <w:szCs w:val="32"/>
          <w:highlight w:val="none"/>
          <w:lang w:val="en-US" w:eastAsia="zh-CN"/>
        </w:rPr>
        <w:t>数</w:t>
      </w:r>
      <w:r>
        <w:rPr>
          <w:rFonts w:hint="eastAsia" w:ascii="仿宋_GB2312" w:hAnsi="仿宋_GB2312" w:eastAsia="仿宋_GB2312" w:cs="仿宋_GB2312"/>
          <w:color w:val="auto"/>
          <w:sz w:val="32"/>
          <w:szCs w:val="32"/>
          <w:highlight w:val="none"/>
          <w:lang w:eastAsia="zh-CN"/>
        </w:rPr>
        <w:t>为</w:t>
      </w:r>
      <w:r>
        <w:rPr>
          <w:rFonts w:hint="eastAsia" w:ascii="仿宋_GB2312" w:hAnsi="仿宋_GB2312" w:eastAsia="仿宋_GB2312" w:cs="仿宋_GB2312"/>
          <w:color w:val="auto"/>
          <w:sz w:val="32"/>
          <w:szCs w:val="32"/>
          <w:highlight w:val="none"/>
          <w:lang w:val="en-US" w:eastAsia="zh-CN"/>
        </w:rPr>
        <w:t>4557.76</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lang w:val="en-US" w:eastAsia="zh-CN"/>
        </w:rPr>
        <w:t>截至2024年12月31日共</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lang w:val="en-US" w:eastAsia="zh-CN"/>
        </w:rPr>
        <w:t>4521.37</w:t>
      </w:r>
      <w:r>
        <w:rPr>
          <w:rFonts w:hint="eastAsia" w:ascii="仿宋_GB2312" w:hAnsi="仿宋_GB2312" w:eastAsia="仿宋_GB2312" w:cs="仿宋_GB2312"/>
          <w:color w:val="auto"/>
          <w:sz w:val="32"/>
          <w:szCs w:val="32"/>
          <w:highlight w:val="none"/>
          <w:lang w:eastAsia="zh-CN"/>
        </w:rPr>
        <w:t>，预算</w:t>
      </w:r>
      <w:r>
        <w:rPr>
          <w:rFonts w:hint="eastAsia" w:ascii="仿宋_GB2312" w:hAnsi="仿宋_GB2312" w:eastAsia="仿宋_GB2312" w:cs="仿宋_GB2312"/>
          <w:color w:val="auto"/>
          <w:sz w:val="32"/>
          <w:szCs w:val="32"/>
          <w:highlight w:val="none"/>
          <w:lang w:val="en-US" w:eastAsia="zh-CN"/>
        </w:rPr>
        <w:t>执行</w:t>
      </w:r>
      <w:r>
        <w:rPr>
          <w:rFonts w:hint="eastAsia" w:ascii="仿宋_GB2312" w:hAnsi="仿宋_GB2312" w:eastAsia="仿宋_GB2312" w:cs="仿宋_GB2312"/>
          <w:color w:val="auto"/>
          <w:sz w:val="32"/>
          <w:szCs w:val="32"/>
          <w:highlight w:val="none"/>
          <w:lang w:eastAsia="zh-CN"/>
        </w:rPr>
        <w:t>率为</w:t>
      </w:r>
      <w:r>
        <w:rPr>
          <w:rFonts w:hint="eastAsia" w:ascii="仿宋_GB2312" w:hAnsi="仿宋_GB2312" w:eastAsia="仿宋_GB2312" w:cs="仿宋_GB2312"/>
          <w:color w:val="auto"/>
          <w:sz w:val="32"/>
          <w:szCs w:val="32"/>
          <w:highlight w:val="none"/>
          <w:lang w:val="en-US" w:eastAsia="zh-CN"/>
        </w:rPr>
        <w:t>99.20</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阜康市林业和草原局单位</w:t>
      </w:r>
      <w:r>
        <w:rPr>
          <w:rFonts w:hint="eastAsia" w:ascii="仿宋_GB2312" w:hAnsi="仿宋_GB2312" w:eastAsia="仿宋_GB2312" w:cs="仿宋_GB2312"/>
          <w:color w:val="auto"/>
          <w:sz w:val="32"/>
          <w:szCs w:val="32"/>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ascii="仿宋_GB2312" w:hAnsi="仿宋_GB2312" w:eastAsia="仿宋_GB2312" w:cs="仿宋_GB2312"/>
          <w:color w:val="auto"/>
          <w:sz w:val="32"/>
          <w:szCs w:val="32"/>
          <w:highlight w:val="none"/>
          <w:lang w:val="en-US" w:eastAsia="zh-CN"/>
        </w:rPr>
        <w:t>阜康市林业和草原局单位</w:t>
      </w:r>
      <w:r>
        <w:rPr>
          <w:rFonts w:hint="eastAsia" w:ascii="仿宋_GB2312" w:hAnsi="仿宋_GB2312" w:eastAsia="仿宋_GB2312" w:cs="仿宋_GB2312"/>
          <w:color w:val="auto"/>
          <w:sz w:val="32"/>
          <w:szCs w:val="32"/>
          <w:highlight w:val="none"/>
          <w:lang w:eastAsia="zh-CN"/>
        </w:rPr>
        <w:t>事业发展中关系民生与稳定的项目，切实优化资源配置，提高了资金使用的效率和效果。</w:t>
      </w:r>
    </w:p>
    <w:bookmarkEnd w:id="149"/>
    <w:bookmarkEnd w:id="150"/>
    <w:p>
      <w:pPr>
        <w:pStyle w:val="16"/>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b/>
          <w:bCs/>
          <w:color w:val="auto"/>
          <w:kern w:val="28"/>
          <w:sz w:val="32"/>
          <w:highlight w:val="none"/>
          <w:lang w:val="en-US" w:eastAsia="zh-CN"/>
        </w:rPr>
      </w:pPr>
      <w:bookmarkStart w:id="151" w:name="_Toc29168"/>
      <w:r>
        <w:rPr>
          <w:rFonts w:hint="eastAsia" w:ascii="Times New Roman" w:hAnsi="Times New Roman" w:eastAsia="楷体_GB2312" w:cs="Times New Roman"/>
          <w:b/>
          <w:bCs/>
          <w:color w:val="auto"/>
          <w:kern w:val="28"/>
          <w:sz w:val="32"/>
          <w:highlight w:val="none"/>
          <w:lang w:val="en-US" w:eastAsia="zh-CN"/>
        </w:rPr>
        <w:t>（二）存在的问题及原因分析</w:t>
      </w:r>
      <w:bookmarkEnd w:id="151"/>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方面，加强对预算的监督管理，同时加强预算资金管理的执行力度，完善预算资金的监督体系，要加强各部门之间的联系，使各部门共同参与财政预算资金监督管理，强化单位财政资金的跟踪监察，对资金的申报、拨付及使用情况进行监管。财政和项目实施单位严格实行“三专”管理，即设专户、建专帐、定专人。同时，资金拨付除坚持按项目计划、工程进度和质量分阶段验收拨款外，还坚持部门联审制，项目单位先做事、后报帐，从而确保专项资金专款专用，有效地防止了截留、挤占和挪用。加强与博士后工作站的沟通，保障博士后经费的足额、及时落实。</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2.草原奖补作为国家重大生态保护政策缺乏可执行的法律法规依据。</w:t>
      </w:r>
    </w:p>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auto"/>
          <w:highlight w:val="none"/>
          <w:shd w:val="clear" w:color="auto" w:fill="auto"/>
          <w:lang w:val="en-US" w:eastAsia="zh-CN"/>
        </w:rPr>
      </w:pPr>
      <w:bookmarkStart w:id="152" w:name="_Toc3333"/>
      <w:r>
        <w:rPr>
          <w:rFonts w:hint="eastAsia" w:ascii="黑体" w:hAnsi="黑体" w:cs="黑体"/>
          <w:b w:val="0"/>
          <w:bCs w:val="0"/>
          <w:color w:val="auto"/>
          <w:highlight w:val="none"/>
          <w:shd w:val="clear" w:color="auto" w:fill="auto"/>
          <w:lang w:val="en-US" w:eastAsia="zh-CN"/>
        </w:rPr>
        <w:t>六</w:t>
      </w:r>
      <w:r>
        <w:rPr>
          <w:rFonts w:hint="eastAsia" w:ascii="黑体" w:hAnsi="黑体" w:eastAsia="黑体" w:cs="黑体"/>
          <w:b w:val="0"/>
          <w:bCs w:val="0"/>
          <w:color w:val="auto"/>
          <w:highlight w:val="none"/>
          <w:shd w:val="clear" w:color="auto" w:fill="auto"/>
          <w:lang w:val="en-US" w:eastAsia="zh-CN"/>
        </w:rPr>
        <w:t>、有关建议</w:t>
      </w:r>
      <w:bookmarkEnd w:id="152"/>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加大预算项目管理培训力度，贯彻落实相关办法及制度。采取集中学习、讲座、专题会议等方式，加大对参与项目管理工作的人员培训力度，进一步统一认识，充实业务知识。以提高工作人员素质，以达到预算项目管理标准化、常态化的要求，最终实现提高项目管理工作效率及质量的目标。建议按照行政事业单位内部控制规范建立完善内部控制制度，加强廉政风险防控机制建设。</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（二）明确如“出国销户、公职人员领取”等问题的处理办法。自治区修改资金管理办法，明确资金发放职责、标准、程序等。</w:t>
      </w:r>
    </w:p>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auto"/>
          <w:highlight w:val="none"/>
          <w:shd w:val="clear" w:color="auto" w:fill="auto"/>
          <w:lang w:val="en-US" w:eastAsia="zh-CN"/>
        </w:rPr>
      </w:pPr>
      <w:bookmarkStart w:id="153" w:name="_Toc14256"/>
      <w:r>
        <w:rPr>
          <w:rFonts w:hint="eastAsia" w:ascii="黑体" w:hAnsi="黑体" w:cs="黑体"/>
          <w:b w:val="0"/>
          <w:bCs w:val="0"/>
          <w:color w:val="auto"/>
          <w:highlight w:val="none"/>
          <w:shd w:val="clear" w:color="auto" w:fill="auto"/>
          <w:lang w:val="en-US" w:eastAsia="zh-CN"/>
        </w:rPr>
        <w:t>七</w:t>
      </w:r>
      <w:r>
        <w:rPr>
          <w:rFonts w:hint="eastAsia" w:ascii="黑体" w:hAnsi="黑体" w:eastAsia="黑体" w:cs="黑体"/>
          <w:b w:val="0"/>
          <w:bCs w:val="0"/>
          <w:color w:val="auto"/>
          <w:highlight w:val="none"/>
          <w:shd w:val="clear" w:color="auto" w:fill="auto"/>
          <w:lang w:val="en-US" w:eastAsia="zh-CN"/>
        </w:rPr>
        <w:t>、其他需要说明的问题</w:t>
      </w:r>
      <w:bookmarkEnd w:id="153"/>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无其他需要说明的问题。</w:t>
      </w:r>
    </w:p>
    <w:p>
      <w:pPr>
        <w:pageBreakBefore w:val="0"/>
        <w:kinsoku/>
        <w:wordWrap/>
        <w:overflowPunct/>
        <w:topLinePunct w:val="0"/>
        <w:autoSpaceDE/>
        <w:autoSpaceDN/>
        <w:bidi w:val="0"/>
        <w:adjustRightInd/>
        <w:spacing w:line="560" w:lineRule="exact"/>
        <w:textAlignment w:val="auto"/>
        <w:rPr>
          <w:rFonts w:hint="eastAsia" w:cs="宋体"/>
          <w:color w:val="auto"/>
          <w:highlight w:val="none"/>
          <w:shd w:val="clear" w:color="auto" w:fill="auto"/>
          <w:lang w:val="en-US" w:eastAsia="zh-CN"/>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560" w:lineRule="exact"/>
        <w:textAlignment w:val="auto"/>
        <w:rPr>
          <w:color w:val="auto"/>
          <w:highlight w:val="none"/>
        </w:rPr>
      </w:pPr>
      <w:bookmarkStart w:id="154" w:name="_Toc28971"/>
      <w:bookmarkStart w:id="155" w:name="_Toc11349"/>
      <w:r>
        <w:rPr>
          <w:rFonts w:hint="eastAsia" w:ascii="宋体" w:hAnsi="宋体" w:eastAsia="宋体" w:cs="宋体"/>
          <w:b/>
          <w:bCs/>
          <w:color w:val="auto"/>
          <w:highlight w:val="none"/>
          <w:shd w:val="clear" w:color="auto" w:fill="auto"/>
          <w:lang w:val="en-US" w:eastAsia="zh-CN"/>
        </w:rPr>
        <w:t>附件一、项目支出绩效自评表</w:t>
      </w:r>
      <w:bookmarkEnd w:id="154"/>
      <w:bookmarkEnd w:id="155"/>
    </w:p>
    <w:tbl>
      <w:tblPr>
        <w:tblStyle w:val="19"/>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0"/>
        <w:gridCol w:w="880"/>
        <w:gridCol w:w="880"/>
        <w:gridCol w:w="880"/>
        <w:gridCol w:w="1283"/>
        <w:gridCol w:w="1363"/>
        <w:gridCol w:w="1283"/>
        <w:gridCol w:w="1041"/>
        <w:gridCol w:w="1121"/>
        <w:gridCol w:w="880"/>
        <w:gridCol w:w="880"/>
        <w:gridCol w:w="880"/>
        <w:gridCol w:w="881"/>
        <w:gridCol w:w="10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76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414" w:type="dxa"/>
            <w:gridSpan w:val="1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草原生态保护补助奖励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56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阜康市林业和草原局</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45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阜康市林业和草原局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7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1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4557.76</w:t>
            </w: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4557.76</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4521.37</w:t>
            </w:r>
          </w:p>
        </w:tc>
        <w:tc>
          <w:tcPr>
            <w:tcW w:w="1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99.20%</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4557.76</w:t>
            </w: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4557.76</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4521.37</w:t>
            </w:r>
          </w:p>
        </w:tc>
        <w:tc>
          <w:tcPr>
            <w:tcW w:w="1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7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6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65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67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5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阜康市林业和草原局2024年预计完成草原生态保护补助奖励一般性禁牧草原面积288.35万亩；水源涵养区草原禁牧面积39.56万亩；草畜平衡管理面积325.24万亩，发放草原生态保护补助奖励补资金约4521.37万元，项目的实施将改善牧民生活质量，持续发挥生态作用，使牧民政策满意度达90%以上。</w:t>
            </w:r>
          </w:p>
        </w:tc>
        <w:tc>
          <w:tcPr>
            <w:tcW w:w="67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2024年12月31日，本项目以6元/亩的标准完成一般性禁牧草原288.35万亩，以50元/亩的标准完成水源涵养区草原禁牧39.56万亩，以2.50元/亩的标准完成草畜平衡管理325.24万亩，完成发放草原生态保护补助奖励补资金4521.37万元。项目的实施改善了牧民的生活质量，持续发挥生态作用显著，使牧民政策满意度达到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1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11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一般性禁牧草原面积</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&gt;=288.35万亩</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=288.35万亩</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水源涵养区草原禁牧面积</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&gt;=39.56万亩</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=39.56万亩</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草畜平衡管理面积</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&gt;=325.24万亩</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=325.24万亩</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草原生态保护补助奖励兑付率</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&gt;=100%</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草原生态保护补助奖励发放及时率</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&gt;=100%</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一般性禁牧草原补助资金（元/亩）</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&lt;=6元/亩</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=6元/亩</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水源涵养区草原禁牧补助资金（元/亩）</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&lt;=50元/亩</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=50元/亩</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草畜平衡管理补助资金（元/亩）</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&lt;=2.50元/亩</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=2.5元/亩</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改善牧民生活质量</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持续发挥生态作用</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显著</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牧民政策满意度</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352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363"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99.92分</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ind w:left="0" w:leftChars="0" w:firstLine="0" w:firstLineChars="0"/>
        <w:rPr>
          <w:color w:val="auto"/>
          <w:highlight w:val="none"/>
        </w:rPr>
      </w:pPr>
      <w:r>
        <w:rPr>
          <w:color w:val="auto"/>
          <w:highlight w:val="none"/>
        </w:rPr>
        <w:br w:type="page"/>
      </w:r>
    </w:p>
    <w:p>
      <w:pPr>
        <w:pStyle w:val="3"/>
        <w:pageBreakBefore w:val="0"/>
        <w:numPr>
          <w:ilvl w:val="0"/>
          <w:numId w:val="0"/>
        </w:numPr>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156" w:name="_Toc11223"/>
      <w:bookmarkStart w:id="15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156"/>
      <w:bookmarkEnd w:id="157"/>
    </w:p>
    <w:tbl>
      <w:tblPr>
        <w:tblStyle w:val="19"/>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317"/>
        <w:gridCol w:w="7645"/>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65"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3569"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513" w:hRule="atLeast"/>
          <w:jc w:val="center"/>
        </w:trPr>
        <w:tc>
          <w:tcPr>
            <w:tcW w:w="861" w:type="dxa"/>
            <w:vMerge w:val="restart"/>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实际到位资金/预算资金）×100%。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118"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670"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687"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434" w:hRule="atLeast"/>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一般性禁牧草原面积</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434" w:hRule="atLeast"/>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水源涵养区草原禁牧面积</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434" w:hRule="atLeast"/>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草畜平衡管理面积</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6</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453"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草原生态保护补助奖励兑付率</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6</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草原生态保护补助奖励发放及时率</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一般性禁牧草原补助资金（元/亩）</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水源涵养区草原禁牧补助资金（元/亩）</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草畜平衡管理补助资金（元/亩）</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6</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2"/>
                <w:szCs w:val="22"/>
                <w:highlight w:val="none"/>
              </w:rPr>
            </w:pPr>
            <w:r>
              <w:rPr>
                <w:rFonts w:hint="eastAsia" w:cs="宋体"/>
                <w:color w:val="auto"/>
                <w:kern w:val="0"/>
                <w:sz w:val="20"/>
                <w:szCs w:val="20"/>
                <w:highlight w:val="none"/>
                <w:shd w:val="clear" w:color="auto" w:fill="auto"/>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03"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改善牧民生活质量</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03"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持续发挥生态作用</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auto"/>
                <w:kern w:val="0"/>
                <w:sz w:val="22"/>
                <w:szCs w:val="22"/>
                <w:highlight w:val="none"/>
              </w:rPr>
            </w:pPr>
          </w:p>
        </w:tc>
        <w:tc>
          <w:tcPr>
            <w:tcW w:w="820"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0"/>
                <w:szCs w:val="20"/>
                <w:highlight w:val="none"/>
                <w:shd w:val="clear" w:color="auto" w:fill="auto"/>
                <w:lang w:val="en-US" w:eastAsia="zh-CN"/>
              </w:rPr>
              <w:t>村民政策满意度</w:t>
            </w:r>
          </w:p>
        </w:tc>
        <w:tc>
          <w:tcPr>
            <w:tcW w:w="231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417" w:hRule="atLeast"/>
          <w:jc w:val="center"/>
        </w:trPr>
        <w:tc>
          <w:tcPr>
            <w:tcW w:w="4725" w:type="dxa"/>
            <w:gridSpan w:val="4"/>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64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98.97</w:t>
            </w:r>
          </w:p>
        </w:tc>
      </w:tr>
    </w:tbl>
    <w:p>
      <w:pPr>
        <w:pageBreakBefore w:val="0"/>
        <w:kinsoku/>
        <w:wordWrap/>
        <w:overflowPunct/>
        <w:topLinePunct w:val="0"/>
        <w:autoSpaceDE/>
        <w:autoSpaceDN/>
        <w:bidi w:val="0"/>
        <w:spacing w:line="560" w:lineRule="exact"/>
        <w:ind w:firstLine="0" w:firstLineChars="0"/>
        <w:textAlignment w:val="auto"/>
        <w:rPr>
          <w:rFonts w:ascii="Times New Roman" w:hAnsi="Times New Roman" w:eastAsia="仿宋_GB2312" w:cs="Times New Roman"/>
          <w:color w:val="auto"/>
          <w:sz w:val="30"/>
          <w:szCs w:val="24"/>
          <w:highlight w:val="none"/>
        </w:rPr>
      </w:pPr>
    </w:p>
    <w:p>
      <w:pPr>
        <w:pageBreakBefore w:val="0"/>
        <w:kinsoku/>
        <w:wordWrap/>
        <w:overflowPunct/>
        <w:topLinePunct w:val="0"/>
        <w:autoSpaceDE/>
        <w:autoSpaceDN/>
        <w:bidi w:val="0"/>
        <w:spacing w:line="560" w:lineRule="exact"/>
        <w:textAlignment w:val="auto"/>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0"/>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CD2B0F"/>
    <w:multiLevelType w:val="singleLevel"/>
    <w:tmpl w:val="F4CD2B0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7D6A04"/>
    <w:rsid w:val="00E23C81"/>
    <w:rsid w:val="01253350"/>
    <w:rsid w:val="01282E62"/>
    <w:rsid w:val="014029CF"/>
    <w:rsid w:val="01470C4C"/>
    <w:rsid w:val="01FA1FB9"/>
    <w:rsid w:val="02200440"/>
    <w:rsid w:val="02284B43"/>
    <w:rsid w:val="02B015E2"/>
    <w:rsid w:val="02DC08FA"/>
    <w:rsid w:val="033B569D"/>
    <w:rsid w:val="039C3BA0"/>
    <w:rsid w:val="03A845BB"/>
    <w:rsid w:val="03B45AD1"/>
    <w:rsid w:val="04D12EE4"/>
    <w:rsid w:val="04D63993"/>
    <w:rsid w:val="07890F4F"/>
    <w:rsid w:val="08892439"/>
    <w:rsid w:val="08EB30F3"/>
    <w:rsid w:val="09237408"/>
    <w:rsid w:val="09781BD6"/>
    <w:rsid w:val="09F359DF"/>
    <w:rsid w:val="0A575E65"/>
    <w:rsid w:val="0ACA0AB6"/>
    <w:rsid w:val="0C032502"/>
    <w:rsid w:val="0C27698C"/>
    <w:rsid w:val="0D4452F3"/>
    <w:rsid w:val="0EFA53FB"/>
    <w:rsid w:val="0F5E5042"/>
    <w:rsid w:val="0FE95707"/>
    <w:rsid w:val="10510571"/>
    <w:rsid w:val="10787A20"/>
    <w:rsid w:val="108672DE"/>
    <w:rsid w:val="10EC685A"/>
    <w:rsid w:val="11FA6155"/>
    <w:rsid w:val="12CF0947"/>
    <w:rsid w:val="12F1313F"/>
    <w:rsid w:val="136C678E"/>
    <w:rsid w:val="13EB2FF5"/>
    <w:rsid w:val="14877CF4"/>
    <w:rsid w:val="14ED4CAC"/>
    <w:rsid w:val="15A46B04"/>
    <w:rsid w:val="165825BC"/>
    <w:rsid w:val="16BC5D73"/>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732478D"/>
    <w:rsid w:val="27661469"/>
    <w:rsid w:val="27900EAD"/>
    <w:rsid w:val="279B538A"/>
    <w:rsid w:val="286F545C"/>
    <w:rsid w:val="29314FBC"/>
    <w:rsid w:val="2AA2081A"/>
    <w:rsid w:val="2C024B86"/>
    <w:rsid w:val="2C7C3514"/>
    <w:rsid w:val="2C927671"/>
    <w:rsid w:val="2CC6306F"/>
    <w:rsid w:val="2D7C5CD6"/>
    <w:rsid w:val="2E483E7E"/>
    <w:rsid w:val="2E690493"/>
    <w:rsid w:val="2E9854BD"/>
    <w:rsid w:val="2F0D407F"/>
    <w:rsid w:val="2F454B19"/>
    <w:rsid w:val="310224D9"/>
    <w:rsid w:val="31B4621C"/>
    <w:rsid w:val="31E3230A"/>
    <w:rsid w:val="330957E0"/>
    <w:rsid w:val="33356F64"/>
    <w:rsid w:val="33944516"/>
    <w:rsid w:val="34B62907"/>
    <w:rsid w:val="36BD137C"/>
    <w:rsid w:val="38053EDF"/>
    <w:rsid w:val="380812A4"/>
    <w:rsid w:val="385D37E7"/>
    <w:rsid w:val="38782EDD"/>
    <w:rsid w:val="3B42664A"/>
    <w:rsid w:val="3CAD1E92"/>
    <w:rsid w:val="3D836A4E"/>
    <w:rsid w:val="3EA37E97"/>
    <w:rsid w:val="3F0E0A84"/>
    <w:rsid w:val="3FBE0BC5"/>
    <w:rsid w:val="4048103A"/>
    <w:rsid w:val="40736643"/>
    <w:rsid w:val="40D24A7A"/>
    <w:rsid w:val="42621029"/>
    <w:rsid w:val="435241E2"/>
    <w:rsid w:val="43975C51"/>
    <w:rsid w:val="439E3FA7"/>
    <w:rsid w:val="44B32266"/>
    <w:rsid w:val="44E665E0"/>
    <w:rsid w:val="44FC64F4"/>
    <w:rsid w:val="467F4585"/>
    <w:rsid w:val="470628CB"/>
    <w:rsid w:val="4729480B"/>
    <w:rsid w:val="47555BD4"/>
    <w:rsid w:val="47BC2DB1"/>
    <w:rsid w:val="47E96399"/>
    <w:rsid w:val="47F76025"/>
    <w:rsid w:val="486E33F5"/>
    <w:rsid w:val="48E12B50"/>
    <w:rsid w:val="499441BE"/>
    <w:rsid w:val="499A6C1C"/>
    <w:rsid w:val="4A195607"/>
    <w:rsid w:val="4A2138F0"/>
    <w:rsid w:val="4A583887"/>
    <w:rsid w:val="4B9F6E02"/>
    <w:rsid w:val="4C89637B"/>
    <w:rsid w:val="4E6E48A8"/>
    <w:rsid w:val="4EEC036B"/>
    <w:rsid w:val="4F0D47F1"/>
    <w:rsid w:val="4F714FA1"/>
    <w:rsid w:val="501D2673"/>
    <w:rsid w:val="50C80BF1"/>
    <w:rsid w:val="51852833"/>
    <w:rsid w:val="52F11AC8"/>
    <w:rsid w:val="534F49D9"/>
    <w:rsid w:val="53555F0F"/>
    <w:rsid w:val="535D23D5"/>
    <w:rsid w:val="56BC7C62"/>
    <w:rsid w:val="56F4341A"/>
    <w:rsid w:val="575A7321"/>
    <w:rsid w:val="580C3AB9"/>
    <w:rsid w:val="583C7AE0"/>
    <w:rsid w:val="586C1E9A"/>
    <w:rsid w:val="586E0800"/>
    <w:rsid w:val="59216F96"/>
    <w:rsid w:val="598C4145"/>
    <w:rsid w:val="59957D1B"/>
    <w:rsid w:val="59D4294E"/>
    <w:rsid w:val="5B634312"/>
    <w:rsid w:val="5B9D2CCD"/>
    <w:rsid w:val="5B9E71EA"/>
    <w:rsid w:val="5E226FBC"/>
    <w:rsid w:val="5EBD64F0"/>
    <w:rsid w:val="5FE72BD2"/>
    <w:rsid w:val="60120613"/>
    <w:rsid w:val="618D5292"/>
    <w:rsid w:val="622E78FA"/>
    <w:rsid w:val="63343F70"/>
    <w:rsid w:val="64296E1C"/>
    <w:rsid w:val="64386FCC"/>
    <w:rsid w:val="649E64A2"/>
    <w:rsid w:val="65E5270A"/>
    <w:rsid w:val="663D3C54"/>
    <w:rsid w:val="667A6962"/>
    <w:rsid w:val="66862C89"/>
    <w:rsid w:val="66BB486D"/>
    <w:rsid w:val="67394C7D"/>
    <w:rsid w:val="68126B38"/>
    <w:rsid w:val="68291A1A"/>
    <w:rsid w:val="68352BB8"/>
    <w:rsid w:val="691327EB"/>
    <w:rsid w:val="691B1594"/>
    <w:rsid w:val="693A016B"/>
    <w:rsid w:val="69EE4CAD"/>
    <w:rsid w:val="6A17429C"/>
    <w:rsid w:val="6A567EA3"/>
    <w:rsid w:val="6B347152"/>
    <w:rsid w:val="6B4B4368"/>
    <w:rsid w:val="6B79100E"/>
    <w:rsid w:val="6C844C00"/>
    <w:rsid w:val="6E10212C"/>
    <w:rsid w:val="6E43561A"/>
    <w:rsid w:val="6E557973"/>
    <w:rsid w:val="6E9568DB"/>
    <w:rsid w:val="6F0D6C22"/>
    <w:rsid w:val="6F47657F"/>
    <w:rsid w:val="6FAF23D9"/>
    <w:rsid w:val="70635CF6"/>
    <w:rsid w:val="70670707"/>
    <w:rsid w:val="720E3691"/>
    <w:rsid w:val="7249173A"/>
    <w:rsid w:val="724E244C"/>
    <w:rsid w:val="72DA6946"/>
    <w:rsid w:val="732764B3"/>
    <w:rsid w:val="74004E74"/>
    <w:rsid w:val="74026044"/>
    <w:rsid w:val="74325A77"/>
    <w:rsid w:val="74746410"/>
    <w:rsid w:val="75C8506C"/>
    <w:rsid w:val="75E5007C"/>
    <w:rsid w:val="77636B63"/>
    <w:rsid w:val="77813724"/>
    <w:rsid w:val="77861774"/>
    <w:rsid w:val="78F31435"/>
    <w:rsid w:val="79300B45"/>
    <w:rsid w:val="794D3E18"/>
    <w:rsid w:val="79F3729A"/>
    <w:rsid w:val="7A880722"/>
    <w:rsid w:val="7ABE6120"/>
    <w:rsid w:val="7ACB0498"/>
    <w:rsid w:val="7AED0B4D"/>
    <w:rsid w:val="7C1E4487"/>
    <w:rsid w:val="7C215E02"/>
    <w:rsid w:val="7CF23764"/>
    <w:rsid w:val="7D851A9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2">
    <w:name w:val="heading 2"/>
    <w:basedOn w:val="1"/>
    <w:next w:val="1"/>
    <w:link w:val="22"/>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20">
    <w:name w:val="Default Paragraph Font"/>
    <w:semiHidden/>
    <w:qFormat/>
    <w:uiPriority w:val="0"/>
  </w:style>
  <w:style w:type="table" w:default="1" w:styleId="19">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rPr>
      <w:rFonts w:eastAsia="仿宋"/>
      <w:sz w:val="32"/>
    </w:rPr>
  </w:style>
  <w:style w:type="paragraph" w:styleId="6">
    <w:name w:val="annotation text"/>
    <w:basedOn w:val="1"/>
    <w:qFormat/>
    <w:uiPriority w:val="0"/>
    <w:pPr>
      <w:jc w:val="left"/>
    </w:pPr>
  </w:style>
  <w:style w:type="paragraph" w:styleId="7">
    <w:name w:val="Body Text"/>
    <w:basedOn w:val="1"/>
    <w:qFormat/>
    <w:uiPriority w:val="0"/>
    <w:pPr>
      <w:spacing w:before="240" w:after="240" w:line="360" w:lineRule="auto"/>
      <w:jc w:val="center"/>
    </w:pPr>
    <w:rPr>
      <w:b/>
      <w:sz w:val="44"/>
    </w:rPr>
  </w:style>
  <w:style w:type="paragraph" w:styleId="8">
    <w:name w:val="Body Text Indent"/>
    <w:basedOn w:val="1"/>
    <w:next w:val="5"/>
    <w:semiHidden/>
    <w:qFormat/>
    <w:uiPriority w:val="99"/>
    <w:pPr>
      <w:spacing w:after="120"/>
      <w:ind w:left="420" w:leftChars="200"/>
    </w:pPr>
  </w:style>
  <w:style w:type="paragraph" w:styleId="9">
    <w:name w:val="toc 3"/>
    <w:basedOn w:val="1"/>
    <w:next w:val="1"/>
    <w:qFormat/>
    <w:uiPriority w:val="0"/>
    <w:pPr>
      <w:ind w:left="840" w:leftChars="40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Body Text 2"/>
    <w:basedOn w:val="1"/>
    <w:qFormat/>
    <w:uiPriority w:val="0"/>
    <w:pPr>
      <w:spacing w:after="120" w:line="480" w:lineRule="auto"/>
    </w:pPr>
    <w:rPr>
      <w:rFonts w:ascii="Times New Roman" w:hAnsi="Times New Roman" w:eastAsia="宋体" w:cs="Times New Roman"/>
    </w:rPr>
  </w:style>
  <w:style w:type="paragraph" w:styleId="1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6">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7">
    <w:name w:val="Body Text First Indent"/>
    <w:basedOn w:val="7"/>
    <w:qFormat/>
    <w:uiPriority w:val="0"/>
    <w:pPr>
      <w:spacing w:after="0"/>
      <w:ind w:firstLine="200" w:firstLineChars="200"/>
    </w:pPr>
  </w:style>
  <w:style w:type="paragraph" w:styleId="18">
    <w:name w:val="Body Text First Indent 2"/>
    <w:basedOn w:val="8"/>
    <w:next w:val="17"/>
    <w:qFormat/>
    <w:uiPriority w:val="99"/>
    <w:pPr>
      <w:ind w:firstLine="420" w:firstLineChars="200"/>
    </w:pPr>
    <w:rPr>
      <w:rFonts w:ascii="Calibri" w:hAnsi="Calibri"/>
    </w:rPr>
  </w:style>
  <w:style w:type="paragraph" w:customStyle="1" w:styleId="21">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22">
    <w:name w:val="标题 2 Char"/>
    <w:link w:val="2"/>
    <w:qFormat/>
    <w:uiPriority w:val="0"/>
    <w:rPr>
      <w:rFonts w:ascii="Arial" w:hAnsi="Arial" w:eastAsia="楷体"/>
      <w:b/>
      <w:sz w:val="32"/>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 w:type="paragraph" w:customStyle="1" w:styleId="25">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11333</Words>
  <Characters>12272</Characters>
  <Lines>0</Lines>
  <Paragraphs>0</Paragraphs>
  <TotalTime>2</TotalTime>
  <ScaleCrop>false</ScaleCrop>
  <LinksUpToDate>false</LinksUpToDate>
  <CharactersWithSpaces>12342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2025-11-03T05:09:17Z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y fmtid="{D5CDD505-2E9C-101B-9397-08002B2CF9AE}" pid="4" name="KSOTemplateDocerSaveRecord">
    <vt:lpwstr>eyJoZGlkIjoiNTY3MmI4ODZmMjljZWZhNGFkN2U2N2Y4ODgwYjM5ZGIiLCJ1c2VySWQiOiIzNjI1MzY3NzcifQ==</vt:lpwstr>
  </property>
</Properties>
</file>