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56AC8">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lang w:val="en-US" w:eastAsia="zh-CN"/>
        </w:rPr>
      </w:pPr>
      <w:bookmarkStart w:id="0" w:name="_Toc15679"/>
      <w:bookmarkStart w:id="1" w:name="_Toc1949"/>
      <w:bookmarkStart w:id="2" w:name="_Toc25575"/>
      <w:bookmarkStart w:id="3" w:name="_Toc29123"/>
    </w:p>
    <w:p w14:paraId="3E6D82D4">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lang w:val="en-US" w:eastAsia="zh-CN"/>
        </w:rPr>
      </w:pPr>
    </w:p>
    <w:p w14:paraId="69E6EFAA">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lang w:val="en-US" w:eastAsia="zh-CN"/>
        </w:rPr>
      </w:pPr>
    </w:p>
    <w:p w14:paraId="64E4A71D">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lang w:val="en-US" w:eastAsia="zh-CN"/>
        </w:rPr>
        <w:t>2024年化解债务项目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083365CC">
      <w:pPr>
        <w:keepNext w:val="0"/>
        <w:keepLines w:val="0"/>
        <w:pageBreakBefore w:val="0"/>
        <w:widowControl w:val="0"/>
        <w:shd w:val="clear"/>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BE7F2DC">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52F22AB">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659F620">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E0A1C6F">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D53488B">
      <w:pPr>
        <w:pStyle w:val="2"/>
        <w:rPr>
          <w:rFonts w:hint="eastAsia" w:ascii="宋体" w:hAnsi="宋体" w:eastAsia="宋体" w:cs="宋体"/>
          <w:b/>
          <w:bCs/>
          <w:color w:val="auto"/>
          <w:sz w:val="36"/>
          <w:szCs w:val="36"/>
          <w:highlight w:val="none"/>
          <w:shd w:val="clear" w:color="auto" w:fill="auto"/>
        </w:rPr>
      </w:pPr>
    </w:p>
    <w:p w14:paraId="723C1BFF">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b/>
          <w:bCs/>
          <w:color w:val="auto"/>
          <w:sz w:val="36"/>
          <w:szCs w:val="36"/>
          <w:highlight w:val="none"/>
          <w:shd w:val="clear" w:color="auto" w:fill="auto"/>
        </w:rPr>
      </w:pPr>
    </w:p>
    <w:p w14:paraId="0E323A17">
      <w:pPr>
        <w:shd w:val="clea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val="en-US" w:eastAsia="zh-CN"/>
        </w:rPr>
        <w:t>2024年化解债务项目</w:t>
      </w:r>
    </w:p>
    <w:p w14:paraId="2C636F35">
      <w:pPr>
        <w:shd w:val="clea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中共阜康市委员会办公室</w:t>
      </w:r>
    </w:p>
    <w:p w14:paraId="2B47F82B">
      <w:pPr>
        <w:shd w:val="clea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中共阜康市委员会办公室</w:t>
      </w:r>
    </w:p>
    <w:p w14:paraId="2AB19936">
      <w:pPr>
        <w:shd w:val="clear"/>
        <w:spacing w:line="360" w:lineRule="auto"/>
        <w:ind w:firstLine="0" w:firstLineChars="0"/>
        <w:jc w:val="left"/>
        <w:rPr>
          <w:rFonts w:hint="default" w:ascii="黑体" w:hAnsi="Times New Roman" w:eastAsia="宋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张君</w:t>
      </w:r>
    </w:p>
    <w:p w14:paraId="515ACBFA">
      <w:pPr>
        <w:shd w:val="clea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2025年4月24日</w:t>
      </w:r>
    </w:p>
    <w:p w14:paraId="73282CAF">
      <w:pPr>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val="en-US" w:eastAsia="zh-CN"/>
        </w:rPr>
        <w:br w:type="page"/>
      </w: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1BDCCC0B">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0E7000B2">
          <w:pPr>
            <w:pStyle w:val="10"/>
            <w:shd w:val="clear"/>
            <w:tabs>
              <w:tab w:val="right" w:leader="dot" w:pos="8844"/>
            </w:tabs>
            <w:jc w:val="left"/>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72D8EBA2">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50E08661">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320524C">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0CEC8B9E">
          <w:pPr>
            <w:pStyle w:val="10"/>
            <w:shd w:val="clear"/>
            <w:tabs>
              <w:tab w:val="right" w:leader="dot" w:pos="8844"/>
            </w:tabs>
            <w:jc w:val="lef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0E30D4A">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5D47826">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04B42344">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43AFBECA">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1C985293">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09312181">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E9E67B6">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309D2E52">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5F181F4D">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2B317ACA">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2345D01F">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3F9B5BC1">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3C17CF89">
          <w:pPr>
            <w:pStyle w:val="10"/>
            <w:shd w:val="clear"/>
            <w:tabs>
              <w:tab w:val="right" w:leader="dot" w:pos="8844"/>
            </w:tabs>
            <w:jc w:val="lef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D1CCF86">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78EE6E1">
          <w:pPr>
            <w:pStyle w:val="10"/>
            <w:shd w:val="clear"/>
            <w:tabs>
              <w:tab w:val="right" w:leader="dot" w:pos="8844"/>
            </w:tabs>
            <w:jc w:val="lef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502C6677">
          <w:pPr>
            <w:pStyle w:val="10"/>
            <w:shd w:val="clear"/>
            <w:tabs>
              <w:tab w:val="right" w:leader="dot" w:pos="8844"/>
            </w:tabs>
            <w:jc w:val="lef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E317E6B">
          <w:pPr>
            <w:pStyle w:val="10"/>
            <w:shd w:val="clear"/>
            <w:tabs>
              <w:tab w:val="right" w:leader="dot" w:pos="8844"/>
            </w:tabs>
            <w:jc w:val="lef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93B5F5A">
          <w:pPr>
            <w:pStyle w:val="10"/>
            <w:shd w:val="clear"/>
            <w:tabs>
              <w:tab w:val="right" w:leader="dot" w:pos="8844"/>
            </w:tabs>
            <w:jc w:val="lef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D0C0178">
          <w:pPr>
            <w:pStyle w:val="10"/>
            <w:shd w:val="clear"/>
            <w:tabs>
              <w:tab w:val="right" w:leader="dot" w:pos="8844"/>
            </w:tabs>
            <w:jc w:val="lef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352B610">
          <w:pPr>
            <w:keepNext w:val="0"/>
            <w:keepLines w:val="0"/>
            <w:pageBreakBefore w:val="0"/>
            <w:shd w:val="clear"/>
            <w:kinsoku/>
            <w:wordWrap/>
            <w:overflowPunct/>
            <w:topLinePunct w:val="0"/>
            <w:autoSpaceDE/>
            <w:autoSpaceDN/>
            <w:bidi w:val="0"/>
            <w:adjustRightInd/>
            <w:snapToGrid/>
            <w:spacing w:line="560" w:lineRule="exact"/>
            <w:jc w:val="lef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512DD3">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1194"/>
      <w:bookmarkStart w:id="5" w:name="_Toc20432"/>
      <w:bookmarkStart w:id="6" w:name="_Toc3663"/>
      <w:bookmarkStart w:id="7" w:name="_Toc22946"/>
      <w:r>
        <w:rPr>
          <w:rFonts w:hint="eastAsia" w:ascii="宋体" w:hAnsi="宋体" w:eastAsia="宋体" w:cs="宋体"/>
          <w:b/>
          <w:bCs/>
          <w:color w:val="auto"/>
          <w:sz w:val="36"/>
          <w:szCs w:val="36"/>
          <w:highlight w:val="none"/>
          <w:shd w:val="clear" w:color="auto" w:fill="auto"/>
        </w:rPr>
        <w:t>2024年化解债务项目支出绩效评价报告</w:t>
      </w:r>
      <w:bookmarkEnd w:id="4"/>
      <w:bookmarkEnd w:id="5"/>
      <w:bookmarkEnd w:id="6"/>
      <w:bookmarkEnd w:id="7"/>
    </w:p>
    <w:p w14:paraId="44AD4DC5">
      <w:pPr>
        <w:pStyle w:val="3"/>
        <w:pageBreakBefore w:val="0"/>
        <w:shd w:val="clear"/>
        <w:kinsoku/>
        <w:wordWrap/>
        <w:overflowPunct/>
        <w:topLinePunct w:val="0"/>
        <w:autoSpaceDE/>
        <w:autoSpaceDN/>
        <w:bidi w:val="0"/>
        <w:adjustRightInd/>
        <w:snapToGrid/>
        <w:spacing w:beforeLines="0" w:afterLines="0" w:line="560" w:lineRule="exact"/>
        <w:jc w:val="lef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7D918391">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5F60D03">
      <w:pPr>
        <w:pStyle w:val="5"/>
        <w:pageBreakBefore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10645"/>
      <w:bookmarkStart w:id="11" w:name="_Toc5043"/>
      <w:bookmarkStart w:id="12" w:name="_Toc22346"/>
      <w:bookmarkStart w:id="13"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4333B379">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为进一步加强债务管理，完善政府债务化解机制，切实落实债务化解有关规定，实行科学化、精细化管理，加强对化解债务资金分配使用，全面准确掌握债务化解情况，确保偿债资金的安全、规范和有效。2024年计划完成3个项目债务化解工作。</w:t>
      </w:r>
    </w:p>
    <w:p w14:paraId="6D6A1488">
      <w:pPr>
        <w:pStyle w:val="5"/>
        <w:pageBreakBefore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7880"/>
      <w:bookmarkStart w:id="16" w:name="_Toc10730"/>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5343BB2D">
      <w:pPr>
        <w:pStyle w:val="5"/>
        <w:pageBreakBefore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7409"/>
      <w:bookmarkStart w:id="19" w:name="_Toc16592"/>
      <w:bookmarkStart w:id="20" w:name="_Toc21898"/>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化解综合服务中心主体工程项目债务成本</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ab/>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173.8万元</w:t>
      </w:r>
      <w:r>
        <w:rPr>
          <w:rFonts w:hint="eastAsia" w:cs="仿宋_GB2312"/>
          <w:b w:val="0"/>
          <w:bCs w:val="0"/>
          <w:color w:val="auto"/>
          <w:kern w:val="2"/>
          <w:sz w:val="32"/>
          <w:szCs w:val="32"/>
          <w:highlight w:val="none"/>
          <w:shd w:val="clear" w:color="auto" w:fill="auto"/>
          <w:lang w:val="en-US" w:eastAsia="zh-CN" w:bidi="ar-SA"/>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化解综合服务中心室外管网项目债务成本17.22万元</w:t>
      </w:r>
      <w:r>
        <w:rPr>
          <w:rFonts w:hint="eastAsia" w:cs="仿宋_GB2312"/>
          <w:b w:val="0"/>
          <w:bCs w:val="0"/>
          <w:color w:val="auto"/>
          <w:kern w:val="2"/>
          <w:sz w:val="32"/>
          <w:szCs w:val="32"/>
          <w:highlight w:val="none"/>
          <w:shd w:val="clear" w:color="auto" w:fill="auto"/>
          <w:lang w:val="en-US" w:eastAsia="zh-CN" w:bidi="ar-SA"/>
        </w:rPr>
        <w:t>。</w:t>
      </w:r>
    </w:p>
    <w:p w14:paraId="1A8FE9D6">
      <w:pPr>
        <w:keepNext w:val="0"/>
        <w:keepLines w:val="0"/>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本项目本项目由档案馆负责实施，准备还债请示、意向书、还款备案函等项目资料，及时与财政、企业沟通联系落实项目资金。</w:t>
      </w:r>
    </w:p>
    <w:p w14:paraId="48407D59">
      <w:pPr>
        <w:pStyle w:val="5"/>
        <w:pageBreakBefore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2348"/>
      <w:bookmarkStart w:id="23" w:name="_Toc1858"/>
      <w:bookmarkStart w:id="24" w:name="_Toc569"/>
      <w:bookmarkStart w:id="25"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6148135D">
      <w:pPr>
        <w:pageBreakBefore w:val="0"/>
        <w:shd w:val="clear"/>
        <w:kinsoku/>
        <w:wordWrap/>
        <w:overflowPunct/>
        <w:topLinePunct w:val="0"/>
        <w:autoSpaceDE/>
        <w:autoSpaceDN/>
        <w:bidi w:val="0"/>
        <w:adjustRightInd/>
        <w:snapToGrid/>
        <w:spacing w:line="560" w:lineRule="exact"/>
        <w:ind w:firstLine="640" w:firstLineChars="200"/>
        <w:jc w:val="left"/>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008EEE8B">
      <w:pPr>
        <w:pageBreakBefore w:val="0"/>
        <w:shd w:val="clear"/>
        <w:kinsoku/>
        <w:wordWrap/>
        <w:overflowPunct/>
        <w:topLinePunct w:val="0"/>
        <w:autoSpaceDE/>
        <w:autoSpaceDN/>
        <w:bidi w:val="0"/>
        <w:adjustRightInd/>
        <w:snapToGrid/>
        <w:spacing w:line="560" w:lineRule="exact"/>
        <w:ind w:firstLine="640" w:firstLineChars="200"/>
        <w:jc w:val="left"/>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9464"/>
      <w:bookmarkStart w:id="31" w:name="_Toc29190"/>
      <w:r>
        <w:rPr>
          <w:rFonts w:hint="eastAsia" w:ascii="仿宋_GB2312" w:hAnsi="仿宋_GB2312" w:eastAsia="仿宋_GB2312" w:cs="仿宋_GB2312"/>
          <w:color w:val="auto"/>
          <w:sz w:val="32"/>
          <w:szCs w:val="32"/>
          <w:highlight w:val="none"/>
          <w:lang w:val="en-US" w:eastAsia="zh-CN"/>
        </w:rPr>
        <w:t>该项目年初预算数191.02万元，全年预算数191.02万元，该项目资金已全部落实到位，资金来源为财政拨款</w:t>
      </w:r>
      <w:bookmarkEnd w:id="29"/>
      <w:bookmarkEnd w:id="30"/>
      <w:bookmarkEnd w:id="31"/>
      <w:bookmarkStart w:id="32" w:name="_Toc1166"/>
      <w:bookmarkStart w:id="33" w:name="_Toc3409"/>
      <w:bookmarkStart w:id="34" w:name="_Toc28187"/>
      <w:r>
        <w:rPr>
          <w:rFonts w:hint="eastAsia" w:ascii="仿宋_GB2312" w:hAnsi="仿宋_GB2312" w:eastAsia="仿宋_GB2312" w:cs="仿宋_GB2312"/>
          <w:color w:val="auto"/>
          <w:sz w:val="32"/>
          <w:szCs w:val="32"/>
          <w:highlight w:val="none"/>
          <w:lang w:val="en-US" w:eastAsia="zh-CN"/>
        </w:rPr>
        <w:t>。</w:t>
      </w:r>
    </w:p>
    <w:p w14:paraId="298692E1">
      <w:pPr>
        <w:pageBreakBefore w:val="0"/>
        <w:shd w:val="clear"/>
        <w:kinsoku/>
        <w:wordWrap/>
        <w:overflowPunct/>
        <w:topLinePunct w:val="0"/>
        <w:autoSpaceDE/>
        <w:autoSpaceDN/>
        <w:bidi w:val="0"/>
        <w:adjustRightInd/>
        <w:snapToGrid/>
        <w:spacing w:line="560" w:lineRule="exact"/>
        <w:ind w:firstLine="640" w:firstLineChars="200"/>
        <w:jc w:val="left"/>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1C3EFE65">
      <w:pPr>
        <w:pageBreakBefore w:val="0"/>
        <w:shd w:val="clear"/>
        <w:kinsoku/>
        <w:wordWrap/>
        <w:overflowPunct/>
        <w:topLinePunct w:val="0"/>
        <w:autoSpaceDE/>
        <w:autoSpaceDN/>
        <w:bidi w:val="0"/>
        <w:adjustRightInd/>
        <w:snapToGrid/>
        <w:spacing w:line="560" w:lineRule="exact"/>
        <w:ind w:firstLine="640" w:firstLineChars="200"/>
        <w:jc w:val="left"/>
        <w:textAlignment w:val="auto"/>
        <w:outlineLvl w:val="0"/>
        <w:rPr>
          <w:rFonts w:hint="eastAsia"/>
          <w:color w:val="auto"/>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该项目年初预算数191.02万元，全年预算数191.02万元，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全年执行数191.02万元，预算执行率为100%，主要用于</w:t>
      </w:r>
      <w:bookmarkEnd w:id="35"/>
      <w:bookmarkEnd w:id="36"/>
      <w:bookmarkEnd w:id="37"/>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化解综合服务中心主体工程项目债务成本173.8万元</w:t>
      </w:r>
      <w:r>
        <w:rPr>
          <w:rFonts w:hint="eastAsia" w:cs="仿宋_GB2312"/>
          <w:b w:val="0"/>
          <w:bCs w:val="0"/>
          <w:color w:val="auto"/>
          <w:kern w:val="2"/>
          <w:sz w:val="32"/>
          <w:szCs w:val="32"/>
          <w:highlight w:val="none"/>
          <w:shd w:val="clear" w:color="auto" w:fill="auto"/>
          <w:lang w:val="en-US" w:eastAsia="zh-CN" w:bidi="ar-SA"/>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化解综合服务中心室外管网项目债务成本17.22万元</w:t>
      </w:r>
      <w:r>
        <w:rPr>
          <w:rFonts w:hint="eastAsia" w:cs="仿宋_GB2312"/>
          <w:b w:val="0"/>
          <w:bCs w:val="0"/>
          <w:color w:val="auto"/>
          <w:kern w:val="2"/>
          <w:sz w:val="32"/>
          <w:szCs w:val="32"/>
          <w:highlight w:val="none"/>
          <w:shd w:val="clear" w:color="auto" w:fill="auto"/>
          <w:lang w:val="en-US" w:eastAsia="zh-CN" w:bidi="ar-SA"/>
        </w:rPr>
        <w:t>。</w:t>
      </w:r>
    </w:p>
    <w:p w14:paraId="6EB6EF1A">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5A21AC3">
      <w:pPr>
        <w:pStyle w:val="5"/>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8528"/>
      <w:bookmarkStart w:id="41" w:name="_Toc2547"/>
      <w:bookmarkStart w:id="42"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71506062">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化解债务项目绩效总体目标为：为进一步加强债务管理，完善政府债务化解机制，切实落实债务化解有关规定，实行科学化、精细‎化管理，加强对化解债务资金分配使用‎，全面准确掌握债务化‎解情况，确保偿债资金‎的安全、规范和有效。2024年计划完成3个项目债务化解工作。</w:t>
      </w:r>
    </w:p>
    <w:p w14:paraId="5615416A">
      <w:pPr>
        <w:pStyle w:val="5"/>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8990"/>
      <w:bookmarkStart w:id="44" w:name="_Toc4007"/>
      <w:bookmarkStart w:id="45" w:name="_Toc4487"/>
      <w:bookmarkStart w:id="46" w:name="_Toc3255"/>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3959388B">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0CC2E9B1">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30F5641">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①数量指标</w:t>
      </w:r>
    </w:p>
    <w:p w14:paraId="27346E85">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化解债务项目数量</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指标，预期目标值为=3个；</w:t>
      </w:r>
    </w:p>
    <w:p w14:paraId="27404C14">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化债项目涉及企业</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指标，预期目标值为≥2个；</w:t>
      </w:r>
    </w:p>
    <w:p w14:paraId="5137545D">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②质量指标</w:t>
      </w:r>
    </w:p>
    <w:p w14:paraId="19F1EB10">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资金使用合规率</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指标，预期目标值为=100%；</w:t>
      </w:r>
    </w:p>
    <w:p w14:paraId="09529641">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③时效指标</w:t>
      </w:r>
    </w:p>
    <w:p w14:paraId="1CA15950">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资金支付及时率</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指标，预期目标值为=100%；</w:t>
      </w:r>
    </w:p>
    <w:p w14:paraId="0F5C999D">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（2）成本指标</w:t>
      </w:r>
    </w:p>
    <w:p w14:paraId="4603B6EA">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①</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化解综合服务中心主体工程项目债务成本</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指标，预期目标值为≤173.8万元；</w:t>
      </w:r>
    </w:p>
    <w:p w14:paraId="732ABC49">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②</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化解综合服务中心室外管网项目债务成本</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指标，预期目标值为≤17.22万元；</w:t>
      </w:r>
    </w:p>
    <w:p w14:paraId="32F02A6D">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328EDB13">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47F6D928">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化解单位债务，提升单位和政府形象</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指标，预期目标值为=100%；</w:t>
      </w:r>
    </w:p>
    <w:p w14:paraId="623EB273">
      <w:pPr>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完善政务债务化解机制</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指标，预期目标值为=100%；</w:t>
      </w:r>
    </w:p>
    <w:p w14:paraId="42BFA1D6">
      <w:pPr>
        <w:pStyle w:val="3"/>
        <w:pageBreakBefore w:val="0"/>
        <w:shd w:val="clear"/>
        <w:kinsoku/>
        <w:wordWrap/>
        <w:overflowPunct/>
        <w:topLinePunct w:val="0"/>
        <w:autoSpaceDE/>
        <w:autoSpaceDN/>
        <w:bidi w:val="0"/>
        <w:adjustRightInd/>
        <w:snapToGrid/>
        <w:spacing w:beforeLines="0" w:afterLines="0" w:line="560" w:lineRule="exact"/>
        <w:jc w:val="lef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5B1F288D">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48" w:name="_Toc26632"/>
      <w:bookmarkStart w:id="49" w:name="_Toc480473081"/>
      <w:bookmarkStart w:id="50" w:name="_Toc21664"/>
      <w:bookmarkStart w:id="51" w:name="_Toc22922"/>
      <w:bookmarkStart w:id="52" w:name="_Toc5258"/>
      <w:bookmarkStart w:id="53" w:name="_Toc22169_WPSOffice_Level2"/>
      <w:bookmarkStart w:id="54" w:name="_Toc5462343"/>
      <w:bookmarkStart w:id="55" w:name="_Toc1286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2F14E416">
      <w:pPr>
        <w:pStyle w:val="14"/>
        <w:pageBreakBefore w:val="0"/>
        <w:widowControl w:val="0"/>
        <w:shd w:val="clear"/>
        <w:kinsoku/>
        <w:wordWrap/>
        <w:overflowPunct/>
        <w:topLinePunct w:val="0"/>
        <w:autoSpaceDE/>
        <w:autoSpaceDN/>
        <w:bidi w:val="0"/>
        <w:adjustRightInd/>
        <w:snapToGrid/>
        <w:spacing w:before="0" w:after="0" w:line="560" w:lineRule="exact"/>
        <w:ind w:firstLine="643" w:firstLineChars="200"/>
        <w:jc w:val="left"/>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3DAF1983">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58C0921">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在评价指标体系的构建上，充分考虑了项目的性质、目标以及预期成果，选取了具有代表性和可衡量性的关键指标，涵盖了经济成本指标</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社会效益等多个维度，力求全方位反映项目的绩效状况。同时，对于每个指标的评价标准和数据来源均进行了明确说明，确保评价结果的客观性和可追溯性。</w:t>
      </w:r>
    </w:p>
    <w:p w14:paraId="4801D1DA">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D91D157">
      <w:pPr>
        <w:shd w:val="clear"/>
        <w:spacing w:line="56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C9110EF">
      <w:pPr>
        <w:shd w:val="clear"/>
        <w:spacing w:line="560" w:lineRule="exact"/>
        <w:ind w:firstLine="640" w:firstLineChars="200"/>
        <w:jc w:val="left"/>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42FC4F1">
      <w:pPr>
        <w:pStyle w:val="5"/>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C62C468">
      <w:pPr>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72E326F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5EA9D33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color w:val="auto"/>
          <w:sz w:val="32"/>
          <w:szCs w:val="32"/>
          <w:highlight w:val="none"/>
          <w:lang w:val="en-US" w:eastAsia="zh-CN"/>
        </w:rPr>
        <w:t>经济成本指标</w:t>
      </w:r>
      <w:r>
        <w:rPr>
          <w:rFonts w:hint="default" w:ascii="Times New Roman" w:hAnsi="Times New Roman" w:eastAsia="仿宋_GB2312" w:cs="Times New Roman"/>
          <w:color w:val="auto"/>
          <w:sz w:val="32"/>
          <w:szCs w:val="32"/>
          <w:highlight w:val="none"/>
        </w:rPr>
        <w:t>、社会效益等多维度指标，为项目后续的改进与优化提供科学依据。</w:t>
      </w:r>
    </w:p>
    <w:p w14:paraId="1EEC7035">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77BF71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760806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78644C5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E30F49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57740D3B">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9AC132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36D4DFD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6A4AFB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1942BE7">
      <w:pPr>
        <w:pStyle w:val="5"/>
        <w:pageBreakBefore w:val="0"/>
        <w:shd w:val="clear"/>
        <w:kinsoku/>
        <w:wordWrap/>
        <w:overflowPunct/>
        <w:topLinePunct w:val="0"/>
        <w:autoSpaceDE/>
        <w:autoSpaceDN/>
        <w:bidi w:val="0"/>
        <w:adjustRightIn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48FB34DA">
      <w:pPr>
        <w:keepNext w:val="0"/>
        <w:keepLines w:val="0"/>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文件要求对2024年度我单位实施的2024年化解债务项目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7F506309">
      <w:pPr>
        <w:keepNext w:val="0"/>
        <w:keepLines w:val="0"/>
        <w:pageBreakBefore w:val="0"/>
        <w:widowControl w:val="0"/>
        <w:shd w:val="clea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阜康市档案馆</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进一步加强债务管理，完善政府债务化解机制，切实落实债务化解有关规定，实行科学化、精细‎化管理，加强对化解债务资金分配使用‎，全面准确掌握债务化‎解情况，确保偿债资金‎的安全、规范和有效。2024年计划完成3个项目债务化解工作。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191.02</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1E4E12F0">
      <w:pPr>
        <w:pStyle w:val="5"/>
        <w:pageBreakBefore w:val="0"/>
        <w:shd w:val="clear"/>
        <w:kinsoku/>
        <w:wordWrap/>
        <w:overflowPunct/>
        <w:topLinePunct w:val="0"/>
        <w:autoSpaceDE/>
        <w:autoSpaceDN/>
        <w:bidi w:val="0"/>
        <w:adjustRightInd/>
        <w:spacing w:line="560" w:lineRule="exact"/>
        <w:jc w:val="lef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716AFE8F">
      <w:pPr>
        <w:pStyle w:val="14"/>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6322C366">
      <w:pPr>
        <w:pStyle w:val="14"/>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32BD12BF">
      <w:pPr>
        <w:pStyle w:val="14"/>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3A3D7909">
      <w:pPr>
        <w:pStyle w:val="14"/>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318C5F08">
      <w:pPr>
        <w:pStyle w:val="14"/>
        <w:keepNext w:val="0"/>
        <w:keepLines w:val="0"/>
        <w:pageBreakBefore w:val="0"/>
        <w:widowControl w:val="0"/>
        <w:numPr>
          <w:ilvl w:val="0"/>
          <w:numId w:val="0"/>
        </w:numPr>
        <w:shd w:val="clear"/>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影响：考察项目对方面的综合影响。</w:t>
      </w:r>
    </w:p>
    <w:p w14:paraId="262C5D67">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65" w:name="_Toc1286"/>
      <w:bookmarkStart w:id="66"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290262AB">
      <w:pPr>
        <w:pStyle w:val="5"/>
        <w:pageBreakBefore w:val="0"/>
        <w:shd w:val="clear"/>
        <w:kinsoku/>
        <w:wordWrap/>
        <w:overflowPunct/>
        <w:topLinePunct w:val="0"/>
        <w:autoSpaceDE/>
        <w:autoSpaceDN/>
        <w:bidi w:val="0"/>
        <w:adjustRightInd/>
        <w:spacing w:line="560" w:lineRule="exact"/>
        <w:jc w:val="lef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7CA316F2">
      <w:pPr>
        <w:shd w:val="clear"/>
        <w:spacing w:line="560" w:lineRule="exact"/>
        <w:ind w:firstLine="640" w:firstLineChars="200"/>
        <w:jc w:val="left"/>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2024年化解债务</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5F08BAA3">
      <w:pPr>
        <w:shd w:val="clear"/>
        <w:spacing w:line="560" w:lineRule="exact"/>
        <w:ind w:firstLine="640" w:firstLineChars="200"/>
        <w:jc w:val="left"/>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10E4ABA4">
      <w:pPr>
        <w:shd w:val="clear"/>
        <w:spacing w:line="560" w:lineRule="exact"/>
        <w:ind w:firstLine="640" w:firstLineChars="200"/>
        <w:jc w:val="left"/>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5A12B2CD">
      <w:pPr>
        <w:shd w:val="clear"/>
        <w:spacing w:line="560" w:lineRule="exact"/>
        <w:ind w:firstLine="640" w:firstLineChars="200"/>
        <w:jc w:val="left"/>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169E326">
      <w:pPr>
        <w:shd w:val="clear"/>
        <w:spacing w:line="560" w:lineRule="exact"/>
        <w:ind w:firstLine="640" w:firstLineChars="200"/>
        <w:jc w:val="left"/>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3A30AD65">
      <w:pPr>
        <w:shd w:val="clear"/>
        <w:spacing w:line="560" w:lineRule="exact"/>
        <w:ind w:firstLine="640" w:firstLineChars="200"/>
        <w:jc w:val="left"/>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038D4D35">
      <w:pPr>
        <w:pageBreakBefore w:val="0"/>
        <w:widowControl w:val="0"/>
        <w:shd w:val="clea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lang w:eastAsia="zh-CN"/>
        </w:rPr>
      </w:pPr>
      <w:bookmarkStart w:id="70" w:name="_Toc1913"/>
      <w:bookmarkStart w:id="71" w:name="_Toc419984722"/>
      <w:bookmarkStart w:id="72" w:name="_Toc24396"/>
      <w:bookmarkStart w:id="73" w:name="_Toc26131"/>
      <w:bookmarkStart w:id="74" w:name="_Toc428278230"/>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073FFE3A">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26CAA4AC">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4FFD83DC">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84867FD">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9775CDD">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08CD3CBA">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3818F1F0">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1E0323A8">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4592F0A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43885AD0">
      <w:pPr>
        <w:pStyle w:val="5"/>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3FAFA8F0">
      <w:pPr>
        <w:pageBreakBefore w:val="0"/>
        <w:widowControl w:val="0"/>
        <w:shd w:val="clear"/>
        <w:kinsoku/>
        <w:wordWrap/>
        <w:overflowPunct/>
        <w:topLinePunct w:val="0"/>
        <w:autoSpaceDE/>
        <w:autoSpaceDN/>
        <w:bidi w:val="0"/>
        <w:adjustRightInd/>
        <w:snapToGrid/>
        <w:spacing w:line="560" w:lineRule="exact"/>
        <w:ind w:firstLine="708" w:firstLineChars="200"/>
        <w:jc w:val="left"/>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22C9C966">
      <w:pPr>
        <w:pStyle w:val="6"/>
        <w:pageBreakBefore w:val="0"/>
        <w:widowControl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D051CC5">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14:paraId="577EB5CF">
      <w:pPr>
        <w:shd w:val="clear"/>
        <w:spacing w:line="560" w:lineRule="exact"/>
        <w:ind w:firstLine="708" w:firstLineChars="200"/>
        <w:jc w:val="lef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4C52A8F7">
      <w:pPr>
        <w:shd w:val="clear"/>
        <w:spacing w:line="560" w:lineRule="exact"/>
        <w:ind w:firstLine="708" w:firstLineChars="200"/>
        <w:jc w:val="lef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4786B8E5">
      <w:pPr>
        <w:pStyle w:val="5"/>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4C13E2EC">
      <w:pPr>
        <w:shd w:val="clear"/>
        <w:spacing w:line="560" w:lineRule="exact"/>
        <w:ind w:firstLine="708" w:firstLineChars="200"/>
        <w:jc w:val="left"/>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其他标准。</w:t>
      </w:r>
    </w:p>
    <w:p w14:paraId="5E42B0EE">
      <w:pPr>
        <w:shd w:val="clear"/>
        <w:spacing w:line="560" w:lineRule="exact"/>
        <w:ind w:firstLine="708" w:firstLineChars="200"/>
        <w:jc w:val="lef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6327E23E">
      <w:pPr>
        <w:shd w:val="clear"/>
        <w:spacing w:line="560" w:lineRule="exact"/>
        <w:ind w:firstLine="708" w:firstLineChars="200"/>
        <w:jc w:val="lef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其他标准。</w:t>
      </w:r>
      <w:r>
        <w:rPr>
          <w:rFonts w:hint="default" w:ascii="Times New Roman" w:hAnsi="Times New Roman" w:eastAsia="仿宋_GB2312" w:cs="Times New Roman"/>
          <w:color w:val="auto"/>
          <w:spacing w:val="17"/>
          <w:sz w:val="32"/>
          <w:szCs w:val="32"/>
          <w:highlight w:val="none"/>
        </w:rPr>
        <w:t>财政部门和预算部门确认或认可的其他标准。</w:t>
      </w:r>
    </w:p>
    <w:p w14:paraId="11046F52">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7700425B">
      <w:pPr>
        <w:shd w:val="clear"/>
        <w:spacing w:line="560" w:lineRule="exact"/>
        <w:ind w:firstLine="711" w:firstLineChars="200"/>
        <w:jc w:val="left"/>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589D07BF">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3AAB8AAB">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1C52683C">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1B95F2F3">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2024年化解债务项目实施内容、目标信息、预算信息以及其他的一些项目基本信息，有了初步了解，为制定绩效评价工作方案做好准备。</w:t>
      </w:r>
      <w:bookmarkEnd w:id="84"/>
    </w:p>
    <w:p w14:paraId="4049FE94">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28D499F8">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093C976F">
      <w:pPr>
        <w:shd w:val="clear"/>
        <w:spacing w:line="560" w:lineRule="exact"/>
        <w:ind w:firstLine="711" w:firstLineChars="200"/>
        <w:jc w:val="left"/>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38F9E961">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B44BFB1">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3807B3FE">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32526E18">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37F3D963">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527D6BA2">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2D12DABF">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660ABFC">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55086E11">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3EB8D881">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5A3F73A">
      <w:pPr>
        <w:shd w:val="clear"/>
        <w:spacing w:line="560" w:lineRule="exact"/>
        <w:ind w:firstLine="711" w:firstLineChars="200"/>
        <w:jc w:val="left"/>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3C3E3E6">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0F3611">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290B376">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55154010">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FA39FCC">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11065769">
      <w:pPr>
        <w:pStyle w:val="3"/>
        <w:pageBreakBefore w:val="0"/>
        <w:shd w:val="clear"/>
        <w:kinsoku/>
        <w:wordWrap/>
        <w:overflowPunct/>
        <w:topLinePunct w:val="0"/>
        <w:autoSpaceDE/>
        <w:autoSpaceDN/>
        <w:bidi w:val="0"/>
        <w:adjustRightInd/>
        <w:spacing w:beforeLines="0" w:afterLines="0" w:line="560" w:lineRule="exact"/>
        <w:jc w:val="lef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71A03CFB">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504683E1">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2024年化解债务项目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172CDBC3">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阜康市档案馆</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3A1DD15D">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化解单位债务，提升单位和政府形象、完善政务债务化解机制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59083A2B">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综上所述，2024年化解债务</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1CD6102B">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26B736CF">
      <w:pPr>
        <w:shd w:val="clear"/>
        <w:spacing w:line="560" w:lineRule="exact"/>
        <w:ind w:firstLine="708" w:firstLineChars="200"/>
        <w:jc w:val="left"/>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2024年化解债务项目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379053CC">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5C69ECA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2024年化解债务</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0FDB22AF">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EB55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5609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A1B7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E540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C68D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C583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331622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644D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6BA1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ED30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31E4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FDE6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1EA5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787F6D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393A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DCB5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C2ED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EB48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A4FC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CD89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45F6078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6C7D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BDE1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F060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7431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F63A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C0F5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4207E2DD">
      <w:pPr>
        <w:pStyle w:val="3"/>
        <w:pageBreakBefore w:val="0"/>
        <w:shd w:val="clear"/>
        <w:kinsoku/>
        <w:wordWrap/>
        <w:overflowPunct/>
        <w:topLinePunct w:val="0"/>
        <w:autoSpaceDE/>
        <w:autoSpaceDN/>
        <w:bidi w:val="0"/>
        <w:adjustRightInd/>
        <w:spacing w:beforeLines="0" w:afterLines="0" w:line="560" w:lineRule="exact"/>
        <w:jc w:val="lef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28C9DBFD">
      <w:pPr>
        <w:pStyle w:val="14"/>
        <w:widowControl/>
        <w:shd w:val="clear"/>
        <w:spacing w:before="0" w:beforeLines="-2147483648" w:after="0" w:afterLines="-2147483648" w:line="560" w:lineRule="exact"/>
        <w:ind w:firstLine="643" w:firstLineChars="200"/>
        <w:jc w:val="left"/>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370D00D8">
      <w:pPr>
        <w:keepNext w:val="0"/>
        <w:keepLines w:val="0"/>
        <w:pageBreakBefore w:val="0"/>
        <w:widowControl w:val="0"/>
        <w:shd w:val="clear"/>
        <w:kinsoku/>
        <w:wordWrap/>
        <w:overflowPunct/>
        <w:topLinePunct w:val="0"/>
        <w:autoSpaceDE/>
        <w:autoSpaceDN/>
        <w:bidi w:val="0"/>
        <w:adjustRightInd/>
        <w:snapToGrid/>
        <w:spacing w:line="560" w:lineRule="exact"/>
        <w:ind w:firstLine="723"/>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29EFCE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4D10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522" w:hRule="atLeast"/>
          <w:tblHeader/>
          <w:jc w:val="center"/>
        </w:trPr>
        <w:tc>
          <w:tcPr>
            <w:tcW w:w="1077" w:type="dxa"/>
            <w:shd w:val="clear" w:color="auto" w:fill="auto"/>
            <w:tcMar>
              <w:top w:w="12" w:type="dxa"/>
              <w:left w:w="12" w:type="dxa"/>
              <w:right w:w="12" w:type="dxa"/>
            </w:tcMar>
            <w:vAlign w:val="center"/>
          </w:tcPr>
          <w:p w14:paraId="1FA6E79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shd w:val="clear" w:color="auto" w:fill="auto"/>
            <w:tcMar>
              <w:top w:w="12" w:type="dxa"/>
              <w:left w:w="12" w:type="dxa"/>
              <w:right w:w="12" w:type="dxa"/>
            </w:tcMar>
            <w:vAlign w:val="center"/>
          </w:tcPr>
          <w:p w14:paraId="514C8A6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shd w:val="clear" w:color="auto" w:fill="auto"/>
            <w:tcMar>
              <w:top w:w="12" w:type="dxa"/>
              <w:left w:w="12" w:type="dxa"/>
              <w:right w:w="12" w:type="dxa"/>
            </w:tcMar>
            <w:vAlign w:val="center"/>
          </w:tcPr>
          <w:p w14:paraId="49BFF24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shd w:val="clear" w:color="auto" w:fill="auto"/>
            <w:tcMar>
              <w:top w:w="12" w:type="dxa"/>
              <w:left w:w="12" w:type="dxa"/>
              <w:right w:w="12" w:type="dxa"/>
            </w:tcMar>
            <w:vAlign w:val="center"/>
          </w:tcPr>
          <w:p w14:paraId="3E90702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shd w:val="clear" w:color="auto" w:fill="auto"/>
            <w:tcMar>
              <w:top w:w="12" w:type="dxa"/>
              <w:left w:w="12" w:type="dxa"/>
              <w:right w:w="12" w:type="dxa"/>
            </w:tcMar>
            <w:vAlign w:val="center"/>
          </w:tcPr>
          <w:p w14:paraId="3BC7C1F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shd w:val="clear" w:color="auto" w:fill="auto"/>
            <w:tcMar>
              <w:top w:w="12" w:type="dxa"/>
              <w:left w:w="12" w:type="dxa"/>
              <w:right w:w="12" w:type="dxa"/>
            </w:tcMar>
            <w:vAlign w:val="center"/>
          </w:tcPr>
          <w:p w14:paraId="13D330D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shd w:val="clear" w:color="auto" w:fill="auto"/>
            <w:tcMar>
              <w:top w:w="12" w:type="dxa"/>
              <w:left w:w="12" w:type="dxa"/>
              <w:right w:w="12" w:type="dxa"/>
            </w:tcMar>
            <w:vAlign w:val="center"/>
          </w:tcPr>
          <w:p w14:paraId="34EEA05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1546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restart"/>
            <w:shd w:val="clear" w:color="auto" w:fill="auto"/>
            <w:tcMar>
              <w:top w:w="12" w:type="dxa"/>
              <w:left w:w="12" w:type="dxa"/>
              <w:right w:w="12" w:type="dxa"/>
            </w:tcMar>
            <w:vAlign w:val="center"/>
          </w:tcPr>
          <w:p w14:paraId="0795A9A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shd w:val="clear" w:color="auto" w:fill="auto"/>
            <w:tcMar>
              <w:top w:w="12" w:type="dxa"/>
              <w:left w:w="12" w:type="dxa"/>
              <w:right w:w="12" w:type="dxa"/>
            </w:tcMar>
            <w:vAlign w:val="center"/>
          </w:tcPr>
          <w:p w14:paraId="0E852EC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shd w:val="clear" w:color="auto" w:fill="auto"/>
            <w:tcMar>
              <w:top w:w="12" w:type="dxa"/>
              <w:left w:w="12" w:type="dxa"/>
              <w:right w:w="12" w:type="dxa"/>
            </w:tcMar>
            <w:vAlign w:val="center"/>
          </w:tcPr>
          <w:p w14:paraId="26A6F90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shd w:val="clear" w:color="auto" w:fill="auto"/>
            <w:tcMar>
              <w:top w:w="12" w:type="dxa"/>
              <w:left w:w="12" w:type="dxa"/>
              <w:right w:w="12" w:type="dxa"/>
            </w:tcMar>
            <w:vAlign w:val="center"/>
          </w:tcPr>
          <w:p w14:paraId="3B19FE1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shd w:val="clear" w:color="auto" w:fill="auto"/>
            <w:tcMar>
              <w:top w:w="12" w:type="dxa"/>
              <w:left w:w="12" w:type="dxa"/>
              <w:right w:w="12" w:type="dxa"/>
            </w:tcMar>
            <w:vAlign w:val="center"/>
          </w:tcPr>
          <w:p w14:paraId="722574E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shd w:val="clear" w:color="auto" w:fill="auto"/>
            <w:tcMar>
              <w:top w:w="12" w:type="dxa"/>
              <w:left w:w="12" w:type="dxa"/>
              <w:right w:w="12" w:type="dxa"/>
            </w:tcMar>
            <w:vAlign w:val="center"/>
          </w:tcPr>
          <w:p w14:paraId="31EE7F5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0554B9F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8D2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45F9F8F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14:paraId="5C76E7D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shd w:val="clear" w:color="auto" w:fill="auto"/>
            <w:tcMar>
              <w:top w:w="12" w:type="dxa"/>
              <w:left w:w="12" w:type="dxa"/>
              <w:right w:w="12" w:type="dxa"/>
            </w:tcMar>
            <w:vAlign w:val="center"/>
          </w:tcPr>
          <w:p w14:paraId="4B2ED98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shd w:val="clear" w:color="auto" w:fill="auto"/>
            <w:tcMar>
              <w:top w:w="12" w:type="dxa"/>
              <w:left w:w="12" w:type="dxa"/>
              <w:right w:w="12" w:type="dxa"/>
            </w:tcMar>
            <w:vAlign w:val="center"/>
          </w:tcPr>
          <w:p w14:paraId="515222E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shd w:val="clear" w:color="auto" w:fill="auto"/>
            <w:tcMar>
              <w:top w:w="12" w:type="dxa"/>
              <w:left w:w="12" w:type="dxa"/>
              <w:right w:w="12" w:type="dxa"/>
            </w:tcMar>
            <w:vAlign w:val="center"/>
          </w:tcPr>
          <w:p w14:paraId="626FA89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shd w:val="clear" w:color="auto" w:fill="auto"/>
            <w:tcMar>
              <w:top w:w="12" w:type="dxa"/>
              <w:left w:w="12" w:type="dxa"/>
              <w:right w:w="12" w:type="dxa"/>
            </w:tcMar>
            <w:vAlign w:val="center"/>
          </w:tcPr>
          <w:p w14:paraId="703099B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02D7008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AED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1ABBB11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14:paraId="7BFDD5A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shd w:val="clear" w:color="auto" w:fill="auto"/>
            <w:tcMar>
              <w:top w:w="12" w:type="dxa"/>
              <w:left w:w="12" w:type="dxa"/>
              <w:right w:w="12" w:type="dxa"/>
            </w:tcMar>
            <w:vAlign w:val="center"/>
          </w:tcPr>
          <w:p w14:paraId="67B50C9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shd w:val="clear" w:color="auto" w:fill="auto"/>
            <w:tcMar>
              <w:top w:w="12" w:type="dxa"/>
              <w:left w:w="12" w:type="dxa"/>
              <w:right w:w="12" w:type="dxa"/>
            </w:tcMar>
            <w:vAlign w:val="center"/>
          </w:tcPr>
          <w:p w14:paraId="50925C3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shd w:val="clear" w:color="auto" w:fill="auto"/>
            <w:tcMar>
              <w:top w:w="12" w:type="dxa"/>
              <w:left w:w="12" w:type="dxa"/>
              <w:right w:w="12" w:type="dxa"/>
            </w:tcMar>
            <w:vAlign w:val="center"/>
          </w:tcPr>
          <w:p w14:paraId="43B099A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shd w:val="clear" w:color="auto" w:fill="auto"/>
            <w:tcMar>
              <w:top w:w="12" w:type="dxa"/>
              <w:left w:w="12" w:type="dxa"/>
              <w:right w:w="12" w:type="dxa"/>
            </w:tcMar>
            <w:vAlign w:val="center"/>
          </w:tcPr>
          <w:p w14:paraId="14F65F2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0307A0A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856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3B8173F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14:paraId="0FCCA61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shd w:val="clear" w:color="auto" w:fill="auto"/>
            <w:tcMar>
              <w:top w:w="12" w:type="dxa"/>
              <w:left w:w="12" w:type="dxa"/>
              <w:right w:w="12" w:type="dxa"/>
            </w:tcMar>
            <w:vAlign w:val="center"/>
          </w:tcPr>
          <w:p w14:paraId="526D72C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shd w:val="clear" w:color="auto" w:fill="auto"/>
            <w:tcMar>
              <w:top w:w="12" w:type="dxa"/>
              <w:left w:w="12" w:type="dxa"/>
              <w:right w:w="12" w:type="dxa"/>
            </w:tcMar>
            <w:vAlign w:val="center"/>
          </w:tcPr>
          <w:p w14:paraId="2745280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shd w:val="clear" w:color="auto" w:fill="auto"/>
            <w:tcMar>
              <w:top w:w="12" w:type="dxa"/>
              <w:left w:w="12" w:type="dxa"/>
              <w:right w:w="12" w:type="dxa"/>
            </w:tcMar>
            <w:vAlign w:val="center"/>
          </w:tcPr>
          <w:p w14:paraId="47D0FE6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shd w:val="clear" w:color="auto" w:fill="auto"/>
            <w:tcMar>
              <w:top w:w="12" w:type="dxa"/>
              <w:left w:w="12" w:type="dxa"/>
              <w:right w:w="12" w:type="dxa"/>
            </w:tcMar>
            <w:vAlign w:val="center"/>
          </w:tcPr>
          <w:p w14:paraId="35A2790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5555ADC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ABB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0C9FA09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14:paraId="5BBBCF7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shd w:val="clear" w:color="auto" w:fill="auto"/>
            <w:tcMar>
              <w:top w:w="12" w:type="dxa"/>
              <w:left w:w="12" w:type="dxa"/>
              <w:right w:w="12" w:type="dxa"/>
            </w:tcMar>
            <w:vAlign w:val="center"/>
          </w:tcPr>
          <w:p w14:paraId="2517D27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shd w:val="clear" w:color="auto" w:fill="auto"/>
            <w:tcMar>
              <w:top w:w="12" w:type="dxa"/>
              <w:left w:w="12" w:type="dxa"/>
              <w:right w:w="12" w:type="dxa"/>
            </w:tcMar>
            <w:vAlign w:val="center"/>
          </w:tcPr>
          <w:p w14:paraId="6E3F810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shd w:val="clear" w:color="auto" w:fill="auto"/>
            <w:tcMar>
              <w:top w:w="12" w:type="dxa"/>
              <w:left w:w="12" w:type="dxa"/>
              <w:right w:w="12" w:type="dxa"/>
            </w:tcMar>
            <w:vAlign w:val="center"/>
          </w:tcPr>
          <w:p w14:paraId="6EE9C2A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shd w:val="clear" w:color="auto" w:fill="auto"/>
            <w:tcMar>
              <w:top w:w="12" w:type="dxa"/>
              <w:left w:w="12" w:type="dxa"/>
              <w:right w:w="12" w:type="dxa"/>
            </w:tcMar>
            <w:vAlign w:val="center"/>
          </w:tcPr>
          <w:p w14:paraId="162C994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735FF07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521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7532174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14:paraId="702DEC2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shd w:val="clear" w:color="auto" w:fill="auto"/>
            <w:tcMar>
              <w:top w:w="12" w:type="dxa"/>
              <w:left w:w="12" w:type="dxa"/>
              <w:right w:w="12" w:type="dxa"/>
            </w:tcMar>
            <w:vAlign w:val="center"/>
          </w:tcPr>
          <w:p w14:paraId="635701F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shd w:val="clear" w:color="auto" w:fill="auto"/>
            <w:tcMar>
              <w:top w:w="12" w:type="dxa"/>
              <w:left w:w="12" w:type="dxa"/>
              <w:right w:w="12" w:type="dxa"/>
            </w:tcMar>
            <w:vAlign w:val="center"/>
          </w:tcPr>
          <w:p w14:paraId="15E714E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shd w:val="clear" w:color="auto" w:fill="auto"/>
            <w:tcMar>
              <w:top w:w="12" w:type="dxa"/>
              <w:left w:w="12" w:type="dxa"/>
              <w:right w:w="12" w:type="dxa"/>
            </w:tcMar>
            <w:vAlign w:val="center"/>
          </w:tcPr>
          <w:p w14:paraId="7374F8A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shd w:val="clear" w:color="auto" w:fill="auto"/>
            <w:tcMar>
              <w:top w:w="12" w:type="dxa"/>
              <w:left w:w="12" w:type="dxa"/>
              <w:right w:w="12" w:type="dxa"/>
            </w:tcMar>
            <w:vAlign w:val="center"/>
          </w:tcPr>
          <w:p w14:paraId="5A17B07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51D4232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E0F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 w:hRule="atLeast"/>
          <w:tblHeader/>
          <w:jc w:val="center"/>
        </w:trPr>
        <w:tc>
          <w:tcPr>
            <w:tcW w:w="3285" w:type="dxa"/>
            <w:gridSpan w:val="3"/>
            <w:shd w:val="clear" w:color="auto" w:fill="auto"/>
            <w:tcMar>
              <w:top w:w="12" w:type="dxa"/>
              <w:left w:w="12" w:type="dxa"/>
              <w:right w:w="12" w:type="dxa"/>
            </w:tcMar>
            <w:vAlign w:val="center"/>
          </w:tcPr>
          <w:p w14:paraId="3ABFE01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shd w:val="clear" w:color="auto" w:fill="auto"/>
            <w:tcMar>
              <w:top w:w="12" w:type="dxa"/>
              <w:left w:w="12" w:type="dxa"/>
              <w:right w:w="12" w:type="dxa"/>
            </w:tcMar>
            <w:vAlign w:val="center"/>
          </w:tcPr>
          <w:p w14:paraId="02C556D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shd w:val="clear" w:color="auto" w:fill="auto"/>
            <w:tcMar>
              <w:top w:w="12" w:type="dxa"/>
              <w:left w:w="12" w:type="dxa"/>
              <w:right w:w="12" w:type="dxa"/>
            </w:tcMar>
            <w:vAlign w:val="center"/>
          </w:tcPr>
          <w:p w14:paraId="3580881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shd w:val="clear" w:color="auto" w:fill="auto"/>
            <w:tcMar>
              <w:top w:w="12" w:type="dxa"/>
              <w:left w:w="12" w:type="dxa"/>
              <w:right w:w="12" w:type="dxa"/>
            </w:tcMar>
            <w:vAlign w:val="center"/>
          </w:tcPr>
          <w:p w14:paraId="2031CBC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shd w:val="clear" w:color="auto" w:fill="auto"/>
            <w:tcMar>
              <w:top w:w="12" w:type="dxa"/>
              <w:left w:w="12" w:type="dxa"/>
              <w:right w:w="12" w:type="dxa"/>
            </w:tcMar>
            <w:vAlign w:val="center"/>
          </w:tcPr>
          <w:p w14:paraId="4B74847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67CD610B">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3B982FE">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①项目立项符合国家法律法规、国民经济发展规划和相关政策，昌州财预</w:t>
      </w:r>
      <w:r>
        <w:rPr>
          <w:rFonts w:hint="eastAsia" w:ascii="仿宋_GB2312" w:hAnsi="仿宋_GB2312" w:eastAsia="仿宋_GB2312" w:cs="仿宋_GB2312"/>
          <w:color w:val="auto"/>
          <w:sz w:val="32"/>
          <w:szCs w:val="32"/>
          <w:highlight w:val="none"/>
          <w:shd w:val="clear" w:color="auto" w:fill="auto"/>
          <w:lang w:eastAsia="zh-CN"/>
        </w:rPr>
        <w:t>〔20</w:t>
      </w:r>
      <w:r>
        <w:rPr>
          <w:rFonts w:hint="eastAsia" w:ascii="仿宋_GB2312" w:hAnsi="仿宋_GB2312" w:eastAsia="仿宋_GB2312" w:cs="仿宋_GB2312"/>
          <w:color w:val="auto"/>
          <w:sz w:val="32"/>
          <w:szCs w:val="32"/>
          <w:highlight w:val="none"/>
          <w:shd w:val="clear" w:color="auto" w:fill="auto"/>
          <w:lang w:val="en-US" w:eastAsia="zh-CN"/>
        </w:rPr>
        <w:t>23</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82号、阜财预</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2024</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0201、阜财预</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2024</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1225；</w:t>
      </w:r>
    </w:p>
    <w:p w14:paraId="7FA191CF">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②项目立项符合行业发展规划和政策要求；</w:t>
      </w:r>
    </w:p>
    <w:p w14:paraId="173A2AAD">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单位档案管理</w:t>
      </w:r>
      <w:r>
        <w:rPr>
          <w:rFonts w:hint="eastAsia" w:ascii="仿宋_GB2312" w:hAnsi="仿宋_GB2312" w:eastAsia="仿宋_GB2312" w:cs="仿宋_GB2312"/>
          <w:color w:val="auto"/>
          <w:sz w:val="32"/>
          <w:szCs w:val="32"/>
          <w:highlight w:val="none"/>
          <w:lang w:eastAsia="zh-CN"/>
        </w:rPr>
        <w:t>职责范围相符，属于部门履职所需；</w:t>
      </w:r>
    </w:p>
    <w:p w14:paraId="5D706C2A">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16B5D097">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734D2DDF">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1072D413">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5556A741">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23AA53CE">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10F644AC">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项目经过</w:t>
      </w:r>
      <w:r>
        <w:rPr>
          <w:rFonts w:hint="eastAsia" w:ascii="仿宋_GB2312" w:hAnsi="仿宋_GB2312" w:eastAsia="仿宋_GB2312" w:cs="仿宋_GB2312"/>
          <w:color w:val="auto"/>
          <w:sz w:val="32"/>
          <w:szCs w:val="32"/>
          <w:highlight w:val="none"/>
          <w:lang w:eastAsia="zh-CN"/>
        </w:rPr>
        <w:t>集体决策。事前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w:t>
      </w:r>
      <w:r>
        <w:rPr>
          <w:rFonts w:hint="eastAsia" w:ascii="仿宋_GB2312" w:hAnsi="仿宋_GB2312" w:eastAsia="仿宋_GB2312" w:cs="仿宋_GB2312"/>
          <w:color w:val="auto"/>
          <w:sz w:val="32"/>
          <w:szCs w:val="32"/>
          <w:highlight w:val="none"/>
          <w:lang w:val="en-US" w:eastAsia="zh-CN"/>
        </w:rPr>
        <w:t>扣1分。</w:t>
      </w:r>
    </w:p>
    <w:p w14:paraId="03DA21E1">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4577EE7F">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3AF2A6F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6AB2DD9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进一步加强债务管理，完善政府债务化解机制，切实落实债务化解有关规定，实行科学化、精细化管理，加强对化解债务资金分配使用，全面准确掌握债务化解情况，确保偿债资金的安全、规范和有效。2023年计划完成</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个项目债务化解工作。绩效目标与实际工作内容一致，两者具有相关性。</w:t>
      </w:r>
    </w:p>
    <w:p w14:paraId="6ADAC57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val="en-US" w:eastAsia="zh-CN"/>
        </w:rPr>
        <w:t>化解债务</w:t>
      </w:r>
      <w:r>
        <w:rPr>
          <w:rFonts w:hint="eastAsia" w:ascii="仿宋_GB2312" w:hAnsi="仿宋_GB2312" w:eastAsia="仿宋_GB2312" w:cs="仿宋_GB2312"/>
          <w:color w:val="auto"/>
          <w:sz w:val="32"/>
          <w:szCs w:val="32"/>
          <w:highlight w:val="none"/>
          <w:lang w:eastAsia="zh-CN"/>
        </w:rPr>
        <w:t>，达到化解单位债务，提升单位和政府形象，完善政务债务化解机制效益，预期产出效益和效果是符合正常的业绩水平。</w:t>
      </w:r>
    </w:p>
    <w:p w14:paraId="68913B3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191.02</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1D41ECC6">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7EFFE63">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7E190392">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06060ECF">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量化率达到100%</w:t>
      </w:r>
      <w:r>
        <w:rPr>
          <w:rFonts w:hint="eastAsia" w:ascii="仿宋_GB2312" w:hAnsi="仿宋_GB2312" w:eastAsia="仿宋_GB2312" w:cs="仿宋_GB2312"/>
          <w:color w:val="auto"/>
          <w:sz w:val="32"/>
          <w:szCs w:val="32"/>
          <w:highlight w:val="none"/>
          <w:lang w:eastAsia="zh-CN"/>
        </w:rPr>
        <w:t>；</w:t>
      </w:r>
    </w:p>
    <w:p w14:paraId="6347C94E">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64C6892">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424E9A44">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F9F1C39">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8296"/>
      <w:bookmarkStart w:id="118" w:name="_Toc19401"/>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DB46AFD">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32D01F44">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化解债务项目</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化解3个债务</w:t>
      </w:r>
      <w:r>
        <w:rPr>
          <w:rFonts w:hint="eastAsia" w:ascii="仿宋_GB2312" w:hAnsi="仿宋_GB2312" w:eastAsia="仿宋_GB2312" w:cs="仿宋_GB2312"/>
          <w:color w:val="auto"/>
          <w:sz w:val="32"/>
          <w:szCs w:val="32"/>
          <w:highlight w:val="none"/>
          <w:lang w:eastAsia="zh-CN"/>
        </w:rPr>
        <w:t>，预算申请与项目内容匹配；</w:t>
      </w:r>
    </w:p>
    <w:p w14:paraId="52E7F620">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191.02万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元，我单位在预算申请中严格按照项目实施内容及测算标准进行核算，其中：化解综合服务中心主体工程项目债务成本费用</w:t>
      </w:r>
      <w:r>
        <w:rPr>
          <w:rFonts w:hint="eastAsia" w:ascii="仿宋_GB2312" w:hAnsi="仿宋_GB2312" w:eastAsia="仿宋_GB2312" w:cs="仿宋_GB2312"/>
          <w:color w:val="auto"/>
          <w:sz w:val="32"/>
          <w:szCs w:val="32"/>
          <w:highlight w:val="none"/>
          <w:lang w:val="en-US" w:eastAsia="zh-CN"/>
        </w:rPr>
        <w:t>173.8</w:t>
      </w:r>
      <w:r>
        <w:rPr>
          <w:rFonts w:hint="eastAsia" w:ascii="仿宋_GB2312" w:hAnsi="仿宋_GB2312" w:eastAsia="仿宋_GB2312" w:cs="仿宋_GB2312"/>
          <w:color w:val="auto"/>
          <w:sz w:val="32"/>
          <w:szCs w:val="32"/>
          <w:highlight w:val="none"/>
          <w:lang w:eastAsia="zh-CN"/>
        </w:rPr>
        <w:t>万元、化解综合服务中心室外管网项目债务成本费用</w:t>
      </w:r>
      <w:r>
        <w:rPr>
          <w:rFonts w:hint="eastAsia" w:ascii="仿宋_GB2312" w:hAnsi="仿宋_GB2312" w:eastAsia="仿宋_GB2312" w:cs="仿宋_GB2312"/>
          <w:color w:val="auto"/>
          <w:sz w:val="32"/>
          <w:szCs w:val="32"/>
          <w:highlight w:val="none"/>
          <w:lang w:val="en-US" w:eastAsia="zh-CN"/>
        </w:rPr>
        <w:t>17.22</w:t>
      </w:r>
      <w:r>
        <w:rPr>
          <w:rFonts w:hint="eastAsia" w:ascii="仿宋_GB2312" w:hAnsi="仿宋_GB2312" w:eastAsia="仿宋_GB2312" w:cs="仿宋_GB2312"/>
          <w:color w:val="auto"/>
          <w:sz w:val="32"/>
          <w:szCs w:val="32"/>
          <w:highlight w:val="none"/>
          <w:lang w:eastAsia="zh-CN"/>
        </w:rPr>
        <w:t>万元。</w:t>
      </w:r>
    </w:p>
    <w:p w14:paraId="79CF0646">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12E641A2">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C2BD4AA">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441FA750">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①项目实际分配资金分配依据</w:t>
      </w:r>
      <w:r>
        <w:rPr>
          <w:rFonts w:hint="eastAsia" w:ascii="仿宋_GB2312" w:hAnsi="仿宋_GB2312" w:eastAsia="仿宋_GB2312" w:cs="仿宋_GB2312"/>
          <w:color w:val="auto"/>
          <w:sz w:val="32"/>
          <w:szCs w:val="32"/>
          <w:highlight w:val="none"/>
          <w:lang w:val="en-US" w:eastAsia="zh-CN"/>
        </w:rPr>
        <w:t>化解债务协议实施</w:t>
      </w:r>
      <w:r>
        <w:rPr>
          <w:rFonts w:hint="eastAsia" w:ascii="仿宋_GB2312" w:hAnsi="仿宋_GB2312" w:eastAsia="仿宋_GB2312" w:cs="仿宋_GB2312"/>
          <w:color w:val="auto"/>
          <w:sz w:val="32"/>
          <w:szCs w:val="32"/>
          <w:highlight w:val="none"/>
          <w:lang w:eastAsia="zh-Hans"/>
        </w:rPr>
        <w:t>，预算资金分配依据充分</w:t>
      </w:r>
      <w:r>
        <w:rPr>
          <w:rFonts w:hint="eastAsia" w:ascii="仿宋_GB2312" w:hAnsi="仿宋_GB2312" w:eastAsia="仿宋_GB2312" w:cs="仿宋_GB2312"/>
          <w:color w:val="auto"/>
          <w:sz w:val="32"/>
          <w:szCs w:val="32"/>
          <w:highlight w:val="none"/>
          <w:lang w:eastAsia="zh-CN"/>
        </w:rPr>
        <w:t>。</w:t>
      </w:r>
    </w:p>
    <w:p w14:paraId="62F1EC1F">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191.02</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010B92DC">
      <w:pPr>
        <w:pageBreakBefore w:val="0"/>
        <w:shd w:val="clear"/>
        <w:kinsoku/>
        <w:wordWrap/>
        <w:overflowPunct/>
        <w:topLinePunct w:val="0"/>
        <w:autoSpaceDE/>
        <w:autoSpaceDN/>
        <w:bidi w:val="0"/>
        <w:spacing w:line="560" w:lineRule="exact"/>
        <w:jc w:val="lef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3983B19D">
      <w:pPr>
        <w:pStyle w:val="14"/>
        <w:widowControl/>
        <w:numPr>
          <w:ilvl w:val="0"/>
          <w:numId w:val="0"/>
        </w:numPr>
        <w:shd w:val="clear"/>
        <w:spacing w:before="0" w:beforeLines="-2147483648" w:after="0" w:afterLines="-2147483648" w:line="560" w:lineRule="exact"/>
        <w:ind w:firstLine="643" w:firstLineChars="200"/>
        <w:jc w:val="left"/>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07BADA9">
      <w:pPr>
        <w:pageBreakBefore w:val="0"/>
        <w:widowControl w:val="0"/>
        <w:shd w:val="clear"/>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A92B65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39275089">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B931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E3397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BB4ED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12EC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EF660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B9F3A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C6CA1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42948B2">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5F3B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47A69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DC17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0EA1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6E0A3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F5E73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F1839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2877AA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E8AA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B2A4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2B48C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66A9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38516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D2405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2885F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A2B325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C629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862F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1415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E2FA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32F37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982B8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624E8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3BBA4B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03EA5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F88BF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5F1D6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7518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29E5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A2A9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A708E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5F52B0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23060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3F49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AB762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3BEA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BBC83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66557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8D061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A630A08">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EBB15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5F5BB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097B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328D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153E9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3672F802">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21937EB4">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191.02</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191.02</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3B8721E">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191.02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191.02</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221B55AC">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637E011">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517C7595">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191.02</w:t>
      </w:r>
      <w:r>
        <w:rPr>
          <w:rFonts w:hint="eastAsia" w:ascii="仿宋_GB2312" w:hAnsi="仿宋_GB2312" w:eastAsia="仿宋_GB2312" w:cs="仿宋_GB2312"/>
          <w:color w:val="auto"/>
          <w:sz w:val="32"/>
          <w:szCs w:val="32"/>
          <w:highlight w:val="none"/>
          <w:lang w:val="en-US" w:eastAsia="zh-CN"/>
        </w:rPr>
        <w:t>万元。</w:t>
      </w:r>
    </w:p>
    <w:p w14:paraId="54937C04">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91.02</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191.02</w:t>
      </w:r>
      <w:r>
        <w:rPr>
          <w:rFonts w:hint="eastAsia" w:ascii="仿宋_GB2312" w:hAnsi="仿宋_GB2312" w:eastAsia="仿宋_GB2312" w:cs="仿宋_GB2312"/>
          <w:b w:val="0"/>
          <w:bCs w:val="0"/>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667C9EB2">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9A2C2EE">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2265C03F">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①本项目资金支出符合国家财经法规、《政府会计制度》昌州财预</w:t>
      </w:r>
      <w:r>
        <w:rPr>
          <w:rFonts w:hint="eastAsia" w:ascii="仿宋_GB2312" w:hAnsi="仿宋_GB2312" w:eastAsia="仿宋_GB2312" w:cs="仿宋_GB2312"/>
          <w:color w:val="auto"/>
          <w:sz w:val="32"/>
          <w:szCs w:val="32"/>
          <w:highlight w:val="none"/>
          <w:shd w:val="clear" w:color="auto" w:fill="auto"/>
          <w:lang w:eastAsia="zh-CN"/>
        </w:rPr>
        <w:t>〔20</w:t>
      </w:r>
      <w:r>
        <w:rPr>
          <w:rFonts w:hint="eastAsia" w:ascii="仿宋_GB2312" w:hAnsi="仿宋_GB2312" w:eastAsia="仿宋_GB2312" w:cs="仿宋_GB2312"/>
          <w:color w:val="auto"/>
          <w:sz w:val="32"/>
          <w:szCs w:val="32"/>
          <w:highlight w:val="none"/>
          <w:shd w:val="clear" w:color="auto" w:fill="auto"/>
          <w:lang w:val="en-US" w:eastAsia="zh-CN"/>
        </w:rPr>
        <w:t>23</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82号、阜财预</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2024</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0201、阜财预</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2024</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eastAsia="zh-CN"/>
        </w:rPr>
        <w:t>1225；</w:t>
      </w:r>
    </w:p>
    <w:p w14:paraId="128AE8ED">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7FB64CE8">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2BC1B653">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5D898AB4">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8753041">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3A4341B">
      <w:pPr>
        <w:pageBreakBefore w:val="0"/>
        <w:numPr>
          <w:ilvl w:val="0"/>
          <w:numId w:val="0"/>
        </w:numPr>
        <w:shd w:val="clear"/>
        <w:kinsoku/>
        <w:wordWrap/>
        <w:overflowPunct/>
        <w:topLinePunct w:val="0"/>
        <w:autoSpaceDE/>
        <w:autoSpaceDN/>
        <w:bidi w:val="0"/>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59BAC887">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市委办公室</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市委办公室</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市委办公室</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市委办公室</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6009A37C">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6A542A5C">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54C9C1A">
      <w:pPr>
        <w:pageBreakBefore w:val="0"/>
        <w:shd w:val="clear"/>
        <w:kinsoku/>
        <w:wordWrap/>
        <w:overflowPunct/>
        <w:topLinePunct w:val="0"/>
        <w:autoSpaceDE/>
        <w:autoSpaceDN/>
        <w:bidi w:val="0"/>
        <w:spacing w:line="560" w:lineRule="exact"/>
        <w:ind w:left="1524" w:leftChars="200" w:hanging="964" w:hangingChars="300"/>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3D4B8C41">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阜康市委办公室财务</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阜康市委办公室</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阜康市委办公室</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5CC95F20">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4F4D4535">
      <w:pPr>
        <w:pageBreakBefore w:val="0"/>
        <w:widowControl w:val="0"/>
        <w:shd w:val="clear"/>
        <w:kinsoku/>
        <w:wordWrap/>
        <w:topLinePunct w:val="0"/>
        <w:autoSpaceDE/>
        <w:autoSpaceDN/>
        <w:bidi w:val="0"/>
        <w:spacing w:line="560" w:lineRule="exact"/>
        <w:ind w:left="0" w:leftChars="0" w:firstLine="643"/>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45577C2C">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化解债务</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张君</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王建雄</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哈孜依古丽</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杨萍</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132D8FD3">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F8946E3">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121D46EA">
      <w:pPr>
        <w:pageBreakBefore w:val="0"/>
        <w:widowControl w:val="0"/>
        <w:shd w:val="clear"/>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6</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ACCC0D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011C1C5E">
        <w:tblPrEx>
          <w:shd w:val="clear" w:color="auto" w:fill="auto"/>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6E0A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6538325">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084D3">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3EC77">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4EB9A">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93F50">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C0E51">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031C5642">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6D574ABD">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71080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1EFA897">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3D00">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F337E">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6926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427E8">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3CAFC4">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2E915704">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67CB78">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C60CEB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化债项目涉及企业</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D55B4">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AB0B0">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DFE91">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1A1F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191BA6B">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52EFBB08">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DD3F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3697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33B2E">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41BE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67A22">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0FA0A">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F1150A">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22A549C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A04A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806FD">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1A16D">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0AE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EABD1">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F1033">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FF76545">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7787740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B076B3A">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F42B2">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化解综合服务中心主体工程项目债务成本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4F1B0">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≤173.8万元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F92EE">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7AE07">
            <w:pPr>
              <w:keepNext w:val="0"/>
              <w:keepLines w:val="0"/>
              <w:pageBreakBefore w:val="0"/>
              <w:shd w:val="clear"/>
              <w:kinsoku/>
              <w:wordWrap/>
              <w:overflowPunct/>
              <w:topLinePunct w:val="0"/>
              <w:autoSpaceDE/>
              <w:autoSpaceDN/>
              <w:bidi w:val="0"/>
              <w:adjustRightInd/>
              <w:spacing w:line="300" w:lineRule="exact"/>
              <w:ind w:left="0" w:leftChars="0"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173.8万元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ABD58">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F9AE627">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3DE1BA3">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F62E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31677">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化解综合服务中心室外管网项目债务成本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83DE1">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≤17.22万元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EB89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97194">
            <w:pPr>
              <w:keepNext w:val="0"/>
              <w:keepLines w:val="0"/>
              <w:pageBreakBefore w:val="0"/>
              <w:shd w:val="clear"/>
              <w:kinsoku/>
              <w:wordWrap/>
              <w:overflowPunct/>
              <w:topLinePunct w:val="0"/>
              <w:autoSpaceDE/>
              <w:autoSpaceDN/>
              <w:bidi w:val="0"/>
              <w:adjustRightInd/>
              <w:spacing w:line="300" w:lineRule="exact"/>
              <w:ind w:left="0" w:leftChars="0"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17.22万元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BB0D0">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F5769DF">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02AA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E209E">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C0E2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B28A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9DFB37F">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b/>
          <w:bCs/>
          <w:color w:val="auto"/>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44330AEC">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“化解债务项目数量”指标，预期目标值为=3个，实际完成为3个。实际完成率=（3个/3个）×100%=100%。</w:t>
      </w:r>
    </w:p>
    <w:p w14:paraId="1E2E95D3">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化债项目涉及企业</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指标，预期目标值为=2个，实际完成为2个。实际完成率=（2个/2个）×100%=100%。</w:t>
      </w:r>
    </w:p>
    <w:p w14:paraId="5704B5A6">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C8C26E7">
      <w:pPr>
        <w:pageBreakBefore w:val="0"/>
        <w:shd w:val="clear"/>
        <w:kinsoku/>
        <w:wordWrap/>
        <w:overflowPunct/>
        <w:topLinePunct w:val="0"/>
        <w:autoSpaceDE/>
        <w:autoSpaceDN/>
        <w:bidi w:val="0"/>
        <w:spacing w:line="560" w:lineRule="exact"/>
        <w:jc w:val="lef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03A78CF3">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资金使用合规率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71EA89E9">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83DA29D">
      <w:pPr>
        <w:pageBreakBefore w:val="0"/>
        <w:shd w:val="clear"/>
        <w:kinsoku/>
        <w:wordWrap/>
        <w:overflowPunct/>
        <w:topLinePunct w:val="0"/>
        <w:autoSpaceDE/>
        <w:autoSpaceDN/>
        <w:bidi w:val="0"/>
        <w:spacing w:line="560" w:lineRule="exact"/>
        <w:jc w:val="lef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06E0DD54">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资金支付及时率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3B349B18">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2E8F896">
      <w:pPr>
        <w:pageBreakBefore w:val="0"/>
        <w:shd w:val="clear"/>
        <w:kinsoku/>
        <w:wordWrap/>
        <w:overflowPunct/>
        <w:topLinePunct w:val="0"/>
        <w:autoSpaceDE/>
        <w:autoSpaceDN/>
        <w:bidi w:val="0"/>
        <w:spacing w:line="560" w:lineRule="exact"/>
        <w:jc w:val="lef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4B6A62BD">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18B9A7C8">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）“化解综合服务中心主体工程项目债务成本”</w:t>
      </w:r>
      <w:r>
        <w:rPr>
          <w:rFonts w:hint="eastAsia" w:ascii="仿宋_GB2312" w:hAnsi="仿宋_GB2312" w:eastAsia="仿宋_GB2312" w:cs="仿宋_GB2312"/>
          <w:color w:val="auto"/>
          <w:sz w:val="32"/>
          <w:szCs w:val="32"/>
          <w:highlight w:val="none"/>
          <w:lang w:val="en-US" w:eastAsia="zh-CN"/>
        </w:rPr>
        <w:t>指标，预期目标值为≤173.8万元，实际完成为173.8万元。实际完成率=（173.8万元/173.8万元）×100%=100%.</w:t>
      </w:r>
    </w:p>
    <w:p w14:paraId="2FA82855">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）“化解综合服务中心室外管网项目债务成本”</w:t>
      </w:r>
      <w:r>
        <w:rPr>
          <w:rFonts w:hint="eastAsia" w:ascii="仿宋_GB2312" w:hAnsi="仿宋_GB2312" w:eastAsia="仿宋_GB2312" w:cs="仿宋_GB2312"/>
          <w:color w:val="auto"/>
          <w:sz w:val="32"/>
          <w:szCs w:val="32"/>
          <w:highlight w:val="none"/>
          <w:lang w:val="en-US" w:eastAsia="zh-CN"/>
        </w:rPr>
        <w:t>指标，预期目标值为≤17.22万元，实际完成为17.22万元。实际完成率=（17.22万元/17.22万元）×100%=100%.</w:t>
      </w:r>
    </w:p>
    <w:p w14:paraId="79D52C3E">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3EAA2E47">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28863956">
      <w:pPr>
        <w:pageBreakBefore w:val="0"/>
        <w:widowControl w:val="0"/>
        <w:shd w:val="clear"/>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EF8264A">
      <w:pPr>
        <w:pageBreakBefore w:val="0"/>
        <w:widowControl w:val="0"/>
        <w:shd w:val="clear"/>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03B6591">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839E1D1">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544FBD93">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08CC16F">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2F0F6">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734E8">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588B253">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3E6F6">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2076BA0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4A967">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1BB7DE11">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13F33">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375A794">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8D07168">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6D416F18">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44A92A8F">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6DC0ABD">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08D4C">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D9F44">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A636D">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D64DE">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EE548FF">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114DDDD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18FAF31">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CE76FBE">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完善</w:t>
            </w:r>
            <w:r>
              <w:rPr>
                <w:rFonts w:hint="eastAsia" w:cs="宋体"/>
                <w:color w:val="auto"/>
                <w:kern w:val="0"/>
                <w:sz w:val="20"/>
                <w:szCs w:val="20"/>
                <w:highlight w:val="none"/>
                <w:shd w:val="clear" w:color="auto" w:fill="auto"/>
                <w:lang w:val="en-US" w:eastAsia="zh-CN"/>
              </w:rPr>
              <w:t>政府</w:t>
            </w:r>
            <w:r>
              <w:rPr>
                <w:rFonts w:hint="eastAsia" w:ascii="宋体" w:hAnsi="宋体" w:eastAsia="宋体" w:cs="宋体"/>
                <w:color w:val="auto"/>
                <w:kern w:val="0"/>
                <w:sz w:val="20"/>
                <w:szCs w:val="20"/>
                <w:highlight w:val="none"/>
                <w:shd w:val="clear" w:color="auto" w:fill="auto"/>
                <w:lang w:val="en-US" w:eastAsia="zh-CN"/>
              </w:rPr>
              <w:t>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E0F5F">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6CC2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338F7">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8B796">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0CF6AA12">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40108EB8">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9D824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09AA9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18"/>
                <w:szCs w:val="18"/>
                <w:highlight w:val="none"/>
                <w:u w:val="none"/>
                <w:lang w:val="en-US" w:eastAsia="zh-CN" w:bidi="ar"/>
              </w:rPr>
              <w:t>受偿企业满意度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AC4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C09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705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1F5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FC6E8DF">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71899">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81642">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7C52A">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15C7D">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0FB65BF">
      <w:pPr>
        <w:pageBreakBefore w:val="0"/>
        <w:shd w:val="clear"/>
        <w:kinsoku/>
        <w:wordWrap/>
        <w:overflowPunct/>
        <w:topLinePunct w:val="0"/>
        <w:autoSpaceDE/>
        <w:autoSpaceDN/>
        <w:bidi w:val="0"/>
        <w:spacing w:line="560" w:lineRule="exact"/>
        <w:jc w:val="lef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5170"/>
      <w:bookmarkStart w:id="141" w:name="_Toc801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71F4D6FB">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bookmarkStart w:id="144" w:name="_Toc14320"/>
      <w:bookmarkStart w:id="145" w:name="_Toc23106"/>
      <w:r>
        <w:rPr>
          <w:rFonts w:hint="eastAsia" w:ascii="仿宋_GB2312" w:hAnsi="仿宋_GB2312" w:eastAsia="仿宋_GB2312" w:cs="仿宋_GB2312"/>
          <w:color w:val="auto"/>
          <w:sz w:val="32"/>
          <w:szCs w:val="32"/>
          <w:highlight w:val="none"/>
          <w:lang w:val="en-US" w:eastAsia="zh-CN"/>
        </w:rPr>
        <w:t>（1）“化解单位债务，提升单位和政府形象”指标，预期目标值为=100%，实际完成值为达到预期指标，完成率100%。</w:t>
      </w:r>
    </w:p>
    <w:p w14:paraId="5BA388D0">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（2）“完善政务债务化解机制”指标，预期目标值为=100%，实际完成值为达到预期指标，完成率100%。</w:t>
      </w:r>
    </w:p>
    <w:p w14:paraId="486EAC82">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通过项目的实施，提升单位和政府形象，完善政府债务化解机制。</w:t>
      </w:r>
    </w:p>
    <w:bookmarkEnd w:id="144"/>
    <w:bookmarkEnd w:id="145"/>
    <w:p w14:paraId="2596664D">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综上，该项指标满分14分，得分14分。</w:t>
      </w:r>
    </w:p>
    <w:p w14:paraId="652C4EDA">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17F3A7A8">
      <w:pPr>
        <w:pStyle w:val="3"/>
        <w:pageBreakBefore w:val="0"/>
        <w:shd w:val="clear"/>
        <w:kinsoku/>
        <w:wordWrap/>
        <w:overflowPunct/>
        <w:topLinePunct w:val="0"/>
        <w:autoSpaceDE/>
        <w:autoSpaceDN/>
        <w:bidi w:val="0"/>
        <w:adjustRightInd/>
        <w:spacing w:beforeLines="0" w:afterLines="0" w:line="560" w:lineRule="exact"/>
        <w:jc w:val="left"/>
        <w:textAlignment w:val="auto"/>
        <w:rPr>
          <w:rFonts w:hint="eastAsia" w:ascii="仿宋_GB2312" w:hAnsi="仿宋_GB2312" w:eastAsia="仿宋_GB2312" w:cs="仿宋_GB2312"/>
          <w:sz w:val="32"/>
          <w:szCs w:val="32"/>
          <w:highlight w:val="none"/>
          <w:lang w:val="en-US" w:eastAsia="zh-CN"/>
        </w:rPr>
      </w:pPr>
      <w:bookmarkStart w:id="147" w:name="_Toc6622"/>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受偿企业满意度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指标，预期目标值为≥95%，实际完成为95%。</w:t>
      </w:r>
    </w:p>
    <w:p w14:paraId="0EBC7953">
      <w:pPr>
        <w:rPr>
          <w:rFonts w:hint="eastAsia"/>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1328AAF0">
      <w:pPr>
        <w:pStyle w:val="3"/>
        <w:pageBreakBefore w:val="0"/>
        <w:shd w:val="clear"/>
        <w:kinsoku/>
        <w:wordWrap/>
        <w:overflowPunct/>
        <w:topLinePunct w:val="0"/>
        <w:autoSpaceDE/>
        <w:autoSpaceDN/>
        <w:bidi w:val="0"/>
        <w:adjustRightInd/>
        <w:spacing w:beforeLines="0" w:afterLines="0" w:line="560" w:lineRule="exact"/>
        <w:jc w:val="lef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7"/>
    </w:p>
    <w:p w14:paraId="080675CB">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b/>
          <w:bCs/>
          <w:color w:val="auto"/>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8"/>
    </w:p>
    <w:p w14:paraId="3F8D2C76">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2024年化解债务项目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191.02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191.02</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3CC17066">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9"/>
    <w:bookmarkEnd w:id="150"/>
    <w:p w14:paraId="0BAB3D43">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left"/>
        <w:textAlignment w:val="auto"/>
        <w:rPr>
          <w:rFonts w:hint="eastAsia" w:ascii="Times New Roman" w:hAnsi="Times New Roman" w:eastAsia="楷体_GB2312" w:cs="Times New Roman"/>
          <w:b/>
          <w:bCs/>
          <w:color w:val="auto"/>
          <w:kern w:val="28"/>
          <w:sz w:val="32"/>
          <w:highlight w:val="none"/>
          <w:lang w:val="en-US" w:eastAsia="zh-CN"/>
        </w:rPr>
      </w:pPr>
      <w:bookmarkStart w:id="15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1"/>
    </w:p>
    <w:p w14:paraId="3BD8B0B3">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color w:val="auto"/>
          <w:sz w:val="32"/>
          <w:szCs w:val="32"/>
          <w:highlight w:val="none"/>
          <w:lang w:val="en-US" w:eastAsia="zh-CN"/>
        </w:rPr>
      </w:pPr>
      <w:bookmarkStart w:id="152" w:name="_Toc3333"/>
      <w:r>
        <w:rPr>
          <w:rFonts w:hint="eastAsia" w:ascii="仿宋_GB2312" w:hAnsi="仿宋_GB2312" w:eastAsia="仿宋_GB2312" w:cs="仿宋_GB2312"/>
          <w:color w:val="auto"/>
          <w:sz w:val="32"/>
          <w:szCs w:val="32"/>
          <w:highlight w:val="none"/>
          <w:lang w:val="en-US" w:eastAsia="zh-CN"/>
        </w:rPr>
        <w:t>1、一是偿债资金未能按偿债计划拨付，债务化解进度滞后。主要原因一是资金拨付流程繁琐，缺乏动态监控机制，资金使用跟踪不及时；二是因财政资金压力较大，导致化解债务进度滞后。</w:t>
      </w:r>
    </w:p>
    <w:p w14:paraId="2101208D">
      <w:pPr>
        <w:pageBreakBefore w:val="0"/>
        <w:shd w:val="clear"/>
        <w:kinsoku/>
        <w:wordWrap/>
        <w:overflowPunct/>
        <w:topLinePunct w:val="0"/>
        <w:autoSpaceDE/>
        <w:autoSpaceDN/>
        <w:bidi w:val="0"/>
        <w:spacing w:line="560" w:lineRule="exact"/>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2、单位缺乏债务管理方面专业人员，专业能力不足，债务管理方面专业化水平低，学习有待加强。</w:t>
      </w:r>
    </w:p>
    <w:p w14:paraId="5A468A69">
      <w:pPr>
        <w:pStyle w:val="3"/>
        <w:pageBreakBefore w:val="0"/>
        <w:shd w:val="clear"/>
        <w:kinsoku/>
        <w:wordWrap/>
        <w:overflowPunct/>
        <w:topLinePunct w:val="0"/>
        <w:autoSpaceDE/>
        <w:autoSpaceDN/>
        <w:bidi w:val="0"/>
        <w:adjustRightInd/>
        <w:spacing w:beforeLines="0" w:afterLines="0" w:line="560" w:lineRule="exact"/>
        <w:jc w:val="lef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2"/>
    </w:p>
    <w:p w14:paraId="4E44E371">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bookmarkStart w:id="153" w:name="_Toc14256"/>
      <w:r>
        <w:rPr>
          <w:rFonts w:hint="eastAsia" w:ascii="仿宋_GB2312" w:hAnsi="仿宋_GB2312" w:eastAsia="仿宋_GB2312" w:cs="仿宋_GB2312"/>
          <w:color w:val="auto"/>
          <w:sz w:val="32"/>
          <w:szCs w:val="32"/>
          <w:highlight w:val="none"/>
          <w:lang w:val="en-US" w:eastAsia="zh-CN"/>
        </w:rPr>
        <w:t>（一）强化统筹调度，加快债务化解进度。建立债务台账清单台账，结合经济形势和财政收支变化，对因政策调整或不可抗力导致的化解债务进度延迟，及时向与财政对接，做好债务跟踪。</w:t>
      </w:r>
    </w:p>
    <w:p w14:paraId="166E1E28">
      <w:pPr>
        <w:pageBreakBefore w:val="0"/>
        <w:shd w:val="clear"/>
        <w:kinsoku/>
        <w:wordWrap/>
        <w:overflowPunct/>
        <w:topLinePunct w:val="0"/>
        <w:autoSpaceDE/>
        <w:autoSpaceDN/>
        <w:bidi w:val="0"/>
        <w:spacing w:line="560" w:lineRule="exact"/>
        <w:jc w:val="left"/>
        <w:textAlignment w:val="auto"/>
        <w:rPr>
          <w:rFonts w:hint="eastAsia" w:ascii="黑体" w:hAnsi="黑体" w:cs="黑体"/>
          <w:b w:val="0"/>
          <w:bCs w:val="0"/>
          <w:color w:val="auto"/>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（二）加强债务管理人才培养，通过强化专业培训、业务交流等措施，提高债务管理业务人员专业能力水平，帮助和促进本单位现有人员提高债务管理业务水平、实际工作能力，进一步加强债务管理工作。</w:t>
      </w:r>
    </w:p>
    <w:p w14:paraId="5D0ADBD8">
      <w:pPr>
        <w:pStyle w:val="3"/>
        <w:pageBreakBefore w:val="0"/>
        <w:shd w:val="clear"/>
        <w:kinsoku/>
        <w:wordWrap/>
        <w:overflowPunct/>
        <w:topLinePunct w:val="0"/>
        <w:autoSpaceDE/>
        <w:autoSpaceDN/>
        <w:bidi w:val="0"/>
        <w:adjustRightInd/>
        <w:spacing w:beforeLines="0" w:afterLines="0" w:line="560" w:lineRule="exact"/>
        <w:jc w:val="lef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3"/>
    </w:p>
    <w:p w14:paraId="5D9F2445">
      <w:pPr>
        <w:pageBreakBefore w:val="0"/>
        <w:shd w:val="clear"/>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58C0DFF9">
      <w:pPr>
        <w:pageBreakBefore w:val="0"/>
        <w:shd w:val="clear"/>
        <w:kinsoku/>
        <w:wordWrap/>
        <w:overflowPunct/>
        <w:topLinePunct w:val="0"/>
        <w:autoSpaceDE/>
        <w:autoSpaceDN/>
        <w:bidi w:val="0"/>
        <w:adjustRightInd/>
        <w:spacing w:line="560" w:lineRule="exact"/>
        <w:jc w:val="lef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09134932">
      <w:pPr>
        <w:pStyle w:val="3"/>
        <w:pageBreakBefore w:val="0"/>
        <w:numPr>
          <w:ilvl w:val="0"/>
          <w:numId w:val="0"/>
        </w:numPr>
        <w:shd w:val="clear"/>
        <w:kinsoku/>
        <w:wordWrap/>
        <w:overflowPunct/>
        <w:topLinePunct w:val="0"/>
        <w:autoSpaceDE/>
        <w:autoSpaceDN/>
        <w:bidi w:val="0"/>
        <w:adjustRightInd/>
        <w:spacing w:beforeLines="0" w:afterLines="0" w:line="560" w:lineRule="exact"/>
        <w:jc w:val="left"/>
        <w:textAlignment w:val="auto"/>
        <w:rPr>
          <w:color w:val="auto"/>
          <w:highlight w:val="none"/>
        </w:rPr>
      </w:pPr>
      <w:bookmarkStart w:id="154" w:name="_Toc11349"/>
      <w:bookmarkStart w:id="155" w:name="_Toc28971"/>
      <w:r>
        <w:rPr>
          <w:rFonts w:hint="eastAsia" w:ascii="宋体" w:hAnsi="宋体" w:eastAsia="宋体" w:cs="宋体"/>
          <w:b/>
          <w:bCs/>
          <w:color w:val="auto"/>
          <w:highlight w:val="none"/>
          <w:shd w:val="clear" w:color="auto" w:fill="auto"/>
          <w:lang w:val="en-US" w:eastAsia="zh-CN"/>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880"/>
        <w:gridCol w:w="880"/>
        <w:gridCol w:w="880"/>
        <w:gridCol w:w="1202"/>
        <w:gridCol w:w="1363"/>
        <w:gridCol w:w="1202"/>
        <w:gridCol w:w="1041"/>
        <w:gridCol w:w="1202"/>
        <w:gridCol w:w="880"/>
        <w:gridCol w:w="880"/>
        <w:gridCol w:w="881"/>
        <w:gridCol w:w="881"/>
        <w:gridCol w:w="1122"/>
      </w:tblGrid>
      <w:tr w14:paraId="18135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423941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0C1E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33A76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1F6A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DCAF3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037BD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2024年化解债务项目</w:t>
            </w:r>
          </w:p>
        </w:tc>
      </w:tr>
      <w:tr w14:paraId="7111B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221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19DB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中共阜康市委员会办公室</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EFB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ABF8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中共阜康市委员会办公室</w:t>
            </w:r>
          </w:p>
        </w:tc>
      </w:tr>
      <w:tr w14:paraId="3D58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A30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F1866">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540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3E7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26D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105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BA9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42C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4C0C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FC02A">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3CEA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3B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191.02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6B4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191.02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097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191.02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697C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91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7E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5F3B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719D3">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548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6E8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191.02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35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191.02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4C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191.02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AB2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1D4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B4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9D5D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39B29">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DB1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79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3AC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07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2F9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18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E0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65F7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D35A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8D6D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3ED7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53A3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E249A">
            <w:pPr>
              <w:jc w:val="center"/>
              <w:rPr>
                <w:rFonts w:hint="eastAsia" w:ascii="宋体" w:hAnsi="宋体" w:eastAsia="宋体" w:cs="宋体"/>
                <w:b/>
                <w:bCs/>
                <w:i w:val="0"/>
                <w:iCs w:val="0"/>
                <w:color w:val="000000"/>
                <w:sz w:val="18"/>
                <w:szCs w:val="18"/>
                <w:u w:val="none"/>
              </w:rPr>
            </w:pP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466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加强债务管理，完善政府债务化解机制，切实落实债务化解有关规定，实行科学化、精细化管理，加强对化解债务资金分配使用，全面准确掌握债务化解情况，确保偿债资金的安全、规范和有效。2024年计划完成3个项目债务化解工作。</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8957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截至2024年12月31日，本单位完成2024年3个项目债务化解工作，从而化解单位债务，项目的实施提升单位和政府形象，完善政府债务化解机制。</w:t>
            </w:r>
          </w:p>
        </w:tc>
      </w:tr>
      <w:tr w14:paraId="5FAF6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724AE">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584E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1496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FBEC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D07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59E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6B3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AF24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3DD1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9AEB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B19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2CEF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202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C145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BD85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52765">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D4FC4">
            <w:pPr>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43E21">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D8A12">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6D772">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1EF8D">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F82F8">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5A7B0">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2B6F6">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1FFCE">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86915">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ECB39">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AA19D">
            <w:pPr>
              <w:jc w:val="center"/>
              <w:rPr>
                <w:rFonts w:hint="eastAsia" w:ascii="宋体" w:hAnsi="宋体" w:eastAsia="宋体" w:cs="宋体"/>
                <w:b/>
                <w:bCs/>
                <w:i w:val="0"/>
                <w:iCs w:val="0"/>
                <w:color w:val="000000"/>
                <w:sz w:val="18"/>
                <w:szCs w:val="18"/>
                <w:u w:val="none"/>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5ED35">
            <w:pPr>
              <w:jc w:val="center"/>
              <w:rPr>
                <w:rFonts w:hint="eastAsia" w:ascii="宋体" w:hAnsi="宋体" w:eastAsia="宋体" w:cs="宋体"/>
                <w:b/>
                <w:bCs/>
                <w:i w:val="0"/>
                <w:iCs w:val="0"/>
                <w:color w:val="000000"/>
                <w:sz w:val="18"/>
                <w:szCs w:val="18"/>
                <w:u w:val="none"/>
              </w:rPr>
            </w:pPr>
          </w:p>
        </w:tc>
      </w:tr>
      <w:tr w14:paraId="4B632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C66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D2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BA5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EF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BB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3CB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&gt;=3个</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2B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49E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738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0F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EFBF3">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3DF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06D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4C223">
            <w:pPr>
              <w:jc w:val="center"/>
              <w:rPr>
                <w:rFonts w:hint="eastAsia" w:ascii="宋体" w:hAnsi="宋体" w:eastAsia="宋体" w:cs="宋体"/>
                <w:i w:val="0"/>
                <w:iCs w:val="0"/>
                <w:color w:val="000000"/>
                <w:sz w:val="18"/>
                <w:szCs w:val="18"/>
                <w:u w:val="none"/>
              </w:rPr>
            </w:pPr>
          </w:p>
        </w:tc>
      </w:tr>
      <w:tr w14:paraId="3AE04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A519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E1AA9">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A2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8A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化债项目涉及企业</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BA3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06D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&gt;=2个</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8B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62AF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E0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DD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4B67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C8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8C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B00A">
            <w:pPr>
              <w:jc w:val="center"/>
              <w:rPr>
                <w:rFonts w:hint="eastAsia" w:ascii="宋体" w:hAnsi="宋体" w:eastAsia="宋体" w:cs="宋体"/>
                <w:i w:val="0"/>
                <w:iCs w:val="0"/>
                <w:color w:val="000000"/>
                <w:sz w:val="18"/>
                <w:szCs w:val="18"/>
                <w:u w:val="none"/>
              </w:rPr>
            </w:pPr>
          </w:p>
        </w:tc>
      </w:tr>
      <w:tr w14:paraId="57C4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40A1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D1B95">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E2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8AD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F46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D7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3E4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114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7D3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93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E4D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CE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D14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55386">
            <w:pPr>
              <w:jc w:val="center"/>
              <w:rPr>
                <w:rFonts w:hint="eastAsia" w:ascii="宋体" w:hAnsi="宋体" w:eastAsia="宋体" w:cs="宋体"/>
                <w:i w:val="0"/>
                <w:iCs w:val="0"/>
                <w:color w:val="000000"/>
                <w:sz w:val="18"/>
                <w:szCs w:val="18"/>
                <w:u w:val="none"/>
              </w:rPr>
            </w:pPr>
          </w:p>
        </w:tc>
      </w:tr>
      <w:tr w14:paraId="4D7C8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748C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82C8F">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2B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0F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1A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83B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2E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7B8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54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D4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ABDD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F98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BD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55452">
            <w:pPr>
              <w:jc w:val="center"/>
              <w:rPr>
                <w:rFonts w:hint="eastAsia" w:ascii="宋体" w:hAnsi="宋体" w:eastAsia="宋体" w:cs="宋体"/>
                <w:i w:val="0"/>
                <w:iCs w:val="0"/>
                <w:color w:val="000000"/>
                <w:sz w:val="18"/>
                <w:szCs w:val="18"/>
                <w:u w:val="none"/>
              </w:rPr>
            </w:pPr>
          </w:p>
        </w:tc>
      </w:tr>
      <w:tr w14:paraId="40378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92FF4">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C7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DBD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F8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化解综合服务中心主体工程项目债务成本</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DE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A0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&lt;=173.80万元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F7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=173.8万元</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62D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4A5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C15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AC65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22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3B1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1A566">
            <w:pPr>
              <w:jc w:val="center"/>
              <w:rPr>
                <w:rFonts w:hint="eastAsia" w:ascii="宋体" w:hAnsi="宋体" w:eastAsia="宋体" w:cs="宋体"/>
                <w:i w:val="0"/>
                <w:iCs w:val="0"/>
                <w:color w:val="000000"/>
                <w:sz w:val="18"/>
                <w:szCs w:val="18"/>
                <w:u w:val="none"/>
              </w:rPr>
            </w:pPr>
          </w:p>
        </w:tc>
      </w:tr>
      <w:tr w14:paraId="2424F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B6FE9">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6E240">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07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B5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化解综合服务中心室外管网项目债务成本</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B81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58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&lt;=17.22万元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51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=17.22万元</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2651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7B7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998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B66C9">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A63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65B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A2BFB">
            <w:pPr>
              <w:jc w:val="center"/>
              <w:rPr>
                <w:rFonts w:hint="eastAsia" w:ascii="宋体" w:hAnsi="宋体" w:eastAsia="宋体" w:cs="宋体"/>
                <w:i w:val="0"/>
                <w:iCs w:val="0"/>
                <w:color w:val="000000"/>
                <w:sz w:val="18"/>
                <w:szCs w:val="18"/>
                <w:u w:val="none"/>
              </w:rPr>
            </w:pPr>
          </w:p>
        </w:tc>
      </w:tr>
      <w:tr w14:paraId="029FC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3739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96A39">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6E7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972F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D5DC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57DF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D8EE5">
            <w:pPr>
              <w:jc w:val="center"/>
              <w:rPr>
                <w:rFonts w:hint="eastAsia" w:ascii="宋体" w:hAnsi="宋体" w:eastAsia="宋体" w:cs="宋体"/>
                <w:i w:val="0"/>
                <w:iCs w:val="0"/>
                <w:color w:val="000000"/>
                <w:sz w:val="18"/>
                <w:szCs w:val="1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7BA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63EE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66D7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9902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415DD">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DCCB7">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28EEB">
            <w:pPr>
              <w:jc w:val="center"/>
              <w:rPr>
                <w:rFonts w:hint="eastAsia" w:ascii="宋体" w:hAnsi="宋体" w:eastAsia="宋体" w:cs="宋体"/>
                <w:i w:val="0"/>
                <w:iCs w:val="0"/>
                <w:color w:val="000000"/>
                <w:sz w:val="18"/>
                <w:szCs w:val="18"/>
                <w:u w:val="none"/>
              </w:rPr>
            </w:pPr>
          </w:p>
        </w:tc>
      </w:tr>
      <w:tr w14:paraId="00144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B6A3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91446">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02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E8D5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C04A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BD98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CFF2">
            <w:pPr>
              <w:jc w:val="center"/>
              <w:rPr>
                <w:rFonts w:hint="eastAsia" w:ascii="宋体" w:hAnsi="宋体" w:eastAsia="宋体" w:cs="宋体"/>
                <w:i w:val="0"/>
                <w:iCs w:val="0"/>
                <w:color w:val="000000"/>
                <w:sz w:val="18"/>
                <w:szCs w:val="1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9A0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A231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5EA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9AC3F">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7AF58">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2ACF5">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A5E28">
            <w:pPr>
              <w:jc w:val="center"/>
              <w:rPr>
                <w:rFonts w:hint="eastAsia" w:ascii="宋体" w:hAnsi="宋体" w:eastAsia="宋体" w:cs="宋体"/>
                <w:i w:val="0"/>
                <w:iCs w:val="0"/>
                <w:color w:val="000000"/>
                <w:sz w:val="18"/>
                <w:szCs w:val="18"/>
                <w:u w:val="none"/>
              </w:rPr>
            </w:pPr>
          </w:p>
        </w:tc>
      </w:tr>
      <w:tr w14:paraId="67C62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9CD19">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115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16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721D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CD51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4723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D5667">
            <w:pPr>
              <w:jc w:val="center"/>
              <w:rPr>
                <w:rFonts w:hint="eastAsia" w:ascii="宋体" w:hAnsi="宋体" w:eastAsia="宋体" w:cs="宋体"/>
                <w:i w:val="0"/>
                <w:iCs w:val="0"/>
                <w:color w:val="000000"/>
                <w:sz w:val="18"/>
                <w:szCs w:val="1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D82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C29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6199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A5FD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BDEFB">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01799">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802B6">
            <w:pPr>
              <w:jc w:val="center"/>
              <w:rPr>
                <w:rFonts w:hint="eastAsia" w:ascii="宋体" w:hAnsi="宋体" w:eastAsia="宋体" w:cs="宋体"/>
                <w:i w:val="0"/>
                <w:iCs w:val="0"/>
                <w:color w:val="000000"/>
                <w:sz w:val="18"/>
                <w:szCs w:val="18"/>
                <w:u w:val="none"/>
              </w:rPr>
            </w:pPr>
          </w:p>
        </w:tc>
      </w:tr>
      <w:tr w14:paraId="03857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5C1AA">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19C66">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DEE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59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1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15C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728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597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3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E31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6408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6F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04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AFD25">
            <w:pPr>
              <w:jc w:val="center"/>
              <w:rPr>
                <w:rFonts w:hint="eastAsia" w:ascii="宋体" w:hAnsi="宋体" w:eastAsia="宋体" w:cs="宋体"/>
                <w:i w:val="0"/>
                <w:iCs w:val="0"/>
                <w:color w:val="000000"/>
                <w:sz w:val="18"/>
                <w:szCs w:val="18"/>
                <w:u w:val="none"/>
              </w:rPr>
            </w:pPr>
          </w:p>
        </w:tc>
      </w:tr>
      <w:tr w14:paraId="0A66A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D052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964E2">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D0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ED6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2E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04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45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332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93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E68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843B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79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AF4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326C">
            <w:pPr>
              <w:jc w:val="center"/>
              <w:rPr>
                <w:rFonts w:hint="eastAsia" w:ascii="宋体" w:hAnsi="宋体" w:eastAsia="宋体" w:cs="宋体"/>
                <w:i w:val="0"/>
                <w:iCs w:val="0"/>
                <w:color w:val="000000"/>
                <w:sz w:val="18"/>
                <w:szCs w:val="18"/>
                <w:u w:val="none"/>
              </w:rPr>
            </w:pPr>
          </w:p>
        </w:tc>
      </w:tr>
      <w:tr w14:paraId="6EE27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17DAD">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EEB9E">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A39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A2D0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D7F6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84DB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CFD0A">
            <w:pPr>
              <w:jc w:val="center"/>
              <w:rPr>
                <w:rFonts w:hint="eastAsia" w:ascii="宋体" w:hAnsi="宋体" w:eastAsia="宋体" w:cs="宋体"/>
                <w:i w:val="0"/>
                <w:iCs w:val="0"/>
                <w:color w:val="000000"/>
                <w:sz w:val="18"/>
                <w:szCs w:val="1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07C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70E2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2B25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E382">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C20DE">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D3A1E">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CAD29">
            <w:pPr>
              <w:jc w:val="center"/>
              <w:rPr>
                <w:rFonts w:hint="eastAsia" w:ascii="宋体" w:hAnsi="宋体" w:eastAsia="宋体" w:cs="宋体"/>
                <w:i w:val="0"/>
                <w:iCs w:val="0"/>
                <w:color w:val="000000"/>
                <w:sz w:val="18"/>
                <w:szCs w:val="18"/>
                <w:u w:val="none"/>
              </w:rPr>
            </w:pPr>
          </w:p>
        </w:tc>
      </w:tr>
      <w:tr w14:paraId="06CBA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E147C">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B0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E5F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98FC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5A04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488D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2781E">
            <w:pPr>
              <w:jc w:val="center"/>
              <w:rPr>
                <w:rFonts w:hint="eastAsia" w:ascii="宋体" w:hAnsi="宋体" w:eastAsia="宋体" w:cs="宋体"/>
                <w:i w:val="0"/>
                <w:iCs w:val="0"/>
                <w:color w:val="000000"/>
                <w:sz w:val="18"/>
                <w:szCs w:val="1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0D98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7F0A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00CA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995F2">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E691A">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5D3D6">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B3052">
            <w:pPr>
              <w:jc w:val="center"/>
              <w:rPr>
                <w:rFonts w:hint="eastAsia" w:ascii="宋体" w:hAnsi="宋体" w:eastAsia="宋体" w:cs="宋体"/>
                <w:i w:val="0"/>
                <w:iCs w:val="0"/>
                <w:color w:val="000000"/>
                <w:sz w:val="18"/>
                <w:szCs w:val="18"/>
                <w:u w:val="none"/>
              </w:rPr>
            </w:pPr>
          </w:p>
        </w:tc>
      </w:tr>
      <w:tr w14:paraId="4E6DA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73" w:type="pct"/>
            <w:gridSpan w:val="4"/>
            <w:tcBorders>
              <w:top w:val="single" w:color="000000" w:sz="4" w:space="0"/>
              <w:left w:val="single" w:color="000000" w:sz="4" w:space="0"/>
              <w:bottom w:val="single" w:color="000000" w:sz="4" w:space="0"/>
              <w:right w:val="nil"/>
            </w:tcBorders>
            <w:shd w:val="clear" w:color="auto" w:fill="auto"/>
            <w:vAlign w:val="center"/>
          </w:tcPr>
          <w:p w14:paraId="4EC0F4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10A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503A206A">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B3B7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6E5F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AAA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79CE">
            <w:pPr>
              <w:rPr>
                <w:rFonts w:hint="eastAsia" w:ascii="宋体" w:hAnsi="宋体" w:eastAsia="宋体" w:cs="宋体"/>
                <w:i w:val="0"/>
                <w:iCs w:val="0"/>
                <w:color w:val="000000"/>
                <w:sz w:val="18"/>
                <w:szCs w:val="18"/>
                <w:u w:val="none"/>
              </w:rPr>
            </w:pPr>
            <w:bookmarkStart w:id="158" w:name="_GoBack"/>
            <w:bookmarkEnd w:id="158"/>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3FAEC">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C83B5">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19F55">
            <w:pP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8B089">
            <w:pPr>
              <w:rPr>
                <w:rFonts w:hint="eastAsia" w:ascii="宋体" w:hAnsi="宋体" w:eastAsia="宋体" w:cs="宋体"/>
                <w:i w:val="0"/>
                <w:iCs w:val="0"/>
                <w:color w:val="000000"/>
                <w:sz w:val="18"/>
                <w:szCs w:val="18"/>
                <w:u w:val="none"/>
              </w:rPr>
            </w:pPr>
          </w:p>
        </w:tc>
      </w:tr>
    </w:tbl>
    <w:p w14:paraId="4AE6E959">
      <w:pPr>
        <w:shd w:val="clear"/>
        <w:ind w:left="0" w:leftChars="0" w:firstLine="0" w:firstLineChars="0"/>
        <w:jc w:val="left"/>
        <w:rPr>
          <w:color w:val="auto"/>
          <w:highlight w:val="none"/>
        </w:rPr>
      </w:pPr>
      <w:r>
        <w:rPr>
          <w:color w:val="auto"/>
          <w:highlight w:val="none"/>
        </w:rPr>
        <w:br w:type="page"/>
      </w:r>
    </w:p>
    <w:p w14:paraId="253E6875">
      <w:pPr>
        <w:pStyle w:val="3"/>
        <w:pageBreakBefore w:val="0"/>
        <w:numPr>
          <w:ilvl w:val="0"/>
          <w:numId w:val="0"/>
        </w:numPr>
        <w:shd w:val="clear"/>
        <w:kinsoku/>
        <w:wordWrap/>
        <w:overflowPunct/>
        <w:topLinePunct w:val="0"/>
        <w:autoSpaceDE/>
        <w:autoSpaceDN/>
        <w:bidi w:val="0"/>
        <w:adjustRightInd/>
        <w:spacing w:beforeLines="0" w:afterLines="0" w:line="560" w:lineRule="exact"/>
        <w:jc w:val="left"/>
        <w:textAlignment w:val="auto"/>
        <w:rPr>
          <w:rFonts w:hint="eastAsia" w:ascii="宋体" w:hAnsi="宋体" w:eastAsia="宋体" w:cs="宋体"/>
          <w:b/>
          <w:bCs/>
          <w:color w:val="auto"/>
          <w:highlight w:val="none"/>
          <w:shd w:val="clear" w:color="auto" w:fill="auto"/>
          <w:lang w:val="en-US" w:eastAsia="zh-CN"/>
        </w:rPr>
      </w:pPr>
      <w:bookmarkStart w:id="156" w:name="_Toc15067"/>
      <w:bookmarkStart w:id="157" w:name="_Toc11223"/>
      <w:r>
        <w:rPr>
          <w:rFonts w:hint="eastAsia" w:ascii="宋体" w:hAnsi="宋体" w:eastAsia="宋体" w:cs="宋体"/>
          <w:b/>
          <w:bCs/>
          <w:color w:val="auto"/>
          <w:highlight w:val="none"/>
          <w:shd w:val="clear" w:color="auto" w:fill="auto"/>
          <w:lang w:val="en-US" w:eastAsia="zh-CN"/>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401"/>
        <w:gridCol w:w="1663"/>
        <w:gridCol w:w="7718"/>
        <w:gridCol w:w="785"/>
        <w:gridCol w:w="769"/>
      </w:tblGrid>
      <w:tr w14:paraId="1AD543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0A5D69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6E9182C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1401" w:type="dxa"/>
            <w:shd w:val="clear" w:color="auto" w:fill="auto"/>
            <w:noWrap w:val="0"/>
            <w:vAlign w:val="center"/>
          </w:tcPr>
          <w:p w14:paraId="1BF7720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1663" w:type="dxa"/>
            <w:shd w:val="clear" w:color="auto" w:fill="auto"/>
            <w:noWrap w:val="0"/>
            <w:vAlign w:val="center"/>
          </w:tcPr>
          <w:p w14:paraId="46C1BC3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718" w:type="dxa"/>
            <w:shd w:val="clear" w:color="auto" w:fill="auto"/>
            <w:noWrap w:val="0"/>
            <w:vAlign w:val="center"/>
          </w:tcPr>
          <w:p w14:paraId="6EAB43F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77808836">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44A8A7B4">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13751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5DBC69AA">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w:t>
            </w:r>
          </w:p>
          <w:p w14:paraId="7619F3C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p w14:paraId="1429679C">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03D5A2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w:t>
            </w:r>
          </w:p>
        </w:tc>
        <w:tc>
          <w:tcPr>
            <w:tcW w:w="1401" w:type="dxa"/>
            <w:shd w:val="clear" w:color="auto" w:fill="auto"/>
            <w:noWrap w:val="0"/>
            <w:vAlign w:val="center"/>
          </w:tcPr>
          <w:p w14:paraId="0641E2A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773850F0">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1663" w:type="dxa"/>
            <w:shd w:val="clear" w:color="auto" w:fill="auto"/>
            <w:noWrap w:val="0"/>
            <w:vAlign w:val="center"/>
          </w:tcPr>
          <w:p w14:paraId="665F82C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718" w:type="dxa"/>
            <w:shd w:val="clear" w:color="auto" w:fill="auto"/>
            <w:noWrap w:val="0"/>
            <w:vAlign w:val="center"/>
          </w:tcPr>
          <w:p w14:paraId="5BFA417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351C34C">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3F9BD5C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171AA94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546B295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443674D1">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47FF5AE7">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CC7D91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EE27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4A70173">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587022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01" w:type="dxa"/>
            <w:shd w:val="clear" w:color="auto" w:fill="auto"/>
            <w:noWrap w:val="0"/>
            <w:vAlign w:val="center"/>
          </w:tcPr>
          <w:p w14:paraId="29517204">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20E95A2A">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1663" w:type="dxa"/>
            <w:shd w:val="clear" w:color="auto" w:fill="auto"/>
            <w:noWrap w:val="0"/>
            <w:vAlign w:val="center"/>
          </w:tcPr>
          <w:p w14:paraId="448DF6B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718" w:type="dxa"/>
            <w:shd w:val="clear" w:color="auto" w:fill="auto"/>
            <w:noWrap w:val="0"/>
            <w:vAlign w:val="center"/>
          </w:tcPr>
          <w:p w14:paraId="453752D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937487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47EC441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3C047CD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095AFDF8">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E16F3A4">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62F9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27C8366B">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82FA21E">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401" w:type="dxa"/>
            <w:shd w:val="clear" w:color="auto" w:fill="auto"/>
            <w:noWrap w:val="0"/>
            <w:vAlign w:val="center"/>
          </w:tcPr>
          <w:p w14:paraId="5F9241F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0E7C510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1663" w:type="dxa"/>
            <w:shd w:val="clear" w:color="auto" w:fill="auto"/>
            <w:noWrap w:val="0"/>
            <w:vAlign w:val="center"/>
          </w:tcPr>
          <w:p w14:paraId="365E754E">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718" w:type="dxa"/>
            <w:shd w:val="clear" w:color="auto" w:fill="auto"/>
            <w:noWrap w:val="0"/>
            <w:vAlign w:val="center"/>
          </w:tcPr>
          <w:p w14:paraId="0576CFCB">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E3B187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4DFE510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4D5F573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57AE08E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86E4360">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53D933A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C75BFC6">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0320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0361B42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w:t>
            </w:r>
          </w:p>
        </w:tc>
        <w:tc>
          <w:tcPr>
            <w:tcW w:w="727" w:type="dxa"/>
            <w:shd w:val="clear" w:color="auto" w:fill="auto"/>
            <w:noWrap w:val="0"/>
            <w:vAlign w:val="center"/>
          </w:tcPr>
          <w:p w14:paraId="282733E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401" w:type="dxa"/>
            <w:shd w:val="clear" w:color="auto" w:fill="auto"/>
            <w:noWrap w:val="0"/>
            <w:vAlign w:val="center"/>
          </w:tcPr>
          <w:p w14:paraId="2A5BE4CB">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13BEB62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1663" w:type="dxa"/>
            <w:shd w:val="clear" w:color="auto" w:fill="auto"/>
            <w:noWrap w:val="0"/>
            <w:vAlign w:val="center"/>
          </w:tcPr>
          <w:p w14:paraId="19479B3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718" w:type="dxa"/>
            <w:shd w:val="clear" w:color="auto" w:fill="auto"/>
            <w:noWrap w:val="0"/>
            <w:vAlign w:val="center"/>
          </w:tcPr>
          <w:p w14:paraId="283F420B">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DD16E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68B935B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64600DF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266B2AB4">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3E09132D">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520B60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FA6E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508AA6CE">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45F6771F">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B10760C">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01" w:type="dxa"/>
            <w:shd w:val="clear" w:color="auto" w:fill="auto"/>
            <w:noWrap w:val="0"/>
            <w:vAlign w:val="center"/>
          </w:tcPr>
          <w:p w14:paraId="5F1F668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2E387BB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1663" w:type="dxa"/>
            <w:shd w:val="clear" w:color="auto" w:fill="auto"/>
            <w:noWrap w:val="0"/>
            <w:vAlign w:val="center"/>
          </w:tcPr>
          <w:p w14:paraId="043FE8A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718" w:type="dxa"/>
            <w:shd w:val="clear" w:color="auto" w:fill="auto"/>
            <w:noWrap w:val="0"/>
            <w:vAlign w:val="center"/>
          </w:tcPr>
          <w:p w14:paraId="47F622F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EAE2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6DFDC65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7D658B6B">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4D3867CA">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2AB08959">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4E074C8">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9ECE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681DA0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50EB71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01" w:type="dxa"/>
            <w:shd w:val="clear" w:color="auto" w:fill="auto"/>
            <w:noWrap w:val="0"/>
            <w:vAlign w:val="center"/>
          </w:tcPr>
          <w:p w14:paraId="37BBA8B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8F1BDE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1663" w:type="dxa"/>
            <w:shd w:val="clear" w:color="auto" w:fill="auto"/>
            <w:noWrap w:val="0"/>
            <w:vAlign w:val="center"/>
          </w:tcPr>
          <w:p w14:paraId="334867A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718" w:type="dxa"/>
            <w:shd w:val="clear" w:color="auto" w:fill="auto"/>
            <w:noWrap w:val="0"/>
            <w:vAlign w:val="center"/>
          </w:tcPr>
          <w:p w14:paraId="54D9494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9228C2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EAC4EF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2BC334DC">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47F6DF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013DE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585A5D1">
            <w:pPr>
              <w:pageBreakBefore w:val="0"/>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24DE3A6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401" w:type="dxa"/>
            <w:shd w:val="clear" w:color="auto" w:fill="auto"/>
            <w:noWrap w:val="0"/>
            <w:vAlign w:val="center"/>
          </w:tcPr>
          <w:p w14:paraId="7837020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1663" w:type="dxa"/>
            <w:shd w:val="clear" w:color="auto" w:fill="auto"/>
            <w:noWrap w:val="0"/>
            <w:vAlign w:val="center"/>
          </w:tcPr>
          <w:p w14:paraId="4E232C6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718" w:type="dxa"/>
            <w:shd w:val="clear" w:color="auto" w:fill="auto"/>
            <w:noWrap w:val="0"/>
            <w:vAlign w:val="center"/>
          </w:tcPr>
          <w:p w14:paraId="755AE446">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3B0EEF4B">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DFFE1F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10AF865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68733412">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26D5C3">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9186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75C5350F">
            <w:pPr>
              <w:pageBreakBefore w:val="0"/>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821B84F">
            <w:pPr>
              <w:pageBreakBefore w:val="0"/>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401" w:type="dxa"/>
            <w:shd w:val="clear" w:color="auto" w:fill="auto"/>
            <w:noWrap w:val="0"/>
            <w:vAlign w:val="center"/>
          </w:tcPr>
          <w:p w14:paraId="6949254F">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1663" w:type="dxa"/>
            <w:shd w:val="clear" w:color="auto" w:fill="auto"/>
            <w:noWrap w:val="0"/>
            <w:vAlign w:val="center"/>
          </w:tcPr>
          <w:p w14:paraId="45F4CBF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718" w:type="dxa"/>
            <w:shd w:val="clear" w:color="auto" w:fill="auto"/>
            <w:noWrap w:val="0"/>
            <w:vAlign w:val="center"/>
          </w:tcPr>
          <w:p w14:paraId="6A67F53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1EAA05B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5C27785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260085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DFF5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015589D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p w14:paraId="60C1CC11">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shd w:val="clear" w:color="auto" w:fill="auto"/>
            <w:noWrap w:val="0"/>
            <w:vAlign w:val="center"/>
          </w:tcPr>
          <w:p w14:paraId="4186E45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401" w:type="dxa"/>
            <w:shd w:val="clear" w:color="auto" w:fill="auto"/>
            <w:noWrap w:val="0"/>
            <w:vAlign w:val="center"/>
          </w:tcPr>
          <w:p w14:paraId="2CD9383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43471EE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1663" w:type="dxa"/>
            <w:shd w:val="clear" w:color="auto" w:fill="auto"/>
            <w:noWrap w:val="0"/>
            <w:vAlign w:val="center"/>
          </w:tcPr>
          <w:p w14:paraId="1DABC1B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718" w:type="dxa"/>
            <w:shd w:val="clear" w:color="auto" w:fill="auto"/>
            <w:noWrap w:val="0"/>
            <w:vAlign w:val="center"/>
          </w:tcPr>
          <w:p w14:paraId="6377CBA8">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01A3FB2">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0AD7D5F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5E6F1D3B">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75D5F1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4220E9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815B843">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05BE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72F5E9ED">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63BAD03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1718FC5">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01" w:type="dxa"/>
            <w:shd w:val="clear" w:color="auto" w:fill="auto"/>
            <w:noWrap w:val="0"/>
            <w:vAlign w:val="center"/>
          </w:tcPr>
          <w:p w14:paraId="0DE5375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4E781ED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1663" w:type="dxa"/>
            <w:shd w:val="clear" w:color="auto" w:fill="auto"/>
            <w:noWrap w:val="0"/>
            <w:vAlign w:val="center"/>
          </w:tcPr>
          <w:p w14:paraId="2DE48CF1">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718" w:type="dxa"/>
            <w:shd w:val="clear" w:color="auto" w:fill="auto"/>
            <w:noWrap w:val="0"/>
            <w:vAlign w:val="center"/>
          </w:tcPr>
          <w:p w14:paraId="4BBBF55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AB47A2F">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2E2761F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0118229E">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C2D0A5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3ED2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2580BE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0613CE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01" w:type="dxa"/>
            <w:shd w:val="clear" w:color="auto" w:fill="auto"/>
            <w:noWrap w:val="0"/>
            <w:vAlign w:val="center"/>
          </w:tcPr>
          <w:p w14:paraId="3D50ACD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5645F210">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1663" w:type="dxa"/>
            <w:shd w:val="clear" w:color="auto" w:fill="auto"/>
            <w:noWrap w:val="0"/>
            <w:vAlign w:val="center"/>
          </w:tcPr>
          <w:p w14:paraId="3B18883F">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718" w:type="dxa"/>
            <w:shd w:val="clear" w:color="auto" w:fill="auto"/>
            <w:noWrap w:val="0"/>
            <w:vAlign w:val="center"/>
          </w:tcPr>
          <w:p w14:paraId="777918CC">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C5E4944">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6D5DDD23">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69B9420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370E78E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240A080B">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2C8352E">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CA42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37C1EA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3920767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1401" w:type="dxa"/>
            <w:shd w:val="clear" w:color="auto" w:fill="auto"/>
            <w:noWrap w:val="0"/>
            <w:vAlign w:val="center"/>
          </w:tcPr>
          <w:p w14:paraId="6607836A">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化解债务项目数量</w:t>
            </w:r>
          </w:p>
        </w:tc>
        <w:tc>
          <w:tcPr>
            <w:tcW w:w="1663" w:type="dxa"/>
            <w:shd w:val="clear" w:color="auto" w:fill="auto"/>
            <w:noWrap w:val="0"/>
            <w:vAlign w:val="center"/>
          </w:tcPr>
          <w:p w14:paraId="4FE5C7C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718" w:type="dxa"/>
            <w:shd w:val="clear" w:color="auto" w:fill="auto"/>
            <w:noWrap w:val="0"/>
            <w:vAlign w:val="center"/>
          </w:tcPr>
          <w:p w14:paraId="46C25B9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F2AFA9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305FC1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4347CA7">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D5AA649">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50B1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6A07378">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6763BAF6">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401" w:type="dxa"/>
            <w:shd w:val="clear" w:color="auto" w:fill="auto"/>
            <w:noWrap w:val="0"/>
            <w:vAlign w:val="center"/>
          </w:tcPr>
          <w:p w14:paraId="1B4417F1">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化债项目涉及企业</w:t>
            </w:r>
          </w:p>
        </w:tc>
        <w:tc>
          <w:tcPr>
            <w:tcW w:w="1663" w:type="dxa"/>
            <w:shd w:val="clear" w:color="auto" w:fill="auto"/>
            <w:noWrap w:val="0"/>
            <w:vAlign w:val="center"/>
          </w:tcPr>
          <w:p w14:paraId="1901C0A3">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718" w:type="dxa"/>
            <w:shd w:val="clear" w:color="auto" w:fill="auto"/>
            <w:noWrap w:val="0"/>
            <w:vAlign w:val="center"/>
          </w:tcPr>
          <w:p w14:paraId="4F9BBC2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65E7738">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B91C52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62BA708">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ACDC98E">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6957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03172D1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00FD4F3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1401" w:type="dxa"/>
            <w:shd w:val="clear" w:color="auto" w:fill="auto"/>
            <w:noWrap w:val="0"/>
            <w:vAlign w:val="center"/>
          </w:tcPr>
          <w:p w14:paraId="05121CBF">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资金使用合规率</w:t>
            </w:r>
          </w:p>
        </w:tc>
        <w:tc>
          <w:tcPr>
            <w:tcW w:w="1663" w:type="dxa"/>
            <w:shd w:val="clear" w:color="auto" w:fill="auto"/>
            <w:noWrap w:val="0"/>
            <w:vAlign w:val="center"/>
          </w:tcPr>
          <w:p w14:paraId="00F800E1">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718" w:type="dxa"/>
            <w:shd w:val="clear" w:color="auto" w:fill="auto"/>
            <w:noWrap w:val="0"/>
            <w:vAlign w:val="center"/>
          </w:tcPr>
          <w:p w14:paraId="13A1E14C">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4260E3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E774ED1">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89DC555">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8208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F42BE11">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906DF03">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1401" w:type="dxa"/>
            <w:shd w:val="clear" w:color="auto" w:fill="auto"/>
            <w:noWrap w:val="0"/>
            <w:vAlign w:val="center"/>
          </w:tcPr>
          <w:p w14:paraId="4E7040F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资金支付及时率</w:t>
            </w:r>
          </w:p>
        </w:tc>
        <w:tc>
          <w:tcPr>
            <w:tcW w:w="1663" w:type="dxa"/>
            <w:shd w:val="clear" w:color="auto" w:fill="auto"/>
            <w:noWrap w:val="0"/>
            <w:vAlign w:val="center"/>
          </w:tcPr>
          <w:p w14:paraId="007BE74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718" w:type="dxa"/>
            <w:shd w:val="clear" w:color="auto" w:fill="auto"/>
            <w:noWrap w:val="0"/>
            <w:vAlign w:val="center"/>
          </w:tcPr>
          <w:p w14:paraId="602686D3">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0FCDC5E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60A99B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97707B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9D48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511C68A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ACB23F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401" w:type="dxa"/>
            <w:shd w:val="clear" w:color="auto" w:fill="auto"/>
            <w:noWrap w:val="0"/>
            <w:vAlign w:val="center"/>
          </w:tcPr>
          <w:p w14:paraId="185FF53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化解综合服务中心主体工程项目债务成本</w:t>
            </w:r>
          </w:p>
        </w:tc>
        <w:tc>
          <w:tcPr>
            <w:tcW w:w="1663" w:type="dxa"/>
            <w:shd w:val="clear" w:color="auto" w:fill="auto"/>
            <w:noWrap w:val="0"/>
            <w:vAlign w:val="center"/>
          </w:tcPr>
          <w:p w14:paraId="5306621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718" w:type="dxa"/>
            <w:shd w:val="clear" w:color="auto" w:fill="auto"/>
            <w:noWrap w:val="0"/>
            <w:vAlign w:val="center"/>
          </w:tcPr>
          <w:p w14:paraId="51D19E4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p>
          <w:p w14:paraId="41314A72">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2FCF95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28746B0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774F41B9">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C4E9FAE">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30B5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5C8C7C7A">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40595E2">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401" w:type="dxa"/>
            <w:shd w:val="clear" w:color="auto" w:fill="auto"/>
            <w:noWrap w:val="0"/>
            <w:vAlign w:val="center"/>
          </w:tcPr>
          <w:p w14:paraId="5E4F159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化解综合服务中心室外管网项目债务成本</w:t>
            </w:r>
          </w:p>
        </w:tc>
        <w:tc>
          <w:tcPr>
            <w:tcW w:w="1663" w:type="dxa"/>
            <w:shd w:val="clear" w:color="auto" w:fill="auto"/>
            <w:noWrap w:val="0"/>
            <w:vAlign w:val="center"/>
          </w:tcPr>
          <w:p w14:paraId="5BAD074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718" w:type="dxa"/>
            <w:shd w:val="clear" w:color="auto" w:fill="auto"/>
            <w:noWrap w:val="0"/>
            <w:vAlign w:val="center"/>
          </w:tcPr>
          <w:p w14:paraId="18D4FE4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p>
          <w:p w14:paraId="12F164D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E687C96">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B5459F8">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792DC492">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DA60EB6">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007B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0CD3035F">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w:t>
            </w:r>
          </w:p>
        </w:tc>
        <w:tc>
          <w:tcPr>
            <w:tcW w:w="727" w:type="dxa"/>
            <w:vMerge w:val="restart"/>
            <w:shd w:val="clear" w:color="auto" w:fill="auto"/>
            <w:noWrap w:val="0"/>
            <w:vAlign w:val="center"/>
          </w:tcPr>
          <w:p w14:paraId="17E414E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w:t>
            </w:r>
          </w:p>
        </w:tc>
        <w:tc>
          <w:tcPr>
            <w:tcW w:w="1401" w:type="dxa"/>
            <w:shd w:val="clear" w:color="auto" w:fill="auto"/>
            <w:noWrap w:val="0"/>
            <w:vAlign w:val="center"/>
          </w:tcPr>
          <w:p w14:paraId="6B50363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化解单位债务，提升单位和政府形象</w:t>
            </w:r>
          </w:p>
        </w:tc>
        <w:tc>
          <w:tcPr>
            <w:tcW w:w="1663" w:type="dxa"/>
            <w:shd w:val="clear" w:color="auto" w:fill="auto"/>
            <w:noWrap w:val="0"/>
            <w:vAlign w:val="center"/>
          </w:tcPr>
          <w:p w14:paraId="1128379E">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718" w:type="dxa"/>
            <w:shd w:val="clear" w:color="auto" w:fill="auto"/>
            <w:noWrap w:val="0"/>
            <w:vAlign w:val="center"/>
          </w:tcPr>
          <w:p w14:paraId="236447B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02C7225">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4277D771">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6A350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346F03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EF11CC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01" w:type="dxa"/>
            <w:shd w:val="clear" w:color="auto" w:fill="auto"/>
            <w:noWrap w:val="0"/>
            <w:vAlign w:val="center"/>
          </w:tcPr>
          <w:p w14:paraId="309B3BEF">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完善政务债务化解机制</w:t>
            </w:r>
          </w:p>
        </w:tc>
        <w:tc>
          <w:tcPr>
            <w:tcW w:w="1663" w:type="dxa"/>
            <w:shd w:val="clear" w:color="auto" w:fill="auto"/>
            <w:noWrap w:val="0"/>
            <w:vAlign w:val="center"/>
          </w:tcPr>
          <w:p w14:paraId="5B7F690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718" w:type="dxa"/>
            <w:shd w:val="clear" w:color="auto" w:fill="auto"/>
            <w:noWrap w:val="0"/>
            <w:vAlign w:val="center"/>
          </w:tcPr>
          <w:p w14:paraId="5A42987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6EBB8C5">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382D3EA">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625BCA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E52728E">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AF71C3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01" w:type="dxa"/>
            <w:shd w:val="clear" w:color="auto" w:fill="auto"/>
            <w:noWrap w:val="0"/>
            <w:vAlign w:val="center"/>
          </w:tcPr>
          <w:p w14:paraId="4E550BE0">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ascii="宋体" w:hAnsi="宋体" w:eastAsia="宋体" w:cs="宋体"/>
                <w:i w:val="0"/>
                <w:color w:val="auto"/>
                <w:kern w:val="0"/>
                <w:sz w:val="18"/>
                <w:szCs w:val="18"/>
                <w:highlight w:val="none"/>
                <w:u w:val="none"/>
                <w:lang w:val="en-US" w:eastAsia="zh-CN" w:bidi="ar"/>
              </w:rPr>
              <w:t>受偿企业满意度</w:t>
            </w:r>
          </w:p>
        </w:tc>
        <w:tc>
          <w:tcPr>
            <w:tcW w:w="1663" w:type="dxa"/>
            <w:shd w:val="clear" w:color="auto" w:fill="auto"/>
            <w:noWrap w:val="0"/>
            <w:vAlign w:val="center"/>
          </w:tcPr>
          <w:p w14:paraId="7EEFB7D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000000"/>
                <w:kern w:val="0"/>
                <w:sz w:val="22"/>
                <w:szCs w:val="22"/>
                <w:highlight w:val="none"/>
              </w:rPr>
              <w:t>社会公众或服务对象对项目实施效果的满意程度。</w:t>
            </w:r>
          </w:p>
        </w:tc>
        <w:tc>
          <w:tcPr>
            <w:tcW w:w="7718" w:type="dxa"/>
            <w:shd w:val="clear" w:color="auto" w:fill="auto"/>
            <w:noWrap w:val="0"/>
            <w:vAlign w:val="center"/>
          </w:tcPr>
          <w:p w14:paraId="5D3834E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731EE780">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1462F5A6">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2F722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652" w:type="dxa"/>
            <w:gridSpan w:val="4"/>
            <w:shd w:val="clear" w:color="auto" w:fill="auto"/>
            <w:noWrap w:val="0"/>
            <w:vAlign w:val="center"/>
          </w:tcPr>
          <w:p w14:paraId="346A99C6">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718" w:type="dxa"/>
            <w:shd w:val="clear" w:color="auto" w:fill="auto"/>
            <w:noWrap w:val="0"/>
            <w:vAlign w:val="center"/>
          </w:tcPr>
          <w:p w14:paraId="77840A9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4FB305D1">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29605FFB">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75AFB7FE">
      <w:pPr>
        <w:pageBreakBefore w:val="0"/>
        <w:shd w:val="clear"/>
        <w:kinsoku/>
        <w:wordWrap/>
        <w:overflowPunct/>
        <w:topLinePunct w:val="0"/>
        <w:autoSpaceDE/>
        <w:autoSpaceDN/>
        <w:bidi w:val="0"/>
        <w:spacing w:line="560" w:lineRule="exact"/>
        <w:ind w:left="0" w:leftChars="0" w:firstLine="0" w:firstLineChars="0"/>
        <w:jc w:val="lef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3451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7BE4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07BE4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640BE3"/>
    <w:rsid w:val="02B015E2"/>
    <w:rsid w:val="02DC08FA"/>
    <w:rsid w:val="033B569D"/>
    <w:rsid w:val="039C3BA0"/>
    <w:rsid w:val="03A845BB"/>
    <w:rsid w:val="03B45AD1"/>
    <w:rsid w:val="04D12EE4"/>
    <w:rsid w:val="04D63993"/>
    <w:rsid w:val="07890F4F"/>
    <w:rsid w:val="08232E32"/>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EC685A"/>
    <w:rsid w:val="11B6439C"/>
    <w:rsid w:val="11BC011F"/>
    <w:rsid w:val="11FA6155"/>
    <w:rsid w:val="12CF0947"/>
    <w:rsid w:val="12F1313F"/>
    <w:rsid w:val="130E2AE5"/>
    <w:rsid w:val="13511E9A"/>
    <w:rsid w:val="136C678E"/>
    <w:rsid w:val="13EB2FF5"/>
    <w:rsid w:val="14ED4CAC"/>
    <w:rsid w:val="15A46B04"/>
    <w:rsid w:val="165825BC"/>
    <w:rsid w:val="16BC5D73"/>
    <w:rsid w:val="176F36D7"/>
    <w:rsid w:val="1795226D"/>
    <w:rsid w:val="18456B1E"/>
    <w:rsid w:val="19330FB4"/>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3BE768B"/>
    <w:rsid w:val="244D65B8"/>
    <w:rsid w:val="245E1E24"/>
    <w:rsid w:val="25AD5E5D"/>
    <w:rsid w:val="2732478D"/>
    <w:rsid w:val="27661469"/>
    <w:rsid w:val="27900EAD"/>
    <w:rsid w:val="279B538A"/>
    <w:rsid w:val="27C9064C"/>
    <w:rsid w:val="286F545C"/>
    <w:rsid w:val="29314FBC"/>
    <w:rsid w:val="2AA2081A"/>
    <w:rsid w:val="2C024B86"/>
    <w:rsid w:val="2C85414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6A42A22"/>
    <w:rsid w:val="36BD137C"/>
    <w:rsid w:val="38053EDF"/>
    <w:rsid w:val="380812A4"/>
    <w:rsid w:val="385D37E7"/>
    <w:rsid w:val="38782EDD"/>
    <w:rsid w:val="3B42664A"/>
    <w:rsid w:val="3CAD1E92"/>
    <w:rsid w:val="3D836A4E"/>
    <w:rsid w:val="3EA37E97"/>
    <w:rsid w:val="3FBE0BC5"/>
    <w:rsid w:val="4048103A"/>
    <w:rsid w:val="40736643"/>
    <w:rsid w:val="40D24A7A"/>
    <w:rsid w:val="42621029"/>
    <w:rsid w:val="42ED7784"/>
    <w:rsid w:val="433E2DD4"/>
    <w:rsid w:val="435241E2"/>
    <w:rsid w:val="43975C51"/>
    <w:rsid w:val="439E3FA7"/>
    <w:rsid w:val="44B32266"/>
    <w:rsid w:val="44FC64F4"/>
    <w:rsid w:val="4551157A"/>
    <w:rsid w:val="467F4585"/>
    <w:rsid w:val="470628CB"/>
    <w:rsid w:val="4729480B"/>
    <w:rsid w:val="47555BD4"/>
    <w:rsid w:val="47BC2DB1"/>
    <w:rsid w:val="47E96399"/>
    <w:rsid w:val="47F76025"/>
    <w:rsid w:val="486E33F5"/>
    <w:rsid w:val="48E12B50"/>
    <w:rsid w:val="499441BE"/>
    <w:rsid w:val="499A6C1C"/>
    <w:rsid w:val="4A195607"/>
    <w:rsid w:val="4A2138F0"/>
    <w:rsid w:val="4A583887"/>
    <w:rsid w:val="4A8C527C"/>
    <w:rsid w:val="4B9F6E02"/>
    <w:rsid w:val="4C89637B"/>
    <w:rsid w:val="4E6E48A8"/>
    <w:rsid w:val="4E922C96"/>
    <w:rsid w:val="4EEC036B"/>
    <w:rsid w:val="4F714FA1"/>
    <w:rsid w:val="501D2673"/>
    <w:rsid w:val="505C45AA"/>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E5E50E2"/>
    <w:rsid w:val="5FE72BD2"/>
    <w:rsid w:val="60120613"/>
    <w:rsid w:val="60A204FC"/>
    <w:rsid w:val="618D5292"/>
    <w:rsid w:val="622E78FA"/>
    <w:rsid w:val="6297415B"/>
    <w:rsid w:val="63343F70"/>
    <w:rsid w:val="64296E1C"/>
    <w:rsid w:val="64386FCC"/>
    <w:rsid w:val="649E64A2"/>
    <w:rsid w:val="6591179F"/>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EEB3DC4"/>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5126E9"/>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9949</Words>
  <Characters>10572</Characters>
  <Lines>0</Lines>
  <Paragraphs>0</Paragraphs>
  <TotalTime>1</TotalTime>
  <ScaleCrop>false</ScaleCrop>
  <LinksUpToDate>false</LinksUpToDate>
  <CharactersWithSpaces>10642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2025-10-24T05:13:03Z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D833E81974CE4410BFDC5756FE85BD61</vt:lpwstr>
  </property>
  <property fmtid="{D5CDD505-2E9C-101B-9397-08002B2CF9AE}" pid="4" name="KSOTemplateDocerSaveRecord">
    <vt:lpwstr>eyJoZGlkIjoiNTY3MmI4ODZmMjljZWZhNGFkN2U2N2Y4ODgwYjM5ZGIiLCJ1c2VySWQiOiIzNjI1MzY3NzcifQ==</vt:lpwstr>
  </property>
</Properties>
</file>