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3583D">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0A10C9E">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830A31C">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D8C298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_Toc1949"/>
      <w:bookmarkStart w:id="1" w:name="_Toc29123"/>
      <w:bookmarkStart w:id="2" w:name="_Toc25575"/>
      <w:bookmarkStart w:id="3" w:name="_Toc15679"/>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202</w:t>
      </w:r>
      <w:r>
        <w:rPr>
          <w:rFonts w:hint="eastAsia" w:cs="宋体"/>
          <w:b/>
          <w:bCs/>
          <w:color w:val="000000" w:themeColor="text1"/>
          <w:sz w:val="40"/>
          <w:szCs w:val="40"/>
          <w:highlight w:val="none"/>
          <w:shd w:val="clear" w:color="auto" w:fill="auto"/>
          <w:lang w:val="en-US" w:eastAsia="zh-CN"/>
          <w14:textFill>
            <w14:solidFill>
              <w14:schemeClr w14:val="tx1"/>
            </w14:solidFill>
          </w14:textFill>
        </w:rPr>
        <w:t>3</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年天池管委会还本付息</w:t>
      </w:r>
      <w:r>
        <w:rPr>
          <w:rFonts w:hint="eastAsia" w:cs="宋体"/>
          <w:b/>
          <w:bCs/>
          <w:color w:val="000000" w:themeColor="text1"/>
          <w:sz w:val="40"/>
          <w:szCs w:val="40"/>
          <w:highlight w:val="none"/>
          <w:shd w:val="clear" w:color="auto" w:fill="auto"/>
          <w:lang w:val="en-US" w:eastAsia="zh-CN"/>
          <w14:textFill>
            <w14:solidFill>
              <w14:schemeClr w14:val="tx1"/>
            </w14:solidFill>
          </w14:textFill>
        </w:rPr>
        <w:t>支出</w:t>
      </w:r>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bookmarkEnd w:id="0"/>
      <w:bookmarkEnd w:id="1"/>
      <w:bookmarkEnd w:id="2"/>
      <w:bookmarkEnd w:id="3"/>
    </w:p>
    <w:p w14:paraId="54DA8377">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48B0A4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FADD2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0484D7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11C94B7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4C9439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A58B6B6">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224E33CB">
      <w:pPr>
        <w:spacing w:line="360" w:lineRule="auto"/>
        <w:ind w:firstLine="0" w:firstLineChars="0"/>
        <w:jc w:val="left"/>
        <w:rPr>
          <w:rFonts w:hint="default" w:ascii="黑体" w:hAnsi="Times New Roman" w:eastAsia="黑体"/>
          <w:b w:val="0"/>
          <w:bCs/>
          <w:color w:val="000000"/>
          <w:sz w:val="30"/>
          <w:szCs w:val="30"/>
          <w:lang w:val="en-US"/>
        </w:rPr>
      </w:pPr>
      <w:r>
        <w:rPr>
          <w:rFonts w:hint="eastAsia" w:ascii="黑体" w:hAnsi="Times New Roman" w:eastAsia="黑体"/>
          <w:b w:val="0"/>
          <w:bCs/>
          <w:color w:val="000000"/>
          <w:sz w:val="30"/>
          <w:szCs w:val="30"/>
        </w:rPr>
        <w:t>项目名称：</w:t>
      </w:r>
      <w:r>
        <w:rPr>
          <w:rFonts w:hint="eastAsia" w:ascii="黑体" w:hAnsi="Times New Roman" w:eastAsia="黑体"/>
          <w:b w:val="0"/>
          <w:bCs/>
          <w:color w:val="000000"/>
          <w:sz w:val="30"/>
          <w:szCs w:val="30"/>
          <w:lang w:val="en-US" w:eastAsia="zh-CN"/>
        </w:rPr>
        <w:t>2023年天池管委会还本付息支出</w:t>
      </w:r>
    </w:p>
    <w:p w14:paraId="0C973281">
      <w:pPr>
        <w:spacing w:line="360" w:lineRule="auto"/>
        <w:ind w:firstLine="0" w:firstLineChars="0"/>
        <w:jc w:val="left"/>
        <w:rPr>
          <w:rFonts w:hint="eastAsia"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val="en-US" w:eastAsia="zh-CN"/>
        </w:rPr>
        <w:t>新疆天池管理委员会</w:t>
      </w:r>
    </w:p>
    <w:p w14:paraId="47D86CF6">
      <w:pPr>
        <w:spacing w:line="360" w:lineRule="auto"/>
        <w:ind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主管部门：</w:t>
      </w:r>
      <w:r>
        <w:rPr>
          <w:rFonts w:hint="eastAsia" w:ascii="黑体" w:hAnsi="Times New Roman" w:eastAsia="黑体"/>
          <w:b w:val="0"/>
          <w:bCs/>
          <w:color w:val="000000"/>
          <w:sz w:val="30"/>
          <w:szCs w:val="30"/>
          <w:lang w:val="en-US" w:eastAsia="zh-CN"/>
        </w:rPr>
        <w:t>新疆天池管理委员会</w:t>
      </w:r>
    </w:p>
    <w:p w14:paraId="05F1022C">
      <w:pPr>
        <w:spacing w:line="360" w:lineRule="auto"/>
        <w:ind w:firstLine="0" w:firstLineChars="0"/>
        <w:jc w:val="left"/>
        <w:rPr>
          <w:rFonts w:hint="eastAsia"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eastAsia="zh-CN"/>
        </w:rPr>
        <w:t>项目负责人：</w:t>
      </w:r>
      <w:r>
        <w:rPr>
          <w:rFonts w:hint="eastAsia" w:ascii="黑体" w:hAnsi="Times New Roman" w:eastAsia="黑体"/>
          <w:b w:val="0"/>
          <w:bCs/>
          <w:color w:val="000000"/>
          <w:sz w:val="30"/>
          <w:szCs w:val="30"/>
          <w:lang w:val="en-US" w:eastAsia="zh-CN"/>
        </w:rPr>
        <w:t>马峥</w:t>
      </w:r>
    </w:p>
    <w:p w14:paraId="7133F74C">
      <w:pPr>
        <w:spacing w:line="360" w:lineRule="auto"/>
        <w:ind w:firstLine="0" w:firstLineChars="0"/>
        <w:jc w:val="left"/>
        <w:rPr>
          <w:rFonts w:hint="default"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lang w:eastAsia="zh-CN"/>
        </w:rPr>
        <w:t>填报时间：</w:t>
      </w:r>
      <w:r>
        <w:rPr>
          <w:rFonts w:hint="eastAsia" w:ascii="黑体" w:hAnsi="Times New Roman" w:eastAsia="黑体"/>
          <w:b w:val="0"/>
          <w:bCs/>
          <w:color w:val="000000"/>
          <w:sz w:val="30"/>
          <w:szCs w:val="30"/>
          <w:lang w:val="en-US" w:eastAsia="zh-CN"/>
        </w:rPr>
        <w:t>2025年4月27日</w:t>
      </w:r>
    </w:p>
    <w:p w14:paraId="0D098642">
      <w:pPr>
        <w:pStyle w:val="15"/>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427FA030">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6FEB19F8">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66AB5027">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3F95FCDD">
          <w:pPr>
            <w:pStyle w:val="11"/>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7FC690EA">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71EEED25">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276ED09A">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5</w:t>
          </w:r>
          <w:r>
            <w:fldChar w:fldCharType="end"/>
          </w:r>
          <w:r>
            <w:rPr>
              <w:rFonts w:hint="eastAsia"/>
              <w:szCs w:val="28"/>
              <w:lang w:val="en-US" w:eastAsia="zh-CN"/>
            </w:rPr>
            <w:fldChar w:fldCharType="end"/>
          </w:r>
        </w:p>
        <w:p w14:paraId="5DC2B7B7">
          <w:pPr>
            <w:pStyle w:val="11"/>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0AE3D71E">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6</w:t>
          </w:r>
          <w:r>
            <w:fldChar w:fldCharType="end"/>
          </w:r>
          <w:r>
            <w:rPr>
              <w:rFonts w:hint="eastAsia"/>
              <w:szCs w:val="28"/>
              <w:lang w:val="en-US" w:eastAsia="zh-CN"/>
            </w:rPr>
            <w:fldChar w:fldCharType="end"/>
          </w:r>
        </w:p>
        <w:p w14:paraId="53838E8B">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2060F4F5">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13</w:t>
          </w:r>
          <w:r>
            <w:fldChar w:fldCharType="end"/>
          </w:r>
          <w:r>
            <w:rPr>
              <w:rFonts w:hint="eastAsia"/>
              <w:szCs w:val="28"/>
              <w:lang w:val="en-US" w:eastAsia="zh-CN"/>
            </w:rPr>
            <w:fldChar w:fldCharType="end"/>
          </w:r>
        </w:p>
        <w:p w14:paraId="2DF2DF0F">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15</w:t>
          </w:r>
          <w:r>
            <w:fldChar w:fldCharType="end"/>
          </w:r>
          <w:r>
            <w:rPr>
              <w:rFonts w:hint="eastAsia"/>
              <w:szCs w:val="28"/>
              <w:lang w:val="en-US" w:eastAsia="zh-CN"/>
            </w:rPr>
            <w:fldChar w:fldCharType="end"/>
          </w:r>
        </w:p>
        <w:p w14:paraId="4EE24078">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15</w:t>
          </w:r>
          <w:r>
            <w:fldChar w:fldCharType="end"/>
          </w:r>
          <w:r>
            <w:rPr>
              <w:rFonts w:hint="eastAsia"/>
              <w:szCs w:val="28"/>
              <w:lang w:val="en-US" w:eastAsia="zh-CN"/>
            </w:rPr>
            <w:fldChar w:fldCharType="end"/>
          </w:r>
        </w:p>
        <w:p w14:paraId="275C4B51">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16</w:t>
          </w:r>
          <w:r>
            <w:fldChar w:fldCharType="end"/>
          </w:r>
          <w:r>
            <w:rPr>
              <w:rFonts w:hint="eastAsia"/>
              <w:szCs w:val="28"/>
              <w:lang w:val="en-US" w:eastAsia="zh-CN"/>
            </w:rPr>
            <w:fldChar w:fldCharType="end"/>
          </w:r>
        </w:p>
        <w:p w14:paraId="3E510093">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17</w:t>
          </w:r>
          <w:r>
            <w:fldChar w:fldCharType="end"/>
          </w:r>
          <w:r>
            <w:rPr>
              <w:rFonts w:hint="eastAsia"/>
              <w:szCs w:val="28"/>
              <w:lang w:val="en-US" w:eastAsia="zh-CN"/>
            </w:rPr>
            <w:fldChar w:fldCharType="end"/>
          </w:r>
        </w:p>
        <w:p w14:paraId="4B816598">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17</w:t>
          </w:r>
          <w:r>
            <w:fldChar w:fldCharType="end"/>
          </w:r>
          <w:r>
            <w:rPr>
              <w:rFonts w:hint="eastAsia"/>
              <w:szCs w:val="28"/>
              <w:lang w:val="en-US" w:eastAsia="zh-CN"/>
            </w:rPr>
            <w:fldChar w:fldCharType="end"/>
          </w:r>
        </w:p>
        <w:p w14:paraId="67E71CC4">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20</w:t>
          </w:r>
          <w:r>
            <w:fldChar w:fldCharType="end"/>
          </w:r>
          <w:r>
            <w:rPr>
              <w:rFonts w:hint="eastAsia"/>
              <w:szCs w:val="28"/>
              <w:lang w:val="en-US" w:eastAsia="zh-CN"/>
            </w:rPr>
            <w:fldChar w:fldCharType="end"/>
          </w:r>
        </w:p>
        <w:p w14:paraId="2B0B3E3D">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22</w:t>
          </w:r>
          <w:r>
            <w:fldChar w:fldCharType="end"/>
          </w:r>
          <w:r>
            <w:rPr>
              <w:rFonts w:hint="eastAsia"/>
              <w:szCs w:val="28"/>
              <w:lang w:val="en-US" w:eastAsia="zh-CN"/>
            </w:rPr>
            <w:fldChar w:fldCharType="end"/>
          </w:r>
        </w:p>
        <w:p w14:paraId="5335DA1F">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24</w:t>
          </w:r>
          <w:r>
            <w:fldChar w:fldCharType="end"/>
          </w:r>
          <w:r>
            <w:rPr>
              <w:rFonts w:hint="eastAsia"/>
              <w:szCs w:val="28"/>
              <w:lang w:val="en-US" w:eastAsia="zh-CN"/>
            </w:rPr>
            <w:fldChar w:fldCharType="end"/>
          </w:r>
        </w:p>
        <w:p w14:paraId="675A1CD7">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（五）满意度指标完成情况分析</w:t>
          </w:r>
          <w:r>
            <w:tab/>
          </w:r>
          <w:r>
            <w:fldChar w:fldCharType="begin"/>
          </w:r>
          <w:r>
            <w:instrText xml:space="preserve"> PAGEREF _Toc23313 \h </w:instrText>
          </w:r>
          <w:r>
            <w:fldChar w:fldCharType="separate"/>
          </w:r>
          <w:r>
            <w:t>25</w:t>
          </w:r>
          <w:r>
            <w:fldChar w:fldCharType="end"/>
          </w:r>
          <w:r>
            <w:rPr>
              <w:rFonts w:hint="eastAsia"/>
              <w:szCs w:val="28"/>
              <w:lang w:val="en-US" w:eastAsia="zh-CN"/>
            </w:rPr>
            <w:fldChar w:fldCharType="end"/>
          </w:r>
        </w:p>
        <w:p w14:paraId="36164D40">
          <w:pPr>
            <w:pStyle w:val="11"/>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14048F14">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25</w:t>
          </w:r>
          <w:r>
            <w:fldChar w:fldCharType="end"/>
          </w:r>
          <w:r>
            <w:rPr>
              <w:rFonts w:hint="eastAsia"/>
              <w:szCs w:val="28"/>
              <w:lang w:val="en-US" w:eastAsia="zh-CN"/>
            </w:rPr>
            <w:fldChar w:fldCharType="end"/>
          </w:r>
        </w:p>
        <w:p w14:paraId="7ED5B74C">
          <w:pPr>
            <w:pStyle w:val="11"/>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25</w:t>
          </w:r>
          <w:r>
            <w:fldChar w:fldCharType="end"/>
          </w:r>
          <w:r>
            <w:rPr>
              <w:rFonts w:hint="eastAsia"/>
              <w:szCs w:val="28"/>
              <w:lang w:val="en-US" w:eastAsia="zh-CN"/>
            </w:rPr>
            <w:fldChar w:fldCharType="end"/>
          </w:r>
        </w:p>
        <w:p w14:paraId="610D9ED0">
          <w:pPr>
            <w:pStyle w:val="11"/>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25</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3ED2D27">
          <w:pPr>
            <w:pStyle w:val="11"/>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900B16C">
          <w:pPr>
            <w:pStyle w:val="11"/>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CEEF231">
          <w:pPr>
            <w:pStyle w:val="11"/>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29</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155F0B73">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0C9310D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bookmarkStart w:id="4" w:name="_Toc1194"/>
      <w:bookmarkStart w:id="5" w:name="_Toc22946"/>
      <w:bookmarkStart w:id="6" w:name="_Toc20432"/>
      <w:bookmarkStart w:id="7" w:name="_Toc3663"/>
      <w:r>
        <w:rPr>
          <w:rFonts w:hint="eastAsia" w:cs="宋体"/>
          <w:b/>
          <w:bCs/>
          <w:color w:val="000000" w:themeColor="text1"/>
          <w:sz w:val="36"/>
          <w:szCs w:val="36"/>
          <w:highlight w:val="none"/>
          <w:shd w:val="clear" w:color="auto" w:fill="auto"/>
          <w:lang w:val="en-US" w:eastAsia="zh-CN"/>
          <w14:textFill>
            <w14:solidFill>
              <w14:schemeClr w14:val="tx1"/>
            </w14:solidFill>
          </w14:textFill>
        </w:rPr>
        <w:t>2023年天池管委会还本付息支出</w:t>
      </w:r>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项目支出绩效评价报</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告</w:t>
      </w:r>
      <w:bookmarkEnd w:id="4"/>
      <w:bookmarkEnd w:id="5"/>
      <w:bookmarkEnd w:id="6"/>
      <w:bookmarkEnd w:id="7"/>
    </w:p>
    <w:p w14:paraId="7C5C1334">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0DBCF705">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7BC6EB69">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22346"/>
      <w:bookmarkStart w:id="11" w:name="_Toc10645"/>
      <w:bookmarkStart w:id="12" w:name="_Toc5043"/>
      <w:bookmarkStart w:id="13" w:name="_Toc29812"/>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404ACE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2014年经过阜康市第五届人大常委会第25次会议审议，同意向中国工商银行股份有限公司阜康支行办理贷款19600万元，贷款期限10年，贷款用途为景区基础设施维修维护等。</w:t>
      </w:r>
    </w:p>
    <w:p w14:paraId="061A5468">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10730"/>
      <w:bookmarkStart w:id="15" w:name="_Toc17880"/>
      <w:bookmarkStart w:id="16" w:name="_Toc27343"/>
      <w:bookmarkStart w:id="17" w:name="_Toc163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45F0617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8" w:name="_Toc21898"/>
      <w:bookmarkStart w:id="19" w:name="_Toc16592"/>
      <w:bookmarkStart w:id="20" w:name="_Toc27409"/>
      <w:bookmarkStart w:id="21" w:name="_Toc27245"/>
      <w:r>
        <w:rPr>
          <w:rFonts w:hint="eastAsia" w:ascii="仿宋_GB2312" w:hAnsi="仿宋_GB2312" w:eastAsia="仿宋_GB2312" w:cs="仿宋_GB2312"/>
          <w:b/>
          <w:bCs/>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color w:val="auto"/>
          <w:sz w:val="32"/>
          <w:szCs w:val="32"/>
          <w:highlight w:val="none"/>
          <w:shd w:val="clear" w:color="auto" w:fill="auto"/>
          <w:lang w:val="en-US" w:eastAsia="zh-CN"/>
        </w:rPr>
        <w:t>按照我单位与中国工商银行股份有限公司阜康支行签订的《固定资产支持融资借款合同》及补充合同（0300400006-2014年（阜康）字0041号），2024年归还中国工商银行贷款本金4947.15万元，归还利息200万元。</w:t>
      </w:r>
    </w:p>
    <w:p w14:paraId="2231AFB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2014年经过阜康市第五届人大常委会第25次会议审议，依据与中国工商银行签订的贷款合同。2024年确定了项目领导小组，明确了责任分工：组长为王琪，副组长为马峥，项目负责人为于慧芳，组员为王艺璇、王玉丽，其中马峥负责监管工作，王艺璇负责项目档案资料，王玉丽负责资金拨付工作。我单位于2024年7月、10月归还贷款本金4947.15万元，于2024年3月、6月、9月、12月归还贷款利息200万元。</w:t>
      </w:r>
    </w:p>
    <w:p w14:paraId="1C19F6B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2" w:name="_Toc569"/>
      <w:bookmarkStart w:id="23" w:name="_Toc1858"/>
      <w:bookmarkStart w:id="24" w:name="_Toc10240"/>
      <w:bookmarkStart w:id="25" w:name="_Toc1234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057B0E8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26369"/>
      <w:bookmarkStart w:id="27" w:name="_Toc23509"/>
      <w:bookmarkStart w:id="28" w:name="_Toc694"/>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2100688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9" w:name="_Toc3409"/>
      <w:bookmarkStart w:id="30" w:name="_Toc1166"/>
      <w:bookmarkStart w:id="31" w:name="_Toc28187"/>
      <w:r>
        <w:rPr>
          <w:rFonts w:hint="eastAsia" w:ascii="仿宋_GB2312" w:hAnsi="仿宋_GB2312" w:eastAsia="仿宋_GB2312" w:cs="仿宋_GB2312"/>
          <w:color w:val="auto"/>
          <w:sz w:val="32"/>
          <w:szCs w:val="32"/>
          <w:highlight w:val="none"/>
          <w:shd w:val="clear" w:color="auto" w:fill="auto"/>
          <w:lang w:val="en-US" w:eastAsia="zh-CN"/>
        </w:rPr>
        <w:t>天池管委会2024年归还贷款本息项目年初预算数5147.15万元，该项资金已全部落实到位，资金来源为财政拨款。</w:t>
      </w:r>
    </w:p>
    <w:p w14:paraId="5122100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bookmarkEnd w:id="29"/>
      <w:bookmarkEnd w:id="30"/>
      <w:bookmarkEnd w:id="31"/>
    </w:p>
    <w:p w14:paraId="5A9FA6C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879" w:firstLineChars="0"/>
        <w:textAlignment w:val="auto"/>
        <w:rPr>
          <w:rFonts w:hint="default" w:ascii="仿宋_GB2312" w:hAnsi="仿宋_GB2312" w:eastAsia="仿宋_GB2312" w:cs="仿宋_GB2312"/>
          <w:color w:val="auto"/>
          <w:sz w:val="32"/>
          <w:szCs w:val="32"/>
          <w:highlight w:val="none"/>
          <w:shd w:val="clear" w:color="auto" w:fill="auto"/>
          <w:lang w:val="en-US" w:eastAsia="zh-CN"/>
        </w:rPr>
      </w:pPr>
      <w:bookmarkStart w:id="32" w:name="_Toc29121"/>
      <w:bookmarkStart w:id="33" w:name="_Toc11647"/>
      <w:bookmarkStart w:id="34" w:name="_Toc1430"/>
      <w:r>
        <w:rPr>
          <w:rFonts w:hint="eastAsia" w:ascii="仿宋_GB2312" w:hAnsi="仿宋_GB2312" w:eastAsia="仿宋_GB2312" w:cs="仿宋_GB2312"/>
          <w:color w:val="auto"/>
          <w:sz w:val="32"/>
          <w:szCs w:val="32"/>
          <w:highlight w:val="none"/>
          <w:shd w:val="clear" w:color="auto" w:fill="auto"/>
          <w:lang w:val="en-US" w:eastAsia="zh-CN"/>
        </w:rPr>
        <w:t>该项目年初预算数为5147.15万元，全年预算数为5147.15万元，截止2024年12月31日，全年执行数5147.15万元，预算执行率为100%，主要用于归还中国工商银行股份有限公司阜康支行的贷款本息。</w:t>
      </w:r>
    </w:p>
    <w:bookmarkEnd w:id="32"/>
    <w:bookmarkEnd w:id="33"/>
    <w:bookmarkEnd w:id="34"/>
    <w:p w14:paraId="12C8F321">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5" w:name="_Toc9109"/>
      <w:r>
        <w:rPr>
          <w:rFonts w:hint="eastAsia" w:ascii="Times New Roman" w:hAnsi="Times New Roman" w:eastAsia="楷体_GB2312" w:cs="Times New Roman"/>
          <w:kern w:val="28"/>
          <w:sz w:val="32"/>
          <w:lang w:val="en-US" w:eastAsia="zh-CN"/>
        </w:rPr>
        <w:t>（二）项目绩效目标</w:t>
      </w:r>
      <w:bookmarkEnd w:id="35"/>
    </w:p>
    <w:p w14:paraId="77167ED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6" w:name="_Toc10047"/>
      <w:bookmarkStart w:id="37" w:name="_Toc14758"/>
      <w:bookmarkStart w:id="38" w:name="_Toc2547"/>
      <w:bookmarkStart w:id="39" w:name="_Toc852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6"/>
      <w:bookmarkEnd w:id="37"/>
      <w:bookmarkEnd w:id="38"/>
      <w:bookmarkEnd w:id="39"/>
    </w:p>
    <w:p w14:paraId="6095262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2023年天池管委会还本付息支出项目绩效总体目标为：景区部分基础设施建设不足，为进一步提升景区高质量发展，拟定此项目的年度预算5147.15万元，负责向财政申请资金并支付给工商银行，2024年计划向工商银行分2次支付贷款本金，分4次向工商银行按季度支付贷款利息，总共5147.15万元。取得银行贷款后有效解决天池景区基础设施建设资金不足问题，对景区的提升改造起到了关键的作用。</w:t>
      </w:r>
    </w:p>
    <w:p w14:paraId="62B18887">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0" w:name="_Toc8990"/>
      <w:bookmarkStart w:id="41" w:name="_Toc4487"/>
      <w:bookmarkStart w:id="42" w:name="_Toc4007"/>
      <w:bookmarkStart w:id="43" w:name="_Toc3255"/>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0"/>
      <w:bookmarkEnd w:id="41"/>
      <w:bookmarkEnd w:id="42"/>
      <w:bookmarkEnd w:id="43"/>
    </w:p>
    <w:p w14:paraId="41B6C9D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auto"/>
          <w:sz w:val="32"/>
          <w:szCs w:val="32"/>
          <w:highlight w:val="none"/>
          <w:shd w:val="clear" w:color="auto" w:fill="auto"/>
          <w:lang w:val="en-US" w:eastAsia="zh-CN"/>
        </w:rPr>
        <w:t>根据《预算法》《财政支出绩效评价管理暂行办法》（财预〔2020〕10号）等文件的规定，结合项目实施单位的规章制度以及财务相关资料，评价小组对项目绩效目标进行了进一步的完善，完善后绩效目标如下：</w:t>
      </w:r>
    </w:p>
    <w:p w14:paraId="50B20CC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（1）项目产出目标</w:t>
      </w:r>
    </w:p>
    <w:p w14:paraId="4D074B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4DA1017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“本金归还次数”指标，预期指标值为2次；</w:t>
      </w:r>
    </w:p>
    <w:p w14:paraId="1E947B1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“利息归还次数”指标，预期指标值为4次；</w:t>
      </w:r>
    </w:p>
    <w:p w14:paraId="099B9EB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1F46751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“本金按期归还率</w:t>
      </w:r>
      <w:r>
        <w:rPr>
          <w:rFonts w:hint="eastAsia" w:ascii="仿宋_GB2312" w:hAnsi="仿宋_GB2312" w:eastAsia="仿宋_GB2312" w:cs="仿宋_GB2312"/>
          <w:color w:val="auto"/>
          <w:sz w:val="32"/>
          <w:szCs w:val="32"/>
          <w:highlight w:val="none"/>
          <w:shd w:val="clear" w:color="auto" w:fill="auto"/>
          <w:lang w:val="en-US" w:eastAsia="zh-CN"/>
        </w:rPr>
        <w:tab/>
      </w:r>
      <w:r>
        <w:rPr>
          <w:rFonts w:hint="eastAsia" w:ascii="仿宋_GB2312" w:hAnsi="仿宋_GB2312" w:eastAsia="仿宋_GB2312" w:cs="仿宋_GB2312"/>
          <w:color w:val="auto"/>
          <w:sz w:val="32"/>
          <w:szCs w:val="32"/>
          <w:highlight w:val="none"/>
          <w:shd w:val="clear" w:color="auto" w:fill="auto"/>
          <w:lang w:val="en-US" w:eastAsia="zh-CN"/>
        </w:rPr>
        <w:t>”指标，预期指标值为100%；</w:t>
      </w:r>
    </w:p>
    <w:p w14:paraId="743792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“利息按期归还率</w:t>
      </w:r>
      <w:r>
        <w:rPr>
          <w:rFonts w:hint="eastAsia" w:ascii="仿宋_GB2312" w:hAnsi="仿宋_GB2312" w:eastAsia="仿宋_GB2312" w:cs="仿宋_GB2312"/>
          <w:color w:val="auto"/>
          <w:sz w:val="32"/>
          <w:szCs w:val="32"/>
          <w:highlight w:val="none"/>
          <w:shd w:val="clear" w:color="auto" w:fill="auto"/>
          <w:lang w:val="en-US" w:eastAsia="zh-CN"/>
        </w:rPr>
        <w:tab/>
      </w:r>
      <w:r>
        <w:rPr>
          <w:rFonts w:hint="eastAsia" w:ascii="仿宋_GB2312" w:hAnsi="仿宋_GB2312" w:eastAsia="仿宋_GB2312" w:cs="仿宋_GB2312"/>
          <w:color w:val="auto"/>
          <w:sz w:val="32"/>
          <w:szCs w:val="32"/>
          <w:highlight w:val="none"/>
          <w:shd w:val="clear" w:color="auto" w:fill="auto"/>
          <w:lang w:val="en-US" w:eastAsia="zh-CN"/>
        </w:rPr>
        <w:t>”指标，预期指标值为100%；</w:t>
      </w:r>
    </w:p>
    <w:p w14:paraId="66F5C5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0F4B7A6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“按期归还本金及时率”指标，预期指标值为100%；</w:t>
      </w:r>
    </w:p>
    <w:p w14:paraId="5AE11A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“按季度归还利息及时率”指标，预期指标值为100%；</w:t>
      </w:r>
    </w:p>
    <w:p w14:paraId="4B7CA9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2F417D5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“归还本金总额”指标，预期指标值为4947.15万元；</w:t>
      </w:r>
    </w:p>
    <w:p w14:paraId="5DFCD3F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“归还利息总额”指标，预期指标值为≤200万元；</w:t>
      </w:r>
    </w:p>
    <w:p w14:paraId="442A283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（3）项目效益目标</w:t>
      </w:r>
    </w:p>
    <w:p w14:paraId="35A4A43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04272D0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“有效解决天池景区基础设施建设资金不足问题”指标，预期指标值为有效解决；</w:t>
      </w:r>
    </w:p>
    <w:p w14:paraId="0949D23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②生态效益指标</w:t>
      </w:r>
    </w:p>
    <w:p w14:paraId="52676D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“提升景区绿化生态品质和旅游品质”指标，预期指标值为提升。</w:t>
      </w:r>
    </w:p>
    <w:p w14:paraId="50B9C400">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4"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4"/>
    </w:p>
    <w:p w14:paraId="71E14B2A">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5" w:name="_Toc480473081"/>
      <w:bookmarkStart w:id="46" w:name="_Toc12868"/>
      <w:bookmarkStart w:id="47" w:name="_Toc22169_WPSOffice_Level2"/>
      <w:bookmarkStart w:id="48" w:name="_Toc5258"/>
      <w:bookmarkStart w:id="49" w:name="_Toc22922"/>
      <w:bookmarkStart w:id="50" w:name="_Toc5462343"/>
      <w:bookmarkStart w:id="51" w:name="_Toc21664"/>
      <w:bookmarkStart w:id="52" w:name="_Toc26632"/>
      <w:bookmarkStart w:id="53" w:name="_Toc22839"/>
      <w:r>
        <w:rPr>
          <w:rFonts w:hint="eastAsia" w:ascii="Times New Roman" w:hAnsi="Times New Roman" w:eastAsia="楷体_GB2312" w:cs="Times New Roman"/>
          <w:kern w:val="28"/>
          <w:sz w:val="32"/>
          <w:lang w:val="en-US" w:eastAsia="zh-CN"/>
        </w:rPr>
        <w:t>（一）绩效评价的目的</w:t>
      </w:r>
      <w:bookmarkEnd w:id="45"/>
      <w:bookmarkEnd w:id="46"/>
      <w:bookmarkEnd w:id="47"/>
      <w:bookmarkEnd w:id="48"/>
      <w:bookmarkEnd w:id="49"/>
      <w:bookmarkEnd w:id="50"/>
      <w:bookmarkEnd w:id="51"/>
      <w:bookmarkEnd w:id="52"/>
      <w:r>
        <w:rPr>
          <w:rFonts w:hint="eastAsia" w:ascii="Times New Roman" w:hAnsi="Times New Roman" w:eastAsia="楷体_GB2312" w:cs="Times New Roman"/>
          <w:kern w:val="28"/>
          <w:sz w:val="32"/>
          <w:lang w:val="en-US" w:eastAsia="zh-CN"/>
        </w:rPr>
        <w:t>、对象和范围</w:t>
      </w:r>
      <w:bookmarkEnd w:id="53"/>
    </w:p>
    <w:p w14:paraId="03DC644F">
      <w:pPr>
        <w:pStyle w:val="15"/>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4"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1FF7F95D">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4476A110">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w:t>
      </w:r>
      <w:r>
        <w:rPr>
          <w:rFonts w:hint="eastAsia" w:ascii="Times New Roman" w:hAnsi="Times New Roman"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w:t>
      </w:r>
      <w:r>
        <w:rPr>
          <w:rFonts w:hint="eastAsia" w:ascii="Times New Roman" w:hAnsi="Times New Roman" w:eastAsia="仿宋_GB2312" w:cs="Times New Roman"/>
          <w:sz w:val="32"/>
          <w:szCs w:val="32"/>
          <w:highlight w:val="none"/>
          <w:lang w:val="en-US" w:eastAsia="zh-CN"/>
        </w:rPr>
        <w:t>等多个维度，力求全方位反映</w:t>
      </w:r>
      <w:r>
        <w:rPr>
          <w:rFonts w:hint="default" w:ascii="Times New Roman" w:hAnsi="Times New Roman" w:eastAsia="仿宋_GB2312" w:cs="Times New Roman"/>
          <w:sz w:val="32"/>
          <w:szCs w:val="32"/>
          <w:highlight w:val="none"/>
          <w:lang w:val="en-US" w:eastAsia="zh-CN"/>
        </w:rPr>
        <w:t>项目</w:t>
      </w:r>
      <w:r>
        <w:rPr>
          <w:rFonts w:hint="eastAsia" w:ascii="Times New Roman" w:hAnsi="Times New Roman" w:eastAsia="仿宋_GB2312" w:cs="Times New Roman"/>
          <w:sz w:val="32"/>
          <w:szCs w:val="32"/>
          <w:highlight w:val="none"/>
          <w:lang w:val="en-US" w:eastAsia="zh-CN"/>
        </w:rPr>
        <w:t>的绩效状况。同时，对于每个指标的评价标准和数据来源均进行了明确说明，确保评价结果的客观性和可追溯性。</w:t>
      </w:r>
    </w:p>
    <w:p w14:paraId="0007743D">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0937BC84">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90B7BC8">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35C50181">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5" w:name="_Toc417"/>
      <w:bookmarkStart w:id="56" w:name="_Toc21770"/>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4"/>
      <w:bookmarkEnd w:id="55"/>
      <w:bookmarkEnd w:id="56"/>
    </w:p>
    <w:p w14:paraId="07009D09">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3E34A6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57" w:name="_Toc30609"/>
      <w:r>
        <w:rPr>
          <w:rFonts w:hint="default" w:ascii="Times New Roman" w:hAnsi="Times New Roman" w:eastAsia="仿宋_GB2312" w:cs="Times New Roman"/>
          <w:sz w:val="32"/>
          <w:szCs w:val="32"/>
          <w:highlight w:val="none"/>
        </w:rPr>
        <w:t>（1）评估项目实施效果</w:t>
      </w:r>
    </w:p>
    <w:p w14:paraId="471571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rPr>
        <w:t>效益</w:t>
      </w:r>
      <w:r>
        <w:rPr>
          <w:rFonts w:hint="eastAsia" w:ascii="Times New Roman" w:hAnsi="Times New Roman" w:eastAsia="仿宋_GB2312" w:cs="Times New Roman"/>
          <w:sz w:val="32"/>
          <w:szCs w:val="32"/>
          <w:highlight w:val="none"/>
          <w:lang w:eastAsia="zh-CN"/>
        </w:rPr>
        <w:t>等多维度指标，为项目后续的改进与优化提供科学依据。</w:t>
      </w:r>
    </w:p>
    <w:p w14:paraId="2BD1A0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2C02D3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4E899C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7C3D92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4BE06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78F137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2E0341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3A8772C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9C1FB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65AE371A">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16346"/>
      <w:bookmarkStart w:id="59" w:name="_Toc31970"/>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57"/>
      <w:bookmarkEnd w:id="58"/>
      <w:bookmarkEnd w:id="59"/>
    </w:p>
    <w:p w14:paraId="7DB7EC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此次我单位根据《财政支出绩效评价管理暂行办法》（财预〔2020〕10号）文件要求对2024年度我单位实施的2023年天池管委会还本付息支出项目</w:t>
      </w:r>
      <w:r>
        <w:rPr>
          <w:rFonts w:hint="default" w:ascii="仿宋_GB2312" w:hAnsi="仿宋_GB2312" w:eastAsia="仿宋_GB2312" w:cs="仿宋_GB2312"/>
          <w:color w:val="auto"/>
          <w:sz w:val="32"/>
          <w:szCs w:val="32"/>
          <w:highlight w:val="none"/>
          <w:shd w:val="clear" w:color="auto" w:fill="auto"/>
          <w:lang w:val="en-US" w:eastAsia="zh-CN"/>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73AEC69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该项目由</w:t>
      </w:r>
      <w:r>
        <w:rPr>
          <w:rFonts w:hint="eastAsia" w:ascii="仿宋_GB2312" w:hAnsi="仿宋_GB2312" w:eastAsia="仿宋_GB2312" w:cs="仿宋_GB2312"/>
          <w:color w:val="auto"/>
          <w:sz w:val="32"/>
          <w:szCs w:val="32"/>
          <w:highlight w:val="none"/>
          <w:shd w:val="clear" w:color="auto" w:fill="auto"/>
          <w:lang w:val="en-US" w:eastAsia="zh-CN"/>
        </w:rPr>
        <w:t>新疆天池管理委员会</w:t>
      </w:r>
      <w:r>
        <w:rPr>
          <w:rFonts w:hint="default" w:ascii="仿宋_GB2312" w:hAnsi="仿宋_GB2312" w:eastAsia="仿宋_GB2312" w:cs="仿宋_GB2312"/>
          <w:color w:val="auto"/>
          <w:sz w:val="32"/>
          <w:szCs w:val="32"/>
          <w:highlight w:val="none"/>
          <w:shd w:val="clear" w:color="auto" w:fill="auto"/>
          <w:lang w:val="en-US" w:eastAsia="zh-CN"/>
        </w:rPr>
        <w:t>负责实施，旨在</w:t>
      </w:r>
      <w:r>
        <w:rPr>
          <w:rFonts w:hint="eastAsia" w:ascii="仿宋_GB2312" w:hAnsi="仿宋_GB2312" w:eastAsia="仿宋_GB2312" w:cs="仿宋_GB2312"/>
          <w:color w:val="auto"/>
          <w:sz w:val="32"/>
          <w:szCs w:val="32"/>
          <w:highlight w:val="none"/>
          <w:shd w:val="clear" w:color="auto" w:fill="auto"/>
          <w:lang w:val="en-US" w:eastAsia="zh-CN"/>
        </w:rPr>
        <w:t>为进一步提升景区高质量发展，拟定此项目的年度预算5147.15万元，负责向财政申请资金并支付给工商银行，2024年计划向工商银行分2次支付贷款本金，总共5147.15万元，分4次向工商银行按季度支付贷款利息，取得银行贷款后有效解决天池景区基础设施建设资金不足问题，对景区的提升改造起到了关键的作用</w:t>
      </w:r>
      <w:r>
        <w:rPr>
          <w:rFonts w:hint="default" w:ascii="仿宋_GB2312" w:hAnsi="仿宋_GB2312" w:eastAsia="仿宋_GB2312" w:cs="仿宋_GB2312"/>
          <w:color w:val="auto"/>
          <w:sz w:val="32"/>
          <w:szCs w:val="32"/>
          <w:highlight w:val="none"/>
          <w:shd w:val="clear" w:color="auto" w:fill="auto"/>
          <w:lang w:val="en-US" w:eastAsia="zh-CN"/>
        </w:rPr>
        <w:t>。项目预算涵盖从</w:t>
      </w:r>
      <w:r>
        <w:rPr>
          <w:rFonts w:hint="eastAsia" w:ascii="仿宋_GB2312" w:hAnsi="仿宋_GB2312" w:eastAsia="仿宋_GB2312" w:cs="仿宋_GB2312"/>
          <w:color w:val="auto"/>
          <w:sz w:val="32"/>
          <w:szCs w:val="32"/>
          <w:highlight w:val="none"/>
          <w:shd w:val="clear" w:color="auto" w:fill="auto"/>
          <w:lang w:val="en-US" w:eastAsia="zh-CN"/>
        </w:rPr>
        <w:t>2024年3月1日</w:t>
      </w:r>
      <w:r>
        <w:rPr>
          <w:rFonts w:hint="default" w:ascii="仿宋_GB2312" w:hAnsi="仿宋_GB2312" w:eastAsia="仿宋_GB2312" w:cs="仿宋_GB2312"/>
          <w:color w:val="auto"/>
          <w:sz w:val="32"/>
          <w:szCs w:val="32"/>
          <w:highlight w:val="none"/>
          <w:shd w:val="clear" w:color="auto" w:fill="auto"/>
          <w:lang w:val="en-US" w:eastAsia="zh-CN"/>
        </w:rPr>
        <w:t>至</w:t>
      </w:r>
      <w:r>
        <w:rPr>
          <w:rFonts w:hint="eastAsia" w:ascii="仿宋_GB2312" w:hAnsi="仿宋_GB2312" w:eastAsia="仿宋_GB2312" w:cs="仿宋_GB2312"/>
          <w:color w:val="auto"/>
          <w:sz w:val="32"/>
          <w:szCs w:val="32"/>
          <w:highlight w:val="none"/>
          <w:shd w:val="clear" w:color="auto" w:fill="auto"/>
          <w:lang w:val="en-US" w:eastAsia="zh-CN"/>
        </w:rPr>
        <w:t>2024年12月31日</w:t>
      </w:r>
      <w:r>
        <w:rPr>
          <w:rFonts w:hint="default" w:ascii="仿宋_GB2312" w:hAnsi="仿宋_GB2312" w:eastAsia="仿宋_GB2312" w:cs="仿宋_GB2312"/>
          <w:color w:val="auto"/>
          <w:sz w:val="32"/>
          <w:szCs w:val="32"/>
          <w:highlight w:val="none"/>
          <w:shd w:val="clear" w:color="auto" w:fill="auto"/>
          <w:lang w:val="en-US" w:eastAsia="zh-CN"/>
        </w:rPr>
        <w:t>的全部资金投入与支出，涉及资金总额为</w:t>
      </w:r>
      <w:r>
        <w:rPr>
          <w:rFonts w:hint="eastAsia" w:ascii="仿宋_GB2312" w:hAnsi="仿宋_GB2312" w:eastAsia="仿宋_GB2312" w:cs="仿宋_GB2312"/>
          <w:color w:val="auto"/>
          <w:sz w:val="32"/>
          <w:szCs w:val="32"/>
          <w:highlight w:val="none"/>
          <w:shd w:val="clear" w:color="auto" w:fill="auto"/>
          <w:lang w:val="en-US" w:eastAsia="zh-CN"/>
        </w:rPr>
        <w:t>5147.15</w:t>
      </w:r>
      <w:r>
        <w:rPr>
          <w:rFonts w:hint="default" w:ascii="仿宋_GB2312" w:hAnsi="仿宋_GB2312" w:eastAsia="仿宋_GB2312" w:cs="仿宋_GB2312"/>
          <w:color w:val="auto"/>
          <w:sz w:val="32"/>
          <w:szCs w:val="32"/>
          <w:highlight w:val="none"/>
          <w:shd w:val="clear" w:color="auto" w:fill="auto"/>
          <w:lang w:val="en-US" w:eastAsia="zh-CN"/>
        </w:rPr>
        <w:t>万元。</w:t>
      </w:r>
    </w:p>
    <w:p w14:paraId="0CB94A04">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0" w:name="_Toc11666"/>
      <w:bookmarkStart w:id="61" w:name="_Toc21311"/>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0"/>
      <w:bookmarkEnd w:id="61"/>
    </w:p>
    <w:p w14:paraId="68077722">
      <w:pPr>
        <w:pStyle w:val="15"/>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4FA5D9C1">
      <w:pPr>
        <w:pStyle w:val="15"/>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63B900CE">
      <w:pPr>
        <w:pStyle w:val="15"/>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使项目资金足额按时支付。</w:t>
      </w:r>
    </w:p>
    <w:p w14:paraId="02461EAA">
      <w:pPr>
        <w:pStyle w:val="15"/>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r>
        <w:rPr>
          <w:rFonts w:hint="eastAsia" w:ascii="仿宋_GB2312" w:hAnsi="仿宋_GB2312" w:eastAsia="仿宋_GB2312" w:cs="仿宋_GB2312"/>
          <w:b w:val="0"/>
          <w:bCs w:val="0"/>
          <w:sz w:val="32"/>
          <w:szCs w:val="32"/>
          <w:highlight w:val="none"/>
          <w:lang w:eastAsia="zh-CN"/>
        </w:rPr>
        <w:t>。</w:t>
      </w:r>
    </w:p>
    <w:p w14:paraId="1A11B95F">
      <w:pPr>
        <w:pStyle w:val="15"/>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生态等</w:t>
      </w:r>
      <w:r>
        <w:rPr>
          <w:rFonts w:hint="eastAsia" w:ascii="仿宋_GB2312" w:hAnsi="仿宋_GB2312" w:eastAsia="仿宋_GB2312" w:cs="仿宋_GB2312"/>
          <w:b w:val="0"/>
          <w:bCs w:val="0"/>
          <w:sz w:val="32"/>
          <w:szCs w:val="32"/>
          <w:highlight w:val="none"/>
        </w:rPr>
        <w:t>影响：考察项目对</w:t>
      </w:r>
      <w:r>
        <w:rPr>
          <w:rFonts w:hint="eastAsia" w:ascii="仿宋_GB2312" w:hAnsi="仿宋_GB2312" w:eastAsia="仿宋_GB2312" w:cs="仿宋_GB2312"/>
          <w:b w:val="0"/>
          <w:bCs w:val="0"/>
          <w:sz w:val="32"/>
          <w:szCs w:val="32"/>
          <w:highlight w:val="none"/>
          <w:lang w:val="en-US" w:eastAsia="zh-CN"/>
        </w:rPr>
        <w:t>生态</w:t>
      </w:r>
      <w:r>
        <w:rPr>
          <w:rFonts w:hint="eastAsia" w:ascii="仿宋_GB2312" w:hAnsi="仿宋_GB2312" w:eastAsia="仿宋_GB2312" w:cs="仿宋_GB2312"/>
          <w:b w:val="0"/>
          <w:bCs w:val="0"/>
          <w:sz w:val="32"/>
          <w:szCs w:val="32"/>
          <w:highlight w:val="none"/>
        </w:rPr>
        <w:t>、经济等方面的综合影响。</w:t>
      </w:r>
      <w:r>
        <w:rPr>
          <w:rFonts w:hint="default" w:ascii="仿宋_GB2312" w:hAnsi="仿宋_GB2312" w:eastAsia="仿宋_GB2312" w:cs="仿宋_GB2312"/>
          <w:b w:val="0"/>
          <w:bCs w:val="0"/>
          <w:sz w:val="32"/>
          <w:szCs w:val="32"/>
          <w:highlight w:val="none"/>
          <w:lang w:val="en-US" w:eastAsia="zh-CN"/>
        </w:rPr>
        <w:t>有效解决天池景区基础设施建设资金不足问题</w:t>
      </w:r>
      <w:r>
        <w:rPr>
          <w:rFonts w:hint="eastAsia" w:ascii="仿宋_GB2312" w:hAnsi="仿宋_GB2312" w:eastAsia="仿宋_GB2312" w:cs="仿宋_GB2312"/>
          <w:b w:val="0"/>
          <w:bCs w:val="0"/>
          <w:sz w:val="32"/>
          <w:szCs w:val="32"/>
          <w:highlight w:val="none"/>
          <w:lang w:val="en-US" w:eastAsia="zh-CN"/>
        </w:rPr>
        <w:t>，提升景区绿化生态品质和旅游品质。</w:t>
      </w:r>
    </w:p>
    <w:p w14:paraId="4DE58876">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2" w:name="_Toc1286"/>
      <w:bookmarkStart w:id="63" w:name="_Toc29785"/>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2"/>
      <w:bookmarkEnd w:id="63"/>
    </w:p>
    <w:p w14:paraId="1E6873F9">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4" w:name="_Toc24506"/>
      <w:bookmarkStart w:id="65" w:name="_Toc5354"/>
      <w:bookmarkStart w:id="66" w:name="_Toc13694"/>
      <w:r>
        <w:rPr>
          <w:rFonts w:hint="eastAsia" w:ascii="Times New Roman" w:hAnsi="Times New Roman" w:eastAsia="仿宋_GB2312" w:cs="Times New Roman"/>
          <w:b/>
          <w:bCs/>
          <w:color w:val="000000"/>
          <w:kern w:val="2"/>
          <w:sz w:val="32"/>
          <w:szCs w:val="32"/>
          <w:lang w:val="en-US" w:eastAsia="zh-CN" w:bidi="ar-SA"/>
        </w:rPr>
        <w:t>1.绩效评价原则</w:t>
      </w:r>
      <w:bookmarkEnd w:id="64"/>
      <w:bookmarkEnd w:id="65"/>
      <w:bookmarkEnd w:id="66"/>
    </w:p>
    <w:p w14:paraId="51B060F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依据《财政支出绩效评价管理暂行办法》（财预〔2020〕10号）本次绩效评价秉承科学规范、公正公开、分级分类、绩效相关等原则，按照从投入、过程到产出效果和影响的绩效逻辑路径，结合2023年天池管委会还本付息支出项目实际开展情况，运用定量和定性分析相结合的方法，总结经验做法，反思项目实施和管理中的问题，以切实提升财政资金管理的科学化、规范化和精细化水平。</w:t>
      </w:r>
    </w:p>
    <w:p w14:paraId="1D4EB0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根据以上原则，绩效评价应遵循如下要求：</w:t>
      </w:r>
    </w:p>
    <w:p w14:paraId="5DD5D22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（1）科学公正。绩效评价应当运用科学合理的方法，按照规范的程序，对项目绩效进行客观、公正的反映。</w:t>
      </w:r>
    </w:p>
    <w:p w14:paraId="2526D48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（2）统筹兼顾。单位自评、部门评价和财政评价应职责明确，各有侧重，相互衔接。单位自评应由项目单位自主实施，即“谁支出、谁自评”。</w:t>
      </w:r>
    </w:p>
    <w:p w14:paraId="05E55B2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（3）激励约束。绩效评价结果应与预算安排、政策调整、改进管理实质性挂钩，体现奖优罚劣和激励相容导向，有效要安排、低效要压减、无效要问责。</w:t>
      </w:r>
    </w:p>
    <w:p w14:paraId="05B68E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（4）公开透明。绩效评价结果应依法依规公开，并自觉接受社会监督。</w:t>
      </w:r>
    </w:p>
    <w:p w14:paraId="47BDA74C">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67" w:name="_Toc24396"/>
      <w:bookmarkStart w:id="68" w:name="_Toc1913"/>
      <w:bookmarkStart w:id="69" w:name="_Toc428278230"/>
      <w:bookmarkStart w:id="70" w:name="_Toc26131"/>
      <w:bookmarkStart w:id="71" w:name="_Toc419984722"/>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67"/>
      <w:bookmarkEnd w:id="68"/>
      <w:bookmarkEnd w:id="69"/>
      <w:bookmarkEnd w:id="70"/>
      <w:bookmarkEnd w:id="71"/>
    </w:p>
    <w:p w14:paraId="3A304CB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2" w:name="_Toc9941"/>
      <w:r>
        <w:rPr>
          <w:rFonts w:hint="eastAsia" w:ascii="仿宋_GB2312" w:hAnsi="仿宋_GB2312" w:eastAsia="仿宋_GB2312" w:cs="仿宋_GB2312"/>
          <w:color w:val="auto"/>
          <w:sz w:val="32"/>
          <w:szCs w:val="32"/>
          <w:highlight w:val="none"/>
          <w:shd w:val="clear" w:color="auto" w:fill="auto"/>
          <w:lang w:val="en-US" w:eastAsia="zh-CN"/>
        </w:rPr>
        <w:t>绩效评价框架是开展绩效评价的核心。绩效评价框架包括评价准则、关键评价问题、评价指标、数据来源、数据收集方法等。指标体系建立过程如下：</w:t>
      </w:r>
    </w:p>
    <w:p w14:paraId="33E5D4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（1）确定评价指标</w:t>
      </w:r>
    </w:p>
    <w:p w14:paraId="73987EA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采用层次分析法，建立评价指标体系。绩效评价将指标分为项目决策指标、项目过程指标、项目产出指标、项目效益指标四个维度，最终形成一个由多个相互联系的指标组成的多层次指标体系。</w:t>
      </w:r>
    </w:p>
    <w:p w14:paraId="204870E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（2）确定权重</w:t>
      </w:r>
    </w:p>
    <w:p w14:paraId="4FBE7CF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确定各个指标相对于项目总体绩效的权重分值。在绩效评价指标体系中，项目决策权重为20分，项目过程权重为20分，项目产出权重为40分，项目效益权重为20分。</w:t>
      </w:r>
    </w:p>
    <w:p w14:paraId="5907E07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（3）确定指标标准值</w:t>
      </w:r>
    </w:p>
    <w:p w14:paraId="275FC93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指标标准值是绩效评价指标的尺度，既要反映同类项目的先进水平，又要符合项目的实际绩效水平。具体采用计划标准等确定此次绩效评价指标标准值。</w:t>
      </w:r>
    </w:p>
    <w:p w14:paraId="295200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绩效评价总分值100分，根据综合评分结果，90（含）-100分为优、80（含）-90分为良、60（含）-80分为中、60分以下为差。</w:t>
      </w:r>
    </w:p>
    <w:p w14:paraId="5524E0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我单位</w:t>
      </w:r>
      <w:r>
        <w:rPr>
          <w:rFonts w:hint="eastAsia" w:ascii="仿宋_GB2312" w:hAnsi="仿宋_GB2312" w:eastAsia="仿宋_GB2312" w:cs="仿宋_GB2312"/>
          <w:color w:val="auto"/>
          <w:sz w:val="32"/>
          <w:szCs w:val="32"/>
          <w:highlight w:val="none"/>
          <w:shd w:val="clear" w:color="auto" w:fill="auto"/>
          <w:lang w:val="zh-TW" w:eastAsia="zh-TW"/>
        </w:rPr>
        <w:t>根据项目的</w:t>
      </w:r>
      <w:r>
        <w:rPr>
          <w:rFonts w:hint="eastAsia" w:ascii="仿宋_GB2312" w:hAnsi="仿宋_GB2312" w:eastAsia="仿宋_GB2312" w:cs="仿宋_GB2312"/>
          <w:color w:val="auto"/>
          <w:sz w:val="32"/>
          <w:szCs w:val="32"/>
          <w:highlight w:val="none"/>
          <w:shd w:val="clear" w:color="auto" w:fill="auto"/>
          <w:lang w:val="en-US" w:eastAsia="zh-CN"/>
        </w:rPr>
        <w:t>实施</w:t>
      </w:r>
      <w:r>
        <w:rPr>
          <w:rFonts w:hint="eastAsia" w:ascii="仿宋_GB2312" w:hAnsi="仿宋_GB2312" w:eastAsia="仿宋_GB2312" w:cs="仿宋_GB2312"/>
          <w:color w:val="auto"/>
          <w:sz w:val="32"/>
          <w:szCs w:val="32"/>
          <w:highlight w:val="none"/>
          <w:shd w:val="clear" w:color="auto" w:fill="auto"/>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详见上传的附件二。</w:t>
      </w:r>
    </w:p>
    <w:p w14:paraId="29130CAE">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3" w:name="_Toc30114"/>
      <w:bookmarkStart w:id="74"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2"/>
      <w:bookmarkEnd w:id="73"/>
      <w:bookmarkEnd w:id="74"/>
    </w:p>
    <w:p w14:paraId="70706E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5" w:name="_Toc25391"/>
      <w:r>
        <w:rPr>
          <w:rFonts w:hint="eastAsia" w:ascii="仿宋_GB2312" w:hAnsi="仿宋_GB2312" w:eastAsia="仿宋_GB2312" w:cs="仿宋_GB2312"/>
          <w:color w:val="auto"/>
          <w:sz w:val="32"/>
          <w:szCs w:val="32"/>
          <w:highlight w:val="none"/>
          <w:shd w:val="clear" w:color="auto" w:fill="auto"/>
          <w:lang w:val="en-US" w:eastAsia="zh-CN"/>
        </w:rPr>
        <w:t>绩效评价从项目决策、项目过程、项目产出、项目效益四个维度进行评价。评价对象为项目目标实施情况，评价核心为资金的支出完成情况和项目的产出效益。</w:t>
      </w:r>
    </w:p>
    <w:p w14:paraId="6E4CAB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本次评价指标中，既有定性指标又有定量指标，各类指标因考核内容不同和客观标准不同存在较大差异，因此核定具体指标时采用了不同方法，具体评价方法如下：</w:t>
      </w:r>
    </w:p>
    <w:p w14:paraId="36AA7C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default" w:ascii="仿宋_GB2312" w:hAnsi="仿宋_GB2312" w:eastAsia="仿宋_GB2312" w:cs="仿宋_GB2312"/>
          <w:color w:val="auto"/>
          <w:sz w:val="32"/>
          <w:szCs w:val="32"/>
          <w:highlight w:val="none"/>
          <w:shd w:val="clear" w:color="auto" w:fill="auto"/>
          <w:lang w:val="en-US" w:eastAsia="zh-CN"/>
        </w:rPr>
        <w:t>）成本效益分析法。是指将投入与产出、效益进行关联性分析的方法。</w:t>
      </w:r>
    </w:p>
    <w:p w14:paraId="6369D38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2</w:t>
      </w:r>
      <w:r>
        <w:rPr>
          <w:rFonts w:hint="default" w:ascii="仿宋_GB2312" w:hAnsi="仿宋_GB2312" w:eastAsia="仿宋_GB2312" w:cs="仿宋_GB2312"/>
          <w:color w:val="auto"/>
          <w:sz w:val="32"/>
          <w:szCs w:val="32"/>
          <w:highlight w:val="none"/>
          <w:shd w:val="clear" w:color="auto" w:fill="auto"/>
          <w:lang w:val="en-US" w:eastAsia="zh-CN"/>
        </w:rPr>
        <w:t>）比较法。是指将实施情况与绩效目标、历史情况、不同部门和地区同类支出情况进行比较的方法。</w:t>
      </w:r>
    </w:p>
    <w:p w14:paraId="10B6D2C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default" w:ascii="仿宋_GB2312" w:hAnsi="仿宋_GB2312" w:eastAsia="仿宋_GB2312" w:cs="仿宋_GB2312"/>
          <w:color w:val="auto"/>
          <w:sz w:val="32"/>
          <w:szCs w:val="32"/>
          <w:highlight w:val="none"/>
          <w:shd w:val="clear" w:color="auto" w:fill="auto"/>
          <w:lang w:val="en-US" w:eastAsia="zh-CN"/>
        </w:rPr>
        <w:t>）因素分析法。是指综合分析影响绩效目标实现、实施效果的内外部因素的方法。</w:t>
      </w:r>
    </w:p>
    <w:p w14:paraId="006AC4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4</w:t>
      </w:r>
      <w:r>
        <w:rPr>
          <w:rFonts w:hint="default" w:ascii="仿宋_GB2312" w:hAnsi="仿宋_GB2312" w:eastAsia="仿宋_GB2312" w:cs="仿宋_GB2312"/>
          <w:color w:val="auto"/>
          <w:sz w:val="32"/>
          <w:szCs w:val="32"/>
          <w:highlight w:val="none"/>
          <w:shd w:val="clear" w:color="auto" w:fill="auto"/>
          <w:lang w:val="en-US" w:eastAsia="zh-CN"/>
        </w:rPr>
        <w:t>）其他评价方法。</w:t>
      </w:r>
    </w:p>
    <w:p w14:paraId="1C5BF798">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6081"/>
      <w:bookmarkStart w:id="77" w:name="_Toc256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5"/>
      <w:bookmarkEnd w:id="76"/>
      <w:bookmarkEnd w:id="77"/>
    </w:p>
    <w:p w14:paraId="79C2A4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绩效评价标准通常包括计划标准、行业标准、历史标准等，用于对绩效指标完成情况进行比较、分析、评价。本次评价主要采用了计划标准</w:t>
      </w:r>
      <w:r>
        <w:rPr>
          <w:rFonts w:hint="eastAsia" w:ascii="仿宋_GB2312" w:hAnsi="仿宋_GB2312" w:eastAsia="仿宋_GB2312" w:cs="仿宋_GB2312"/>
          <w:color w:val="auto"/>
          <w:sz w:val="32"/>
          <w:szCs w:val="32"/>
          <w:highlight w:val="none"/>
          <w:shd w:val="clear" w:color="auto" w:fill="auto"/>
          <w:lang w:val="en-US" w:eastAsia="zh-CN"/>
        </w:rPr>
        <w:t>、</w:t>
      </w:r>
      <w:r>
        <w:rPr>
          <w:rFonts w:hint="default" w:ascii="仿宋_GB2312" w:hAnsi="仿宋_GB2312" w:eastAsia="仿宋_GB2312" w:cs="仿宋_GB2312"/>
          <w:color w:val="auto"/>
          <w:sz w:val="32"/>
          <w:szCs w:val="32"/>
          <w:highlight w:val="none"/>
          <w:shd w:val="clear" w:color="auto" w:fill="auto"/>
          <w:lang w:val="en-US" w:eastAsia="zh-CN"/>
        </w:rPr>
        <w:t>历史标准。</w:t>
      </w:r>
    </w:p>
    <w:p w14:paraId="29F092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（1）计划标准。指以预先制定的目标、计划、预算、定额等作为评价标准。</w:t>
      </w:r>
    </w:p>
    <w:p w14:paraId="17000B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2</w:t>
      </w:r>
      <w:r>
        <w:rPr>
          <w:rFonts w:hint="default" w:ascii="仿宋_GB2312" w:hAnsi="仿宋_GB2312" w:eastAsia="仿宋_GB2312" w:cs="仿宋_GB2312"/>
          <w:color w:val="auto"/>
          <w:sz w:val="32"/>
          <w:szCs w:val="32"/>
          <w:highlight w:val="none"/>
          <w:shd w:val="clear" w:color="auto" w:fill="auto"/>
          <w:lang w:val="en-US" w:eastAsia="zh-CN"/>
        </w:rPr>
        <w:t>）历史标准。指参照历史数据制定的评价标准，为体现绩效改进的原则，在可实现的条件下应当确定相对较高的评价标准。</w:t>
      </w:r>
    </w:p>
    <w:p w14:paraId="00283A99">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78" w:name="_Toc21435"/>
      <w:r>
        <w:rPr>
          <w:rFonts w:hint="eastAsia" w:ascii="Times New Roman" w:hAnsi="Times New Roman" w:eastAsia="楷体_GB2312" w:cs="Times New Roman"/>
          <w:kern w:val="28"/>
          <w:sz w:val="32"/>
          <w:lang w:val="en-US" w:eastAsia="zh-CN"/>
        </w:rPr>
        <w:t>（三）绩效评价工作过程</w:t>
      </w:r>
      <w:bookmarkEnd w:id="78"/>
    </w:p>
    <w:p w14:paraId="1E12E1C5">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79"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79"/>
    </w:p>
    <w:p w14:paraId="6E914E4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（1）成立绩效评价项目小组</w:t>
      </w:r>
    </w:p>
    <w:p w14:paraId="06E074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为确保该项目绩效评价的顺利实施，评价机构组建了绩效评价项目小组。项目小组负责建立联络制度、明确评价责任人、制定评价方案、实施具体评价等工作。</w:t>
      </w:r>
    </w:p>
    <w:p w14:paraId="2678921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0" w:name="_Toc31571"/>
      <w:r>
        <w:rPr>
          <w:rFonts w:hint="eastAsia" w:ascii="仿宋_GB2312" w:hAnsi="仿宋_GB2312" w:eastAsia="仿宋_GB2312" w:cs="仿宋_GB2312"/>
          <w:color w:val="auto"/>
          <w:sz w:val="32"/>
          <w:szCs w:val="32"/>
          <w:highlight w:val="none"/>
          <w:shd w:val="clear" w:color="auto" w:fill="auto"/>
          <w:lang w:val="en-US" w:eastAsia="zh-CN"/>
        </w:rPr>
        <w:t>（2）开展前期调研</w:t>
      </w:r>
      <w:bookmarkEnd w:id="80"/>
    </w:p>
    <w:p w14:paraId="66CB33B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1" w:name="_Toc21240"/>
      <w:r>
        <w:rPr>
          <w:rFonts w:hint="eastAsia" w:ascii="仿宋_GB2312" w:hAnsi="仿宋_GB2312" w:eastAsia="仿宋_GB2312" w:cs="仿宋_GB2312"/>
          <w:color w:val="auto"/>
          <w:sz w:val="32"/>
          <w:szCs w:val="32"/>
          <w:highlight w:val="none"/>
          <w:shd w:val="clear" w:color="auto" w:fill="auto"/>
          <w:lang w:val="en-US" w:eastAsia="zh-CN"/>
        </w:rPr>
        <w:t>绩效评价项目小组依据此次绩效评价受委托内容，对拟评价的项目实施前期调研。通过调研对2023年天池管委会还本付息支出项目实施内容、目标信息、预算信息以及其他的一些项目基本信息，有了初步了解，为制定绩效评价工作方案做好准备。</w:t>
      </w:r>
      <w:bookmarkEnd w:id="81"/>
    </w:p>
    <w:p w14:paraId="52AE0F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2" w:name="_Toc27977"/>
      <w:r>
        <w:rPr>
          <w:rFonts w:hint="eastAsia" w:ascii="仿宋_GB2312" w:hAnsi="仿宋_GB2312" w:eastAsia="仿宋_GB2312" w:cs="仿宋_GB2312"/>
          <w:color w:val="auto"/>
          <w:sz w:val="32"/>
          <w:szCs w:val="32"/>
          <w:highlight w:val="none"/>
          <w:shd w:val="clear" w:color="auto" w:fill="auto"/>
          <w:lang w:val="en-US" w:eastAsia="zh-CN"/>
        </w:rPr>
        <w:t>（3）制订绩效评价工作方案</w:t>
      </w:r>
      <w:bookmarkEnd w:id="82"/>
    </w:p>
    <w:p w14:paraId="4C5F8DD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3" w:name="_Toc19659"/>
      <w:r>
        <w:rPr>
          <w:rFonts w:hint="eastAsia" w:ascii="仿宋_GB2312" w:hAnsi="仿宋_GB2312" w:eastAsia="仿宋_GB2312" w:cs="仿宋_GB2312"/>
          <w:color w:val="auto"/>
          <w:sz w:val="32"/>
          <w:szCs w:val="32"/>
          <w:highlight w:val="none"/>
          <w:shd w:val="clear" w:color="auto" w:fill="auto"/>
          <w:lang w:val="en-US" w:eastAsia="zh-CN"/>
        </w:rPr>
        <w:t>绩效评价项目小组根据有关规定和评价对象的特点以及前期调研收集的一些信息，拟定详细的绩效评价工作方案。</w:t>
      </w:r>
      <w:bookmarkEnd w:id="83"/>
    </w:p>
    <w:p w14:paraId="44151918">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4"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4"/>
    </w:p>
    <w:p w14:paraId="510DBF1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5" w:name="_Toc14111"/>
      <w:r>
        <w:rPr>
          <w:rFonts w:hint="eastAsia" w:ascii="仿宋_GB2312" w:hAnsi="仿宋_GB2312" w:eastAsia="仿宋_GB2312" w:cs="仿宋_GB2312"/>
          <w:color w:val="auto"/>
          <w:sz w:val="32"/>
          <w:szCs w:val="32"/>
          <w:highlight w:val="none"/>
          <w:shd w:val="clear" w:color="auto" w:fill="auto"/>
          <w:lang w:val="en-US" w:eastAsia="zh-CN"/>
        </w:rPr>
        <w:t>（1）收集基础资料</w:t>
      </w:r>
      <w:bookmarkEnd w:id="85"/>
    </w:p>
    <w:p w14:paraId="5A50913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6" w:name="_Toc28524"/>
      <w:r>
        <w:rPr>
          <w:rFonts w:hint="eastAsia" w:ascii="仿宋_GB2312" w:hAnsi="仿宋_GB2312" w:eastAsia="仿宋_GB2312" w:cs="仿宋_GB2312"/>
          <w:color w:val="auto"/>
          <w:sz w:val="32"/>
          <w:szCs w:val="32"/>
          <w:highlight w:val="none"/>
          <w:shd w:val="clear" w:color="auto" w:fill="auto"/>
          <w:lang w:val="en-US" w:eastAsia="zh-CN"/>
        </w:rPr>
        <w:t>根据评价工作的需要和要求，在前期调研的基础上，通过多种渠道全面收集项目基础信息资料，主要包括：</w:t>
      </w:r>
      <w:bookmarkEnd w:id="86"/>
    </w:p>
    <w:p w14:paraId="257DFD0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7" w:name="_Toc32216"/>
      <w:r>
        <w:rPr>
          <w:rFonts w:hint="eastAsia" w:ascii="仿宋_GB2312" w:hAnsi="仿宋_GB2312" w:eastAsia="仿宋_GB2312" w:cs="仿宋_GB2312"/>
          <w:color w:val="auto"/>
          <w:sz w:val="32"/>
          <w:szCs w:val="32"/>
          <w:highlight w:val="none"/>
          <w:shd w:val="clear" w:color="auto" w:fill="auto"/>
          <w:lang w:val="en-US" w:eastAsia="zh-CN"/>
        </w:rPr>
        <w:t>①被评价单位基本概况，如单位职能、事业发展规划、预决算情况、项目立项依据等；</w:t>
      </w:r>
      <w:bookmarkEnd w:id="87"/>
    </w:p>
    <w:p w14:paraId="7D9AAB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8" w:name="_Toc10505"/>
      <w:r>
        <w:rPr>
          <w:rFonts w:hint="eastAsia" w:ascii="仿宋_GB2312" w:hAnsi="仿宋_GB2312" w:eastAsia="仿宋_GB2312" w:cs="仿宋_GB2312"/>
          <w:color w:val="auto"/>
          <w:sz w:val="32"/>
          <w:szCs w:val="32"/>
          <w:highlight w:val="none"/>
          <w:shd w:val="clear" w:color="auto" w:fill="auto"/>
          <w:lang w:val="en-US" w:eastAsia="zh-CN"/>
        </w:rPr>
        <w:t>②绩效目标及其设立依据和调整情况；</w:t>
      </w:r>
      <w:bookmarkEnd w:id="88"/>
    </w:p>
    <w:p w14:paraId="64FED53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9" w:name="_Toc28365"/>
      <w:r>
        <w:rPr>
          <w:rFonts w:hint="eastAsia" w:ascii="仿宋_GB2312" w:hAnsi="仿宋_GB2312" w:eastAsia="仿宋_GB2312" w:cs="仿宋_GB2312"/>
          <w:color w:val="auto"/>
          <w:sz w:val="32"/>
          <w:szCs w:val="32"/>
          <w:highlight w:val="none"/>
          <w:shd w:val="clear" w:color="auto" w:fill="auto"/>
          <w:lang w:val="en-US" w:eastAsia="zh-CN"/>
        </w:rPr>
        <w:t>③管理措施及组织实施情况；</w:t>
      </w:r>
      <w:bookmarkEnd w:id="89"/>
    </w:p>
    <w:p w14:paraId="2E99BB2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0" w:name="_Toc10091"/>
      <w:r>
        <w:rPr>
          <w:rFonts w:hint="eastAsia" w:ascii="仿宋_GB2312" w:hAnsi="仿宋_GB2312" w:eastAsia="仿宋_GB2312" w:cs="仿宋_GB2312"/>
          <w:color w:val="auto"/>
          <w:sz w:val="32"/>
          <w:szCs w:val="32"/>
          <w:highlight w:val="none"/>
          <w:shd w:val="clear" w:color="auto" w:fill="auto"/>
          <w:lang w:val="en-US" w:eastAsia="zh-CN"/>
        </w:rPr>
        <w:t>④被评价单位总结分析的绩效目标完成情况及绩效报告；</w:t>
      </w:r>
      <w:bookmarkEnd w:id="90"/>
    </w:p>
    <w:p w14:paraId="720806F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1" w:name="_Toc1"/>
      <w:r>
        <w:rPr>
          <w:rFonts w:hint="eastAsia" w:ascii="仿宋_GB2312" w:hAnsi="仿宋_GB2312" w:eastAsia="仿宋_GB2312" w:cs="仿宋_GB2312"/>
          <w:color w:val="auto"/>
          <w:sz w:val="32"/>
          <w:szCs w:val="32"/>
          <w:highlight w:val="none"/>
          <w:shd w:val="clear" w:color="auto" w:fill="auto"/>
          <w:lang w:val="en-US" w:eastAsia="zh-CN"/>
        </w:rPr>
        <w:t>⑤与绩效评价相关的计划标准、行业标准、历史标准等；</w:t>
      </w:r>
      <w:bookmarkEnd w:id="91"/>
    </w:p>
    <w:p w14:paraId="1E8DA80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2" w:name="_Toc20059"/>
      <w:r>
        <w:rPr>
          <w:rFonts w:hint="eastAsia" w:ascii="仿宋_GB2312" w:hAnsi="仿宋_GB2312" w:eastAsia="仿宋_GB2312" w:cs="仿宋_GB2312"/>
          <w:color w:val="auto"/>
          <w:sz w:val="32"/>
          <w:szCs w:val="32"/>
          <w:highlight w:val="none"/>
          <w:shd w:val="clear" w:color="auto" w:fill="auto"/>
          <w:lang w:val="en-US" w:eastAsia="zh-CN"/>
        </w:rPr>
        <w:t>⑥其他必要的相关资料等。</w:t>
      </w:r>
      <w:bookmarkEnd w:id="92"/>
    </w:p>
    <w:p w14:paraId="440936F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3" w:name="_Toc31911"/>
      <w:r>
        <w:rPr>
          <w:rFonts w:hint="eastAsia" w:ascii="仿宋_GB2312" w:hAnsi="仿宋_GB2312" w:eastAsia="仿宋_GB2312" w:cs="仿宋_GB2312"/>
          <w:color w:val="auto"/>
          <w:sz w:val="32"/>
          <w:szCs w:val="32"/>
          <w:highlight w:val="none"/>
          <w:shd w:val="clear" w:color="auto" w:fill="auto"/>
          <w:lang w:val="en-US" w:eastAsia="zh-CN"/>
        </w:rPr>
        <w:t>（2）整理、研读基础资料</w:t>
      </w:r>
      <w:bookmarkEnd w:id="93"/>
    </w:p>
    <w:p w14:paraId="4BDE7D6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4" w:name="_Toc167"/>
      <w:r>
        <w:rPr>
          <w:rFonts w:hint="eastAsia" w:ascii="仿宋_GB2312" w:hAnsi="仿宋_GB2312" w:eastAsia="仿宋_GB2312" w:cs="仿宋_GB2312"/>
          <w:color w:val="auto"/>
          <w:sz w:val="32"/>
          <w:szCs w:val="32"/>
          <w:highlight w:val="none"/>
          <w:shd w:val="clear" w:color="auto" w:fill="auto"/>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4"/>
    </w:p>
    <w:p w14:paraId="2560CB27">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5"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5"/>
    </w:p>
    <w:p w14:paraId="5135958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6" w:name="_Toc15974"/>
      <w:r>
        <w:rPr>
          <w:rFonts w:hint="eastAsia" w:ascii="仿宋_GB2312" w:hAnsi="仿宋_GB2312" w:eastAsia="仿宋_GB2312" w:cs="仿宋_GB2312"/>
          <w:color w:val="auto"/>
          <w:sz w:val="32"/>
          <w:szCs w:val="32"/>
          <w:highlight w:val="none"/>
          <w:shd w:val="clear" w:color="auto" w:fill="auto"/>
          <w:lang w:val="en-US" w:eastAsia="zh-CN"/>
        </w:rPr>
        <w:t>（1）综合分析评价</w:t>
      </w:r>
      <w:bookmarkEnd w:id="96"/>
    </w:p>
    <w:p w14:paraId="12FF223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7" w:name="_Toc4352"/>
      <w:r>
        <w:rPr>
          <w:rFonts w:hint="eastAsia" w:ascii="仿宋_GB2312" w:hAnsi="仿宋_GB2312" w:eastAsia="仿宋_GB2312" w:cs="仿宋_GB2312"/>
          <w:color w:val="auto"/>
          <w:sz w:val="32"/>
          <w:szCs w:val="32"/>
          <w:highlight w:val="none"/>
          <w:shd w:val="clear" w:color="auto" w:fill="auto"/>
          <w:lang w:val="en-US" w:eastAsia="zh-CN"/>
        </w:rPr>
        <w:t>①根据所收集的基础资料，结合现场核查的有关情况，整理出绩效评价所需的项目材料和基础数据。</w:t>
      </w:r>
      <w:bookmarkEnd w:id="97"/>
    </w:p>
    <w:p w14:paraId="1CA85C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8" w:name="_Toc26231"/>
      <w:r>
        <w:rPr>
          <w:rFonts w:hint="eastAsia" w:ascii="仿宋_GB2312" w:hAnsi="仿宋_GB2312" w:eastAsia="仿宋_GB2312" w:cs="仿宋_GB2312"/>
          <w:color w:val="auto"/>
          <w:sz w:val="32"/>
          <w:szCs w:val="32"/>
          <w:highlight w:val="none"/>
          <w:shd w:val="clear" w:color="auto" w:fill="auto"/>
          <w:lang w:val="en-US" w:eastAsia="zh-CN"/>
        </w:rPr>
        <w:t>②将初步评价结论、调整事项、专家咨询意见和有关说明等提交单位内部讨论并征求意见。之后，对所征求的意见及时地进行收集和整理。</w:t>
      </w:r>
      <w:bookmarkEnd w:id="98"/>
    </w:p>
    <w:p w14:paraId="798DDB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99" w:name="_Toc27759"/>
      <w:r>
        <w:rPr>
          <w:rFonts w:hint="eastAsia" w:ascii="仿宋_GB2312" w:hAnsi="仿宋_GB2312" w:eastAsia="仿宋_GB2312" w:cs="仿宋_GB2312"/>
          <w:color w:val="auto"/>
          <w:sz w:val="32"/>
          <w:szCs w:val="32"/>
          <w:highlight w:val="none"/>
          <w:shd w:val="clear" w:color="auto" w:fill="auto"/>
          <w:lang w:val="en-US" w:eastAsia="zh-CN"/>
        </w:rPr>
        <w:t>（2）撰写报告</w:t>
      </w:r>
      <w:bookmarkEnd w:id="99"/>
    </w:p>
    <w:p w14:paraId="761ECF5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00" w:name="_Toc15579"/>
      <w:r>
        <w:rPr>
          <w:rFonts w:hint="eastAsia" w:ascii="仿宋_GB2312" w:hAnsi="仿宋_GB2312" w:eastAsia="仿宋_GB2312" w:cs="仿宋_GB2312"/>
          <w:color w:val="auto"/>
          <w:sz w:val="32"/>
          <w:szCs w:val="32"/>
          <w:highlight w:val="none"/>
          <w:shd w:val="clear" w:color="auto" w:fill="auto"/>
          <w:lang w:val="en-US" w:eastAsia="zh-CN"/>
        </w:rPr>
        <w:t>绩效评价项目小组依照整理、分析后的项目材料、数据资料，依据评价形成的初步结论，按照既定的格式和内容要求撰写绩效评价初步报告，最终形成评价结果。</w:t>
      </w:r>
      <w:bookmarkEnd w:id="100"/>
    </w:p>
    <w:p w14:paraId="0089E3E1">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1"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1"/>
    </w:p>
    <w:p w14:paraId="3AE02FA7">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2" w:name="_Toc23319"/>
      <w:r>
        <w:rPr>
          <w:rFonts w:hint="eastAsia" w:ascii="Times New Roman" w:hAnsi="Times New Roman" w:eastAsia="楷体_GB2312" w:cs="Times New Roman"/>
          <w:kern w:val="28"/>
          <w:sz w:val="32"/>
          <w:lang w:val="en-US" w:eastAsia="zh-CN"/>
        </w:rPr>
        <w:t>（一）综合评价情况及评价结论</w:t>
      </w:r>
      <w:bookmarkEnd w:id="102"/>
    </w:p>
    <w:p w14:paraId="75B0E0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本项目的综合评价基于对项目各方面绩效的深入分析与评估。从项目目标的达成情况来看，</w:t>
      </w:r>
      <w:r>
        <w:rPr>
          <w:rFonts w:hint="eastAsia" w:ascii="仿宋_GB2312" w:hAnsi="仿宋_GB2312" w:eastAsia="仿宋_GB2312" w:cs="仿宋_GB2312"/>
          <w:color w:val="auto"/>
          <w:sz w:val="32"/>
          <w:szCs w:val="32"/>
          <w:highlight w:val="none"/>
          <w:shd w:val="clear" w:color="auto" w:fill="auto"/>
          <w:lang w:val="en-US" w:eastAsia="zh-CN"/>
        </w:rPr>
        <w:t>2023年天池管委会还本付息支出项目</w:t>
      </w:r>
      <w:r>
        <w:rPr>
          <w:rFonts w:hint="default" w:ascii="仿宋_GB2312" w:hAnsi="仿宋_GB2312" w:eastAsia="仿宋_GB2312" w:cs="仿宋_GB2312"/>
          <w:color w:val="auto"/>
          <w:sz w:val="32"/>
          <w:szCs w:val="32"/>
          <w:highlight w:val="none"/>
          <w:shd w:val="clear" w:color="auto" w:fill="auto"/>
          <w:lang w:val="en-US" w:eastAsia="zh-CN"/>
        </w:rPr>
        <w:t>在</w:t>
      </w:r>
      <w:r>
        <w:rPr>
          <w:rFonts w:hint="eastAsia" w:ascii="仿宋_GB2312" w:hAnsi="仿宋_GB2312" w:eastAsia="仿宋_GB2312" w:cs="仿宋_GB2312"/>
          <w:color w:val="auto"/>
          <w:sz w:val="32"/>
          <w:szCs w:val="32"/>
          <w:highlight w:val="none"/>
          <w:shd w:val="clear" w:color="auto" w:fill="auto"/>
          <w:lang w:val="en-US" w:eastAsia="zh-CN"/>
        </w:rPr>
        <w:t>项目产出方面完成较好</w:t>
      </w:r>
      <w:r>
        <w:rPr>
          <w:rFonts w:hint="default" w:ascii="仿宋_GB2312" w:hAnsi="仿宋_GB2312" w:eastAsia="仿宋_GB2312" w:cs="仿宋_GB2312"/>
          <w:color w:val="auto"/>
          <w:sz w:val="32"/>
          <w:szCs w:val="32"/>
          <w:highlight w:val="none"/>
          <w:shd w:val="clear" w:color="auto" w:fill="auto"/>
          <w:lang w:val="en-US" w:eastAsia="zh-CN"/>
        </w:rPr>
        <w:t>，达到了预期的标准与要求。</w:t>
      </w:r>
    </w:p>
    <w:p w14:paraId="7E13776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在项目管理方面，</w:t>
      </w:r>
      <w:r>
        <w:rPr>
          <w:rFonts w:hint="eastAsia" w:ascii="仿宋_GB2312" w:hAnsi="仿宋_GB2312" w:eastAsia="仿宋_GB2312" w:cs="仿宋_GB2312"/>
          <w:color w:val="auto"/>
          <w:sz w:val="32"/>
          <w:szCs w:val="32"/>
          <w:highlight w:val="none"/>
          <w:shd w:val="clear" w:color="auto" w:fill="auto"/>
          <w:lang w:val="en-US" w:eastAsia="zh-CN"/>
        </w:rPr>
        <w:t>新疆天池管理委员会</w:t>
      </w:r>
      <w:r>
        <w:rPr>
          <w:rFonts w:hint="default" w:ascii="仿宋_GB2312" w:hAnsi="仿宋_GB2312" w:eastAsia="仿宋_GB2312" w:cs="仿宋_GB2312"/>
          <w:color w:val="auto"/>
          <w:sz w:val="32"/>
          <w:szCs w:val="32"/>
          <w:highlight w:val="none"/>
          <w:shd w:val="clear" w:color="auto" w:fill="auto"/>
          <w:lang w:val="en-US" w:eastAsia="zh-CN"/>
        </w:rPr>
        <w:t>通过有效的规划、组织与协调，项目得以顺利实施，并在预算与时间上保持了良好的控制。</w:t>
      </w:r>
    </w:p>
    <w:p w14:paraId="44BCBB2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从项目效益的角度来看，本项目不仅实现了预期的</w:t>
      </w:r>
      <w:r>
        <w:rPr>
          <w:rFonts w:hint="eastAsia" w:ascii="仿宋_GB2312" w:hAnsi="仿宋_GB2312" w:eastAsia="仿宋_GB2312" w:cs="仿宋_GB2312"/>
          <w:color w:val="auto"/>
          <w:sz w:val="32"/>
          <w:szCs w:val="32"/>
          <w:highlight w:val="none"/>
          <w:shd w:val="clear" w:color="auto" w:fill="auto"/>
          <w:lang w:val="en-US" w:eastAsia="zh-CN"/>
        </w:rPr>
        <w:t>生态</w:t>
      </w:r>
      <w:r>
        <w:rPr>
          <w:rFonts w:hint="default"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sz w:val="32"/>
          <w:szCs w:val="32"/>
          <w:highlight w:val="none"/>
          <w:shd w:val="clear" w:color="auto" w:fill="auto"/>
          <w:lang w:val="en-US" w:eastAsia="zh-CN"/>
        </w:rPr>
        <w:t>、经济效益</w:t>
      </w:r>
      <w:r>
        <w:rPr>
          <w:rFonts w:hint="default" w:ascii="仿宋_GB2312" w:hAnsi="仿宋_GB2312" w:eastAsia="仿宋_GB2312" w:cs="仿宋_GB2312"/>
          <w:color w:val="auto"/>
          <w:sz w:val="32"/>
          <w:szCs w:val="32"/>
          <w:highlight w:val="none"/>
          <w:shd w:val="clear" w:color="auto" w:fill="auto"/>
          <w:lang w:val="en-US" w:eastAsia="zh-CN"/>
        </w:rPr>
        <w:t>等方面产生了积极的影响。具体而言，</w:t>
      </w:r>
      <w:r>
        <w:rPr>
          <w:rFonts w:hint="eastAsia" w:ascii="仿宋_GB2312" w:hAnsi="仿宋_GB2312" w:eastAsia="仿宋_GB2312" w:cs="仿宋_GB2312"/>
          <w:color w:val="auto"/>
          <w:sz w:val="32"/>
          <w:szCs w:val="32"/>
          <w:highlight w:val="none"/>
          <w:shd w:val="clear" w:color="auto" w:fill="auto"/>
          <w:lang w:val="en-US" w:eastAsia="zh-CN"/>
        </w:rPr>
        <w:t>有效解决天池景区基础设施建设资金不足问题、景区绿化生态品质和旅游品质</w:t>
      </w:r>
      <w:r>
        <w:rPr>
          <w:rFonts w:hint="default" w:ascii="仿宋_GB2312" w:hAnsi="仿宋_GB2312" w:eastAsia="仿宋_GB2312" w:cs="仿宋_GB2312"/>
          <w:color w:val="auto"/>
          <w:sz w:val="32"/>
          <w:szCs w:val="32"/>
          <w:highlight w:val="none"/>
          <w:shd w:val="clear" w:color="auto" w:fill="auto"/>
          <w:lang w:val="en-US" w:eastAsia="zh-CN"/>
        </w:rPr>
        <w:t>等方面的提升，为项目的利益相关者带来了实实在在的利益。</w:t>
      </w:r>
    </w:p>
    <w:p w14:paraId="06DAF2A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highlight w:val="none"/>
        </w:rPr>
      </w:pPr>
      <w:r>
        <w:rPr>
          <w:rFonts w:hint="default" w:ascii="仿宋_GB2312" w:hAnsi="仿宋_GB2312" w:eastAsia="仿宋_GB2312" w:cs="仿宋_GB2312"/>
          <w:color w:val="auto"/>
          <w:sz w:val="32"/>
          <w:szCs w:val="32"/>
          <w:highlight w:val="none"/>
          <w:shd w:val="clear" w:color="auto" w:fill="auto"/>
          <w:lang w:val="en-US" w:eastAsia="zh-CN"/>
        </w:rPr>
        <w:t>综上所述，</w:t>
      </w:r>
      <w:r>
        <w:rPr>
          <w:rFonts w:hint="eastAsia" w:ascii="仿宋_GB2312" w:hAnsi="仿宋_GB2312" w:eastAsia="仿宋_GB2312" w:cs="仿宋_GB2312"/>
          <w:color w:val="auto"/>
          <w:sz w:val="32"/>
          <w:szCs w:val="32"/>
          <w:highlight w:val="none"/>
          <w:shd w:val="clear" w:color="auto" w:fill="auto"/>
          <w:lang w:val="en-US" w:eastAsia="zh-CN"/>
        </w:rPr>
        <w:t>2023年天池管委会还本付息支出项目</w:t>
      </w:r>
      <w:r>
        <w:rPr>
          <w:rFonts w:hint="default" w:ascii="仿宋_GB2312" w:hAnsi="仿宋_GB2312" w:eastAsia="仿宋_GB2312" w:cs="仿宋_GB2312"/>
          <w:color w:val="auto"/>
          <w:sz w:val="32"/>
          <w:szCs w:val="32"/>
          <w:highlight w:val="none"/>
          <w:shd w:val="clear" w:color="auto" w:fill="auto"/>
          <w:lang w:val="en-US" w:eastAsia="zh-CN"/>
        </w:rPr>
        <w:t>在绩效评价中表现出色，达到了项目的预期目标，并在多个方面取得了显著的成效</w:t>
      </w:r>
      <w:r>
        <w:rPr>
          <w:rFonts w:hint="eastAsia" w:ascii="仿宋_GB2312" w:hAnsi="仿宋_GB2312" w:eastAsia="仿宋_GB2312" w:cs="仿宋_GB2312"/>
          <w:color w:val="auto"/>
          <w:sz w:val="32"/>
          <w:szCs w:val="32"/>
          <w:highlight w:val="none"/>
          <w:shd w:val="clear" w:color="auto" w:fill="auto"/>
          <w:lang w:val="en-US" w:eastAsia="zh-CN"/>
        </w:rPr>
        <w:t>，评价等级为优</w:t>
      </w:r>
      <w:r>
        <w:rPr>
          <w:rFonts w:hint="default" w:ascii="Times New Roman" w:hAnsi="Times New Roman" w:eastAsia="仿宋_GB2312" w:cs="Times New Roman"/>
          <w:sz w:val="32"/>
          <w:szCs w:val="32"/>
          <w:highlight w:val="none"/>
        </w:rPr>
        <w:t>。</w:t>
      </w:r>
    </w:p>
    <w:p w14:paraId="424B1948">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3" w:name="_Toc11863"/>
      <w:r>
        <w:rPr>
          <w:rFonts w:hint="eastAsia" w:ascii="Times New Roman" w:hAnsi="Times New Roman" w:eastAsia="楷体_GB2312" w:cs="Times New Roman"/>
          <w:kern w:val="28"/>
          <w:sz w:val="32"/>
          <w:lang w:val="en-US" w:eastAsia="zh-CN"/>
        </w:rPr>
        <w:t>（二）相关评分表</w:t>
      </w:r>
      <w:bookmarkEnd w:id="103"/>
    </w:p>
    <w:p w14:paraId="60D0D5E5">
      <w:pPr>
        <w:spacing w:line="560" w:lineRule="exact"/>
        <w:ind w:firstLine="640"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仿宋_GB2312" w:hAnsi="仿宋_GB2312" w:eastAsia="仿宋_GB2312" w:cs="仿宋_GB2312"/>
          <w:color w:val="auto"/>
          <w:sz w:val="32"/>
          <w:szCs w:val="32"/>
          <w:highlight w:val="none"/>
          <w:shd w:val="clear" w:color="auto" w:fill="auto"/>
          <w:lang w:val="en-US" w:eastAsia="zh-CN"/>
        </w:rPr>
        <w:t>此次绩效评价</w:t>
      </w:r>
      <w:r>
        <w:rPr>
          <w:rFonts w:hint="eastAsia" w:ascii="仿宋_GB2312" w:hAnsi="仿宋_GB2312" w:eastAsia="仿宋_GB2312" w:cs="仿宋_GB2312"/>
          <w:color w:val="auto"/>
          <w:sz w:val="32"/>
          <w:szCs w:val="32"/>
          <w:highlight w:val="none"/>
          <w:shd w:val="clear" w:color="auto" w:fill="auto"/>
          <w:lang w:val="zh-TW" w:eastAsia="zh-TW"/>
        </w:rPr>
        <w:t>通过组论证的评价指标体系及评分标准，</w:t>
      </w:r>
      <w:r>
        <w:rPr>
          <w:rFonts w:hint="eastAsia" w:ascii="仿宋_GB2312" w:hAnsi="仿宋_GB2312" w:eastAsia="仿宋_GB2312" w:cs="仿宋_GB2312"/>
          <w:color w:val="auto"/>
          <w:sz w:val="32"/>
          <w:szCs w:val="32"/>
          <w:highlight w:val="none"/>
          <w:shd w:val="clear" w:color="auto" w:fill="auto"/>
          <w:lang w:val="en-US" w:eastAsia="zh-CN"/>
        </w:rPr>
        <w:t>采用的方法比较法、因素分析法、公众评判法，</w:t>
      </w:r>
      <w:r>
        <w:rPr>
          <w:rFonts w:hint="eastAsia" w:ascii="仿宋_GB2312" w:hAnsi="仿宋_GB2312" w:eastAsia="仿宋_GB2312" w:cs="仿宋_GB2312"/>
          <w:color w:val="auto"/>
          <w:sz w:val="32"/>
          <w:szCs w:val="32"/>
          <w:highlight w:val="none"/>
          <w:shd w:val="clear" w:color="auto" w:fill="auto"/>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2023年天池管委会还本付息支出项目</w:t>
      </w:r>
      <w:r>
        <w:rPr>
          <w:rFonts w:hint="eastAsia" w:ascii="仿宋_GB2312" w:hAnsi="仿宋_GB2312" w:eastAsia="仿宋_GB2312" w:cs="仿宋_GB2312"/>
          <w:color w:val="auto"/>
          <w:sz w:val="32"/>
          <w:szCs w:val="32"/>
          <w:highlight w:val="none"/>
          <w:shd w:val="clear" w:color="auto" w:fill="auto"/>
          <w:lang w:val="zh-TW" w:eastAsia="zh-TW"/>
        </w:rPr>
        <w:t>绩效进行客观评价，最终评分结果：</w:t>
      </w:r>
      <w:r>
        <w:rPr>
          <w:rFonts w:hint="default" w:ascii="仿宋_GB2312" w:hAnsi="仿宋_GB2312" w:eastAsia="仿宋_GB2312" w:cs="仿宋_GB2312"/>
          <w:color w:val="auto"/>
          <w:sz w:val="32"/>
          <w:szCs w:val="32"/>
          <w:highlight w:val="none"/>
          <w:shd w:val="clear" w:color="auto" w:fill="auto"/>
          <w:lang w:val="en-US" w:eastAsia="zh-CN"/>
        </w:rPr>
        <w:t>总得分为</w:t>
      </w:r>
      <w:r>
        <w:rPr>
          <w:rFonts w:hint="eastAsia" w:ascii="仿宋_GB2312" w:hAnsi="仿宋_GB2312" w:eastAsia="仿宋_GB2312" w:cs="仿宋_GB2312"/>
          <w:color w:val="auto"/>
          <w:sz w:val="32"/>
          <w:szCs w:val="32"/>
          <w:highlight w:val="none"/>
          <w:shd w:val="clear" w:color="auto" w:fill="auto"/>
          <w:lang w:val="en-US" w:eastAsia="zh-CN"/>
        </w:rPr>
        <w:t>100</w:t>
      </w:r>
      <w:r>
        <w:rPr>
          <w:rFonts w:hint="default" w:ascii="仿宋_GB2312" w:hAnsi="仿宋_GB2312" w:eastAsia="仿宋_GB2312" w:cs="仿宋_GB2312"/>
          <w:color w:val="auto"/>
          <w:sz w:val="32"/>
          <w:szCs w:val="32"/>
          <w:highlight w:val="none"/>
          <w:shd w:val="clear" w:color="auto" w:fill="auto"/>
          <w:lang w:val="en-US" w:eastAsia="zh-CN"/>
        </w:rPr>
        <w:t>分，属于“优”。其中，项目决策类指标权重为20分，得分为</w:t>
      </w:r>
      <w:r>
        <w:rPr>
          <w:rFonts w:hint="eastAsia" w:ascii="仿宋_GB2312" w:hAnsi="仿宋_GB2312" w:eastAsia="仿宋_GB2312" w:cs="仿宋_GB2312"/>
          <w:color w:val="auto"/>
          <w:sz w:val="32"/>
          <w:szCs w:val="32"/>
          <w:highlight w:val="none"/>
          <w:shd w:val="clear" w:color="auto" w:fill="auto"/>
          <w:lang w:val="en-US" w:eastAsia="zh-CN"/>
        </w:rPr>
        <w:t>19</w:t>
      </w:r>
      <w:r>
        <w:rPr>
          <w:rFonts w:hint="default" w:ascii="仿宋_GB2312" w:hAnsi="仿宋_GB2312" w:eastAsia="仿宋_GB2312" w:cs="仿宋_GB2312"/>
          <w:color w:val="auto"/>
          <w:sz w:val="32"/>
          <w:szCs w:val="32"/>
          <w:highlight w:val="none"/>
          <w:shd w:val="clear" w:color="auto" w:fill="auto"/>
          <w:lang w:val="en-US" w:eastAsia="zh-CN"/>
        </w:rPr>
        <w:t>分，得分率为</w:t>
      </w:r>
      <w:r>
        <w:rPr>
          <w:rFonts w:hint="eastAsia" w:ascii="仿宋_GB2312" w:hAnsi="仿宋_GB2312" w:eastAsia="仿宋_GB2312" w:cs="仿宋_GB2312"/>
          <w:color w:val="auto"/>
          <w:sz w:val="32"/>
          <w:szCs w:val="32"/>
          <w:highlight w:val="none"/>
          <w:shd w:val="clear" w:color="auto" w:fill="auto"/>
          <w:lang w:val="en-US" w:eastAsia="zh-CN"/>
        </w:rPr>
        <w:t>99</w:t>
      </w:r>
      <w:r>
        <w:rPr>
          <w:rFonts w:hint="default" w:ascii="仿宋_GB2312" w:hAnsi="仿宋_GB2312" w:eastAsia="仿宋_GB2312" w:cs="仿宋_GB2312"/>
          <w:color w:val="auto"/>
          <w:sz w:val="32"/>
          <w:szCs w:val="32"/>
          <w:highlight w:val="none"/>
          <w:shd w:val="clear" w:color="auto" w:fill="auto"/>
          <w:lang w:val="en-US" w:eastAsia="zh-CN"/>
        </w:rPr>
        <w:t>%。项目过程类指标权重为20分，得分为</w:t>
      </w:r>
      <w:r>
        <w:rPr>
          <w:rFonts w:hint="eastAsia" w:ascii="仿宋_GB2312" w:hAnsi="仿宋_GB2312" w:eastAsia="仿宋_GB2312" w:cs="仿宋_GB2312"/>
          <w:color w:val="auto"/>
          <w:sz w:val="32"/>
          <w:szCs w:val="32"/>
          <w:highlight w:val="none"/>
          <w:shd w:val="clear" w:color="auto" w:fill="auto"/>
          <w:lang w:val="en-US" w:eastAsia="zh-CN"/>
        </w:rPr>
        <w:t>20</w:t>
      </w:r>
      <w:r>
        <w:rPr>
          <w:rFonts w:hint="default" w:ascii="仿宋_GB2312" w:hAnsi="仿宋_GB2312" w:eastAsia="仿宋_GB2312" w:cs="仿宋_GB2312"/>
          <w:color w:val="auto"/>
          <w:sz w:val="32"/>
          <w:szCs w:val="32"/>
          <w:highlight w:val="none"/>
          <w:shd w:val="clear" w:color="auto" w:fill="auto"/>
          <w:lang w:val="en-US" w:eastAsia="zh-CN"/>
        </w:rPr>
        <w:t>分，得分率为</w:t>
      </w:r>
      <w:r>
        <w:rPr>
          <w:rFonts w:hint="eastAsia" w:ascii="仿宋_GB2312" w:hAnsi="仿宋_GB2312" w:eastAsia="仿宋_GB2312" w:cs="仿宋_GB2312"/>
          <w:color w:val="auto"/>
          <w:sz w:val="32"/>
          <w:szCs w:val="32"/>
          <w:highlight w:val="none"/>
          <w:shd w:val="clear" w:color="auto" w:fill="auto"/>
          <w:lang w:val="en-US" w:eastAsia="zh-CN"/>
        </w:rPr>
        <w:t>100</w:t>
      </w:r>
      <w:r>
        <w:rPr>
          <w:rFonts w:hint="default" w:ascii="仿宋_GB2312" w:hAnsi="仿宋_GB2312" w:eastAsia="仿宋_GB2312" w:cs="仿宋_GB2312"/>
          <w:color w:val="auto"/>
          <w:sz w:val="32"/>
          <w:szCs w:val="32"/>
          <w:highlight w:val="none"/>
          <w:shd w:val="clear" w:color="auto" w:fill="auto"/>
          <w:lang w:val="en-US" w:eastAsia="zh-CN"/>
        </w:rPr>
        <w:t>%。项目产出类指标权重为40分，得分为</w:t>
      </w:r>
      <w:r>
        <w:rPr>
          <w:rFonts w:hint="eastAsia" w:ascii="仿宋_GB2312" w:hAnsi="仿宋_GB2312" w:eastAsia="仿宋_GB2312" w:cs="仿宋_GB2312"/>
          <w:color w:val="auto"/>
          <w:sz w:val="32"/>
          <w:szCs w:val="32"/>
          <w:highlight w:val="none"/>
          <w:shd w:val="clear" w:color="auto" w:fill="auto"/>
          <w:lang w:val="en-US" w:eastAsia="zh-CN"/>
        </w:rPr>
        <w:t>40</w:t>
      </w:r>
      <w:r>
        <w:rPr>
          <w:rFonts w:hint="default" w:ascii="仿宋_GB2312" w:hAnsi="仿宋_GB2312" w:eastAsia="仿宋_GB2312" w:cs="仿宋_GB2312"/>
          <w:color w:val="auto"/>
          <w:sz w:val="32"/>
          <w:szCs w:val="32"/>
          <w:highlight w:val="none"/>
          <w:shd w:val="clear" w:color="auto" w:fill="auto"/>
          <w:lang w:val="en-US" w:eastAsia="zh-CN"/>
        </w:rPr>
        <w:t>分，得分率为</w:t>
      </w:r>
      <w:r>
        <w:rPr>
          <w:rFonts w:hint="eastAsia" w:ascii="仿宋_GB2312" w:hAnsi="仿宋_GB2312" w:eastAsia="仿宋_GB2312" w:cs="仿宋_GB2312"/>
          <w:color w:val="auto"/>
          <w:sz w:val="32"/>
          <w:szCs w:val="32"/>
          <w:highlight w:val="none"/>
          <w:shd w:val="clear" w:color="auto" w:fill="auto"/>
          <w:lang w:val="en-US" w:eastAsia="zh-CN"/>
        </w:rPr>
        <w:t>100</w:t>
      </w:r>
      <w:r>
        <w:rPr>
          <w:rFonts w:hint="default" w:ascii="仿宋_GB2312" w:hAnsi="仿宋_GB2312" w:eastAsia="仿宋_GB2312" w:cs="仿宋_GB2312"/>
          <w:color w:val="auto"/>
          <w:sz w:val="32"/>
          <w:szCs w:val="32"/>
          <w:highlight w:val="none"/>
          <w:shd w:val="clear" w:color="auto" w:fill="auto"/>
          <w:lang w:val="en-US" w:eastAsia="zh-CN"/>
        </w:rPr>
        <w:t>%。项目效益类指标权重为20分，得分为</w:t>
      </w:r>
      <w:r>
        <w:rPr>
          <w:rFonts w:hint="eastAsia" w:ascii="仿宋_GB2312" w:hAnsi="仿宋_GB2312" w:eastAsia="仿宋_GB2312" w:cs="仿宋_GB2312"/>
          <w:color w:val="auto"/>
          <w:sz w:val="32"/>
          <w:szCs w:val="32"/>
          <w:highlight w:val="none"/>
          <w:shd w:val="clear" w:color="auto" w:fill="auto"/>
          <w:lang w:val="en-US" w:eastAsia="zh-CN"/>
        </w:rPr>
        <w:t>20</w:t>
      </w:r>
      <w:r>
        <w:rPr>
          <w:rFonts w:hint="default" w:ascii="仿宋_GB2312" w:hAnsi="仿宋_GB2312" w:eastAsia="仿宋_GB2312" w:cs="仿宋_GB2312"/>
          <w:color w:val="auto"/>
          <w:sz w:val="32"/>
          <w:szCs w:val="32"/>
          <w:highlight w:val="none"/>
          <w:shd w:val="clear" w:color="auto" w:fill="auto"/>
          <w:lang w:val="en-US" w:eastAsia="zh-CN"/>
        </w:rPr>
        <w:t>分，得分率为</w:t>
      </w:r>
      <w:r>
        <w:rPr>
          <w:rFonts w:hint="eastAsia" w:ascii="仿宋_GB2312" w:hAnsi="仿宋_GB2312" w:eastAsia="仿宋_GB2312" w:cs="仿宋_GB2312"/>
          <w:color w:val="auto"/>
          <w:sz w:val="32"/>
          <w:szCs w:val="32"/>
          <w:highlight w:val="none"/>
          <w:shd w:val="clear" w:color="auto" w:fill="auto"/>
          <w:lang w:val="en-US" w:eastAsia="zh-CN"/>
        </w:rPr>
        <w:t>100</w:t>
      </w: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zh-TW" w:eastAsia="zh-TW"/>
        </w:rPr>
        <w:t>各部分权重和绩效</w:t>
      </w:r>
      <w:r>
        <w:rPr>
          <w:rFonts w:hint="eastAsia" w:ascii="仿宋_GB2312" w:hAnsi="仿宋_GB2312" w:eastAsia="仿宋_GB2312" w:cs="仿宋_GB2312"/>
          <w:color w:val="auto"/>
          <w:sz w:val="32"/>
          <w:szCs w:val="32"/>
          <w:highlight w:val="none"/>
          <w:shd w:val="clear" w:color="auto" w:fill="auto"/>
          <w:lang w:val="en-US" w:eastAsia="zh-CN"/>
        </w:rPr>
        <w:t>汇总</w:t>
      </w:r>
      <w:r>
        <w:rPr>
          <w:rFonts w:hint="eastAsia" w:ascii="仿宋_GB2312" w:hAnsi="仿宋_GB2312" w:eastAsia="仿宋_GB2312" w:cs="仿宋_GB2312"/>
          <w:color w:val="auto"/>
          <w:sz w:val="32"/>
          <w:szCs w:val="32"/>
          <w:highlight w:val="none"/>
          <w:shd w:val="clear" w:color="auto" w:fill="auto"/>
          <w:lang w:val="zh-TW" w:eastAsia="zh-TW"/>
        </w:rPr>
        <w:t>分值如下表</w:t>
      </w:r>
      <w:r>
        <w:rPr>
          <w:rFonts w:hint="eastAsia" w:ascii="仿宋_GB2312" w:hAnsi="仿宋_GB2312" w:eastAsia="仿宋_GB2312" w:cs="仿宋_GB2312"/>
          <w:color w:val="auto"/>
          <w:sz w:val="32"/>
          <w:szCs w:val="32"/>
          <w:highlight w:val="none"/>
          <w:shd w:val="clear" w:color="auto" w:fill="auto"/>
          <w:lang w:val="en-US" w:eastAsia="zh-CN"/>
        </w:rPr>
        <w:t>3-1</w:t>
      </w:r>
      <w:r>
        <w:rPr>
          <w:rFonts w:hint="eastAsia" w:ascii="仿宋_GB2312" w:hAnsi="仿宋_GB2312" w:eastAsia="仿宋_GB2312" w:cs="仿宋_GB2312"/>
          <w:color w:val="auto"/>
          <w:sz w:val="32"/>
          <w:szCs w:val="32"/>
          <w:highlight w:val="none"/>
          <w:shd w:val="clear" w:color="auto" w:fill="auto"/>
          <w:lang w:val="zh-TW" w:eastAsia="zh-TW"/>
        </w:rPr>
        <w:t>所示</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详见上传的附件</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zh-TW" w:eastAsia="zh-TW"/>
        </w:rPr>
        <w:t>：</w:t>
      </w:r>
    </w:p>
    <w:tbl>
      <w:tblPr>
        <w:tblStyle w:val="17"/>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0B6425CB">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485DE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2023年天池管委会还本付息支出</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项目得分表</w:t>
            </w:r>
          </w:p>
          <w:p w14:paraId="72EB18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p>
        </w:tc>
      </w:tr>
      <w:tr w14:paraId="7CFEBF9E">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4B8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631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EA9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054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1D0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DD8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09B9B786">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DEA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BEE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8E8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9DFC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14A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cs="宋体"/>
                <w:color w:val="000000" w:themeColor="text1"/>
                <w:kern w:val="0"/>
                <w:sz w:val="21"/>
                <w:szCs w:val="21"/>
                <w:highlight w:val="none"/>
                <w:shd w:val="clear" w:color="auto" w:fill="auto"/>
                <w:lang w:val="en-US" w:eastAsia="zh-CN"/>
                <w14:textFill>
                  <w14:solidFill>
                    <w14:schemeClr w14:val="tx1"/>
                  </w14:solidFill>
                </w14:textFill>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DD3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1"/>
                <w:szCs w:val="21"/>
                <w:highlight w:val="none"/>
                <w:shd w:val="clear" w:color="auto" w:fill="auto"/>
                <w:lang w:val="en-US" w:eastAsia="zh-CN"/>
                <w14:textFill>
                  <w14:solidFill>
                    <w14:schemeClr w14:val="tx1"/>
                  </w14:solidFill>
                </w14:textFill>
              </w:rPr>
              <w:t>100</w:t>
            </w:r>
          </w:p>
        </w:tc>
      </w:tr>
      <w:tr w14:paraId="42AFC2C3">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AA2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75F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211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9BF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68F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8E0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3FDAC4D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B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val="0"/>
                <w:bCs w:val="0"/>
                <w:color w:val="000000" w:themeColor="text1"/>
                <w:kern w:val="0"/>
                <w:sz w:val="21"/>
                <w:szCs w:val="21"/>
                <w:highlight w:val="none"/>
                <w:shd w:val="clear" w:color="auto" w:fill="auto"/>
                <w:lang w:val="en-US" w:eastAsia="zh-CN"/>
                <w14:textFill>
                  <w14:solidFill>
                    <w14:schemeClr w14:val="tx1"/>
                  </w14:solidFill>
                </w14:textFill>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6B8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F9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6C2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717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7C0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1164DDD3">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4"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4"/>
    </w:p>
    <w:p w14:paraId="68E89C1F">
      <w:pPr>
        <w:pStyle w:val="15"/>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05" w:name="_Toc6759"/>
      <w:r>
        <w:rPr>
          <w:rFonts w:hint="eastAsia" w:ascii="Times New Roman" w:hAnsi="Times New Roman" w:eastAsia="楷体_GB2312" w:cs="Times New Roman"/>
          <w:kern w:val="28"/>
          <w:sz w:val="32"/>
        </w:rPr>
        <w:t>（一）项目决策情况</w:t>
      </w:r>
      <w:bookmarkEnd w:id="105"/>
    </w:p>
    <w:p w14:paraId="09538962">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项目决策由3个二级指标和6个三级指标构成，权重分20分，实际得分20分，</w:t>
      </w:r>
      <w:r>
        <w:rPr>
          <w:rFonts w:hint="eastAsia" w:ascii="仿宋_GB2312" w:hAnsi="仿宋_GB2312" w:eastAsia="仿宋_GB2312" w:cs="仿宋_GB2312"/>
          <w:color w:val="auto"/>
          <w:sz w:val="32"/>
          <w:szCs w:val="32"/>
          <w:highlight w:val="none"/>
          <w:shd w:val="clear" w:color="auto" w:fill="auto"/>
          <w:lang w:val="zh-TW" w:eastAsia="zh-TW"/>
        </w:rPr>
        <w:t>各指标业绩值和绩效分值如表</w:t>
      </w:r>
      <w:r>
        <w:rPr>
          <w:rFonts w:hint="eastAsia" w:ascii="仿宋_GB2312" w:hAnsi="仿宋_GB2312" w:eastAsia="仿宋_GB2312" w:cs="仿宋_GB2312"/>
          <w:color w:val="auto"/>
          <w:sz w:val="32"/>
          <w:szCs w:val="32"/>
          <w:highlight w:val="none"/>
          <w:shd w:val="clear" w:color="auto" w:fill="auto"/>
          <w:lang w:val="en-US" w:eastAsia="zh-CN"/>
        </w:rPr>
        <w:t>4-1</w:t>
      </w:r>
      <w:r>
        <w:rPr>
          <w:rFonts w:hint="eastAsia" w:ascii="仿宋_GB2312" w:hAnsi="仿宋_GB2312" w:eastAsia="仿宋_GB2312" w:cs="仿宋_GB2312"/>
          <w:color w:val="auto"/>
          <w:sz w:val="32"/>
          <w:szCs w:val="32"/>
          <w:highlight w:val="none"/>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7C8653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7"/>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2528A35C">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EECF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4274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80B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599B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31BD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D0E9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13AA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6558A8AE">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9C74F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AB0CCE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6EC9D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2CA63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7D9C2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A8BE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5BD7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6AEDC28B">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40BBA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B8921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EE35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BC7E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C04A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E5F4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8C35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32DE23B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A9648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50DCF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2B04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A67C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2CE4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58E3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5383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7BEA9734">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7F7B6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BCC4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43AD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DFBF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F2B4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C364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B288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E1A29D2">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1D5CB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36CA3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D6461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C1940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9AEF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3D4B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543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5397ACE9">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B8CE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9A9F5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96E1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6F28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9A71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5FB5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1261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2C818535">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AFF3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F407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7750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1BAD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88B9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7884B6E5">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6" w:name="_Toc13522"/>
      <w:bookmarkStart w:id="107" w:name="_Toc28069"/>
      <w:r>
        <w:rPr>
          <w:rFonts w:hint="eastAsia" w:ascii="仿宋_GB2312" w:hAnsi="仿宋_GB2312" w:eastAsia="仿宋_GB2312" w:cs="仿宋_GB2312"/>
          <w:b/>
          <w:bCs/>
          <w:sz w:val="32"/>
          <w:szCs w:val="32"/>
          <w:lang w:val="en-US" w:eastAsia="zh-CN"/>
        </w:rPr>
        <w:t>1.立项依据充分性</w:t>
      </w:r>
      <w:bookmarkEnd w:id="106"/>
      <w:bookmarkEnd w:id="107"/>
    </w:p>
    <w:p w14:paraId="62C61FB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①项目立项符合《固定资产支持融资借款合同》；</w:t>
      </w:r>
    </w:p>
    <w:p w14:paraId="6FA968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②项目立项符合补充合同（0300400006-2014年（阜康）字0041号）；</w:t>
      </w:r>
    </w:p>
    <w:p w14:paraId="7BA75BD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③项目立项与天池管委会提升景区高质量发展相符，属于部门履职所需；</w:t>
      </w:r>
    </w:p>
    <w:p w14:paraId="24C21B1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④项目属于公共财政支持范围，符合中央、地方事权支出责任划分原则；</w:t>
      </w:r>
    </w:p>
    <w:p w14:paraId="2CDF57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⑤项目与相关部门同类项目或部门内部相关项目不重复。</w:t>
      </w:r>
    </w:p>
    <w:p w14:paraId="3A1DEF8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综上，该</w:t>
      </w:r>
      <w:r>
        <w:rPr>
          <w:rFonts w:hint="eastAsia" w:ascii="仿宋_GB2312" w:hAnsi="仿宋_GB2312" w:eastAsia="仿宋_GB2312" w:cs="仿宋_GB2312"/>
          <w:b/>
          <w:bCs/>
          <w:color w:val="auto"/>
          <w:sz w:val="32"/>
          <w:szCs w:val="32"/>
          <w:lang w:val="en-US" w:eastAsia="zh-CN"/>
        </w:rPr>
        <w:t>项指标满分2分，得分2分</w:t>
      </w:r>
      <w:r>
        <w:rPr>
          <w:rFonts w:hint="eastAsia" w:ascii="仿宋_GB2312" w:hAnsi="仿宋_GB2312" w:eastAsia="仿宋_GB2312" w:cs="仿宋_GB2312"/>
          <w:b/>
          <w:bCs/>
          <w:sz w:val="32"/>
          <w:szCs w:val="32"/>
          <w:lang w:val="en-US" w:eastAsia="zh-CN"/>
        </w:rPr>
        <w:t>。</w:t>
      </w:r>
    </w:p>
    <w:p w14:paraId="2BBCF1FB">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08" w:name="_Toc23240"/>
      <w:bookmarkStart w:id="109" w:name="_Toc21976"/>
      <w:r>
        <w:rPr>
          <w:rFonts w:hint="eastAsia" w:ascii="仿宋_GB2312" w:hAnsi="仿宋_GB2312" w:eastAsia="仿宋_GB2312" w:cs="仿宋_GB2312"/>
          <w:b/>
          <w:bCs/>
          <w:color w:val="auto"/>
          <w:sz w:val="32"/>
          <w:szCs w:val="32"/>
          <w:lang w:val="en-US" w:eastAsia="zh-CN"/>
        </w:rPr>
        <w:t>2.立项程序规范性</w:t>
      </w:r>
      <w:bookmarkEnd w:id="108"/>
      <w:bookmarkEnd w:id="109"/>
    </w:p>
    <w:p w14:paraId="01E4815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①项目按照规定的程序申请设立；</w:t>
      </w:r>
    </w:p>
    <w:p w14:paraId="7685D3A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②审批文件、材料符合相关要求；</w:t>
      </w:r>
    </w:p>
    <w:p w14:paraId="3F2F971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color w:val="auto"/>
          <w:sz w:val="32"/>
          <w:szCs w:val="32"/>
          <w:highlight w:val="none"/>
          <w:shd w:val="clear" w:color="auto" w:fill="auto"/>
          <w:lang w:val="en-US" w:eastAsia="zh-CN"/>
        </w:rPr>
        <w:t>③事前经过了事前评估、集体决策，未经过风险评估、绩效评估扣1分。</w:t>
      </w:r>
    </w:p>
    <w:p w14:paraId="046089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满分3分，得分2分。</w:t>
      </w:r>
    </w:p>
    <w:p w14:paraId="4BDD786B">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0" w:name="_Toc15382"/>
      <w:bookmarkStart w:id="111" w:name="_Toc23542"/>
      <w:r>
        <w:rPr>
          <w:rFonts w:hint="eastAsia" w:ascii="仿宋_GB2312" w:hAnsi="仿宋_GB2312" w:eastAsia="仿宋_GB2312" w:cs="仿宋_GB2312"/>
          <w:b/>
          <w:bCs/>
          <w:sz w:val="32"/>
          <w:szCs w:val="32"/>
          <w:lang w:val="en-US" w:eastAsia="zh-CN"/>
        </w:rPr>
        <w:t>3.绩效目标合理性</w:t>
      </w:r>
      <w:bookmarkEnd w:id="110"/>
      <w:bookmarkEnd w:id="111"/>
    </w:p>
    <w:p w14:paraId="6B9056D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①该项目已设置年度绩效目标。</w:t>
      </w:r>
    </w:p>
    <w:p w14:paraId="31E36AC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该项目实际工作内容为：统一规划、保护、管理和维护辖区内基础设施和公共设施。负责辖区内维护稳定、游人安全、旅游质量、环境卫生、治安秩序、商业和服务业管理。绩效目标与实际工作内容一致，两者具有相关性。</w:t>
      </w:r>
    </w:p>
    <w:p w14:paraId="7B4AE2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该项目按照绩效目标完成数量指标、质量指标、时效指标、成本指标，完成了向工商银行分2次支付本金、4次支付贷款利息，达到有效解决天池景区基础设施建设资金不足问题和提升景区绿化生态品质和旅游品质的效益，预期产出效益和效果符合正常的业绩水平。</w:t>
      </w:r>
    </w:p>
    <w:p w14:paraId="5DFC927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④《项目支出绩效目标表》中预算金额为5147.15万元，预算确定的项目资金与预算确定的项目投资额相匹配。</w:t>
      </w:r>
    </w:p>
    <w:p w14:paraId="197C2B7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w:t>
      </w:r>
      <w:r>
        <w:rPr>
          <w:rFonts w:hint="eastAsia" w:ascii="仿宋_GB2312" w:hAnsi="仿宋_GB2312" w:eastAsia="仿宋_GB2312" w:cs="仿宋_GB2312"/>
          <w:b/>
          <w:bCs/>
          <w:color w:val="auto"/>
          <w:sz w:val="32"/>
          <w:szCs w:val="32"/>
          <w:lang w:val="en-US" w:eastAsia="zh-CN"/>
        </w:rPr>
        <w:t>指标满分5分，得分5分。</w:t>
      </w:r>
    </w:p>
    <w:p w14:paraId="2ED6B1B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2" w:name="_Toc10650"/>
      <w:bookmarkStart w:id="113" w:name="_Toc18198"/>
      <w:r>
        <w:rPr>
          <w:rFonts w:hint="eastAsia" w:ascii="仿宋_GB2312" w:hAnsi="仿宋_GB2312" w:eastAsia="仿宋_GB2312" w:cs="仿宋_GB2312"/>
          <w:b/>
          <w:bCs/>
          <w:sz w:val="32"/>
          <w:szCs w:val="32"/>
          <w:lang w:val="en-US" w:eastAsia="zh-CN"/>
        </w:rPr>
        <w:t>4.绩效指标明确性</w:t>
      </w:r>
      <w:bookmarkEnd w:id="112"/>
      <w:bookmarkEnd w:id="113"/>
    </w:p>
    <w:p w14:paraId="019445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①将项目绩效目标细化分解为具体的绩效指标，其中三级指标共计8个；</w:t>
      </w:r>
    </w:p>
    <w:p w14:paraId="42188A2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②通过清晰、可衡量的指标值予以体现，量化率达到75%；</w:t>
      </w:r>
    </w:p>
    <w:p w14:paraId="1B44C5C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③《项目绩效目标申报表》中，三级指标的年度指标值与年度绩效目标中任务数一致。</w:t>
      </w:r>
    </w:p>
    <w:p w14:paraId="217879E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已设置的绩效目标具备明确性、可衡量性、可实现性、相关性、时限性。</w:t>
      </w:r>
    </w:p>
    <w:p w14:paraId="5D1063E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w:t>
      </w:r>
      <w:r>
        <w:rPr>
          <w:rFonts w:hint="eastAsia" w:ascii="仿宋_GB2312" w:hAnsi="仿宋_GB2312" w:eastAsia="仿宋_GB2312" w:cs="仿宋_GB2312"/>
          <w:b/>
          <w:bCs/>
          <w:color w:val="auto"/>
          <w:sz w:val="32"/>
          <w:szCs w:val="32"/>
          <w:lang w:val="en-US" w:eastAsia="zh-CN"/>
        </w:rPr>
        <w:t>标满分5分，得分5分。</w:t>
      </w:r>
    </w:p>
    <w:p w14:paraId="65B885BB">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4" w:name="_Toc19401"/>
      <w:bookmarkStart w:id="115" w:name="_Toc8296"/>
      <w:r>
        <w:rPr>
          <w:rFonts w:hint="eastAsia" w:ascii="仿宋_GB2312" w:hAnsi="仿宋_GB2312" w:eastAsia="仿宋_GB2312" w:cs="仿宋_GB2312"/>
          <w:b/>
          <w:bCs/>
          <w:sz w:val="32"/>
          <w:szCs w:val="32"/>
          <w:lang w:val="en-US" w:eastAsia="zh-CN"/>
        </w:rPr>
        <w:t>5.预算编制科学性</w:t>
      </w:r>
      <w:bookmarkEnd w:id="114"/>
      <w:bookmarkEnd w:id="115"/>
    </w:p>
    <w:p w14:paraId="2F452F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①根据项目预算批复，项目的预算编制经过科学论证；</w:t>
      </w:r>
    </w:p>
    <w:p w14:paraId="204D264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②预算申请内容为向工商银行分2次支付本金、4次支付贷款利息，项目实际内容为向工商银行分2次支付本金、4次支付贷款利息，预算申请与项目内容匹配；</w:t>
      </w:r>
    </w:p>
    <w:p w14:paraId="691098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项目预算申请资金5147.15万元，我单位在预算申请中严格按照项目实施内容及测算标准进行核算，其中：2024年计划向工商银行分2次支付贷款本金，共计4947.15万元，分4次向工商银行按季度支付贷款利息200万元，由财政按照年初预算向本单位拨款并支付给贷款银行。</w:t>
      </w:r>
    </w:p>
    <w:p w14:paraId="2DF7FBC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④预算确定资金量与实际工作任务相匹配。项目预算额度测算依据充分，严格按照标准编制，项目资金量与项目实施内容相匹配。</w:t>
      </w:r>
    </w:p>
    <w:p w14:paraId="7161D67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w:t>
      </w:r>
      <w:r>
        <w:rPr>
          <w:rFonts w:hint="eastAsia" w:ascii="仿宋_GB2312" w:hAnsi="仿宋_GB2312" w:eastAsia="仿宋_GB2312" w:cs="仿宋_GB2312"/>
          <w:b/>
          <w:bCs/>
          <w:color w:val="auto"/>
          <w:sz w:val="32"/>
          <w:szCs w:val="32"/>
          <w:lang w:val="en-US" w:eastAsia="zh-CN"/>
        </w:rPr>
        <w:t>标满分2分，得分2分。</w:t>
      </w:r>
    </w:p>
    <w:p w14:paraId="71E41CA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6" w:name="_Toc20556"/>
      <w:bookmarkStart w:id="117" w:name="_Toc697"/>
      <w:r>
        <w:rPr>
          <w:rFonts w:hint="eastAsia" w:ascii="仿宋_GB2312" w:hAnsi="仿宋_GB2312" w:eastAsia="仿宋_GB2312" w:cs="仿宋_GB2312"/>
          <w:b/>
          <w:bCs/>
          <w:sz w:val="32"/>
          <w:szCs w:val="32"/>
          <w:lang w:val="en-US" w:eastAsia="zh-CN"/>
        </w:rPr>
        <w:t>6.资金分配合理性</w:t>
      </w:r>
      <w:bookmarkEnd w:id="116"/>
      <w:bookmarkEnd w:id="117"/>
    </w:p>
    <w:p w14:paraId="112EDE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①项目实际分配资金以</w:t>
      </w:r>
      <w:r>
        <w:rPr>
          <w:rFonts w:hint="eastAsia" w:ascii="仿宋_GB2312" w:hAnsi="仿宋_GB2312" w:eastAsia="仿宋_GB2312" w:cs="仿宋_GB2312"/>
          <w:color w:val="auto"/>
          <w:sz w:val="32"/>
          <w:szCs w:val="32"/>
          <w:highlight w:val="none"/>
          <w:shd w:val="clear" w:color="auto" w:fill="auto"/>
          <w:lang w:val="en-US" w:eastAsia="zh-Hans"/>
        </w:rPr>
        <w:t>《关于</w:t>
      </w:r>
      <w:r>
        <w:rPr>
          <w:rFonts w:hint="eastAsia" w:ascii="仿宋_GB2312" w:hAnsi="仿宋_GB2312" w:eastAsia="仿宋_GB2312" w:cs="仿宋_GB2312"/>
          <w:color w:val="auto"/>
          <w:sz w:val="32"/>
          <w:szCs w:val="32"/>
          <w:highlight w:val="none"/>
          <w:shd w:val="clear" w:color="auto" w:fill="auto"/>
          <w:lang w:val="en-US" w:eastAsia="zh-CN"/>
        </w:rPr>
        <w:t>申请2023年天池管委会还本付息支出项目资金的请示</w:t>
      </w:r>
      <w:r>
        <w:rPr>
          <w:rFonts w:hint="eastAsia" w:ascii="仿宋_GB2312" w:hAnsi="仿宋_GB2312" w:eastAsia="仿宋_GB2312" w:cs="仿宋_GB2312"/>
          <w:color w:val="auto"/>
          <w:sz w:val="32"/>
          <w:szCs w:val="32"/>
          <w:highlight w:val="none"/>
          <w:shd w:val="clear" w:color="auto" w:fill="auto"/>
          <w:lang w:val="en-US" w:eastAsia="zh-Hans"/>
        </w:rPr>
        <w:t>》为依据进行资金分配，预算资金分配依据充分</w:t>
      </w:r>
      <w:r>
        <w:rPr>
          <w:rFonts w:hint="eastAsia" w:ascii="仿宋_GB2312" w:hAnsi="仿宋_GB2312" w:eastAsia="仿宋_GB2312" w:cs="仿宋_GB2312"/>
          <w:color w:val="auto"/>
          <w:sz w:val="32"/>
          <w:szCs w:val="32"/>
          <w:highlight w:val="none"/>
          <w:shd w:val="clear" w:color="auto" w:fill="auto"/>
          <w:lang w:val="en-US" w:eastAsia="zh-CN"/>
        </w:rPr>
        <w:t>。</w:t>
      </w:r>
    </w:p>
    <w:p w14:paraId="4B8826C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②项目实际到位资金5147.15万元，资金分配额度合理，与项目单位及项目实际实施情况相适应。</w:t>
      </w:r>
    </w:p>
    <w:p w14:paraId="0610D61A">
      <w:pPr>
        <w:pageBreakBefore w:val="0"/>
        <w:kinsoku/>
        <w:wordWrap/>
        <w:overflowPunct/>
        <w:topLinePunct w:val="0"/>
        <w:autoSpaceDE/>
        <w:autoSpaceDN/>
        <w:bidi w:val="0"/>
        <w:spacing w:line="560" w:lineRule="exact"/>
        <w:textAlignment w:val="auto"/>
        <w:rPr>
          <w:rFonts w:hint="eastAsia"/>
          <w:lang w:eastAsia="zh-CN"/>
        </w:rPr>
      </w:pPr>
      <w:r>
        <w:rPr>
          <w:rFonts w:hint="eastAsia" w:ascii="仿宋_GB2312" w:hAnsi="仿宋_GB2312" w:eastAsia="仿宋_GB2312" w:cs="仿宋_GB2312"/>
          <w:b/>
          <w:bCs/>
          <w:sz w:val="32"/>
          <w:szCs w:val="32"/>
          <w:lang w:val="en-US" w:eastAsia="zh-CN"/>
        </w:rPr>
        <w:t>综上，该项指</w:t>
      </w:r>
      <w:r>
        <w:rPr>
          <w:rFonts w:hint="eastAsia" w:ascii="仿宋_GB2312" w:hAnsi="仿宋_GB2312" w:eastAsia="仿宋_GB2312" w:cs="仿宋_GB2312"/>
          <w:b/>
          <w:bCs/>
          <w:color w:val="auto"/>
          <w:sz w:val="32"/>
          <w:szCs w:val="32"/>
          <w:lang w:val="en-US" w:eastAsia="zh-CN"/>
        </w:rPr>
        <w:t>标满分3分，得分3分。</w:t>
      </w:r>
    </w:p>
    <w:p w14:paraId="0E63D223">
      <w:pPr>
        <w:pStyle w:val="15"/>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kern w:val="28"/>
          <w:sz w:val="32"/>
        </w:rPr>
      </w:pPr>
      <w:bookmarkStart w:id="118" w:name="_Toc10564"/>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lang w:val="en-US" w:eastAsia="zh-CN"/>
        </w:rPr>
        <w:t>二</w:t>
      </w:r>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rPr>
        <w:t>项目过程情况</w:t>
      </w:r>
      <w:bookmarkEnd w:id="118"/>
    </w:p>
    <w:p w14:paraId="333A2521">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sz w:val="32"/>
          <w:szCs w:val="32"/>
          <w:highlight w:val="none"/>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过程管理</w:t>
      </w:r>
      <w:r>
        <w:rPr>
          <w:rFonts w:hint="eastAsia" w:ascii="仿宋_GB2312" w:hAnsi="仿宋_GB2312" w:eastAsia="仿宋_GB2312" w:cs="仿宋_GB2312"/>
          <w:color w:val="auto"/>
          <w:sz w:val="32"/>
          <w:szCs w:val="32"/>
          <w:highlight w:val="none"/>
          <w:shd w:val="clear" w:color="auto" w:fill="auto"/>
          <w:lang w:val="zh-TW" w:eastAsia="zh-TW"/>
        </w:rPr>
        <w:t>类指标由</w:t>
      </w:r>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zh-TW" w:eastAsia="zh-TW"/>
        </w:rPr>
        <w:t>个</w:t>
      </w:r>
      <w:r>
        <w:rPr>
          <w:rFonts w:hint="eastAsia" w:ascii="仿宋_GB2312" w:hAnsi="仿宋_GB2312" w:eastAsia="仿宋_GB2312" w:cs="仿宋_GB2312"/>
          <w:color w:val="auto"/>
          <w:sz w:val="32"/>
          <w:szCs w:val="32"/>
          <w:highlight w:val="none"/>
          <w:shd w:val="clear" w:color="auto" w:fill="auto"/>
          <w:lang w:val="zh-TW" w:eastAsia="zh-CN"/>
        </w:rPr>
        <w:t>二</w:t>
      </w:r>
      <w:r>
        <w:rPr>
          <w:rFonts w:hint="eastAsia" w:ascii="仿宋_GB2312" w:hAnsi="仿宋_GB2312" w:eastAsia="仿宋_GB2312" w:cs="仿宋_GB2312"/>
          <w:color w:val="auto"/>
          <w:sz w:val="32"/>
          <w:szCs w:val="32"/>
          <w:highlight w:val="none"/>
          <w:shd w:val="clear" w:color="auto" w:fill="auto"/>
          <w:lang w:val="zh-TW" w:eastAsia="zh-TW"/>
        </w:rPr>
        <w:t>级指标和</w:t>
      </w:r>
      <w:r>
        <w:rPr>
          <w:rFonts w:hint="eastAsia" w:ascii="仿宋_GB2312" w:hAnsi="仿宋_GB2312" w:eastAsia="仿宋_GB2312" w:cs="仿宋_GB2312"/>
          <w:color w:val="auto"/>
          <w:sz w:val="32"/>
          <w:szCs w:val="32"/>
          <w:highlight w:val="none"/>
          <w:shd w:val="clear" w:color="auto" w:fill="auto"/>
          <w:lang w:val="en-US" w:eastAsia="zh-CN"/>
        </w:rPr>
        <w:t>5</w:t>
      </w:r>
      <w:r>
        <w:rPr>
          <w:rFonts w:hint="eastAsia" w:ascii="仿宋_GB2312" w:hAnsi="仿宋_GB2312" w:eastAsia="仿宋_GB2312" w:cs="仿宋_GB2312"/>
          <w:color w:val="auto"/>
          <w:sz w:val="32"/>
          <w:szCs w:val="32"/>
          <w:highlight w:val="none"/>
          <w:shd w:val="clear" w:color="auto" w:fill="auto"/>
          <w:lang w:val="zh-TW" w:eastAsia="zh-TW"/>
        </w:rPr>
        <w:t>个</w:t>
      </w:r>
      <w:r>
        <w:rPr>
          <w:rFonts w:hint="eastAsia" w:ascii="仿宋_GB2312" w:hAnsi="仿宋_GB2312" w:eastAsia="仿宋_GB2312" w:cs="仿宋_GB2312"/>
          <w:color w:val="auto"/>
          <w:sz w:val="32"/>
          <w:szCs w:val="32"/>
          <w:highlight w:val="none"/>
          <w:shd w:val="clear" w:color="auto" w:fill="auto"/>
          <w:lang w:val="en-US" w:eastAsia="zh-CN"/>
        </w:rPr>
        <w:t>三</w:t>
      </w:r>
      <w:r>
        <w:rPr>
          <w:rFonts w:hint="eastAsia" w:ascii="仿宋_GB2312" w:hAnsi="仿宋_GB2312" w:eastAsia="仿宋_GB2312" w:cs="仿宋_GB2312"/>
          <w:color w:val="auto"/>
          <w:sz w:val="32"/>
          <w:szCs w:val="32"/>
          <w:highlight w:val="none"/>
          <w:shd w:val="clear" w:color="auto" w:fill="auto"/>
          <w:lang w:val="zh-TW" w:eastAsia="zh-TW"/>
        </w:rPr>
        <w:t>级指标构成，权重分</w:t>
      </w:r>
      <w:r>
        <w:rPr>
          <w:rFonts w:hint="eastAsia" w:ascii="仿宋_GB2312" w:hAnsi="仿宋_GB2312" w:eastAsia="仿宋_GB2312" w:cs="仿宋_GB2312"/>
          <w:color w:val="auto"/>
          <w:sz w:val="32"/>
          <w:szCs w:val="32"/>
          <w:highlight w:val="none"/>
          <w:shd w:val="clear" w:color="auto" w:fill="auto"/>
          <w:lang w:val="en-US" w:eastAsia="zh-CN"/>
        </w:rPr>
        <w:t>20</w:t>
      </w:r>
      <w:r>
        <w:rPr>
          <w:rFonts w:hint="eastAsia" w:ascii="仿宋_GB2312" w:hAnsi="仿宋_GB2312" w:eastAsia="仿宋_GB2312" w:cs="仿宋_GB2312"/>
          <w:color w:val="auto"/>
          <w:sz w:val="32"/>
          <w:szCs w:val="32"/>
          <w:highlight w:val="none"/>
          <w:shd w:val="clear" w:color="auto" w:fill="auto"/>
          <w:lang w:val="zh-TW" w:eastAsia="zh-TW"/>
        </w:rPr>
        <w:t>分，实际得分</w:t>
      </w:r>
      <w:r>
        <w:rPr>
          <w:rFonts w:hint="eastAsia" w:ascii="仿宋_GB2312" w:hAnsi="仿宋_GB2312" w:eastAsia="仿宋_GB2312" w:cs="仿宋_GB2312"/>
          <w:color w:val="auto"/>
          <w:sz w:val="32"/>
          <w:szCs w:val="32"/>
          <w:highlight w:val="none"/>
          <w:shd w:val="clear" w:color="auto" w:fill="auto"/>
          <w:lang w:val="en-US" w:eastAsia="zh-CN"/>
        </w:rPr>
        <w:t>20</w:t>
      </w:r>
      <w:r>
        <w:rPr>
          <w:rFonts w:hint="eastAsia" w:ascii="仿宋_GB2312" w:hAnsi="仿宋_GB2312" w:eastAsia="仿宋_GB2312" w:cs="仿宋_GB2312"/>
          <w:color w:val="auto"/>
          <w:sz w:val="32"/>
          <w:szCs w:val="32"/>
          <w:highlight w:val="none"/>
          <w:shd w:val="clear" w:color="auto" w:fill="auto"/>
          <w:lang w:val="zh-TW" w:eastAsia="zh-TW"/>
        </w:rPr>
        <w:t>分</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zh-TW" w:eastAsia="zh-TW"/>
        </w:rPr>
        <w:t>各指标业绩值和绩效分值如表</w:t>
      </w:r>
      <w:r>
        <w:rPr>
          <w:rFonts w:hint="eastAsia" w:ascii="仿宋_GB2312" w:hAnsi="仿宋_GB2312" w:eastAsia="仿宋_GB2312" w:cs="仿宋_GB2312"/>
          <w:color w:val="auto"/>
          <w:sz w:val="32"/>
          <w:szCs w:val="32"/>
          <w:highlight w:val="none"/>
          <w:shd w:val="clear" w:color="auto" w:fill="auto"/>
          <w:lang w:val="en-US" w:eastAsia="zh-CN"/>
        </w:rPr>
        <w:t>4-2</w:t>
      </w:r>
      <w:r>
        <w:rPr>
          <w:rFonts w:hint="eastAsia" w:ascii="仿宋_GB2312" w:hAnsi="仿宋_GB2312" w:eastAsia="仿宋_GB2312" w:cs="仿宋_GB2312"/>
          <w:color w:val="auto"/>
          <w:sz w:val="32"/>
          <w:szCs w:val="32"/>
          <w:highlight w:val="none"/>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1ED99D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2023年天池管委会还本付息支出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7"/>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7B527DEC">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AEC3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C547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21AA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9F30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191E6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C910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9652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2461C0E4">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70C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78FD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1B00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3477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8453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5159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ACBB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89EF90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0EC3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4496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0076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90D3C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E875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609B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ED2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3AC63CD">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8BF0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3FD2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8C06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DB81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863A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E277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C47B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E5958BD">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A76A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48FF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F6F5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2386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4F11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25D5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03B6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D5897BC">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416A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03AA9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2F6F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A3F7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64C5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A829F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6C27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3263295">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F626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D78C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F8E5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43BA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44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0BCB4E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19" w:name="_Toc3886"/>
      <w:bookmarkStart w:id="120" w:name="_Toc20449"/>
      <w:r>
        <w:rPr>
          <w:rFonts w:hint="eastAsia" w:ascii="仿宋_GB2312" w:hAnsi="仿宋_GB2312" w:eastAsia="仿宋_GB2312" w:cs="仿宋_GB2312"/>
          <w:b/>
          <w:bCs/>
          <w:sz w:val="32"/>
          <w:szCs w:val="32"/>
          <w:lang w:val="en-US" w:eastAsia="zh-CN"/>
        </w:rPr>
        <w:t>1.资金到位率</w:t>
      </w:r>
      <w:bookmarkEnd w:id="119"/>
      <w:bookmarkEnd w:id="120"/>
    </w:p>
    <w:p w14:paraId="6B8679B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项目预算资金为5147.15万元，其中：财政安排资金5147.15万元，其他资金0万元。</w:t>
      </w:r>
    </w:p>
    <w:p w14:paraId="5AA0181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资金到位率=（5147.15/5147.15）×100%=100%</w:t>
      </w:r>
    </w:p>
    <w:p w14:paraId="27E474F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w:t>
      </w:r>
      <w:r>
        <w:rPr>
          <w:rFonts w:hint="eastAsia" w:ascii="仿宋_GB2312" w:hAnsi="仿宋_GB2312" w:eastAsia="仿宋_GB2312" w:cs="仿宋_GB2312"/>
          <w:b/>
          <w:bCs/>
          <w:color w:val="auto"/>
          <w:sz w:val="32"/>
          <w:szCs w:val="32"/>
          <w:lang w:val="en-US" w:eastAsia="zh-CN"/>
        </w:rPr>
        <w:t>项指标满分4分，得分4分。</w:t>
      </w:r>
    </w:p>
    <w:p w14:paraId="042A8B0A">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1" w:name="_Toc17709"/>
      <w:bookmarkStart w:id="122" w:name="_Toc9705"/>
      <w:r>
        <w:rPr>
          <w:rFonts w:hint="eastAsia" w:ascii="仿宋_GB2312" w:hAnsi="仿宋_GB2312" w:eastAsia="仿宋_GB2312" w:cs="仿宋_GB2312"/>
          <w:b/>
          <w:bCs/>
          <w:sz w:val="32"/>
          <w:szCs w:val="32"/>
          <w:lang w:val="en-US" w:eastAsia="zh-CN"/>
        </w:rPr>
        <w:t>2.预算执行率</w:t>
      </w:r>
      <w:bookmarkEnd w:id="121"/>
      <w:bookmarkEnd w:id="122"/>
    </w:p>
    <w:p w14:paraId="4CEC1B2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截至2024年12月31日，项目实际支出5147.15万元。</w:t>
      </w:r>
    </w:p>
    <w:p w14:paraId="61F52AC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预算执行率=（5147.15/5147.15）×100%=100%</w:t>
      </w:r>
    </w:p>
    <w:p w14:paraId="7C8F9E0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w:t>
      </w:r>
      <w:r>
        <w:rPr>
          <w:rFonts w:hint="eastAsia" w:ascii="仿宋_GB2312" w:hAnsi="仿宋_GB2312" w:eastAsia="仿宋_GB2312" w:cs="仿宋_GB2312"/>
          <w:b/>
          <w:bCs/>
          <w:color w:val="auto"/>
          <w:sz w:val="32"/>
          <w:szCs w:val="32"/>
          <w:lang w:val="en-US" w:eastAsia="zh-CN"/>
        </w:rPr>
        <w:t>标满分4分，得分4分。</w:t>
      </w:r>
    </w:p>
    <w:p w14:paraId="388DD3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3" w:name="_Toc28875"/>
      <w:bookmarkStart w:id="124" w:name="_Toc18691"/>
      <w:r>
        <w:rPr>
          <w:rFonts w:hint="eastAsia" w:ascii="仿宋_GB2312" w:hAnsi="仿宋_GB2312" w:eastAsia="仿宋_GB2312" w:cs="仿宋_GB2312"/>
          <w:b/>
          <w:bCs/>
          <w:sz w:val="32"/>
          <w:szCs w:val="32"/>
          <w:lang w:val="en-US" w:eastAsia="zh-CN"/>
        </w:rPr>
        <w:t>3.资金使用合规性</w:t>
      </w:r>
      <w:bookmarkEnd w:id="123"/>
      <w:bookmarkEnd w:id="124"/>
    </w:p>
    <w:p w14:paraId="38D8212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①本项目资金支出符合国家财经法规、《政府会计制度》《新疆天池管委会资金管理办法》《新疆天池管理委员会专项资金管理办法》；</w:t>
      </w:r>
    </w:p>
    <w:p w14:paraId="2AA9C56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②资金的拨付有完整的审批程序和手续；</w:t>
      </w:r>
    </w:p>
    <w:p w14:paraId="6F6545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③符合项目预算批复或合同规定的用途；</w:t>
      </w:r>
    </w:p>
    <w:p w14:paraId="0B694ED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④不存在截留、挤占、挪用、虚列支出等情况。</w:t>
      </w:r>
    </w:p>
    <w:p w14:paraId="77F208E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bCs/>
          <w:sz w:val="32"/>
          <w:szCs w:val="32"/>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sz w:val="32"/>
          <w:szCs w:val="32"/>
          <w:highlight w:val="none"/>
          <w:lang w:val="en-US" w:eastAsia="zh-CN"/>
        </w:rPr>
        <w:t xml:space="preserve"> </w:t>
      </w:r>
    </w:p>
    <w:p w14:paraId="242AE2E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w:t>
      </w:r>
      <w:r>
        <w:rPr>
          <w:rFonts w:hint="eastAsia" w:ascii="仿宋_GB2312" w:hAnsi="仿宋_GB2312" w:eastAsia="仿宋_GB2312" w:cs="仿宋_GB2312"/>
          <w:b/>
          <w:bCs/>
          <w:color w:val="auto"/>
          <w:sz w:val="32"/>
          <w:szCs w:val="32"/>
          <w:lang w:val="en-US" w:eastAsia="zh-CN"/>
        </w:rPr>
        <w:t>标满分4分，得分4分。</w:t>
      </w:r>
    </w:p>
    <w:p w14:paraId="3F7A4127">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4.</w:t>
      </w:r>
      <w:r>
        <w:rPr>
          <w:rFonts w:hint="eastAsia" w:ascii="仿宋_GB2312" w:hAnsi="仿宋_GB2312" w:eastAsia="仿宋_GB2312" w:cs="仿宋_GB2312"/>
          <w:b/>
          <w:bCs/>
          <w:sz w:val="32"/>
          <w:szCs w:val="32"/>
          <w:lang w:val="en-US" w:eastAsia="zh-CN"/>
        </w:rPr>
        <w:t>管理制度健全性</w:t>
      </w:r>
    </w:p>
    <w:p w14:paraId="3C70B60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我单位已制定《新疆天池管理委员会资金管理办法》《新疆天池管理委员会收支业务管理制度》《新疆天池管理委员会政府采购业务管理制度》《新疆天池管理委员会合同管理制度》，相关制度均符合行政事业单位内控管理要求；</w:t>
      </w:r>
    </w:p>
    <w:p w14:paraId="5BDD8A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②已制定的财务和业务管理制度合法、合规、完整，本项目执行符合上述制度规定。</w:t>
      </w:r>
    </w:p>
    <w:p w14:paraId="275C33D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满分4分，得分4分。</w:t>
      </w:r>
    </w:p>
    <w:p w14:paraId="53A98319">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sz w:val="32"/>
          <w:szCs w:val="32"/>
          <w:lang w:val="en-US" w:eastAsia="zh-CN"/>
        </w:rPr>
      </w:pPr>
      <w:bookmarkStart w:id="125" w:name="_Toc13984"/>
      <w:bookmarkStart w:id="126" w:name="_Toc31684"/>
      <w:r>
        <w:rPr>
          <w:rFonts w:hint="eastAsia" w:ascii="仿宋_GB2312" w:hAnsi="仿宋_GB2312" w:eastAsia="仿宋_GB2312" w:cs="仿宋_GB2312"/>
          <w:b/>
          <w:bCs/>
          <w:sz w:val="32"/>
          <w:szCs w:val="32"/>
          <w:lang w:val="en-US" w:eastAsia="zh-CN"/>
        </w:rPr>
        <w:t>5.制度执行有效性</w:t>
      </w:r>
      <w:bookmarkEnd w:id="125"/>
      <w:bookmarkEnd w:id="126"/>
    </w:p>
    <w:p w14:paraId="19DCC7F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项目的实施遵守相关法律法规及相关管理规定，符合《新疆天池管理委员会采购业务管理制度》《新疆天池管理委员会合同管理制度》《新疆天池管理委员会内部控制规范》《新疆天池管理委员会项目管理规范》《新疆天池管委会财务管理制度》《新疆天池管委会资产管理制度》等管理规定，；</w:t>
      </w:r>
    </w:p>
    <w:p w14:paraId="6C3B05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②该项目实施过程中不存在调整事项</w:t>
      </w:r>
    </w:p>
    <w:p w14:paraId="4D5246E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③项目合同书、验收评审表、财务支付凭证等资料齐全并及时归档。</w:t>
      </w:r>
    </w:p>
    <w:p w14:paraId="704E7A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项目实施所需要的项目人员和场地设备均已落实到位，具体涉及内容包括：项目资金支出严格按照自治区、地区以及本单位资金管理办法执行，项目启动实施后，为了加快本项目的实施，成立了2023年天池管委会还本付息支出项目工作领导小组，由王琪任组长，负责项目的组织工作；马峥任副组长，负责项目的实施工作；组员包括：王艺璇和王玉丽，主要负责项目监督管理以及资金核拨等工作。</w:t>
      </w:r>
    </w:p>
    <w:p w14:paraId="09E2358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满分4分，得分4分。</w:t>
      </w:r>
    </w:p>
    <w:p w14:paraId="659E3247">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27" w:name="_Toc2441"/>
      <w:r>
        <w:rPr>
          <w:rFonts w:hint="eastAsia" w:ascii="Times New Roman" w:hAnsi="Times New Roman" w:eastAsia="楷体_GB2312" w:cs="Times New Roman"/>
          <w:kern w:val="28"/>
          <w:sz w:val="32"/>
          <w:lang w:val="en-US" w:eastAsia="zh-CN"/>
        </w:rPr>
        <w:t>（三）项目产出情况</w:t>
      </w:r>
      <w:bookmarkEnd w:id="127"/>
    </w:p>
    <w:p w14:paraId="42711675">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sz w:val="32"/>
          <w:szCs w:val="32"/>
          <w:highlight w:val="none"/>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sz w:val="32"/>
          <w:szCs w:val="32"/>
          <w:highlight w:val="none"/>
          <w:shd w:val="clear" w:color="auto" w:fill="auto"/>
          <w:lang w:val="zh-TW" w:eastAsia="zh-TW"/>
        </w:rPr>
        <w:t>类指标</w:t>
      </w:r>
      <w:r>
        <w:rPr>
          <w:rFonts w:hint="default" w:ascii="仿宋_GB2312" w:hAnsi="仿宋_GB2312" w:eastAsia="仿宋_GB2312" w:cs="仿宋_GB2312"/>
          <w:color w:val="auto"/>
          <w:sz w:val="32"/>
          <w:szCs w:val="32"/>
          <w:highlight w:val="none"/>
          <w:shd w:val="clear" w:color="auto" w:fill="auto"/>
          <w:lang w:val="en-US" w:eastAsia="zh-CN"/>
        </w:rPr>
        <w:t>包括产出数量、产出质量、产出时效、产出成本四方面的内容，</w:t>
      </w:r>
      <w:r>
        <w:rPr>
          <w:rFonts w:hint="eastAsia" w:ascii="仿宋_GB2312" w:hAnsi="仿宋_GB2312" w:eastAsia="仿宋_GB2312" w:cs="仿宋_GB2312"/>
          <w:color w:val="auto"/>
          <w:sz w:val="32"/>
          <w:szCs w:val="32"/>
          <w:highlight w:val="none"/>
          <w:shd w:val="clear" w:color="auto" w:fill="auto"/>
          <w:lang w:val="en-US" w:eastAsia="zh-CN"/>
        </w:rPr>
        <w:t>共4</w:t>
      </w:r>
      <w:r>
        <w:rPr>
          <w:rFonts w:hint="eastAsia" w:ascii="仿宋_GB2312" w:hAnsi="仿宋_GB2312" w:eastAsia="仿宋_GB2312" w:cs="仿宋_GB2312"/>
          <w:color w:val="auto"/>
          <w:sz w:val="32"/>
          <w:szCs w:val="32"/>
          <w:highlight w:val="none"/>
          <w:shd w:val="clear" w:color="auto" w:fill="auto"/>
          <w:lang w:val="zh-TW" w:eastAsia="zh-TW"/>
        </w:rPr>
        <w:t>个</w:t>
      </w:r>
      <w:r>
        <w:rPr>
          <w:rFonts w:hint="eastAsia" w:ascii="仿宋_GB2312" w:hAnsi="仿宋_GB2312" w:eastAsia="仿宋_GB2312" w:cs="仿宋_GB2312"/>
          <w:color w:val="auto"/>
          <w:sz w:val="32"/>
          <w:szCs w:val="32"/>
          <w:highlight w:val="none"/>
          <w:shd w:val="clear" w:color="auto" w:fill="auto"/>
          <w:lang w:val="zh-TW" w:eastAsia="zh-CN"/>
        </w:rPr>
        <w:t>二</w:t>
      </w:r>
      <w:r>
        <w:rPr>
          <w:rFonts w:hint="eastAsia" w:ascii="仿宋_GB2312" w:hAnsi="仿宋_GB2312" w:eastAsia="仿宋_GB2312" w:cs="仿宋_GB2312"/>
          <w:color w:val="auto"/>
          <w:sz w:val="32"/>
          <w:szCs w:val="32"/>
          <w:highlight w:val="none"/>
          <w:shd w:val="clear" w:color="auto" w:fill="auto"/>
          <w:lang w:val="zh-TW" w:eastAsia="zh-TW"/>
        </w:rPr>
        <w:t>级指标和</w:t>
      </w:r>
      <w:r>
        <w:rPr>
          <w:rFonts w:hint="eastAsia" w:ascii="仿宋_GB2312" w:hAnsi="仿宋_GB2312" w:eastAsia="仿宋_GB2312" w:cs="仿宋_GB2312"/>
          <w:color w:val="auto"/>
          <w:sz w:val="32"/>
          <w:szCs w:val="32"/>
          <w:highlight w:val="none"/>
          <w:shd w:val="clear" w:color="auto" w:fill="auto"/>
          <w:lang w:val="en-US" w:eastAsia="zh-CN"/>
        </w:rPr>
        <w:t>7</w:t>
      </w:r>
      <w:r>
        <w:rPr>
          <w:rFonts w:hint="eastAsia" w:ascii="仿宋_GB2312" w:hAnsi="仿宋_GB2312" w:eastAsia="仿宋_GB2312" w:cs="仿宋_GB2312"/>
          <w:color w:val="auto"/>
          <w:sz w:val="32"/>
          <w:szCs w:val="32"/>
          <w:highlight w:val="none"/>
          <w:shd w:val="clear" w:color="auto" w:fill="auto"/>
          <w:lang w:val="zh-TW" w:eastAsia="zh-TW"/>
        </w:rPr>
        <w:t>个</w:t>
      </w:r>
      <w:r>
        <w:rPr>
          <w:rFonts w:hint="eastAsia" w:ascii="仿宋_GB2312" w:hAnsi="仿宋_GB2312" w:eastAsia="仿宋_GB2312" w:cs="仿宋_GB2312"/>
          <w:color w:val="auto"/>
          <w:sz w:val="32"/>
          <w:szCs w:val="32"/>
          <w:highlight w:val="none"/>
          <w:shd w:val="clear" w:color="auto" w:fill="auto"/>
          <w:lang w:val="en-US" w:eastAsia="zh-CN"/>
        </w:rPr>
        <w:t>三</w:t>
      </w:r>
      <w:r>
        <w:rPr>
          <w:rFonts w:hint="eastAsia" w:ascii="仿宋_GB2312" w:hAnsi="仿宋_GB2312" w:eastAsia="仿宋_GB2312" w:cs="仿宋_GB2312"/>
          <w:color w:val="auto"/>
          <w:sz w:val="32"/>
          <w:szCs w:val="32"/>
          <w:highlight w:val="none"/>
          <w:shd w:val="clear" w:color="auto" w:fill="auto"/>
          <w:lang w:val="zh-TW" w:eastAsia="zh-TW"/>
        </w:rPr>
        <w:t>级指标构成，权重分</w:t>
      </w:r>
      <w:r>
        <w:rPr>
          <w:rFonts w:hint="eastAsia" w:ascii="仿宋_GB2312" w:hAnsi="仿宋_GB2312" w:eastAsia="仿宋_GB2312" w:cs="仿宋_GB2312"/>
          <w:color w:val="auto"/>
          <w:sz w:val="32"/>
          <w:szCs w:val="32"/>
          <w:highlight w:val="none"/>
          <w:shd w:val="clear" w:color="auto" w:fill="auto"/>
          <w:lang w:val="en-US" w:eastAsia="zh-CN"/>
        </w:rPr>
        <w:t>40</w:t>
      </w:r>
      <w:r>
        <w:rPr>
          <w:rFonts w:hint="eastAsia" w:ascii="仿宋_GB2312" w:hAnsi="仿宋_GB2312" w:eastAsia="仿宋_GB2312" w:cs="仿宋_GB2312"/>
          <w:color w:val="auto"/>
          <w:sz w:val="32"/>
          <w:szCs w:val="32"/>
          <w:highlight w:val="none"/>
          <w:shd w:val="clear" w:color="auto" w:fill="auto"/>
          <w:lang w:val="zh-TW" w:eastAsia="zh-TW"/>
        </w:rPr>
        <w:t>分，实际得分</w:t>
      </w:r>
      <w:r>
        <w:rPr>
          <w:rFonts w:hint="eastAsia" w:ascii="仿宋_GB2312" w:hAnsi="仿宋_GB2312" w:eastAsia="仿宋_GB2312" w:cs="仿宋_GB2312"/>
          <w:color w:val="auto"/>
          <w:sz w:val="32"/>
          <w:szCs w:val="32"/>
          <w:highlight w:val="none"/>
          <w:shd w:val="clear" w:color="auto" w:fill="auto"/>
          <w:lang w:val="en-US" w:eastAsia="zh-CN"/>
        </w:rPr>
        <w:t>40</w:t>
      </w:r>
      <w:r>
        <w:rPr>
          <w:rFonts w:hint="eastAsia" w:ascii="仿宋_GB2312" w:hAnsi="仿宋_GB2312" w:eastAsia="仿宋_GB2312" w:cs="仿宋_GB2312"/>
          <w:color w:val="auto"/>
          <w:sz w:val="32"/>
          <w:szCs w:val="32"/>
          <w:highlight w:val="none"/>
          <w:shd w:val="clear" w:color="auto" w:fill="auto"/>
          <w:lang w:val="zh-TW" w:eastAsia="zh-TW"/>
        </w:rPr>
        <w:t>分</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zh-TW" w:eastAsia="zh-TW"/>
        </w:rPr>
        <w:t>各指标业绩值和绩效分值如表</w:t>
      </w:r>
      <w:r>
        <w:rPr>
          <w:rFonts w:hint="eastAsia" w:ascii="仿宋_GB2312" w:hAnsi="仿宋_GB2312" w:eastAsia="仿宋_GB2312" w:cs="仿宋_GB2312"/>
          <w:color w:val="auto"/>
          <w:sz w:val="32"/>
          <w:szCs w:val="32"/>
          <w:highlight w:val="none"/>
          <w:shd w:val="clear" w:color="auto" w:fill="auto"/>
          <w:lang w:val="en-US" w:eastAsia="zh-CN"/>
        </w:rPr>
        <w:t>4-3</w:t>
      </w:r>
      <w:r>
        <w:rPr>
          <w:rFonts w:hint="eastAsia" w:ascii="仿宋_GB2312" w:hAnsi="仿宋_GB2312" w:eastAsia="仿宋_GB2312" w:cs="仿宋_GB2312"/>
          <w:color w:val="auto"/>
          <w:sz w:val="32"/>
          <w:szCs w:val="32"/>
          <w:highlight w:val="none"/>
          <w:shd w:val="clear" w:color="auto" w:fill="auto"/>
          <w:lang w:val="zh-TW" w:eastAsia="zh-TW"/>
        </w:rPr>
        <w:t>所示</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A8A589C">
      <w:pPr>
        <w:keepNext w:val="0"/>
        <w:keepLines w:val="0"/>
        <w:pageBreakBefore w:val="0"/>
        <w:widowControl/>
        <w:kinsoku/>
        <w:wordWrap/>
        <w:overflowPunct/>
        <w:topLinePunct w:val="0"/>
        <w:autoSpaceDE/>
        <w:autoSpaceDN/>
        <w:bidi w:val="0"/>
        <w:adjustRightInd/>
        <w:snapToGrid w:val="0"/>
        <w:spacing w:line="560" w:lineRule="exact"/>
        <w:ind w:firstLine="0" w:firstLineChars="0"/>
        <w:jc w:val="both"/>
        <w:textAlignment w:val="auto"/>
        <w:rPr>
          <w:rFonts w:hint="eastAsia" w:ascii="仿宋_GB2312" w:hAnsi="仿宋_GB2312" w:eastAsia="仿宋_GB2312" w:cs="仿宋_GB2312"/>
          <w:b/>
          <w:bCs/>
          <w:color w:val="FF0000"/>
          <w:kern w:val="0"/>
          <w:sz w:val="32"/>
          <w:szCs w:val="32"/>
          <w:highlight w:val="none"/>
          <w:shd w:val="clear" w:color="auto" w:fill="auto"/>
          <w:lang w:val="zh-TW" w:eastAsia="zh-CN"/>
        </w:rPr>
      </w:pPr>
    </w:p>
    <w:p w14:paraId="314D97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p w14:paraId="1E99F6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FF0000"/>
          <w:kern w:val="0"/>
          <w:sz w:val="28"/>
          <w:szCs w:val="28"/>
          <w:highlight w:val="none"/>
          <w:shd w:val="clear" w:color="auto" w:fill="auto"/>
          <w:lang w:val="en-US" w:eastAsia="zh-CN"/>
        </w:rPr>
      </w:pPr>
    </w:p>
    <w:tbl>
      <w:tblPr>
        <w:tblStyle w:val="17"/>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28B28D2">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3E64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3126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DB8E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1CE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98E6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B7A9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888B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67A4167E">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EAA4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411BEF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C470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本金归还次数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A451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6494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1B61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E73E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462B87EB">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65822E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DAE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129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利息归还次数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4315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564A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3436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CC9D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31C9EFEC">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128F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EFA4C2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D27D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本金按期归还率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C2E3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944F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01BF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5F8F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6A724543">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F04E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E64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8535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利息按期归还率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719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E75D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E517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14CC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483FDA09">
        <w:tblPrEx>
          <w:shd w:val="clear" w:color="auto" w:fill="auto"/>
          <w:tblCellMar>
            <w:top w:w="0" w:type="dxa"/>
            <w:left w:w="0" w:type="dxa"/>
            <w:bottom w:w="0" w:type="dxa"/>
            <w:right w:w="0" w:type="dxa"/>
          </w:tblCellMar>
        </w:tblPrEx>
        <w:trPr>
          <w:trHeight w:val="411"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E308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68D27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C4F4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按期归还本金及时率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4213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F392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8FA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A96F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6E6D3826">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58C1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E975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CF4C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按季度归还利息及时率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70D6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39CD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068F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B988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3DDD1F2B">
        <w:tblPrEx>
          <w:shd w:val="clear" w:color="auto" w:fill="auto"/>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F10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8198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8C42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成本控制率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A1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F92E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669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C70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r>
      <w:tr w14:paraId="4038BA0B">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75FB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356D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D50D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69C7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224A11F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FF0000"/>
          <w:sz w:val="32"/>
          <w:szCs w:val="32"/>
          <w:lang w:val="en-US" w:eastAsia="zh-CN"/>
        </w:rPr>
      </w:pPr>
      <w:bookmarkStart w:id="128" w:name="_Toc26689"/>
      <w:bookmarkStart w:id="129" w:name="_Toc11067"/>
      <w:r>
        <w:rPr>
          <w:rFonts w:hint="eastAsia" w:ascii="仿宋_GB2312" w:hAnsi="仿宋_GB2312" w:eastAsia="仿宋_GB2312" w:cs="仿宋_GB2312"/>
          <w:b/>
          <w:bCs/>
          <w:sz w:val="32"/>
          <w:szCs w:val="32"/>
          <w:lang w:val="en-US" w:eastAsia="zh-CN"/>
        </w:rPr>
        <w:t>1.数量指标完成情况</w:t>
      </w:r>
      <w:bookmarkEnd w:id="128"/>
      <w:bookmarkEnd w:id="129"/>
    </w:p>
    <w:p w14:paraId="19D2404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（1）“本金归还次数”指标，预期目标值为2次，实际完成为2次。实际完成率=（2次/2次）×100%=100%</w:t>
      </w:r>
    </w:p>
    <w:p w14:paraId="2CFA8E8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（2）“利息归还次数”指标，预期目标值为4次，实际完成为4次。实际完成率=（4次/4次）×100%=100%，</w:t>
      </w:r>
    </w:p>
    <w:p w14:paraId="00A35F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满分10分，得分10分。</w:t>
      </w:r>
    </w:p>
    <w:p w14:paraId="70FEE2AF">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0" w:name="_Toc31739"/>
      <w:bookmarkStart w:id="131" w:name="_Toc14255"/>
      <w:r>
        <w:rPr>
          <w:rFonts w:hint="eastAsia" w:ascii="仿宋_GB2312" w:hAnsi="仿宋_GB2312" w:eastAsia="仿宋_GB2312" w:cs="仿宋_GB2312"/>
          <w:b/>
          <w:bCs/>
          <w:sz w:val="32"/>
          <w:szCs w:val="32"/>
          <w:lang w:val="en-US" w:eastAsia="zh-CN"/>
        </w:rPr>
        <w:t>2.</w:t>
      </w:r>
      <w:bookmarkEnd w:id="130"/>
      <w:r>
        <w:rPr>
          <w:rFonts w:hint="eastAsia" w:ascii="仿宋_GB2312" w:hAnsi="仿宋_GB2312" w:eastAsia="仿宋_GB2312" w:cs="仿宋_GB2312"/>
          <w:b/>
          <w:bCs/>
          <w:sz w:val="32"/>
          <w:szCs w:val="32"/>
          <w:lang w:val="en-US" w:eastAsia="zh-CN"/>
        </w:rPr>
        <w:t>质量指标完成情况</w:t>
      </w:r>
      <w:bookmarkEnd w:id="131"/>
    </w:p>
    <w:p w14:paraId="1A9EEAE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（1）“本金按期归还率”指标，预期目标值为100%，实际完成为100%。实际完成率100%。</w:t>
      </w:r>
    </w:p>
    <w:p w14:paraId="3B33415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（2）“利息按期归还率”指标，预期目标值为100%，实际完成为100%。实际完成率100%。</w:t>
      </w:r>
    </w:p>
    <w:p w14:paraId="7943E42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满分10分，得分10分。</w:t>
      </w:r>
    </w:p>
    <w:p w14:paraId="66EDB524">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2" w:name="_Toc18307"/>
      <w:bookmarkStart w:id="133" w:name="_Toc28885"/>
      <w:r>
        <w:rPr>
          <w:rFonts w:hint="eastAsia" w:ascii="仿宋_GB2312" w:hAnsi="仿宋_GB2312" w:eastAsia="仿宋_GB2312" w:cs="仿宋_GB2312"/>
          <w:b/>
          <w:bCs/>
          <w:sz w:val="32"/>
          <w:szCs w:val="32"/>
          <w:lang w:val="en-US" w:eastAsia="zh-CN"/>
        </w:rPr>
        <w:t>3.</w:t>
      </w:r>
      <w:bookmarkEnd w:id="132"/>
      <w:r>
        <w:rPr>
          <w:rFonts w:hint="eastAsia" w:ascii="仿宋_GB2312" w:hAnsi="仿宋_GB2312" w:eastAsia="仿宋_GB2312" w:cs="仿宋_GB2312"/>
          <w:b/>
          <w:bCs/>
          <w:sz w:val="32"/>
          <w:szCs w:val="32"/>
          <w:lang w:val="en-US" w:eastAsia="zh-CN"/>
        </w:rPr>
        <w:t>时效指标完成情况</w:t>
      </w:r>
      <w:bookmarkEnd w:id="133"/>
    </w:p>
    <w:p w14:paraId="0577663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 xml:space="preserve">（1）“按期归还本金及时率”指标，预期目标值为100%，实际完成为100%。实际完成率100%。    </w:t>
      </w:r>
    </w:p>
    <w:p w14:paraId="5F6AA39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（2）“按季度归还利息及时率”指标，预期目标值为100%，实际完成为100%。实际完成率100%。</w:t>
      </w:r>
    </w:p>
    <w:p w14:paraId="2C11490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满分10分，得分10分。</w:t>
      </w:r>
    </w:p>
    <w:p w14:paraId="3453B100">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4" w:name="_Toc32765"/>
      <w:bookmarkStart w:id="135" w:name="_Toc20607"/>
      <w:r>
        <w:rPr>
          <w:rFonts w:hint="eastAsia" w:ascii="仿宋_GB2312" w:hAnsi="仿宋_GB2312" w:eastAsia="仿宋_GB2312" w:cs="仿宋_GB2312"/>
          <w:b/>
          <w:bCs/>
          <w:sz w:val="32"/>
          <w:szCs w:val="32"/>
          <w:lang w:val="en-US" w:eastAsia="zh-CN"/>
        </w:rPr>
        <w:t>4.项目</w:t>
      </w:r>
      <w:bookmarkEnd w:id="134"/>
      <w:r>
        <w:rPr>
          <w:rFonts w:hint="eastAsia" w:ascii="仿宋_GB2312" w:hAnsi="仿宋_GB2312" w:eastAsia="仿宋_GB2312" w:cs="仿宋_GB2312"/>
          <w:b/>
          <w:bCs/>
          <w:sz w:val="32"/>
          <w:szCs w:val="32"/>
          <w:lang w:val="en-US" w:eastAsia="zh-CN"/>
        </w:rPr>
        <w:t>成本情况</w:t>
      </w:r>
      <w:bookmarkEnd w:id="135"/>
    </w:p>
    <w:p w14:paraId="1F8B418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经济</w:t>
      </w:r>
      <w:r>
        <w:rPr>
          <w:rFonts w:hint="eastAsia" w:ascii="仿宋_GB2312" w:hAnsi="仿宋_GB2312" w:eastAsia="仿宋_GB2312" w:cs="仿宋_GB2312"/>
          <w:b/>
          <w:bCs/>
          <w:sz w:val="32"/>
          <w:szCs w:val="32"/>
          <w:lang w:eastAsia="zh-CN"/>
        </w:rPr>
        <w:t>成本指标完成情况</w:t>
      </w:r>
    </w:p>
    <w:p w14:paraId="20D353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（1）“成本控制率”指标，预期目标值为100%，实际完成为100%。实际完成率100%</w:t>
      </w:r>
    </w:p>
    <w:p w14:paraId="6079F6C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分10分，得分10分。</w:t>
      </w:r>
    </w:p>
    <w:p w14:paraId="6236A624">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6" w:name="_Toc19424"/>
      <w:r>
        <w:rPr>
          <w:rFonts w:hint="eastAsia" w:ascii="Times New Roman" w:hAnsi="Times New Roman" w:eastAsia="楷体_GB2312" w:cs="Times New Roman"/>
          <w:kern w:val="28"/>
          <w:sz w:val="32"/>
          <w:lang w:val="en-US" w:eastAsia="zh-CN"/>
        </w:rPr>
        <w:t>（四）项目效益情况</w:t>
      </w:r>
      <w:bookmarkEnd w:id="136"/>
    </w:p>
    <w:p w14:paraId="5838137F">
      <w:pPr>
        <w:pageBreakBefore w:val="0"/>
        <w:widowControl w:val="0"/>
        <w:kinsoku/>
        <w:wordWrap/>
        <w:overflowPunct/>
        <w:topLinePunct w:val="0"/>
        <w:autoSpaceDE/>
        <w:autoSpaceDN/>
        <w:bidi w:val="0"/>
        <w:adjustRightInd/>
        <w:spacing w:line="560" w:lineRule="exact"/>
        <w:ind w:firstLine="560"/>
        <w:jc w:val="left"/>
        <w:textAlignment w:val="auto"/>
        <w:rPr>
          <w:rFonts w:hint="eastAsia" w:cs="宋体"/>
          <w:b/>
          <w:bCs/>
          <w:color w:val="FF0000"/>
          <w:kern w:val="0"/>
          <w:sz w:val="28"/>
          <w:szCs w:val="28"/>
          <w:highlight w:val="none"/>
          <w:shd w:val="clear" w:color="auto" w:fill="auto"/>
          <w:lang w:val="zh-TW" w:eastAsia="zh-CN"/>
        </w:rPr>
      </w:pPr>
      <w:r>
        <w:rPr>
          <w:rFonts w:hint="eastAsia" w:ascii="仿宋_GB2312" w:hAnsi="仿宋_GB2312" w:eastAsia="仿宋_GB2312" w:cs="仿宋_GB2312"/>
          <w:color w:val="auto"/>
          <w:sz w:val="32"/>
          <w:szCs w:val="32"/>
          <w:highlight w:val="none"/>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sz w:val="32"/>
          <w:szCs w:val="32"/>
          <w:highlight w:val="none"/>
          <w:shd w:val="clear" w:color="auto" w:fill="auto"/>
          <w:lang w:val="zh-TW" w:eastAsia="zh-TW"/>
        </w:rPr>
        <w:t>类指标</w:t>
      </w:r>
      <w:r>
        <w:rPr>
          <w:rFonts w:hint="default" w:ascii="仿宋_GB2312" w:hAnsi="仿宋_GB2312" w:eastAsia="仿宋_GB2312" w:cs="仿宋_GB2312"/>
          <w:color w:val="auto"/>
          <w:sz w:val="32"/>
          <w:szCs w:val="32"/>
          <w:highlight w:val="none"/>
          <w:shd w:val="clear" w:color="auto" w:fill="auto"/>
          <w:lang w:val="en-US" w:eastAsia="zh-CN"/>
        </w:rPr>
        <w:t>包括项目实施效益和满意度两方面的内容，</w:t>
      </w:r>
      <w:r>
        <w:rPr>
          <w:rFonts w:hint="eastAsia" w:ascii="仿宋_GB2312" w:hAnsi="仿宋_GB2312" w:eastAsia="仿宋_GB2312" w:cs="仿宋_GB2312"/>
          <w:color w:val="auto"/>
          <w:sz w:val="32"/>
          <w:szCs w:val="32"/>
          <w:highlight w:val="none"/>
          <w:shd w:val="clear" w:color="auto" w:fill="auto"/>
          <w:lang w:val="zh-TW" w:eastAsia="zh-TW"/>
        </w:rPr>
        <w:t>由</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zh-TW" w:eastAsia="zh-TW"/>
        </w:rPr>
        <w:t>个</w:t>
      </w:r>
      <w:r>
        <w:rPr>
          <w:rFonts w:hint="eastAsia" w:ascii="仿宋_GB2312" w:hAnsi="仿宋_GB2312" w:eastAsia="仿宋_GB2312" w:cs="仿宋_GB2312"/>
          <w:color w:val="auto"/>
          <w:sz w:val="32"/>
          <w:szCs w:val="32"/>
          <w:highlight w:val="none"/>
          <w:shd w:val="clear" w:color="auto" w:fill="auto"/>
          <w:lang w:val="zh-TW" w:eastAsia="zh-CN"/>
        </w:rPr>
        <w:t>二</w:t>
      </w:r>
      <w:r>
        <w:rPr>
          <w:rFonts w:hint="eastAsia" w:ascii="仿宋_GB2312" w:hAnsi="仿宋_GB2312" w:eastAsia="仿宋_GB2312" w:cs="仿宋_GB2312"/>
          <w:color w:val="auto"/>
          <w:sz w:val="32"/>
          <w:szCs w:val="32"/>
          <w:highlight w:val="none"/>
          <w:shd w:val="clear" w:color="auto" w:fill="auto"/>
          <w:lang w:val="zh-TW" w:eastAsia="zh-TW"/>
        </w:rPr>
        <w:t>级指标和</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zh-TW" w:eastAsia="zh-TW"/>
        </w:rPr>
        <w:t>个</w:t>
      </w:r>
      <w:r>
        <w:rPr>
          <w:rFonts w:hint="eastAsia" w:ascii="仿宋_GB2312" w:hAnsi="仿宋_GB2312" w:eastAsia="仿宋_GB2312" w:cs="仿宋_GB2312"/>
          <w:color w:val="auto"/>
          <w:sz w:val="32"/>
          <w:szCs w:val="32"/>
          <w:highlight w:val="none"/>
          <w:shd w:val="clear" w:color="auto" w:fill="auto"/>
          <w:lang w:val="en-US" w:eastAsia="zh-CN"/>
        </w:rPr>
        <w:t>三</w:t>
      </w:r>
      <w:r>
        <w:rPr>
          <w:rFonts w:hint="eastAsia" w:ascii="仿宋_GB2312" w:hAnsi="仿宋_GB2312" w:eastAsia="仿宋_GB2312" w:cs="仿宋_GB2312"/>
          <w:color w:val="auto"/>
          <w:sz w:val="32"/>
          <w:szCs w:val="32"/>
          <w:highlight w:val="none"/>
          <w:shd w:val="clear" w:color="auto" w:fill="auto"/>
          <w:lang w:val="zh-TW" w:eastAsia="zh-TW"/>
        </w:rPr>
        <w:t>级指标构成，权重分</w:t>
      </w:r>
      <w:r>
        <w:rPr>
          <w:rFonts w:hint="eastAsia" w:ascii="仿宋_GB2312" w:hAnsi="仿宋_GB2312" w:eastAsia="仿宋_GB2312" w:cs="仿宋_GB2312"/>
          <w:color w:val="auto"/>
          <w:sz w:val="32"/>
          <w:szCs w:val="32"/>
          <w:highlight w:val="none"/>
          <w:shd w:val="clear" w:color="auto" w:fill="auto"/>
          <w:lang w:val="en-US" w:eastAsia="zh-CN"/>
        </w:rPr>
        <w:t>20</w:t>
      </w:r>
      <w:r>
        <w:rPr>
          <w:rFonts w:hint="eastAsia" w:ascii="仿宋_GB2312" w:hAnsi="仿宋_GB2312" w:eastAsia="仿宋_GB2312" w:cs="仿宋_GB2312"/>
          <w:color w:val="auto"/>
          <w:sz w:val="32"/>
          <w:szCs w:val="32"/>
          <w:highlight w:val="none"/>
          <w:shd w:val="clear" w:color="auto" w:fill="auto"/>
          <w:lang w:val="zh-TW" w:eastAsia="zh-TW"/>
        </w:rPr>
        <w:t>分，实际得分</w:t>
      </w:r>
      <w:r>
        <w:rPr>
          <w:rFonts w:hint="eastAsia" w:ascii="仿宋_GB2312" w:hAnsi="仿宋_GB2312" w:eastAsia="仿宋_GB2312" w:cs="仿宋_GB2312"/>
          <w:color w:val="auto"/>
          <w:sz w:val="32"/>
          <w:szCs w:val="32"/>
          <w:highlight w:val="none"/>
          <w:shd w:val="clear" w:color="auto" w:fill="auto"/>
          <w:lang w:val="en-US" w:eastAsia="zh-CN"/>
        </w:rPr>
        <w:t>20</w:t>
      </w:r>
      <w:r>
        <w:rPr>
          <w:rFonts w:hint="eastAsia" w:ascii="仿宋_GB2312" w:hAnsi="仿宋_GB2312" w:eastAsia="仿宋_GB2312" w:cs="仿宋_GB2312"/>
          <w:color w:val="auto"/>
          <w:sz w:val="32"/>
          <w:szCs w:val="32"/>
          <w:highlight w:val="none"/>
          <w:shd w:val="clear" w:color="auto" w:fill="auto"/>
          <w:lang w:val="zh-TW" w:eastAsia="zh-TW"/>
        </w:rPr>
        <w:t>分</w:t>
      </w:r>
      <w:r>
        <w:rPr>
          <w:rFonts w:hint="eastAsia" w:ascii="仿宋_GB2312" w:hAnsi="仿宋_GB2312" w:eastAsia="仿宋_GB2312" w:cs="仿宋_GB2312"/>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zh-TW" w:eastAsia="zh-TW"/>
        </w:rPr>
        <w:t>各指标业绩值和绩效分值如表</w:t>
      </w:r>
      <w:r>
        <w:rPr>
          <w:rFonts w:hint="eastAsia" w:ascii="仿宋_GB2312" w:hAnsi="仿宋_GB2312" w:eastAsia="仿宋_GB2312" w:cs="仿宋_GB2312"/>
          <w:color w:val="auto"/>
          <w:sz w:val="32"/>
          <w:szCs w:val="32"/>
          <w:highlight w:val="none"/>
          <w:shd w:val="clear" w:color="auto" w:fill="auto"/>
          <w:lang w:val="en-US" w:eastAsia="zh-CN"/>
        </w:rPr>
        <w:t>4-4</w:t>
      </w:r>
      <w:r>
        <w:rPr>
          <w:rFonts w:hint="eastAsia" w:ascii="仿宋_GB2312" w:hAnsi="仿宋_GB2312" w:eastAsia="仿宋_GB2312" w:cs="仿宋_GB2312"/>
          <w:color w:val="auto"/>
          <w:sz w:val="32"/>
          <w:szCs w:val="32"/>
          <w:highlight w:val="none"/>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0D3CFC6">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7"/>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6739F807">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E174A9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5233D44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D55C83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6D0C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6CF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10FCA4E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810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0AD0DD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27B5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190A74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22FD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45CBB9B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4ED65229">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5925EF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4DDF161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DEC82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有效解决天池景区基础设施建设资金不足问题</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84C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有效解决</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FE3C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1FB3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达到预期目标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9F0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081A99E5">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6725E42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2BD05F7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生态效益指标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7ACA81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提升景区绿化生态品质和旅游品质</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B98D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654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22F0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达到预期目标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4A75C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10E576EC">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96D760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D34B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2E6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工商银行满意度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0F29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E31C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817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E244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3C6804D6">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C55F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C10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58EF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5145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069C60B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37" w:name="_Toc8010"/>
      <w:bookmarkStart w:id="138" w:name="_Toc5170"/>
      <w:r>
        <w:rPr>
          <w:rFonts w:hint="eastAsia" w:ascii="仿宋_GB2312" w:hAnsi="仿宋_GB2312" w:eastAsia="仿宋_GB2312" w:cs="仿宋_GB2312"/>
          <w:b/>
          <w:bCs/>
          <w:sz w:val="32"/>
          <w:szCs w:val="32"/>
          <w:lang w:val="en-US" w:eastAsia="zh-CN"/>
        </w:rPr>
        <w:t>1.经济效益指标</w:t>
      </w:r>
      <w:bookmarkEnd w:id="137"/>
      <w:r>
        <w:rPr>
          <w:rFonts w:hint="eastAsia" w:ascii="仿宋_GB2312" w:hAnsi="仿宋_GB2312" w:eastAsia="仿宋_GB2312" w:cs="仿宋_GB2312"/>
          <w:b/>
          <w:bCs/>
          <w:sz w:val="32"/>
          <w:szCs w:val="32"/>
          <w:lang w:val="en-US" w:eastAsia="zh-CN"/>
        </w:rPr>
        <w:t>完成情况</w:t>
      </w:r>
      <w:bookmarkEnd w:id="138"/>
    </w:p>
    <w:p w14:paraId="0ABD2B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（1）“</w:t>
      </w:r>
      <w:r>
        <w:rPr>
          <w:rFonts w:hint="default" w:ascii="仿宋_GB2312" w:hAnsi="仿宋_GB2312" w:eastAsia="仿宋_GB2312" w:cs="仿宋_GB2312"/>
          <w:color w:val="auto"/>
          <w:sz w:val="32"/>
          <w:szCs w:val="32"/>
          <w:highlight w:val="none"/>
          <w:shd w:val="clear" w:color="auto" w:fill="auto"/>
          <w:lang w:val="en-US" w:eastAsia="zh-CN"/>
        </w:rPr>
        <w:t>有效解决天池景区基础设施建设资金不足问题</w:t>
      </w:r>
      <w:r>
        <w:rPr>
          <w:rFonts w:hint="eastAsia" w:ascii="仿宋_GB2312" w:hAnsi="仿宋_GB2312" w:eastAsia="仿宋_GB2312" w:cs="仿宋_GB2312"/>
          <w:color w:val="auto"/>
          <w:sz w:val="32"/>
          <w:szCs w:val="32"/>
          <w:highlight w:val="none"/>
          <w:shd w:val="clear" w:color="auto" w:fill="auto"/>
          <w:lang w:val="en-US" w:eastAsia="zh-CN"/>
        </w:rPr>
        <w:t>”指标，预期目标值为</w:t>
      </w:r>
      <w:r>
        <w:rPr>
          <w:rFonts w:hint="default" w:ascii="仿宋_GB2312" w:hAnsi="仿宋_GB2312" w:eastAsia="仿宋_GB2312" w:cs="仿宋_GB2312"/>
          <w:color w:val="auto"/>
          <w:sz w:val="32"/>
          <w:szCs w:val="32"/>
          <w:highlight w:val="none"/>
          <w:shd w:val="clear" w:color="auto" w:fill="auto"/>
          <w:lang w:val="en-US" w:eastAsia="zh-CN"/>
        </w:rPr>
        <w:t>有效解决</w:t>
      </w:r>
      <w:r>
        <w:rPr>
          <w:rFonts w:hint="eastAsia" w:ascii="仿宋_GB2312" w:hAnsi="仿宋_GB2312" w:eastAsia="仿宋_GB2312" w:cs="仿宋_GB2312"/>
          <w:color w:val="auto"/>
          <w:sz w:val="32"/>
          <w:szCs w:val="32"/>
          <w:highlight w:val="none"/>
          <w:shd w:val="clear" w:color="auto" w:fill="auto"/>
          <w:lang w:val="en-US" w:eastAsia="zh-CN"/>
        </w:rPr>
        <w:t>，实际完成为达到预期目标。</w:t>
      </w:r>
    </w:p>
    <w:p w14:paraId="239048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（2）通过项目的实施</w:t>
      </w:r>
      <w:r>
        <w:rPr>
          <w:rFonts w:hint="default" w:ascii="仿宋_GB2312" w:hAnsi="仿宋_GB2312" w:eastAsia="仿宋_GB2312" w:cs="仿宋_GB2312"/>
          <w:color w:val="auto"/>
          <w:sz w:val="32"/>
          <w:szCs w:val="32"/>
          <w:highlight w:val="none"/>
          <w:shd w:val="clear" w:color="auto" w:fill="auto"/>
          <w:lang w:val="en-US" w:eastAsia="zh-CN"/>
        </w:rPr>
        <w:t>有效解决天池景区基础设施建设资金不足问题</w:t>
      </w:r>
    </w:p>
    <w:p w14:paraId="1EF282C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综上，该项</w:t>
      </w:r>
      <w:r>
        <w:rPr>
          <w:rFonts w:hint="eastAsia" w:ascii="仿宋_GB2312" w:hAnsi="仿宋_GB2312" w:eastAsia="仿宋_GB2312" w:cs="仿宋_GB2312"/>
          <w:b/>
          <w:bCs/>
          <w:color w:val="auto"/>
          <w:sz w:val="32"/>
          <w:szCs w:val="32"/>
          <w:lang w:val="en-US" w:eastAsia="zh-CN"/>
        </w:rPr>
        <w:t>指标满分7分，得分7分。</w:t>
      </w:r>
    </w:p>
    <w:p w14:paraId="7D68120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39" w:name="_Toc27006"/>
      <w:bookmarkStart w:id="140" w:name="_Toc29606"/>
      <w:r>
        <w:rPr>
          <w:rFonts w:hint="eastAsia" w:ascii="仿宋_GB2312" w:hAnsi="仿宋_GB2312" w:eastAsia="仿宋_GB2312" w:cs="仿宋_GB2312"/>
          <w:b/>
          <w:bCs/>
          <w:sz w:val="32"/>
          <w:szCs w:val="32"/>
          <w:lang w:val="en-US" w:eastAsia="zh-CN"/>
        </w:rPr>
        <w:t>2.生态效益指标</w:t>
      </w:r>
      <w:bookmarkEnd w:id="139"/>
      <w:r>
        <w:rPr>
          <w:rFonts w:hint="eastAsia" w:ascii="仿宋_GB2312" w:hAnsi="仿宋_GB2312" w:eastAsia="仿宋_GB2312" w:cs="仿宋_GB2312"/>
          <w:b/>
          <w:bCs/>
          <w:sz w:val="32"/>
          <w:szCs w:val="32"/>
          <w:lang w:val="en-US" w:eastAsia="zh-CN"/>
        </w:rPr>
        <w:t>完成情况</w:t>
      </w:r>
      <w:bookmarkEnd w:id="140"/>
    </w:p>
    <w:p w14:paraId="7C2E8CE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（1）“提升景区绿化生态品质和旅游品质”指标，预期目标值为提升，实际完成为达到预期目标。</w:t>
      </w:r>
    </w:p>
    <w:p w14:paraId="6EF650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（2）通过项目的实施提升了景区绿化生态品质和旅游品质</w:t>
      </w:r>
    </w:p>
    <w:p w14:paraId="53C2D3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分7分，得分7分。</w:t>
      </w:r>
    </w:p>
    <w:p w14:paraId="09D984C6">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kern w:val="28"/>
          <w:sz w:val="32"/>
          <w:highlight w:val="none"/>
          <w:lang w:val="en-US" w:eastAsia="zh-CN"/>
        </w:rPr>
      </w:pPr>
      <w:bookmarkStart w:id="141" w:name="_Toc23313"/>
      <w:r>
        <w:rPr>
          <w:rFonts w:hint="eastAsia" w:ascii="Times New Roman" w:hAnsi="Times New Roman" w:eastAsia="楷体_GB2312" w:cs="Times New Roman"/>
          <w:b/>
          <w:bCs/>
          <w:kern w:val="28"/>
          <w:sz w:val="32"/>
          <w:highlight w:val="none"/>
          <w:lang w:val="en-US" w:eastAsia="zh-CN"/>
        </w:rPr>
        <w:t>（五）满意度指标完成情况分析</w:t>
      </w:r>
      <w:bookmarkEnd w:id="141"/>
    </w:p>
    <w:p w14:paraId="2256FA5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“工商银行满意度”指标，预期目标值为≥95%，实际完成为95%。</w:t>
      </w:r>
    </w:p>
    <w:p w14:paraId="0AD3E86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综上，该项指标满分6分，得分6分。</w:t>
      </w:r>
    </w:p>
    <w:p w14:paraId="5B2C55DB">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2"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2"/>
    </w:p>
    <w:p w14:paraId="6C376EE4">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3" w:name="_Toc15449"/>
      <w:bookmarkStart w:id="144" w:name="_Toc28290"/>
      <w:bookmarkStart w:id="145" w:name="_Toc1921"/>
      <w:r>
        <w:rPr>
          <w:rFonts w:hint="eastAsia" w:ascii="Times New Roman" w:hAnsi="Times New Roman" w:eastAsia="楷体_GB2312" w:cs="Times New Roman"/>
          <w:b/>
          <w:bCs/>
          <w:kern w:val="28"/>
          <w:sz w:val="32"/>
          <w:highlight w:val="none"/>
          <w:lang w:val="en-US" w:eastAsia="zh-CN"/>
        </w:rPr>
        <w:t>（一）主要经验及做法</w:t>
      </w:r>
      <w:bookmarkEnd w:id="143"/>
    </w:p>
    <w:p w14:paraId="5B48FA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天池管委会2024年归还贷款本息项目2024年预算数为5147.15万元，截至2024年12月31日共支出5147.15万元，预算执行率为100%。</w:t>
      </w:r>
    </w:p>
    <w:p w14:paraId="2BA36B8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新疆天池管理委员会建立健全了预算管理规章制度，各部门严格按预算编制的原则和要求做好当年预算编制工作，在预算绩效管理工作中，做到合理安排各项资金，重点保障基本支出，按轻重缓急顺序原则，优先安排了新疆天池管理委员会事业发展中关系民生与稳定的项目，切实优化资源配置，提高了资金使用的效率和效果。</w:t>
      </w:r>
    </w:p>
    <w:bookmarkEnd w:id="144"/>
    <w:bookmarkEnd w:id="145"/>
    <w:p w14:paraId="6B32D4A9">
      <w:pPr>
        <w:pStyle w:val="15"/>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6" w:name="_Toc29168"/>
      <w:r>
        <w:rPr>
          <w:rFonts w:hint="eastAsia" w:ascii="Times New Roman" w:hAnsi="Times New Roman" w:eastAsia="楷体_GB2312" w:cs="Times New Roman"/>
          <w:b/>
          <w:bCs/>
          <w:kern w:val="28"/>
          <w:sz w:val="32"/>
          <w:highlight w:val="none"/>
          <w:lang w:val="en-US" w:eastAsia="zh-CN"/>
        </w:rPr>
        <w:t>（二）存在的问题及原因分析</w:t>
      </w:r>
      <w:bookmarkEnd w:id="146"/>
    </w:p>
    <w:p w14:paraId="796660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47" w:name="_Toc3333"/>
      <w:r>
        <w:rPr>
          <w:rFonts w:hint="eastAsia" w:ascii="仿宋_GB2312" w:hAnsi="仿宋_GB2312" w:eastAsia="仿宋_GB2312" w:cs="仿宋_GB2312"/>
          <w:color w:val="auto"/>
          <w:sz w:val="32"/>
          <w:szCs w:val="32"/>
          <w:highlight w:val="none"/>
          <w:shd w:val="clear" w:color="auto" w:fill="auto"/>
          <w:lang w:val="en-US" w:eastAsia="zh-CN"/>
        </w:rPr>
        <w:t>1．结合景林实际贯彻落实新发展理念力度不够，办法不多，主要原因是旅游业态产品与广大游客多元化需求还有差距。</w:t>
      </w:r>
    </w:p>
    <w:p w14:paraId="3E5ED3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2．目前财务人员工作量较大，任务繁重，主要原因是财务人员培训力度不大，提高业务水平和能力本领不强。</w:t>
      </w:r>
    </w:p>
    <w:p w14:paraId="0C55D5A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3．对“关键岗位”“关键少数”监督管理还有不足，主要原因是个别党员干部作风不实，干事创业的精气神不佳。</w:t>
      </w:r>
    </w:p>
    <w:p w14:paraId="6874F103">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47"/>
    </w:p>
    <w:p w14:paraId="51FDE20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148" w:name="_Toc14256"/>
      <w:r>
        <w:rPr>
          <w:rFonts w:hint="eastAsia" w:ascii="仿宋_GB2312" w:hAnsi="仿宋_GB2312" w:eastAsia="仿宋_GB2312" w:cs="仿宋_GB2312"/>
          <w:color w:val="auto"/>
          <w:sz w:val="32"/>
          <w:szCs w:val="32"/>
          <w:highlight w:val="none"/>
          <w:shd w:val="clear" w:color="auto" w:fill="auto"/>
          <w:lang w:val="en-US" w:eastAsia="zh-CN"/>
        </w:rPr>
        <w:t>（一）贯彻落实新发展理念力度，大力发展旅游业态产品与广大游客多元化。</w:t>
      </w:r>
    </w:p>
    <w:p w14:paraId="7EE2CA8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（二）加强理论和实际操作培训，对从业人员进行知识普及，提供人才保障；</w:t>
      </w:r>
    </w:p>
    <w:p w14:paraId="2BA3268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（三）统筹好发展和安全，正确处理好保护与发展的关系，坚定信心，锐意进取，团结一心，攻坚克难，锚定目标不放松，笃行实干开新局。</w:t>
      </w:r>
    </w:p>
    <w:p w14:paraId="7A300BCE">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48"/>
    </w:p>
    <w:p w14:paraId="585D6A7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无其他需要说明的问题。</w:t>
      </w:r>
    </w:p>
    <w:p w14:paraId="44781B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2BFABE59">
      <w:pPr>
        <w:pStyle w:val="3"/>
        <w:pageBreakBefore w:val="0"/>
        <w:numPr>
          <w:ilvl w:val="0"/>
          <w:numId w:val="0"/>
        </w:numPr>
        <w:kinsoku/>
        <w:wordWrap/>
        <w:overflowPunct/>
        <w:topLinePunct w:val="0"/>
        <w:autoSpaceDE/>
        <w:autoSpaceDN/>
        <w:bidi w:val="0"/>
        <w:adjustRightInd/>
        <w:spacing w:beforeLines="0" w:afterLines="0" w:line="560" w:lineRule="exact"/>
        <w:textAlignment w:val="auto"/>
      </w:pPr>
      <w:bookmarkStart w:id="149" w:name="_Toc28971"/>
      <w:bookmarkStart w:id="150" w:name="_Toc11349"/>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49"/>
      <w:bookmarkEnd w:id="150"/>
    </w:p>
    <w:tbl>
      <w:tblPr>
        <w:tblStyle w:val="1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4"/>
        <w:gridCol w:w="895"/>
        <w:gridCol w:w="895"/>
        <w:gridCol w:w="895"/>
        <w:gridCol w:w="1306"/>
        <w:gridCol w:w="1142"/>
        <w:gridCol w:w="1142"/>
        <w:gridCol w:w="1059"/>
        <w:gridCol w:w="1224"/>
        <w:gridCol w:w="895"/>
        <w:gridCol w:w="895"/>
        <w:gridCol w:w="895"/>
        <w:gridCol w:w="895"/>
        <w:gridCol w:w="1142"/>
      </w:tblGrid>
      <w:tr w14:paraId="541EE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775B73C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33365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0C8B07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1E29F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392205F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1"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427E8C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2023年天池管委会还本付息支出</w:t>
            </w:r>
          </w:p>
        </w:tc>
      </w:tr>
      <w:tr w14:paraId="75C75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FB72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99794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新疆天池管理委员会</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D4F9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9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6E34E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新疆天池管理委员会</w:t>
            </w:r>
          </w:p>
        </w:tc>
      </w:tr>
      <w:tr w14:paraId="3F8EB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173E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3D7BC3">
            <w:pPr>
              <w:jc w:val="cente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B14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A091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D49C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8D53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5FE3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56F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3042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EC588">
            <w:pPr>
              <w:jc w:val="center"/>
              <w:rPr>
                <w:rFonts w:hint="eastAsia" w:ascii="宋体" w:hAnsi="宋体" w:eastAsia="宋体" w:cs="宋体"/>
                <w:b/>
                <w:bCs/>
                <w:i w:val="0"/>
                <w:iCs w:val="0"/>
                <w:color w:val="000000"/>
                <w:sz w:val="18"/>
                <w:szCs w:val="18"/>
                <w:u w:val="none"/>
              </w:rPr>
            </w:pP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20886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7DD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5147.15</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6266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5147.15</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7CCA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5147.15</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C097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F20A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7B6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30833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26311">
            <w:pPr>
              <w:jc w:val="center"/>
              <w:rPr>
                <w:rFonts w:hint="eastAsia" w:ascii="宋体" w:hAnsi="宋体" w:eastAsia="宋体" w:cs="宋体"/>
                <w:b/>
                <w:bCs/>
                <w:i w:val="0"/>
                <w:iCs w:val="0"/>
                <w:color w:val="000000"/>
                <w:sz w:val="18"/>
                <w:szCs w:val="18"/>
                <w:u w:val="none"/>
              </w:rPr>
            </w:pP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E380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007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5147.15</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F88F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5147.15</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572A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5147.15</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705E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11A0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B11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4F30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92175">
            <w:pPr>
              <w:jc w:val="center"/>
              <w:rPr>
                <w:rFonts w:hint="eastAsia" w:ascii="宋体" w:hAnsi="宋体" w:eastAsia="宋体" w:cs="宋体"/>
                <w:b/>
                <w:bCs/>
                <w:i w:val="0"/>
                <w:iCs w:val="0"/>
                <w:color w:val="000000"/>
                <w:sz w:val="18"/>
                <w:szCs w:val="18"/>
                <w:u w:val="none"/>
              </w:rPr>
            </w:pPr>
          </w:p>
        </w:tc>
        <w:tc>
          <w:tcPr>
            <w:tcW w:w="76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D9B7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360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6BA7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780C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0B05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3907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8D6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39AE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967A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4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46B1E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4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A504B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35BA7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0BCB9">
            <w:pPr>
              <w:jc w:val="center"/>
              <w:rPr>
                <w:rFonts w:hint="eastAsia" w:ascii="宋体" w:hAnsi="宋体" w:eastAsia="宋体" w:cs="宋体"/>
                <w:b/>
                <w:bCs/>
                <w:i w:val="0"/>
                <w:iCs w:val="0"/>
                <w:color w:val="000000"/>
                <w:sz w:val="18"/>
                <w:szCs w:val="18"/>
                <w:u w:val="none"/>
              </w:rPr>
            </w:pPr>
          </w:p>
        </w:tc>
        <w:tc>
          <w:tcPr>
            <w:tcW w:w="194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4C427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景区部分基础设施建设不足，为进一步提升景区高质量发展，2004年从工商银行取得19600.00万元贷款，拟定此项目的年度预算5752.00万元，负责向财政申请资金并支付给工商银行，2023年计划向工商银行分2次支付贷款本金，总共4947.15万元，分4次向工商银行按季度支付贷款利息，取得银行贷款后有效解决天池景区基础设施建设资金不足问题，对景区的提升改造起到了关键的作用。</w:t>
            </w:r>
          </w:p>
        </w:tc>
        <w:tc>
          <w:tcPr>
            <w:tcW w:w="284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550E3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12月31日，该项目2024年计划向工商银行分2次支付本金，分别是7月20日和12月20日，每个季度归还一次利息，到12月31日已归还4次贷款利息，按期归还本金及时率达到100%，利息按期归还率达到100%，有效解决天池景区基础设施建设资金不足问题，提升景区绿化生态品质和旅游品质。</w:t>
            </w:r>
          </w:p>
        </w:tc>
      </w:tr>
      <w:tr w14:paraId="075E3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E248AD">
            <w:pPr>
              <w:jc w:val="center"/>
              <w:rPr>
                <w:rFonts w:hint="eastAsia" w:ascii="宋体" w:hAnsi="宋体" w:eastAsia="宋体" w:cs="宋体"/>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2850E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1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8CC8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5876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5A858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EAA0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6CB0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FA3BC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DEE7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B43B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CE3E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D491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6AA9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DFD94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34C06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522EB">
            <w:pPr>
              <w:jc w:val="center"/>
              <w:rPr>
                <w:rFonts w:hint="eastAsia" w:ascii="宋体" w:hAnsi="宋体" w:eastAsia="宋体" w:cs="宋体"/>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CEEF3">
            <w:pPr>
              <w:jc w:val="center"/>
              <w:rPr>
                <w:rFonts w:hint="eastAsia" w:ascii="宋体" w:hAnsi="宋体" w:eastAsia="宋体" w:cs="宋体"/>
                <w:b/>
                <w:bCs/>
                <w:i w:val="0"/>
                <w:iCs w:val="0"/>
                <w:color w:val="000000"/>
                <w:sz w:val="18"/>
                <w:szCs w:val="18"/>
                <w:u w:val="none"/>
              </w:rPr>
            </w:pPr>
          </w:p>
        </w:tc>
        <w:tc>
          <w:tcPr>
            <w:tcW w:w="31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8F317">
            <w:pPr>
              <w:jc w:val="center"/>
              <w:rPr>
                <w:rFonts w:hint="eastAsia" w:ascii="宋体" w:hAnsi="宋体" w:eastAsia="宋体" w:cs="宋体"/>
                <w:b/>
                <w:bCs/>
                <w:i w:val="0"/>
                <w:iCs w:val="0"/>
                <w:color w:val="000000"/>
                <w:sz w:val="18"/>
                <w:szCs w:val="18"/>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CB75B">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DF74C">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BC4E9">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C04039">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8BA46">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189889">
            <w:pPr>
              <w:jc w:val="center"/>
              <w:rPr>
                <w:rFonts w:hint="eastAsia" w:ascii="宋体" w:hAnsi="宋体" w:eastAsia="宋体" w:cs="宋体"/>
                <w:b/>
                <w:bCs/>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07136B">
            <w:pPr>
              <w:jc w:val="center"/>
              <w:rPr>
                <w:rFonts w:hint="eastAsia" w:ascii="宋体" w:hAnsi="宋体" w:eastAsia="宋体" w:cs="宋体"/>
                <w:b/>
                <w:bCs/>
                <w:i w:val="0"/>
                <w:iCs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BA8D8">
            <w:pPr>
              <w:jc w:val="center"/>
              <w:rPr>
                <w:rFonts w:hint="eastAsia" w:ascii="宋体" w:hAnsi="宋体" w:eastAsia="宋体" w:cs="宋体"/>
                <w:b/>
                <w:bCs/>
                <w:i w:val="0"/>
                <w:iCs w:val="0"/>
                <w:color w:val="000000"/>
                <w:sz w:val="18"/>
                <w:szCs w:val="18"/>
                <w:u w:val="none"/>
              </w:rPr>
            </w:pPr>
          </w:p>
        </w:tc>
        <w:tc>
          <w:tcPr>
            <w:tcW w:w="3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850C7">
            <w:pPr>
              <w:jc w:val="center"/>
              <w:rPr>
                <w:rFonts w:hint="eastAsia" w:ascii="宋体" w:hAnsi="宋体" w:eastAsia="宋体" w:cs="宋体"/>
                <w:b/>
                <w:bCs/>
                <w:i w:val="0"/>
                <w:iCs w:val="0"/>
                <w:color w:val="000000"/>
                <w:sz w:val="18"/>
                <w:szCs w:val="18"/>
                <w:u w:val="none"/>
              </w:rPr>
            </w:pPr>
          </w:p>
        </w:tc>
        <w:tc>
          <w:tcPr>
            <w:tcW w:w="3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FAB96">
            <w:pPr>
              <w:jc w:val="center"/>
              <w:rPr>
                <w:rFonts w:hint="eastAsia" w:ascii="宋体" w:hAnsi="宋体" w:eastAsia="宋体" w:cs="宋体"/>
                <w:b/>
                <w:bCs/>
                <w:i w:val="0"/>
                <w:iCs w:val="0"/>
                <w:color w:val="000000"/>
                <w:sz w:val="18"/>
                <w:szCs w:val="18"/>
                <w:u w:val="none"/>
              </w:rPr>
            </w:pPr>
          </w:p>
        </w:tc>
        <w:tc>
          <w:tcPr>
            <w:tcW w:w="8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0A43C4">
            <w:pPr>
              <w:jc w:val="center"/>
              <w:rPr>
                <w:rFonts w:hint="eastAsia" w:ascii="宋体" w:hAnsi="宋体" w:eastAsia="宋体" w:cs="宋体"/>
                <w:b/>
                <w:bCs/>
                <w:i w:val="0"/>
                <w:iCs w:val="0"/>
                <w:color w:val="000000"/>
                <w:sz w:val="18"/>
                <w:szCs w:val="18"/>
                <w:u w:val="none"/>
              </w:rPr>
            </w:pPr>
          </w:p>
        </w:tc>
      </w:tr>
      <w:tr w14:paraId="35C2B2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C496E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E2AC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FCB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29B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本金归还次数</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F6C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F45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=2次</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823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=2次</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4CEF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B33C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44C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88A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C37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1EDD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FADD7">
            <w:pPr>
              <w:jc w:val="center"/>
              <w:rPr>
                <w:rFonts w:hint="eastAsia" w:ascii="宋体" w:hAnsi="宋体" w:eastAsia="宋体" w:cs="宋体"/>
                <w:i w:val="0"/>
                <w:iCs w:val="0"/>
                <w:color w:val="000000"/>
                <w:sz w:val="18"/>
                <w:szCs w:val="18"/>
                <w:u w:val="none"/>
              </w:rPr>
            </w:pPr>
          </w:p>
        </w:tc>
      </w:tr>
      <w:tr w14:paraId="3A660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A57E8">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EACD22">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253C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E6E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利息归还次数</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FB1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307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=4次</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1C4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=4次</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5997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195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E63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E03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2D6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61F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CECAE">
            <w:pPr>
              <w:jc w:val="center"/>
              <w:rPr>
                <w:rFonts w:hint="eastAsia" w:ascii="宋体" w:hAnsi="宋体" w:eastAsia="宋体" w:cs="宋体"/>
                <w:i w:val="0"/>
                <w:iCs w:val="0"/>
                <w:color w:val="000000"/>
                <w:sz w:val="18"/>
                <w:szCs w:val="18"/>
                <w:u w:val="none"/>
              </w:rPr>
            </w:pPr>
          </w:p>
        </w:tc>
      </w:tr>
      <w:tr w14:paraId="2A382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33B84">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41C79">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FA8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267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本金按期归还率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6A1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817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950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DCBA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AB4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28B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6A6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825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C00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2106E">
            <w:pPr>
              <w:jc w:val="center"/>
              <w:rPr>
                <w:rFonts w:hint="eastAsia" w:ascii="宋体" w:hAnsi="宋体" w:eastAsia="宋体" w:cs="宋体"/>
                <w:i w:val="0"/>
                <w:iCs w:val="0"/>
                <w:color w:val="000000"/>
                <w:sz w:val="18"/>
                <w:szCs w:val="18"/>
                <w:u w:val="none"/>
              </w:rPr>
            </w:pPr>
          </w:p>
        </w:tc>
      </w:tr>
      <w:tr w14:paraId="2D45C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3C9D5">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6F39A">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4E7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463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利息按期归还率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943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54A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898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8658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60A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081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58B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EEC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3E4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DCAFC">
            <w:pPr>
              <w:jc w:val="center"/>
              <w:rPr>
                <w:rFonts w:hint="eastAsia" w:ascii="宋体" w:hAnsi="宋体" w:eastAsia="宋体" w:cs="宋体"/>
                <w:i w:val="0"/>
                <w:iCs w:val="0"/>
                <w:color w:val="000000"/>
                <w:sz w:val="18"/>
                <w:szCs w:val="18"/>
                <w:u w:val="none"/>
              </w:rPr>
            </w:pPr>
          </w:p>
        </w:tc>
      </w:tr>
      <w:tr w14:paraId="52954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306E3">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6F8F0">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B53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514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按期归还本金及时率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4D2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5EB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9AE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B534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0BA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9AB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232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4AB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E6F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17E1F">
            <w:pPr>
              <w:jc w:val="center"/>
              <w:rPr>
                <w:rFonts w:hint="eastAsia" w:ascii="宋体" w:hAnsi="宋体" w:eastAsia="宋体" w:cs="宋体"/>
                <w:i w:val="0"/>
                <w:iCs w:val="0"/>
                <w:color w:val="000000"/>
                <w:sz w:val="18"/>
                <w:szCs w:val="18"/>
                <w:u w:val="none"/>
              </w:rPr>
            </w:pPr>
          </w:p>
        </w:tc>
      </w:tr>
      <w:tr w14:paraId="2FC1B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676CF">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33732">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667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E63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按季度归还利息及时率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099F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885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07F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CDAD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ED2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90F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344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B6E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8FD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A474B">
            <w:pPr>
              <w:jc w:val="center"/>
              <w:rPr>
                <w:rFonts w:hint="eastAsia" w:ascii="宋体" w:hAnsi="宋体" w:eastAsia="宋体" w:cs="宋体"/>
                <w:i w:val="0"/>
                <w:iCs w:val="0"/>
                <w:color w:val="000000"/>
                <w:sz w:val="18"/>
                <w:szCs w:val="18"/>
                <w:u w:val="none"/>
              </w:rPr>
            </w:pPr>
          </w:p>
        </w:tc>
      </w:tr>
      <w:tr w14:paraId="7C010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61AC6D">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AE4F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29A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3CEF5">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9EA7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4BA77">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DB0CB">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EEE3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7952F">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0DC07">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4EBCE">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C9A9C">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8D0F1">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347D0">
            <w:pPr>
              <w:jc w:val="center"/>
              <w:rPr>
                <w:rFonts w:hint="eastAsia" w:ascii="宋体" w:hAnsi="宋体" w:eastAsia="宋体" w:cs="宋体"/>
                <w:i w:val="0"/>
                <w:iCs w:val="0"/>
                <w:color w:val="000000"/>
                <w:sz w:val="18"/>
                <w:szCs w:val="18"/>
                <w:u w:val="none"/>
              </w:rPr>
            </w:pPr>
          </w:p>
        </w:tc>
      </w:tr>
      <w:tr w14:paraId="40320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0D9E8C">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91DEA">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48D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E14E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C770A">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0E4B7">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A5F6E8">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1E2C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59818">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2911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6153E">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5D67B">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0CE71">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89905">
            <w:pPr>
              <w:jc w:val="center"/>
              <w:rPr>
                <w:rFonts w:hint="eastAsia" w:ascii="宋体" w:hAnsi="宋体" w:eastAsia="宋体" w:cs="宋体"/>
                <w:i w:val="0"/>
                <w:iCs w:val="0"/>
                <w:color w:val="000000"/>
                <w:sz w:val="18"/>
                <w:szCs w:val="18"/>
                <w:u w:val="none"/>
              </w:rPr>
            </w:pPr>
          </w:p>
        </w:tc>
      </w:tr>
      <w:tr w14:paraId="4E50D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94500">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0C08A">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994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928F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D280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5D4C1">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0BC12">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24B4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0DABD">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63566">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CBA85">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ECB28">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A187D">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EE2B2">
            <w:pPr>
              <w:jc w:val="center"/>
              <w:rPr>
                <w:rFonts w:hint="eastAsia" w:ascii="宋体" w:hAnsi="宋体" w:eastAsia="宋体" w:cs="宋体"/>
                <w:i w:val="0"/>
                <w:iCs w:val="0"/>
                <w:color w:val="000000"/>
                <w:sz w:val="18"/>
                <w:szCs w:val="18"/>
                <w:u w:val="none"/>
              </w:rPr>
            </w:pPr>
          </w:p>
        </w:tc>
      </w:tr>
      <w:tr w14:paraId="2C3C9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EAEEB">
            <w:pPr>
              <w:jc w:val="center"/>
              <w:rPr>
                <w:rFonts w:hint="eastAsia" w:ascii="宋体" w:hAnsi="宋体" w:eastAsia="宋体" w:cs="宋体"/>
                <w:b/>
                <w:bCs/>
                <w:i w:val="0"/>
                <w:iCs w:val="0"/>
                <w:color w:val="000000"/>
                <w:sz w:val="18"/>
                <w:szCs w:val="18"/>
                <w:u w:val="none"/>
              </w:rPr>
            </w:pPr>
          </w:p>
        </w:tc>
        <w:tc>
          <w:tcPr>
            <w:tcW w:w="2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809D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30E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6E0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有效解决天池景区基础设施建设资金不足问题</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DDC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852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有效解决</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5B2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8037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9E4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4A04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3AF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5EE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13F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F8B28">
            <w:pPr>
              <w:jc w:val="center"/>
              <w:rPr>
                <w:rFonts w:hint="eastAsia" w:ascii="宋体" w:hAnsi="宋体" w:eastAsia="宋体" w:cs="宋体"/>
                <w:i w:val="0"/>
                <w:iCs w:val="0"/>
                <w:color w:val="000000"/>
                <w:sz w:val="18"/>
                <w:szCs w:val="18"/>
                <w:u w:val="none"/>
              </w:rPr>
            </w:pPr>
          </w:p>
        </w:tc>
      </w:tr>
      <w:tr w14:paraId="7A1FA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D47ED">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827B6">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708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209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提升景区绿化生态品质和旅游品质</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71E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CBE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E6B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1219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2B0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925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9AD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455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C4D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BBE69">
            <w:pPr>
              <w:jc w:val="center"/>
              <w:rPr>
                <w:rFonts w:hint="eastAsia" w:ascii="宋体" w:hAnsi="宋体" w:eastAsia="宋体" w:cs="宋体"/>
                <w:i w:val="0"/>
                <w:iCs w:val="0"/>
                <w:color w:val="000000"/>
                <w:sz w:val="18"/>
                <w:szCs w:val="18"/>
                <w:u w:val="none"/>
              </w:rPr>
            </w:pPr>
          </w:p>
        </w:tc>
      </w:tr>
      <w:tr w14:paraId="7C0AC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DCE76">
            <w:pPr>
              <w:jc w:val="center"/>
              <w:rPr>
                <w:rFonts w:hint="eastAsia" w:ascii="宋体" w:hAnsi="宋体" w:eastAsia="宋体" w:cs="宋体"/>
                <w:b/>
                <w:bCs/>
                <w:i w:val="0"/>
                <w:iCs w:val="0"/>
                <w:color w:val="000000"/>
                <w:sz w:val="18"/>
                <w:szCs w:val="18"/>
                <w:u w:val="none"/>
              </w:rPr>
            </w:pPr>
          </w:p>
        </w:tc>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5F98B">
            <w:pPr>
              <w:jc w:val="center"/>
              <w:rPr>
                <w:rFonts w:hint="eastAsia" w:ascii="宋体" w:hAnsi="宋体" w:eastAsia="宋体" w:cs="宋体"/>
                <w:i w:val="0"/>
                <w:iCs w:val="0"/>
                <w:color w:val="000000"/>
                <w:sz w:val="18"/>
                <w:szCs w:val="18"/>
                <w:u w:val="none"/>
              </w:rPr>
            </w:pP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748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7AFAF">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4A0FA">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496A2">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00DEE">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46E48">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C7CAC">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AA5B7">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5495D">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ABAE4">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995DF">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7FAB6">
            <w:pPr>
              <w:jc w:val="center"/>
              <w:rPr>
                <w:rFonts w:hint="eastAsia" w:ascii="宋体" w:hAnsi="宋体" w:eastAsia="宋体" w:cs="宋体"/>
                <w:i w:val="0"/>
                <w:iCs w:val="0"/>
                <w:color w:val="000000"/>
                <w:sz w:val="18"/>
                <w:szCs w:val="18"/>
                <w:u w:val="none"/>
              </w:rPr>
            </w:pPr>
          </w:p>
        </w:tc>
      </w:tr>
      <w:tr w14:paraId="5FC38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FB8A9">
            <w:pPr>
              <w:jc w:val="center"/>
              <w:rPr>
                <w:rFonts w:hint="eastAsia" w:ascii="宋体" w:hAnsi="宋体" w:eastAsia="宋体" w:cs="宋体"/>
                <w:b/>
                <w:bCs/>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A73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C65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7811B">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0B13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1857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D2488">
            <w:pPr>
              <w:jc w:val="center"/>
              <w:rPr>
                <w:rFonts w:hint="eastAsia" w:ascii="宋体" w:hAnsi="宋体" w:eastAsia="宋体" w:cs="宋体"/>
                <w:i w:val="0"/>
                <w:iCs w:val="0"/>
                <w:color w:val="000000"/>
                <w:sz w:val="18"/>
                <w:szCs w:val="18"/>
                <w:u w:val="none"/>
              </w:rPr>
            </w:pPr>
            <w:bookmarkStart w:id="153" w:name="_GoBack"/>
            <w:bookmarkEnd w:id="153"/>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D3F03">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2200E">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B4D3D">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2B847">
            <w:pPr>
              <w:jc w:val="cente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521B3">
            <w:pPr>
              <w:jc w:val="cente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41BB9">
            <w:pPr>
              <w:jc w:val="cente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025B2">
            <w:pPr>
              <w:jc w:val="center"/>
              <w:rPr>
                <w:rFonts w:hint="eastAsia" w:ascii="宋体" w:hAnsi="宋体" w:eastAsia="宋体" w:cs="宋体"/>
                <w:i w:val="0"/>
                <w:iCs w:val="0"/>
                <w:color w:val="000000"/>
                <w:sz w:val="18"/>
                <w:szCs w:val="18"/>
                <w:u w:val="none"/>
              </w:rPr>
            </w:pPr>
          </w:p>
        </w:tc>
      </w:tr>
      <w:tr w14:paraId="19BCD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77" w:type="pct"/>
            <w:gridSpan w:val="4"/>
            <w:tcBorders>
              <w:top w:val="single" w:color="000000" w:sz="4" w:space="0"/>
              <w:left w:val="single" w:color="000000" w:sz="4" w:space="0"/>
              <w:bottom w:val="single" w:color="000000" w:sz="4" w:space="0"/>
              <w:right w:val="nil"/>
            </w:tcBorders>
            <w:shd w:val="clear" w:color="auto" w:fill="auto"/>
            <w:vAlign w:val="center"/>
          </w:tcPr>
          <w:p w14:paraId="401F9E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0BB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5" w:type="pct"/>
            <w:tcBorders>
              <w:top w:val="single" w:color="000000" w:sz="4" w:space="0"/>
              <w:left w:val="nil"/>
              <w:bottom w:val="single" w:color="000000" w:sz="4" w:space="0"/>
              <w:right w:val="single" w:color="000000" w:sz="4" w:space="0"/>
            </w:tcBorders>
            <w:shd w:val="clear" w:color="auto" w:fill="auto"/>
            <w:vAlign w:val="center"/>
          </w:tcPr>
          <w:p w14:paraId="780F69CF">
            <w:pPr>
              <w:rPr>
                <w:rFonts w:hint="eastAsia" w:ascii="宋体" w:hAnsi="宋体" w:eastAsia="宋体" w:cs="宋体"/>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0BFD5">
            <w:pPr>
              <w:jc w:val="center"/>
              <w:rPr>
                <w:rFonts w:hint="eastAsia" w:ascii="宋体" w:hAnsi="宋体" w:eastAsia="宋体" w:cs="宋体"/>
                <w:i w:val="0"/>
                <w:iCs w:val="0"/>
                <w:color w:val="000000"/>
                <w:sz w:val="18"/>
                <w:szCs w:val="18"/>
                <w:u w:val="none"/>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AC7B0">
            <w:pPr>
              <w:jc w:val="cente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87D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54DEC">
            <w:pPr>
              <w:rPr>
                <w:rFonts w:hint="eastAsia" w:ascii="宋体" w:hAnsi="宋体" w:eastAsia="宋体" w:cs="宋体"/>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D0CDC">
            <w:pPr>
              <w:rPr>
                <w:rFonts w:hint="eastAsia" w:ascii="宋体" w:hAnsi="宋体" w:eastAsia="宋体" w:cs="宋体"/>
                <w:i w:val="0"/>
                <w:iCs w:val="0"/>
                <w:color w:val="000000"/>
                <w:sz w:val="18"/>
                <w:szCs w:val="18"/>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4E4CC">
            <w:pPr>
              <w:rPr>
                <w:rFonts w:hint="eastAsia" w:ascii="宋体" w:hAnsi="宋体" w:eastAsia="宋体" w:cs="宋体"/>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35D64">
            <w:pPr>
              <w:rPr>
                <w:rFonts w:hint="eastAsia" w:ascii="宋体" w:hAnsi="宋体" w:eastAsia="宋体" w:cs="宋体"/>
                <w:i w:val="0"/>
                <w:iCs w:val="0"/>
                <w:color w:val="000000"/>
                <w:sz w:val="18"/>
                <w:szCs w:val="18"/>
                <w:u w:val="none"/>
              </w:rPr>
            </w:pPr>
          </w:p>
        </w:tc>
        <w:tc>
          <w:tcPr>
            <w:tcW w:w="8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CE80E">
            <w:pPr>
              <w:rPr>
                <w:rFonts w:hint="eastAsia" w:ascii="宋体" w:hAnsi="宋体" w:eastAsia="宋体" w:cs="宋体"/>
                <w:i w:val="0"/>
                <w:iCs w:val="0"/>
                <w:color w:val="000000"/>
                <w:sz w:val="18"/>
                <w:szCs w:val="18"/>
                <w:u w:val="none"/>
              </w:rPr>
            </w:pPr>
          </w:p>
        </w:tc>
      </w:tr>
    </w:tbl>
    <w:p w14:paraId="3F5FCA68">
      <w:pPr>
        <w:ind w:left="0" w:leftChars="0" w:firstLine="0" w:firstLineChars="0"/>
      </w:pPr>
      <w:r>
        <w:br w:type="page"/>
      </w:r>
    </w:p>
    <w:p w14:paraId="2431BBDB">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1" w:name="_Toc15067"/>
      <w:bookmarkStart w:id="152" w:name="_Toc11223"/>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1"/>
      <w:bookmarkEnd w:id="152"/>
    </w:p>
    <w:tbl>
      <w:tblPr>
        <w:tblStyle w:val="17"/>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5B02CA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6BD7DA1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16FFABC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126B8CD8">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07D130BF">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0837C2FE">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4FA2369F">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159DA55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1D5C9D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1E4AA966">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440E7B5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2C97A2C0">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2004E816">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7ADBE61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636B3487">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32F4E94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11646F02">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546440A">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34B5F134">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111A95D7">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03F422FC">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36895004">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47683BFE">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29A350D9">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240DCC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5C57AC84">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590B1571">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1DBB4085">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22A2F718">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70E2B90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56C37624">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F47B0C4">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17847713">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2550BCBB">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098234A1">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50A79050">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30835A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1BA7C508">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15AA2CB0">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4C5DF5B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3EF74401">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79A39BE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1F35A23A">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4AFA850">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03A702D5">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5F59606A">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576E6C85">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1CD63DAC">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60BF6E0E">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283CDA26">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4AA260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099CFD01">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635C20C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687C5BF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3C34508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649FAAA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6A4DA71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DC8030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40D193D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156BDC0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010DDCA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047C5BAA">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47DF325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1872B8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05139A51">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390F36E6">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5A14BE47">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12396CA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2ED17EB2">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5B2049C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1B306FD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3508C9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57052F3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7BFCA86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0AE3CC5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2C7B4E5E">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1B97AC9C">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69F220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27C8DB6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1356ACA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68565CC6">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0F73DB6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6BCEFF6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8BE32F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0F9F44C">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7C634C8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6D8889E8">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595621E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651F49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7CD581A7">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02E2906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5117894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1D27FB4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209C48E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78F8600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6CF320D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5D05731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318B83C5">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96284BF">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0F3B6B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3E063DF8">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12D6A071">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4DE5A03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53F825A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2393824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110B962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11652AE8">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D7BD9D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0EE03C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0C5F1E9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234D04CE">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636B4F7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44A7BFB7">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4E681C5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141" w:type="dxa"/>
            <w:shd w:val="clear" w:color="auto" w:fill="auto"/>
            <w:noWrap w:val="0"/>
            <w:vAlign w:val="center"/>
          </w:tcPr>
          <w:p w14:paraId="54BDD0D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7821" w:type="dxa"/>
            <w:shd w:val="clear" w:color="auto" w:fill="auto"/>
            <w:noWrap w:val="0"/>
            <w:vAlign w:val="center"/>
          </w:tcPr>
          <w:p w14:paraId="229C9B2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0C6869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234107D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222778A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20072A9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230ACE4C">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4ED2D4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4D1DB1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47409B02">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5B22582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6CFCCA4E">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244C9F38">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632074B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141" w:type="dxa"/>
            <w:shd w:val="clear" w:color="auto" w:fill="auto"/>
            <w:noWrap w:val="0"/>
            <w:vAlign w:val="center"/>
          </w:tcPr>
          <w:p w14:paraId="426E270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E6BF7">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26A4B4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526DD8D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4EBF59F9">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01C98C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73DB2D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0B035EF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015751CB">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461C7A5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5911F486">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141" w:type="dxa"/>
            <w:shd w:val="clear" w:color="auto" w:fill="auto"/>
            <w:noWrap w:val="0"/>
            <w:vAlign w:val="center"/>
          </w:tcPr>
          <w:p w14:paraId="37778E3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7821" w:type="dxa"/>
            <w:shd w:val="clear" w:color="auto" w:fill="auto"/>
            <w:noWrap w:val="0"/>
            <w:vAlign w:val="center"/>
          </w:tcPr>
          <w:p w14:paraId="60F2E33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F5403B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7A965E0C">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079F2FF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0B791EE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6945B3CF">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D51C50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3DC092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vMerge w:val="restart"/>
            <w:shd w:val="clear" w:color="auto" w:fill="auto"/>
            <w:noWrap w:val="0"/>
            <w:vAlign w:val="center"/>
          </w:tcPr>
          <w:p w14:paraId="6770227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27" w:type="dxa"/>
            <w:vMerge w:val="restart"/>
            <w:shd w:val="clear" w:color="auto" w:fill="auto"/>
            <w:noWrap w:val="0"/>
            <w:vAlign w:val="center"/>
          </w:tcPr>
          <w:p w14:paraId="055AD084">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20" w:type="dxa"/>
            <w:shd w:val="clear" w:color="auto" w:fill="auto"/>
            <w:noWrap w:val="0"/>
            <w:vAlign w:val="center"/>
          </w:tcPr>
          <w:p w14:paraId="419AE881">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本金归还次数</w:t>
            </w:r>
          </w:p>
        </w:tc>
        <w:tc>
          <w:tcPr>
            <w:tcW w:w="2141" w:type="dxa"/>
            <w:shd w:val="clear" w:color="auto" w:fill="auto"/>
            <w:noWrap w:val="0"/>
            <w:vAlign w:val="center"/>
          </w:tcPr>
          <w:p w14:paraId="558BFC9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7821" w:type="dxa"/>
            <w:shd w:val="clear" w:color="auto" w:fill="auto"/>
            <w:noWrap w:val="0"/>
            <w:vAlign w:val="center"/>
          </w:tcPr>
          <w:p w14:paraId="6829B49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7A5C7F3C">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24D4E86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4056077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4FC6871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680963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vMerge w:val="continue"/>
            <w:shd w:val="clear" w:color="auto" w:fill="auto"/>
            <w:noWrap w:val="0"/>
            <w:vAlign w:val="center"/>
          </w:tcPr>
          <w:p w14:paraId="194DE5E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42FC905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yellow"/>
              </w:rPr>
            </w:pPr>
          </w:p>
        </w:tc>
        <w:tc>
          <w:tcPr>
            <w:tcW w:w="820" w:type="dxa"/>
            <w:shd w:val="clear" w:color="auto" w:fill="auto"/>
            <w:noWrap w:val="0"/>
            <w:vAlign w:val="center"/>
          </w:tcPr>
          <w:p w14:paraId="7CC35735">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利息归还次数</w:t>
            </w:r>
          </w:p>
        </w:tc>
        <w:tc>
          <w:tcPr>
            <w:tcW w:w="2141" w:type="dxa"/>
            <w:shd w:val="clear" w:color="auto" w:fill="auto"/>
            <w:noWrap w:val="0"/>
            <w:vAlign w:val="center"/>
          </w:tcPr>
          <w:p w14:paraId="0518CC3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67CB554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3C4AE67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19BD11D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6A0A22E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57E5C91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cs="宋体"/>
                <w:color w:val="000000"/>
                <w:kern w:val="0"/>
                <w:sz w:val="22"/>
                <w:szCs w:val="22"/>
                <w:lang w:val="en-US" w:eastAsia="zh-CN"/>
              </w:rPr>
            </w:pPr>
            <w:r>
              <w:rPr>
                <w:rFonts w:hint="eastAsia" w:cs="宋体"/>
                <w:color w:val="000000"/>
                <w:kern w:val="0"/>
                <w:sz w:val="22"/>
                <w:szCs w:val="22"/>
                <w:lang w:val="en-US" w:eastAsia="zh-CN"/>
              </w:rPr>
              <w:t>5</w:t>
            </w:r>
          </w:p>
        </w:tc>
      </w:tr>
      <w:tr w14:paraId="709D27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continue"/>
            <w:shd w:val="clear" w:color="auto" w:fill="auto"/>
            <w:noWrap w:val="0"/>
            <w:vAlign w:val="center"/>
          </w:tcPr>
          <w:p w14:paraId="08C3DD60">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restart"/>
            <w:shd w:val="clear" w:color="auto" w:fill="auto"/>
            <w:noWrap w:val="0"/>
            <w:vAlign w:val="center"/>
          </w:tcPr>
          <w:p w14:paraId="4A12767E">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2"/>
                <w:szCs w:val="22"/>
              </w:rPr>
              <w:t>产出质量</w:t>
            </w:r>
          </w:p>
        </w:tc>
        <w:tc>
          <w:tcPr>
            <w:tcW w:w="820" w:type="dxa"/>
            <w:shd w:val="clear" w:color="auto" w:fill="auto"/>
            <w:noWrap w:val="0"/>
            <w:vAlign w:val="center"/>
          </w:tcPr>
          <w:p w14:paraId="44B03EE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本金按期归还率</w:t>
            </w:r>
          </w:p>
        </w:tc>
        <w:tc>
          <w:tcPr>
            <w:tcW w:w="2141" w:type="dxa"/>
            <w:shd w:val="clear" w:color="auto" w:fill="auto"/>
            <w:noWrap w:val="0"/>
            <w:vAlign w:val="center"/>
          </w:tcPr>
          <w:p w14:paraId="75DD4AB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val="en-US" w:eastAsia="zh-CN" w:bidi="ar-SA"/>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5B5EAB8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3F8B889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666D9A5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3C7CDA6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0091897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4CA0A8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7E9A2D5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7FB031C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yellow"/>
              </w:rPr>
            </w:pPr>
          </w:p>
        </w:tc>
        <w:tc>
          <w:tcPr>
            <w:tcW w:w="820" w:type="dxa"/>
            <w:shd w:val="clear" w:color="auto" w:fill="auto"/>
            <w:noWrap w:val="0"/>
            <w:vAlign w:val="center"/>
          </w:tcPr>
          <w:p w14:paraId="72E702F1">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利息按期归还率</w:t>
            </w:r>
          </w:p>
        </w:tc>
        <w:tc>
          <w:tcPr>
            <w:tcW w:w="2141" w:type="dxa"/>
            <w:shd w:val="clear" w:color="auto" w:fill="auto"/>
            <w:noWrap w:val="0"/>
            <w:vAlign w:val="center"/>
          </w:tcPr>
          <w:p w14:paraId="5E92193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7821" w:type="dxa"/>
            <w:shd w:val="clear" w:color="auto" w:fill="auto"/>
            <w:noWrap w:val="0"/>
            <w:vAlign w:val="center"/>
          </w:tcPr>
          <w:p w14:paraId="4B5172F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3690470F">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0FAFC05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20A67CB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090A010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cs="宋体"/>
                <w:color w:val="000000"/>
                <w:kern w:val="0"/>
                <w:sz w:val="22"/>
                <w:szCs w:val="22"/>
                <w:lang w:val="en-US" w:eastAsia="zh-CN"/>
              </w:rPr>
            </w:pPr>
            <w:r>
              <w:rPr>
                <w:rFonts w:hint="eastAsia" w:cs="宋体"/>
                <w:color w:val="000000"/>
                <w:kern w:val="0"/>
                <w:sz w:val="22"/>
                <w:szCs w:val="22"/>
                <w:lang w:val="en-US" w:eastAsia="zh-CN"/>
              </w:rPr>
              <w:t>5</w:t>
            </w:r>
          </w:p>
        </w:tc>
      </w:tr>
      <w:tr w14:paraId="1FA49D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47127A02">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0A80E06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yellow"/>
              </w:rPr>
            </w:pPr>
          </w:p>
        </w:tc>
        <w:tc>
          <w:tcPr>
            <w:tcW w:w="820" w:type="dxa"/>
            <w:shd w:val="clear" w:color="auto" w:fill="auto"/>
            <w:noWrap w:val="0"/>
            <w:vAlign w:val="center"/>
          </w:tcPr>
          <w:p w14:paraId="2AF1735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p>
        </w:tc>
        <w:tc>
          <w:tcPr>
            <w:tcW w:w="2141" w:type="dxa"/>
            <w:shd w:val="clear" w:color="auto" w:fill="auto"/>
            <w:noWrap w:val="0"/>
            <w:vAlign w:val="center"/>
          </w:tcPr>
          <w:p w14:paraId="62F5E1F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rPr>
            </w:pPr>
          </w:p>
        </w:tc>
        <w:tc>
          <w:tcPr>
            <w:tcW w:w="7821" w:type="dxa"/>
            <w:shd w:val="clear" w:color="auto" w:fill="auto"/>
            <w:noWrap w:val="0"/>
            <w:vAlign w:val="center"/>
          </w:tcPr>
          <w:p w14:paraId="5920205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43D3DB4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rPr>
            </w:pPr>
          </w:p>
        </w:tc>
        <w:tc>
          <w:tcPr>
            <w:tcW w:w="769" w:type="dxa"/>
            <w:shd w:val="clear" w:color="auto" w:fill="auto"/>
            <w:noWrap w:val="0"/>
            <w:vAlign w:val="center"/>
          </w:tcPr>
          <w:p w14:paraId="5E15AB0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rPr>
            </w:pPr>
          </w:p>
        </w:tc>
      </w:tr>
      <w:tr w14:paraId="67318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3211A0E4">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yellow"/>
              </w:rPr>
            </w:pPr>
          </w:p>
        </w:tc>
        <w:tc>
          <w:tcPr>
            <w:tcW w:w="727" w:type="dxa"/>
            <w:vMerge w:val="restart"/>
            <w:shd w:val="clear" w:color="auto" w:fill="auto"/>
            <w:noWrap w:val="0"/>
            <w:vAlign w:val="center"/>
          </w:tcPr>
          <w:p w14:paraId="53EB104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2"/>
                <w:szCs w:val="22"/>
              </w:rPr>
              <w:t>产出时效</w:t>
            </w:r>
          </w:p>
        </w:tc>
        <w:tc>
          <w:tcPr>
            <w:tcW w:w="820" w:type="dxa"/>
            <w:shd w:val="clear" w:color="auto" w:fill="auto"/>
            <w:noWrap w:val="0"/>
            <w:vAlign w:val="center"/>
          </w:tcPr>
          <w:p w14:paraId="0D311617">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按期归还本金及时率</w:t>
            </w:r>
          </w:p>
        </w:tc>
        <w:tc>
          <w:tcPr>
            <w:tcW w:w="2141" w:type="dxa"/>
            <w:shd w:val="clear" w:color="auto" w:fill="auto"/>
            <w:noWrap w:val="0"/>
            <w:vAlign w:val="center"/>
          </w:tcPr>
          <w:p w14:paraId="01F73448">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auto" w:fill="auto"/>
            <w:noWrap w:val="0"/>
            <w:vAlign w:val="center"/>
          </w:tcPr>
          <w:p w14:paraId="32AD0C1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14:paraId="7C487BCC">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auto" w:fill="auto"/>
            <w:noWrap w:val="0"/>
            <w:vAlign w:val="center"/>
          </w:tcPr>
          <w:p w14:paraId="0E247617">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7ECB7EB7">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72C42B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1CE519A6">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490B70EE">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yellow"/>
              </w:rPr>
            </w:pPr>
          </w:p>
        </w:tc>
        <w:tc>
          <w:tcPr>
            <w:tcW w:w="820" w:type="dxa"/>
            <w:shd w:val="clear" w:color="auto" w:fill="auto"/>
            <w:noWrap w:val="0"/>
            <w:vAlign w:val="center"/>
          </w:tcPr>
          <w:p w14:paraId="56F5526B">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color w:val="000000"/>
                <w:kern w:val="0"/>
                <w:sz w:val="22"/>
                <w:szCs w:val="22"/>
                <w:lang w:val="en-US" w:eastAsia="zh-CN"/>
              </w:rPr>
              <w:t>按季度归还利息及时率</w:t>
            </w:r>
          </w:p>
        </w:tc>
        <w:tc>
          <w:tcPr>
            <w:tcW w:w="2141" w:type="dxa"/>
            <w:shd w:val="clear" w:color="auto" w:fill="auto"/>
            <w:noWrap w:val="0"/>
            <w:vAlign w:val="center"/>
          </w:tcPr>
          <w:p w14:paraId="76B3A34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7821" w:type="dxa"/>
            <w:shd w:val="clear" w:color="auto" w:fill="auto"/>
            <w:noWrap w:val="0"/>
            <w:vAlign w:val="center"/>
          </w:tcPr>
          <w:p w14:paraId="25E5DA1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14:paraId="12E594C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auto" w:fill="auto"/>
            <w:noWrap w:val="0"/>
            <w:vAlign w:val="center"/>
          </w:tcPr>
          <w:p w14:paraId="1A9A2FA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cs="宋体"/>
                <w:color w:val="000000"/>
                <w:kern w:val="0"/>
                <w:sz w:val="22"/>
                <w:szCs w:val="22"/>
                <w:lang w:val="en-US" w:eastAsia="zh-CN"/>
              </w:rPr>
            </w:pPr>
            <w:r>
              <w:rPr>
                <w:rFonts w:hint="eastAsia" w:cs="宋体"/>
                <w:color w:val="000000"/>
                <w:kern w:val="0"/>
                <w:sz w:val="22"/>
                <w:szCs w:val="22"/>
                <w:lang w:val="en-US" w:eastAsia="zh-CN"/>
              </w:rPr>
              <w:t>5</w:t>
            </w:r>
          </w:p>
        </w:tc>
        <w:tc>
          <w:tcPr>
            <w:tcW w:w="769" w:type="dxa"/>
            <w:shd w:val="clear" w:color="auto" w:fill="auto"/>
            <w:noWrap w:val="0"/>
            <w:vAlign w:val="center"/>
          </w:tcPr>
          <w:p w14:paraId="1535C87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cs="宋体"/>
                <w:color w:val="000000"/>
                <w:kern w:val="0"/>
                <w:sz w:val="22"/>
                <w:szCs w:val="22"/>
                <w:lang w:val="en-US" w:eastAsia="zh-CN"/>
              </w:rPr>
            </w:pPr>
            <w:r>
              <w:rPr>
                <w:rFonts w:hint="eastAsia" w:cs="宋体"/>
                <w:color w:val="000000"/>
                <w:kern w:val="0"/>
                <w:sz w:val="22"/>
                <w:szCs w:val="22"/>
                <w:lang w:val="en-US" w:eastAsia="zh-CN"/>
              </w:rPr>
              <w:t>5</w:t>
            </w:r>
          </w:p>
        </w:tc>
      </w:tr>
      <w:tr w14:paraId="637ADF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7637E65B">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yellow"/>
              </w:rPr>
            </w:pPr>
          </w:p>
        </w:tc>
        <w:tc>
          <w:tcPr>
            <w:tcW w:w="727" w:type="dxa"/>
            <w:shd w:val="clear" w:color="auto" w:fill="auto"/>
            <w:noWrap w:val="0"/>
            <w:vAlign w:val="center"/>
          </w:tcPr>
          <w:p w14:paraId="1DFE8A9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yellow"/>
              </w:rPr>
            </w:pPr>
            <w:r>
              <w:rPr>
                <w:rFonts w:hint="eastAsia" w:ascii="宋体" w:hAnsi="宋体" w:eastAsia="宋体" w:cs="宋体"/>
                <w:color w:val="000000"/>
                <w:kern w:val="0"/>
                <w:sz w:val="22"/>
                <w:szCs w:val="22"/>
              </w:rPr>
              <w:t>产出成本</w:t>
            </w:r>
          </w:p>
        </w:tc>
        <w:tc>
          <w:tcPr>
            <w:tcW w:w="820" w:type="dxa"/>
            <w:shd w:val="clear" w:color="auto" w:fill="auto"/>
            <w:noWrap w:val="0"/>
            <w:vAlign w:val="center"/>
          </w:tcPr>
          <w:p w14:paraId="6A01083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成本节约率</w:t>
            </w:r>
          </w:p>
        </w:tc>
        <w:tc>
          <w:tcPr>
            <w:tcW w:w="2141" w:type="dxa"/>
            <w:shd w:val="clear" w:color="auto" w:fill="auto"/>
            <w:noWrap w:val="0"/>
            <w:vAlign w:val="center"/>
          </w:tcPr>
          <w:p w14:paraId="60DE05E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0631A09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p>
          <w:p w14:paraId="6A3A214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成本节约率=[（计划成本-实际成本）/计划成本]×100%。</w:t>
            </w:r>
          </w:p>
          <w:p w14:paraId="22FF97C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实际成本：项目实施单位如期、保质、保量完成既定工作目标实际所耗费的支出。</w:t>
            </w:r>
          </w:p>
          <w:p w14:paraId="183C209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计划成本：项目实施单位为完成工作目标计划安排的支出，一般以项目预算为参考。</w:t>
            </w:r>
          </w:p>
        </w:tc>
        <w:tc>
          <w:tcPr>
            <w:tcW w:w="785" w:type="dxa"/>
            <w:shd w:val="clear" w:color="auto" w:fill="auto"/>
            <w:noWrap w:val="0"/>
            <w:vAlign w:val="center"/>
          </w:tcPr>
          <w:p w14:paraId="241B6B1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c>
          <w:tcPr>
            <w:tcW w:w="769" w:type="dxa"/>
            <w:shd w:val="clear" w:color="auto" w:fill="auto"/>
            <w:noWrap w:val="0"/>
            <w:vAlign w:val="center"/>
          </w:tcPr>
          <w:p w14:paraId="69B0A89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w:t>
            </w:r>
          </w:p>
        </w:tc>
      </w:tr>
      <w:tr w14:paraId="45F304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158F0BD7">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27" w:type="dxa"/>
            <w:vMerge w:val="restart"/>
            <w:shd w:val="clear" w:color="auto" w:fill="auto"/>
            <w:noWrap w:val="0"/>
            <w:vAlign w:val="center"/>
          </w:tcPr>
          <w:p w14:paraId="52DE5DD5">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20" w:type="dxa"/>
            <w:shd w:val="clear" w:color="auto" w:fill="auto"/>
            <w:noWrap w:val="0"/>
            <w:vAlign w:val="center"/>
          </w:tcPr>
          <w:p w14:paraId="7ACBAE87">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color w:val="000000"/>
                <w:kern w:val="0"/>
                <w:sz w:val="22"/>
                <w:szCs w:val="22"/>
                <w:lang w:val="en-US" w:eastAsia="zh-CN"/>
              </w:rPr>
              <w:t>有效解决天池景</w:t>
            </w:r>
            <w:r>
              <w:rPr>
                <w:rFonts w:hint="eastAsia" w:ascii="宋体" w:hAnsi="宋体" w:eastAsia="宋体" w:cs="宋体"/>
                <w:i w:val="0"/>
                <w:iCs w:val="0"/>
                <w:color w:val="000000"/>
                <w:kern w:val="0"/>
                <w:sz w:val="20"/>
                <w:szCs w:val="20"/>
                <w:u w:val="none"/>
                <w:lang w:val="en-US" w:eastAsia="zh-CN" w:bidi="ar"/>
              </w:rPr>
              <w:t>区基础设施建设资金不足问题</w:t>
            </w:r>
          </w:p>
        </w:tc>
        <w:tc>
          <w:tcPr>
            <w:tcW w:w="2141" w:type="dxa"/>
            <w:shd w:val="clear" w:color="auto" w:fill="auto"/>
            <w:noWrap w:val="0"/>
            <w:vAlign w:val="center"/>
          </w:tcPr>
          <w:p w14:paraId="66EBEF02">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7821" w:type="dxa"/>
            <w:shd w:val="clear" w:color="auto" w:fill="auto"/>
            <w:noWrap w:val="0"/>
            <w:vAlign w:val="center"/>
          </w:tcPr>
          <w:p w14:paraId="5CA6F91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5C318A2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c>
          <w:tcPr>
            <w:tcW w:w="769" w:type="dxa"/>
            <w:shd w:val="clear" w:color="auto" w:fill="auto"/>
            <w:noWrap w:val="0"/>
            <w:vAlign w:val="center"/>
          </w:tcPr>
          <w:p w14:paraId="4A283C3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7</w:t>
            </w:r>
          </w:p>
        </w:tc>
      </w:tr>
      <w:tr w14:paraId="49DC27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20154B62">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37B0F99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655DDFEB">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color w:val="000000"/>
                <w:kern w:val="0"/>
                <w:sz w:val="22"/>
                <w:szCs w:val="22"/>
                <w:lang w:val="en-US" w:eastAsia="zh-CN"/>
              </w:rPr>
              <w:t>提升景区绿化生态品质和旅游品质</w:t>
            </w:r>
          </w:p>
        </w:tc>
        <w:tc>
          <w:tcPr>
            <w:tcW w:w="2141" w:type="dxa"/>
            <w:shd w:val="clear" w:color="auto" w:fill="auto"/>
            <w:noWrap w:val="0"/>
            <w:vAlign w:val="center"/>
          </w:tcPr>
          <w:p w14:paraId="1F63994C">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项目实施所产生的效益。</w:t>
            </w:r>
          </w:p>
        </w:tc>
        <w:tc>
          <w:tcPr>
            <w:tcW w:w="7821" w:type="dxa"/>
            <w:shd w:val="clear" w:color="auto" w:fill="auto"/>
            <w:noWrap w:val="0"/>
            <w:vAlign w:val="center"/>
          </w:tcPr>
          <w:p w14:paraId="459C225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785" w:type="dxa"/>
            <w:shd w:val="clear" w:color="auto" w:fill="auto"/>
            <w:noWrap w:val="0"/>
            <w:vAlign w:val="center"/>
          </w:tcPr>
          <w:p w14:paraId="6B5851E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cs="宋体"/>
                <w:color w:val="000000"/>
                <w:kern w:val="0"/>
                <w:sz w:val="22"/>
                <w:szCs w:val="22"/>
                <w:lang w:val="en-US" w:eastAsia="zh-CN"/>
              </w:rPr>
            </w:pPr>
            <w:r>
              <w:rPr>
                <w:rFonts w:hint="eastAsia" w:cs="宋体"/>
                <w:color w:val="000000"/>
                <w:kern w:val="0"/>
                <w:sz w:val="22"/>
                <w:szCs w:val="22"/>
                <w:lang w:val="en-US" w:eastAsia="zh-CN"/>
              </w:rPr>
              <w:t>7</w:t>
            </w:r>
          </w:p>
        </w:tc>
        <w:tc>
          <w:tcPr>
            <w:tcW w:w="769" w:type="dxa"/>
            <w:shd w:val="clear" w:color="auto" w:fill="auto"/>
            <w:noWrap w:val="0"/>
            <w:vAlign w:val="center"/>
          </w:tcPr>
          <w:p w14:paraId="2F78772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cs="宋体"/>
                <w:color w:val="000000"/>
                <w:kern w:val="0"/>
                <w:sz w:val="22"/>
                <w:szCs w:val="22"/>
                <w:lang w:val="en-US" w:eastAsia="zh-CN"/>
              </w:rPr>
            </w:pPr>
            <w:r>
              <w:rPr>
                <w:rFonts w:hint="eastAsia" w:cs="宋体"/>
                <w:color w:val="000000"/>
                <w:kern w:val="0"/>
                <w:sz w:val="22"/>
                <w:szCs w:val="22"/>
                <w:lang w:val="en-US" w:eastAsia="zh-CN"/>
              </w:rPr>
              <w:t>7</w:t>
            </w:r>
          </w:p>
        </w:tc>
      </w:tr>
      <w:tr w14:paraId="765018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32DD88D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0CF24BB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yellow"/>
              </w:rPr>
            </w:pPr>
          </w:p>
        </w:tc>
        <w:tc>
          <w:tcPr>
            <w:tcW w:w="820" w:type="dxa"/>
            <w:shd w:val="clear" w:color="auto" w:fill="auto"/>
            <w:noWrap w:val="0"/>
            <w:vAlign w:val="center"/>
          </w:tcPr>
          <w:p w14:paraId="72B2C24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工商银行</w:t>
            </w:r>
            <w:r>
              <w:rPr>
                <w:rFonts w:hint="eastAsia" w:ascii="宋体" w:hAnsi="宋体" w:eastAsia="宋体" w:cs="宋体"/>
                <w:color w:val="000000"/>
                <w:kern w:val="0"/>
                <w:sz w:val="22"/>
                <w:szCs w:val="22"/>
                <w:lang w:val="en-US" w:eastAsia="zh-CN"/>
              </w:rPr>
              <w:t>的满意度</w:t>
            </w:r>
          </w:p>
        </w:tc>
        <w:tc>
          <w:tcPr>
            <w:tcW w:w="2141" w:type="dxa"/>
            <w:shd w:val="clear" w:color="auto" w:fill="auto"/>
            <w:noWrap w:val="0"/>
            <w:vAlign w:val="center"/>
          </w:tcPr>
          <w:p w14:paraId="0A157AA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7821" w:type="dxa"/>
            <w:shd w:val="clear" w:color="auto" w:fill="auto"/>
            <w:noWrap w:val="0"/>
            <w:vAlign w:val="center"/>
          </w:tcPr>
          <w:p w14:paraId="23C3F71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auto" w:fill="auto"/>
            <w:noWrap w:val="0"/>
            <w:vAlign w:val="center"/>
          </w:tcPr>
          <w:p w14:paraId="409B16E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c>
          <w:tcPr>
            <w:tcW w:w="769" w:type="dxa"/>
            <w:shd w:val="clear" w:color="auto" w:fill="auto"/>
            <w:noWrap w:val="0"/>
            <w:vAlign w:val="center"/>
          </w:tcPr>
          <w:p w14:paraId="23D6901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6</w:t>
            </w:r>
          </w:p>
        </w:tc>
      </w:tr>
      <w:tr w14:paraId="18035F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44D25790">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7821" w:type="dxa"/>
            <w:shd w:val="clear" w:color="auto" w:fill="auto"/>
            <w:noWrap w:val="0"/>
            <w:vAlign w:val="center"/>
          </w:tcPr>
          <w:p w14:paraId="745D424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5ACA5240">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c>
          <w:tcPr>
            <w:tcW w:w="769" w:type="dxa"/>
            <w:shd w:val="clear" w:color="auto" w:fill="auto"/>
            <w:noWrap w:val="0"/>
            <w:vAlign w:val="center"/>
          </w:tcPr>
          <w:p w14:paraId="696E026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99</w:t>
            </w:r>
          </w:p>
        </w:tc>
      </w:tr>
    </w:tbl>
    <w:p w14:paraId="4F9F33FA">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563AF96F">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882B5">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D22E66">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CD22E66">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824F90"/>
    <w:rsid w:val="00E23C81"/>
    <w:rsid w:val="01253350"/>
    <w:rsid w:val="01282E62"/>
    <w:rsid w:val="014029CF"/>
    <w:rsid w:val="01470C4C"/>
    <w:rsid w:val="02200440"/>
    <w:rsid w:val="02284B43"/>
    <w:rsid w:val="02B015E2"/>
    <w:rsid w:val="02DC08FA"/>
    <w:rsid w:val="033B569D"/>
    <w:rsid w:val="03640FEF"/>
    <w:rsid w:val="039C3BA0"/>
    <w:rsid w:val="03A845BB"/>
    <w:rsid w:val="03B45AD1"/>
    <w:rsid w:val="04D12EE4"/>
    <w:rsid w:val="04D63993"/>
    <w:rsid w:val="052D52E7"/>
    <w:rsid w:val="05832D5D"/>
    <w:rsid w:val="06787267"/>
    <w:rsid w:val="07890F4F"/>
    <w:rsid w:val="07D76329"/>
    <w:rsid w:val="08892439"/>
    <w:rsid w:val="08EB30F3"/>
    <w:rsid w:val="09237408"/>
    <w:rsid w:val="09781BD6"/>
    <w:rsid w:val="09F359DF"/>
    <w:rsid w:val="0A575E65"/>
    <w:rsid w:val="0ACA0AB6"/>
    <w:rsid w:val="0B8811CE"/>
    <w:rsid w:val="0C032502"/>
    <w:rsid w:val="0C27698C"/>
    <w:rsid w:val="0C807B73"/>
    <w:rsid w:val="0D4452F3"/>
    <w:rsid w:val="0F5E5042"/>
    <w:rsid w:val="0FE95707"/>
    <w:rsid w:val="10510571"/>
    <w:rsid w:val="10787A20"/>
    <w:rsid w:val="108672DE"/>
    <w:rsid w:val="10EC685A"/>
    <w:rsid w:val="11FA6155"/>
    <w:rsid w:val="12CF0947"/>
    <w:rsid w:val="12F1313F"/>
    <w:rsid w:val="136C678E"/>
    <w:rsid w:val="13EB2FF5"/>
    <w:rsid w:val="14A25B42"/>
    <w:rsid w:val="14ED4CAC"/>
    <w:rsid w:val="152C482C"/>
    <w:rsid w:val="15A46B04"/>
    <w:rsid w:val="165825BC"/>
    <w:rsid w:val="16BC5D73"/>
    <w:rsid w:val="176F36D7"/>
    <w:rsid w:val="1795226D"/>
    <w:rsid w:val="18456B1E"/>
    <w:rsid w:val="1B1D6504"/>
    <w:rsid w:val="1C1171C5"/>
    <w:rsid w:val="1D265138"/>
    <w:rsid w:val="1D7B6BCA"/>
    <w:rsid w:val="1DA41A79"/>
    <w:rsid w:val="1DF53469"/>
    <w:rsid w:val="1E2F24F2"/>
    <w:rsid w:val="1E4B2C52"/>
    <w:rsid w:val="1E58492F"/>
    <w:rsid w:val="1E5B6757"/>
    <w:rsid w:val="1ED10AC6"/>
    <w:rsid w:val="1F89225F"/>
    <w:rsid w:val="1F900A1F"/>
    <w:rsid w:val="1FC0575D"/>
    <w:rsid w:val="206132C7"/>
    <w:rsid w:val="21B00C1D"/>
    <w:rsid w:val="227E3A5F"/>
    <w:rsid w:val="23031BEB"/>
    <w:rsid w:val="23917691"/>
    <w:rsid w:val="244D65B8"/>
    <w:rsid w:val="245E1E24"/>
    <w:rsid w:val="24EF0E03"/>
    <w:rsid w:val="25AD5E5D"/>
    <w:rsid w:val="26F30F8B"/>
    <w:rsid w:val="2732478D"/>
    <w:rsid w:val="27661469"/>
    <w:rsid w:val="27900EAD"/>
    <w:rsid w:val="279B538A"/>
    <w:rsid w:val="2804615C"/>
    <w:rsid w:val="286F545C"/>
    <w:rsid w:val="29314FBC"/>
    <w:rsid w:val="2AA2081A"/>
    <w:rsid w:val="2B9D67AE"/>
    <w:rsid w:val="2C024B86"/>
    <w:rsid w:val="2C927671"/>
    <w:rsid w:val="2CA92202"/>
    <w:rsid w:val="2CC6306F"/>
    <w:rsid w:val="2D7C5CD6"/>
    <w:rsid w:val="2E483E7E"/>
    <w:rsid w:val="2E690493"/>
    <w:rsid w:val="2E9854BD"/>
    <w:rsid w:val="2F0D407F"/>
    <w:rsid w:val="2F454B19"/>
    <w:rsid w:val="310224D9"/>
    <w:rsid w:val="31B4621C"/>
    <w:rsid w:val="31E3230A"/>
    <w:rsid w:val="32441167"/>
    <w:rsid w:val="330957E0"/>
    <w:rsid w:val="33356F64"/>
    <w:rsid w:val="338430FC"/>
    <w:rsid w:val="33944516"/>
    <w:rsid w:val="34B62907"/>
    <w:rsid w:val="36BD137C"/>
    <w:rsid w:val="38053EDF"/>
    <w:rsid w:val="380812A4"/>
    <w:rsid w:val="385D37E7"/>
    <w:rsid w:val="38782EDD"/>
    <w:rsid w:val="3B42664A"/>
    <w:rsid w:val="3CAD1E92"/>
    <w:rsid w:val="3D836A4E"/>
    <w:rsid w:val="3EA37E97"/>
    <w:rsid w:val="3FBE0BC5"/>
    <w:rsid w:val="4048103A"/>
    <w:rsid w:val="40736643"/>
    <w:rsid w:val="40D24A7A"/>
    <w:rsid w:val="415A2C36"/>
    <w:rsid w:val="42621029"/>
    <w:rsid w:val="435241E2"/>
    <w:rsid w:val="43975C51"/>
    <w:rsid w:val="439E3FA7"/>
    <w:rsid w:val="44B32266"/>
    <w:rsid w:val="44D206E8"/>
    <w:rsid w:val="44FC64F4"/>
    <w:rsid w:val="45F156BC"/>
    <w:rsid w:val="467F4585"/>
    <w:rsid w:val="470628CB"/>
    <w:rsid w:val="4729480B"/>
    <w:rsid w:val="47555BD4"/>
    <w:rsid w:val="47BC2DB1"/>
    <w:rsid w:val="47E96399"/>
    <w:rsid w:val="47F76025"/>
    <w:rsid w:val="486E33F5"/>
    <w:rsid w:val="48E12B50"/>
    <w:rsid w:val="499441BE"/>
    <w:rsid w:val="499A6C1C"/>
    <w:rsid w:val="4A195607"/>
    <w:rsid w:val="4A2138F0"/>
    <w:rsid w:val="4A583887"/>
    <w:rsid w:val="4B9F6E02"/>
    <w:rsid w:val="4C89637B"/>
    <w:rsid w:val="4E6E48A8"/>
    <w:rsid w:val="4EEC036B"/>
    <w:rsid w:val="4F714FA1"/>
    <w:rsid w:val="501D2673"/>
    <w:rsid w:val="50C80BF1"/>
    <w:rsid w:val="51852833"/>
    <w:rsid w:val="52F11AC8"/>
    <w:rsid w:val="534F49D9"/>
    <w:rsid w:val="53555F0F"/>
    <w:rsid w:val="535D23D5"/>
    <w:rsid w:val="54927799"/>
    <w:rsid w:val="56F4341A"/>
    <w:rsid w:val="573E202D"/>
    <w:rsid w:val="575A7321"/>
    <w:rsid w:val="580C3AB9"/>
    <w:rsid w:val="583C7AE0"/>
    <w:rsid w:val="586215AF"/>
    <w:rsid w:val="586C1E9A"/>
    <w:rsid w:val="586E0800"/>
    <w:rsid w:val="58D9194D"/>
    <w:rsid w:val="59216F96"/>
    <w:rsid w:val="598C4145"/>
    <w:rsid w:val="59957D1B"/>
    <w:rsid w:val="59D4294E"/>
    <w:rsid w:val="5B634312"/>
    <w:rsid w:val="5B735762"/>
    <w:rsid w:val="5B9D2CCD"/>
    <w:rsid w:val="5B9E71EA"/>
    <w:rsid w:val="5E226FBC"/>
    <w:rsid w:val="5FB641C3"/>
    <w:rsid w:val="5FE72BD2"/>
    <w:rsid w:val="60120613"/>
    <w:rsid w:val="618D5292"/>
    <w:rsid w:val="622E78FA"/>
    <w:rsid w:val="627D34D2"/>
    <w:rsid w:val="63343F70"/>
    <w:rsid w:val="64296E1C"/>
    <w:rsid w:val="64386FCC"/>
    <w:rsid w:val="649E64A2"/>
    <w:rsid w:val="650E1074"/>
    <w:rsid w:val="65E5270A"/>
    <w:rsid w:val="663D3C54"/>
    <w:rsid w:val="667A6962"/>
    <w:rsid w:val="66862C89"/>
    <w:rsid w:val="66BB486D"/>
    <w:rsid w:val="67394C7D"/>
    <w:rsid w:val="68126B38"/>
    <w:rsid w:val="68291A1A"/>
    <w:rsid w:val="68352BB8"/>
    <w:rsid w:val="68990345"/>
    <w:rsid w:val="691327EB"/>
    <w:rsid w:val="691B1594"/>
    <w:rsid w:val="693A016B"/>
    <w:rsid w:val="6A17429C"/>
    <w:rsid w:val="6A567EA3"/>
    <w:rsid w:val="6B4B4368"/>
    <w:rsid w:val="6B79100E"/>
    <w:rsid w:val="6C213FD7"/>
    <w:rsid w:val="6C844C00"/>
    <w:rsid w:val="6DB21A61"/>
    <w:rsid w:val="6E10212C"/>
    <w:rsid w:val="6E43561A"/>
    <w:rsid w:val="6E557973"/>
    <w:rsid w:val="6E8606A6"/>
    <w:rsid w:val="6E9568DB"/>
    <w:rsid w:val="6E9924D1"/>
    <w:rsid w:val="6F0D6C22"/>
    <w:rsid w:val="6F47657F"/>
    <w:rsid w:val="6FAF23D9"/>
    <w:rsid w:val="70635CF6"/>
    <w:rsid w:val="70670707"/>
    <w:rsid w:val="720E3691"/>
    <w:rsid w:val="7249173A"/>
    <w:rsid w:val="724E244C"/>
    <w:rsid w:val="72CF7AF3"/>
    <w:rsid w:val="72DA6946"/>
    <w:rsid w:val="732764B3"/>
    <w:rsid w:val="74026044"/>
    <w:rsid w:val="74325A77"/>
    <w:rsid w:val="74746410"/>
    <w:rsid w:val="75C8506C"/>
    <w:rsid w:val="75E5007C"/>
    <w:rsid w:val="76044344"/>
    <w:rsid w:val="768F1AE0"/>
    <w:rsid w:val="77636B63"/>
    <w:rsid w:val="77813724"/>
    <w:rsid w:val="77861774"/>
    <w:rsid w:val="78F31435"/>
    <w:rsid w:val="79300B45"/>
    <w:rsid w:val="794D3E18"/>
    <w:rsid w:val="79F3729A"/>
    <w:rsid w:val="7A880722"/>
    <w:rsid w:val="7ABE6120"/>
    <w:rsid w:val="7ACB0498"/>
    <w:rsid w:val="7AED0B4D"/>
    <w:rsid w:val="7C1E4487"/>
    <w:rsid w:val="7C215E02"/>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20"/>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table of authorities"/>
    <w:basedOn w:val="1"/>
    <w:next w:val="1"/>
    <w:qFormat/>
    <w:uiPriority w:val="99"/>
    <w:pPr>
      <w:ind w:firstLine="640" w:firstLineChars="200"/>
    </w:pPr>
  </w:style>
  <w:style w:type="paragraph" w:styleId="7">
    <w:name w:val="annotation text"/>
    <w:basedOn w:val="1"/>
    <w:qFormat/>
    <w:uiPriority w:val="0"/>
    <w:pPr>
      <w:jc w:val="left"/>
    </w:pPr>
  </w:style>
  <w:style w:type="paragraph" w:styleId="8">
    <w:name w:val="toc 3"/>
    <w:basedOn w:val="1"/>
    <w:next w:val="1"/>
    <w:qFormat/>
    <w:uiPriority w:val="0"/>
    <w:pPr>
      <w:ind w:left="840" w:leftChars="4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toc 2"/>
    <w:basedOn w:val="1"/>
    <w:next w:val="1"/>
    <w:qFormat/>
    <w:uiPriority w:val="0"/>
    <w:pPr>
      <w:ind w:left="420" w:leftChars="200"/>
    </w:pPr>
  </w:style>
  <w:style w:type="paragraph" w:styleId="13">
    <w:name w:val="Body Text 2"/>
    <w:basedOn w:val="1"/>
    <w:qFormat/>
    <w:uiPriority w:val="0"/>
    <w:pPr>
      <w:spacing w:after="120" w:line="480" w:lineRule="auto"/>
    </w:pPr>
    <w:rPr>
      <w:rFonts w:ascii="Times New Roman" w:hAnsi="Times New Roman" w:eastAsia="宋体" w:cs="Times New Roman"/>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6">
    <w:name w:val="Body Text First Indent"/>
    <w:basedOn w:val="2"/>
    <w:qFormat/>
    <w:uiPriority w:val="0"/>
    <w:pPr>
      <w:spacing w:after="0"/>
      <w:ind w:firstLine="200" w:firstLineChars="200"/>
    </w:p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4"/>
    <w:qFormat/>
    <w:uiPriority w:val="0"/>
    <w:rPr>
      <w:rFonts w:ascii="Arial" w:hAnsi="Arial" w:eastAsia="楷体"/>
      <w:b/>
      <w:sz w:val="32"/>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WPSOffice手动目录 2"/>
    <w:qFormat/>
    <w:uiPriority w:val="0"/>
    <w:pPr>
      <w:ind w:leftChars="200"/>
    </w:pPr>
    <w:rPr>
      <w:rFonts w:ascii="Times New Roman" w:hAnsi="Times New Roman" w:eastAsia="宋体" w:cs="Times New Roman"/>
      <w:sz w:val="20"/>
      <w:szCs w:val="20"/>
    </w:rPr>
  </w:style>
  <w:style w:type="paragraph" w:customStyle="1" w:styleId="23">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9887</Words>
  <Characters>10489</Characters>
  <Lines>0</Lines>
  <Paragraphs>0</Paragraphs>
  <TotalTime>1</TotalTime>
  <ScaleCrop>false</ScaleCrop>
  <LinksUpToDate>false</LinksUpToDate>
  <CharactersWithSpaces>10565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2025-10-24T05:05:52Z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