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18B0A">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3697A0D">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F83549B">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3ABBE4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bookmarkStart w:id="0" w:name="_Toc29123"/>
      <w:bookmarkStart w:id="1" w:name="_Toc1949"/>
      <w:bookmarkStart w:id="2" w:name="_Toc15679"/>
      <w:bookmarkStart w:id="3" w:name="_Toc25575"/>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2024年选聘教师工资补助经费项目支出绩效评价报告</w:t>
      </w:r>
      <w:bookmarkEnd w:id="0"/>
      <w:bookmarkEnd w:id="1"/>
      <w:bookmarkEnd w:id="2"/>
      <w:bookmarkEnd w:id="3"/>
    </w:p>
    <w:p w14:paraId="67313D87">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5A86F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876BC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996D05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74294F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3D05D7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171B07FF">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DD45C38">
      <w:pPr>
        <w:spacing w:line="360" w:lineRule="auto"/>
        <w:ind w:firstLine="0" w:firstLineChars="0"/>
        <w:jc w:val="left"/>
        <w:rPr>
          <w:rFonts w:ascii="黑体" w:hAnsi="Times New Roman" w:eastAsia="黑体"/>
          <w:b w:val="0"/>
          <w:bCs/>
          <w:color w:val="000000"/>
          <w:sz w:val="30"/>
          <w:szCs w:val="30"/>
        </w:rPr>
      </w:pPr>
      <w:r>
        <w:rPr>
          <w:rFonts w:hint="eastAsia" w:ascii="黑体" w:hAnsi="Times New Roman" w:eastAsia="黑体"/>
          <w:b w:val="0"/>
          <w:bCs/>
          <w:color w:val="000000"/>
          <w:sz w:val="30"/>
          <w:szCs w:val="30"/>
        </w:rPr>
        <w:t>项目名称：2024年选聘教师工资补助经费</w:t>
      </w:r>
    </w:p>
    <w:p w14:paraId="31BB73BF">
      <w:pPr>
        <w:spacing w:line="360" w:lineRule="auto"/>
        <w:ind w:firstLine="0" w:firstLineChars="0"/>
        <w:jc w:val="left"/>
        <w:rPr>
          <w:rFonts w:hint="eastAsia"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实施单位：</w:t>
      </w:r>
      <w:r>
        <w:rPr>
          <w:rFonts w:hint="eastAsia" w:ascii="黑体" w:hAnsi="Times New Roman" w:eastAsia="黑体"/>
          <w:b w:val="0"/>
          <w:bCs/>
          <w:color w:val="000000"/>
          <w:sz w:val="30"/>
          <w:szCs w:val="30"/>
          <w:lang w:eastAsia="zh-CN"/>
        </w:rPr>
        <w:t>阜康市滋泥泉子镇中心幼儿园</w:t>
      </w:r>
    </w:p>
    <w:p w14:paraId="6C569697">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rPr>
        <w:t>主管部门：</w:t>
      </w:r>
      <w:r>
        <w:rPr>
          <w:rFonts w:hint="eastAsia" w:ascii="黑体" w:hAnsi="Times New Roman" w:eastAsia="黑体"/>
          <w:b w:val="0"/>
          <w:bCs/>
          <w:color w:val="000000"/>
          <w:sz w:val="30"/>
          <w:szCs w:val="30"/>
          <w:lang w:eastAsia="zh-CN"/>
        </w:rPr>
        <w:t>阜康市财政局</w:t>
      </w:r>
    </w:p>
    <w:p w14:paraId="78229B42">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lang w:eastAsia="zh-CN"/>
        </w:rPr>
        <w:t>项目负责人：李欢</w:t>
      </w:r>
    </w:p>
    <w:p w14:paraId="4EADCA47">
      <w:pPr>
        <w:spacing w:line="360" w:lineRule="auto"/>
        <w:ind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2025年3月31日</w:t>
      </w:r>
    </w:p>
    <w:p w14:paraId="52A4832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10F5DB62">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4D2937F7">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5BB538A5">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pPr>
          <w:r>
            <w:rPr>
              <w:rFonts w:ascii="宋体" w:hAnsi="宋体" w:eastAsia="宋体"/>
              <w:b/>
              <w:bCs/>
              <w:sz w:val="40"/>
              <w:szCs w:val="40"/>
            </w:rPr>
            <w:t>目录</w:t>
          </w: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05BD42F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w:t>
          </w:r>
          <w:r>
            <w:rPr>
              <w:rFonts w:hint="eastAsia" w:ascii="黑体" w:hAnsi="黑体" w:eastAsia="黑体" w:cs="黑体"/>
              <w:bCs w:val="0"/>
              <w:highlight w:val="none"/>
              <w:shd w:val="clear" w:color="auto" w:fill="auto"/>
              <w:lang w:eastAsia="zh-CN"/>
            </w:rPr>
            <w:t>本</w:t>
          </w:r>
          <w:r>
            <w:rPr>
              <w:rFonts w:hint="eastAsia" w:ascii="黑体" w:hAnsi="黑体" w:eastAsia="黑体" w:cs="黑体"/>
              <w:bCs w:val="0"/>
              <w:highlight w:val="none"/>
              <w:shd w:val="clear" w:color="auto" w:fill="auto"/>
            </w:rPr>
            <w:t>情况</w:t>
          </w:r>
          <w:r>
            <w:tab/>
          </w:r>
          <w:r>
            <w:fldChar w:fldCharType="begin"/>
          </w:r>
          <w:r>
            <w:instrText xml:space="preserve"> PAGEREF _Toc18485 \h </w:instrText>
          </w:r>
          <w:r>
            <w:fldChar w:fldCharType="separate"/>
          </w:r>
          <w:r>
            <w:t>4</w:t>
          </w:r>
          <w:r>
            <w:fldChar w:fldCharType="end"/>
          </w:r>
          <w:r>
            <w:rPr>
              <w:rFonts w:hint="eastAsia"/>
              <w:szCs w:val="28"/>
              <w:lang w:val="en-US" w:eastAsia="zh-CN"/>
            </w:rPr>
            <w:fldChar w:fldCharType="end"/>
          </w:r>
        </w:p>
        <w:p w14:paraId="1F778AB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4</w:t>
          </w:r>
          <w:r>
            <w:fldChar w:fldCharType="end"/>
          </w:r>
          <w:r>
            <w:rPr>
              <w:rFonts w:hint="eastAsia"/>
              <w:szCs w:val="28"/>
              <w:lang w:val="en-US" w:eastAsia="zh-CN"/>
            </w:rPr>
            <w:fldChar w:fldCharType="end"/>
          </w:r>
        </w:p>
        <w:p w14:paraId="06DF3888">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5</w:t>
          </w:r>
          <w:r>
            <w:fldChar w:fldCharType="end"/>
          </w:r>
          <w:r>
            <w:rPr>
              <w:rFonts w:hint="eastAsia"/>
              <w:szCs w:val="28"/>
              <w:lang w:val="en-US" w:eastAsia="zh-CN"/>
            </w:rPr>
            <w:fldChar w:fldCharType="end"/>
          </w:r>
        </w:p>
        <w:p w14:paraId="2928F762">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1E8F081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7</w:t>
          </w:r>
          <w:r>
            <w:fldChar w:fldCharType="end"/>
          </w:r>
          <w:r>
            <w:rPr>
              <w:rFonts w:hint="eastAsia"/>
              <w:szCs w:val="28"/>
              <w:lang w:val="en-US" w:eastAsia="zh-CN"/>
            </w:rPr>
            <w:fldChar w:fldCharType="end"/>
          </w:r>
        </w:p>
        <w:p w14:paraId="1EEE0D5F">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11</w:t>
          </w:r>
          <w:r>
            <w:fldChar w:fldCharType="end"/>
          </w:r>
          <w:r>
            <w:rPr>
              <w:rFonts w:hint="eastAsia"/>
              <w:szCs w:val="28"/>
              <w:lang w:val="en-US" w:eastAsia="zh-CN"/>
            </w:rPr>
            <w:fldChar w:fldCharType="end"/>
          </w:r>
        </w:p>
        <w:p w14:paraId="7D8FAB1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14</w:t>
          </w:r>
          <w:r>
            <w:fldChar w:fldCharType="end"/>
          </w:r>
          <w:r>
            <w:rPr>
              <w:rFonts w:hint="eastAsia"/>
              <w:szCs w:val="28"/>
              <w:lang w:val="en-US" w:eastAsia="zh-CN"/>
            </w:rPr>
            <w:fldChar w:fldCharType="end"/>
          </w:r>
        </w:p>
        <w:p w14:paraId="7FC5D42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16</w:t>
          </w:r>
          <w:r>
            <w:fldChar w:fldCharType="end"/>
          </w:r>
          <w:r>
            <w:rPr>
              <w:rFonts w:hint="eastAsia"/>
              <w:szCs w:val="28"/>
              <w:lang w:val="en-US" w:eastAsia="zh-CN"/>
            </w:rPr>
            <w:fldChar w:fldCharType="end"/>
          </w:r>
        </w:p>
        <w:p w14:paraId="2AB85300">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16</w:t>
          </w:r>
          <w:r>
            <w:fldChar w:fldCharType="end"/>
          </w:r>
          <w:r>
            <w:rPr>
              <w:rFonts w:hint="eastAsia"/>
              <w:szCs w:val="28"/>
              <w:lang w:val="en-US" w:eastAsia="zh-CN"/>
            </w:rPr>
            <w:fldChar w:fldCharType="end"/>
          </w:r>
        </w:p>
        <w:p w14:paraId="3048039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16</w:t>
          </w:r>
          <w:r>
            <w:fldChar w:fldCharType="end"/>
          </w:r>
          <w:r>
            <w:rPr>
              <w:rFonts w:hint="eastAsia"/>
              <w:szCs w:val="28"/>
              <w:lang w:val="en-US" w:eastAsia="zh-CN"/>
            </w:rPr>
            <w:fldChar w:fldCharType="end"/>
          </w:r>
        </w:p>
        <w:p w14:paraId="3D7EE4E5">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17</w:t>
          </w:r>
          <w:r>
            <w:fldChar w:fldCharType="end"/>
          </w:r>
          <w:r>
            <w:rPr>
              <w:rFonts w:hint="eastAsia"/>
              <w:szCs w:val="28"/>
              <w:lang w:val="en-US" w:eastAsia="zh-CN"/>
            </w:rPr>
            <w:fldChar w:fldCharType="end"/>
          </w:r>
        </w:p>
        <w:p w14:paraId="3719E114">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17</w:t>
          </w:r>
          <w:r>
            <w:fldChar w:fldCharType="end"/>
          </w:r>
          <w:r>
            <w:rPr>
              <w:rFonts w:hint="eastAsia"/>
              <w:szCs w:val="28"/>
              <w:lang w:val="en-US" w:eastAsia="zh-CN"/>
            </w:rPr>
            <w:fldChar w:fldCharType="end"/>
          </w:r>
        </w:p>
        <w:p w14:paraId="2CD9B44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20</w:t>
          </w:r>
          <w:r>
            <w:fldChar w:fldCharType="end"/>
          </w:r>
          <w:r>
            <w:rPr>
              <w:rFonts w:hint="eastAsia"/>
              <w:szCs w:val="28"/>
              <w:lang w:val="en-US" w:eastAsia="zh-CN"/>
            </w:rPr>
            <w:fldChar w:fldCharType="end"/>
          </w:r>
        </w:p>
        <w:p w14:paraId="14A4E98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22</w:t>
          </w:r>
          <w:r>
            <w:fldChar w:fldCharType="end"/>
          </w:r>
          <w:r>
            <w:rPr>
              <w:rFonts w:hint="eastAsia"/>
              <w:szCs w:val="28"/>
              <w:lang w:val="en-US" w:eastAsia="zh-CN"/>
            </w:rPr>
            <w:fldChar w:fldCharType="end"/>
          </w:r>
        </w:p>
        <w:p w14:paraId="0547AC0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24</w:t>
          </w:r>
          <w:r>
            <w:fldChar w:fldCharType="end"/>
          </w:r>
          <w:r>
            <w:rPr>
              <w:rFonts w:hint="eastAsia"/>
              <w:szCs w:val="28"/>
              <w:lang w:val="en-US" w:eastAsia="zh-CN"/>
            </w:rPr>
            <w:fldChar w:fldCharType="end"/>
          </w:r>
        </w:p>
        <w:p w14:paraId="5B16FA2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（五）满意度指标完成情况分析</w:t>
          </w:r>
          <w:r>
            <w:tab/>
          </w:r>
          <w:r>
            <w:fldChar w:fldCharType="begin"/>
          </w:r>
          <w:r>
            <w:instrText xml:space="preserve"> PAGEREF _Toc23313 \h </w:instrText>
          </w:r>
          <w:r>
            <w:fldChar w:fldCharType="separate"/>
          </w:r>
          <w:r>
            <w:t>25</w:t>
          </w:r>
          <w:r>
            <w:fldChar w:fldCharType="end"/>
          </w:r>
          <w:r>
            <w:rPr>
              <w:rFonts w:hint="eastAsia"/>
              <w:szCs w:val="28"/>
              <w:lang w:val="en-US" w:eastAsia="zh-CN"/>
            </w:rPr>
            <w:fldChar w:fldCharType="end"/>
          </w:r>
        </w:p>
        <w:p w14:paraId="2A347867">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B822D9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25</w:t>
          </w:r>
          <w:r>
            <w:fldChar w:fldCharType="end"/>
          </w:r>
          <w:r>
            <w:rPr>
              <w:rFonts w:hint="eastAsia"/>
              <w:szCs w:val="28"/>
              <w:lang w:val="en-US" w:eastAsia="zh-CN"/>
            </w:rPr>
            <w:fldChar w:fldCharType="end"/>
          </w:r>
        </w:p>
        <w:p w14:paraId="7D6BD4F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26</w:t>
          </w:r>
          <w:r>
            <w:fldChar w:fldCharType="end"/>
          </w:r>
          <w:r>
            <w:rPr>
              <w:rFonts w:hint="eastAsia"/>
              <w:szCs w:val="28"/>
              <w:lang w:val="en-US" w:eastAsia="zh-CN"/>
            </w:rPr>
            <w:fldChar w:fldCharType="end"/>
          </w:r>
        </w:p>
        <w:p w14:paraId="7AD4C9EC">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2EF67ED">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0C683855">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71221E5">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30</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14447703">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sdtContent>
    </w:sdt>
    <w:p w14:paraId="30524D2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bookmarkStart w:id="4" w:name="OLE_LINK2"/>
      <w:bookmarkStart w:id="5" w:name="_Toc22946"/>
      <w:bookmarkStart w:id="6" w:name="_Toc20432"/>
      <w:bookmarkStart w:id="7" w:name="_Toc3663"/>
      <w:bookmarkStart w:id="8" w:name="_Toc1194"/>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2024年选聘教师工资补助经费项目支出</w:t>
      </w:r>
      <w:bookmarkEnd w:id="4"/>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绩效</w:t>
      </w:r>
    </w:p>
    <w:p w14:paraId="57CBB2A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评价报告</w:t>
      </w:r>
      <w:bookmarkEnd w:id="5"/>
      <w:bookmarkEnd w:id="6"/>
      <w:bookmarkEnd w:id="7"/>
      <w:bookmarkEnd w:id="8"/>
    </w:p>
    <w:p w14:paraId="679D6491">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9"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9"/>
    </w:p>
    <w:p w14:paraId="6F53521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 w:name="_Toc23184"/>
      <w:r>
        <w:rPr>
          <w:rFonts w:hint="eastAsia" w:ascii="Times New Roman" w:hAnsi="Times New Roman" w:eastAsia="楷体_GB2312" w:cs="Times New Roman"/>
          <w:kern w:val="28"/>
          <w:sz w:val="32"/>
          <w:lang w:val="en-US" w:eastAsia="zh-CN"/>
        </w:rPr>
        <w:t>（一）项目概况</w:t>
      </w:r>
      <w:bookmarkEnd w:id="10"/>
    </w:p>
    <w:p w14:paraId="64F504FD">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1" w:name="_Toc5043"/>
      <w:bookmarkStart w:id="12" w:name="_Toc10645"/>
      <w:bookmarkStart w:id="13" w:name="_Toc29812"/>
      <w:bookmarkStart w:id="14" w:name="_Toc22346"/>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1"/>
      <w:bookmarkEnd w:id="12"/>
      <w:bookmarkEnd w:id="13"/>
      <w:bookmarkEnd w:id="14"/>
    </w:p>
    <w:p w14:paraId="0AAAB845">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结合</w:t>
      </w:r>
      <w:r>
        <w:rPr>
          <w:rFonts w:hint="eastAsia" w:ascii="仿宋_GB2312" w:hAnsi="仿宋_GB2312" w:eastAsia="仿宋_GB2312" w:cs="仿宋_GB2312"/>
          <w:sz w:val="32"/>
          <w:szCs w:val="32"/>
        </w:rPr>
        <w:t>当前学前教育发展实践背景，根据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中华人民共和国学前教育法》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明确学前教育公益普惠属性，要求公办园教师工资纳入财政保障，</w:t>
      </w:r>
      <w:r>
        <w:rPr>
          <w:rFonts w:hint="eastAsia" w:ascii="仿宋_GB2312" w:hAnsi="仿宋_GB2312" w:eastAsia="仿宋_GB2312" w:cs="仿宋_GB2312"/>
          <w:sz w:val="32"/>
          <w:szCs w:val="32"/>
          <w:lang w:val="en-US" w:eastAsia="zh-CN"/>
        </w:rPr>
        <w:t>保障幼儿园教师工资福利、依法缴纳社会保险，</w:t>
      </w:r>
      <w:r>
        <w:rPr>
          <w:rFonts w:hint="eastAsia" w:ascii="仿宋_GB2312" w:hAnsi="仿宋_GB2312" w:eastAsia="仿宋_GB2312" w:cs="仿宋_GB2312"/>
          <w:sz w:val="32"/>
          <w:szCs w:val="32"/>
        </w:rPr>
        <w:t>同时强调非编教师的合法权益保障</w:t>
      </w:r>
      <w:r>
        <w:rPr>
          <w:rFonts w:hint="eastAsia" w:ascii="仿宋_GB2312" w:hAnsi="仿宋_GB2312" w:eastAsia="仿宋_GB2312" w:cs="仿宋_GB2312"/>
          <w:sz w:val="32"/>
          <w:szCs w:val="32"/>
          <w:lang w:eastAsia="zh-CN"/>
        </w:rPr>
        <w:t>。随着</w:t>
      </w:r>
      <w:r>
        <w:rPr>
          <w:rFonts w:hint="eastAsia" w:ascii="仿宋_GB2312" w:hAnsi="仿宋_GB2312" w:eastAsia="仿宋_GB2312" w:cs="仿宋_GB2312"/>
          <w:sz w:val="32"/>
          <w:szCs w:val="32"/>
          <w:lang w:val="en-US" w:eastAsia="zh-CN"/>
        </w:rPr>
        <w:t>学前教育蓬勃发展，在园幼儿数量持续上升，现有编制内教师难以满足教学需求，师资力量不足的问题愈发突出。并且因待遇差距导致选聘教师流动性大，严重影响教学稳定性和教育质量。为解决这些问题，特设立 2024 年选聘教师工资补助经费。</w:t>
      </w:r>
    </w:p>
    <w:p w14:paraId="7B94D0DD">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5" w:name="_Toc17880"/>
      <w:bookmarkStart w:id="16" w:name="_Toc10730"/>
      <w:bookmarkStart w:id="17" w:name="_Toc1630"/>
      <w:bookmarkStart w:id="18" w:name="_Toc27343"/>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5"/>
      <w:bookmarkEnd w:id="16"/>
      <w:bookmarkEnd w:id="17"/>
      <w:bookmarkEnd w:id="18"/>
    </w:p>
    <w:p w14:paraId="476778D3">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19" w:name="_Toc27409"/>
      <w:bookmarkStart w:id="20" w:name="_Toc21898"/>
      <w:bookmarkStart w:id="21" w:name="_Toc27245"/>
      <w:bookmarkStart w:id="22" w:name="_Toc16592"/>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9"/>
      <w:bookmarkEnd w:id="20"/>
      <w:bookmarkEnd w:id="21"/>
      <w:bookmarkEnd w:id="22"/>
    </w:p>
    <w:p w14:paraId="325EE243">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①招聘标准规范化：明确招聘条件，面向社会公开选聘优秀幼儿园教师，要求应聘者具备学前教育专业背景、相应教师资格证书，并优先考虑学前教育专业或有经验的教师。</w:t>
      </w:r>
    </w:p>
    <w:p w14:paraId="0CAE188F">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薪酬与福利保障：根据当地教师工资水平和市场行情，制定合理的工资标准。为选聘教师按时、足额发放工资，包含基本工资、工龄工资等，确保教师待遇具有竞争力。同时，依法为教师缴纳社会保险和住房公积金，保障其合法权益。</w:t>
      </w:r>
    </w:p>
    <w:p w14:paraId="313792E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③师资培训与职业发展：给予选聘教师同等培训条件，实施幼儿教师分类培训，新教师岗前培训全覆盖，鼓励其参与幼儿园教师职称评聘。</w:t>
      </w:r>
    </w:p>
    <w:p w14:paraId="6808005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sz w:val="32"/>
          <w:szCs w:val="32"/>
          <w:lang w:val="en-US" w:eastAsia="zh-CN"/>
        </w:rPr>
        <w:t>本项目自2024年2月1日经</w:t>
      </w:r>
      <w:bookmarkStart w:id="23" w:name="OLE_LINK14"/>
      <w:r>
        <w:rPr>
          <w:rFonts w:hint="eastAsia" w:ascii="仿宋_GB2312" w:hAnsi="仿宋_GB2312" w:eastAsia="仿宋_GB2312" w:cs="仿宋_GB2312"/>
          <w:sz w:val="32"/>
          <w:szCs w:val="32"/>
          <w:lang w:val="en-US" w:eastAsia="zh-CN"/>
        </w:rPr>
        <w:t>《阜康市财政局关于2024年部门预算批复》【阜财预字（2024）7号】</w:t>
      </w:r>
      <w:bookmarkEnd w:id="23"/>
      <w:r>
        <w:rPr>
          <w:rFonts w:hint="eastAsia" w:ascii="仿宋_GB2312" w:hAnsi="仿宋_GB2312" w:eastAsia="仿宋_GB2312" w:cs="仿宋_GB2312"/>
          <w:sz w:val="32"/>
          <w:szCs w:val="32"/>
          <w:lang w:val="en-US" w:eastAsia="zh-CN"/>
        </w:rPr>
        <w:t>文件批复，经阜康市滋泥泉子镇中心幼儿园财经会议和党支部会议，确定了项目领导小组，明确了责任分工：组长为李欢，副组长为郑杰、马圆丽，项目负责人为张倩楠,组员为王娟娟、杜凤媚、王梦瑶，其中：杜凤媚、王梦瑶负责监管工作，王娟娟负责项目档案资料，张倩楠负责资金拨付工作。</w:t>
      </w:r>
    </w:p>
    <w:p w14:paraId="51E9D73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lang w:val="en-US" w:eastAsia="zh-CN"/>
        </w:rPr>
        <w:t>截至2024年12月31日，本项目按每人每月0.47万元的标准，完成10名选聘教师工资发放12次，共支付56.17万元。项目实施达到保障教师的正常工资待遇，提高教师的归属感，减少教师队伍人员流失，有效改善教学环境，提供良好的幼儿成长条件。</w:t>
      </w:r>
    </w:p>
    <w:p w14:paraId="0198057A">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24" w:name="_Toc1858"/>
      <w:bookmarkStart w:id="25" w:name="_Toc569"/>
      <w:bookmarkStart w:id="26" w:name="_Toc12348"/>
      <w:bookmarkStart w:id="27" w:name="_Toc1024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4"/>
      <w:bookmarkEnd w:id="25"/>
      <w:bookmarkEnd w:id="26"/>
      <w:bookmarkEnd w:id="27"/>
    </w:p>
    <w:p w14:paraId="70C55E4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8" w:name="_Toc23509"/>
      <w:bookmarkStart w:id="29" w:name="_Toc694"/>
      <w:bookmarkStart w:id="30" w:name="_Toc26369"/>
      <w:r>
        <w:rPr>
          <w:rFonts w:hint="eastAsia" w:ascii="仿宋_GB2312" w:hAnsi="仿宋_GB2312" w:eastAsia="仿宋_GB2312" w:cs="仿宋_GB2312"/>
          <w:sz w:val="32"/>
          <w:szCs w:val="32"/>
          <w:highlight w:val="none"/>
          <w:lang w:val="en-US" w:eastAsia="zh-CN"/>
        </w:rPr>
        <w:t>（1）资金投入情况</w:t>
      </w:r>
      <w:bookmarkEnd w:id="28"/>
      <w:bookmarkEnd w:id="29"/>
      <w:bookmarkEnd w:id="30"/>
    </w:p>
    <w:p w14:paraId="6A58AE1F">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31" w:name="_Toc5573"/>
      <w:bookmarkStart w:id="32" w:name="_Toc29190"/>
      <w:bookmarkStart w:id="33" w:name="_Toc9464"/>
      <w:r>
        <w:rPr>
          <w:rFonts w:hint="eastAsia" w:ascii="仿宋_GB2312" w:hAnsi="仿宋_GB2312" w:eastAsia="仿宋_GB2312" w:cs="仿宋_GB2312"/>
          <w:sz w:val="32"/>
          <w:szCs w:val="32"/>
          <w:highlight w:val="none"/>
          <w:lang w:val="en-US" w:eastAsia="zh-CN"/>
        </w:rPr>
        <w:t>该项目年初预算数</w:t>
      </w:r>
      <w:bookmarkStart w:id="34" w:name="OLE_LINK1"/>
      <w:r>
        <w:rPr>
          <w:rFonts w:hint="eastAsia" w:ascii="仿宋_GB2312" w:hAnsi="仿宋_GB2312" w:eastAsia="仿宋_GB2312" w:cs="仿宋_GB2312"/>
          <w:sz w:val="32"/>
          <w:szCs w:val="32"/>
          <w:highlight w:val="none"/>
          <w:lang w:val="en-US" w:eastAsia="zh-CN"/>
        </w:rPr>
        <w:t>61.</w:t>
      </w:r>
      <w:bookmarkEnd w:id="34"/>
      <w:r>
        <w:rPr>
          <w:rFonts w:hint="eastAsia" w:ascii="仿宋_GB2312" w:hAnsi="仿宋_GB2312" w:eastAsia="仿宋_GB2312" w:cs="仿宋_GB2312"/>
          <w:sz w:val="32"/>
          <w:szCs w:val="32"/>
          <w:highlight w:val="none"/>
          <w:lang w:val="en-US" w:eastAsia="zh-CN"/>
        </w:rPr>
        <w:t>84万元，全年预算数61.02万元该项目资金已全部落实到位，资金来源为财政拨款。</w:t>
      </w:r>
      <w:bookmarkEnd w:id="31"/>
      <w:bookmarkEnd w:id="32"/>
      <w:bookmarkEnd w:id="33"/>
      <w:bookmarkStart w:id="35" w:name="_Toc3409"/>
      <w:bookmarkStart w:id="36" w:name="_Toc1166"/>
      <w:bookmarkStart w:id="37" w:name="_Toc28187"/>
    </w:p>
    <w:p w14:paraId="6FCB93AB">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bookmarkEnd w:id="35"/>
      <w:bookmarkEnd w:id="36"/>
      <w:bookmarkEnd w:id="37"/>
    </w:p>
    <w:p w14:paraId="64EE2B0C">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38" w:name="_Toc1430"/>
      <w:bookmarkStart w:id="39" w:name="_Toc11647"/>
      <w:bookmarkStart w:id="40" w:name="_Toc29121"/>
      <w:r>
        <w:rPr>
          <w:rFonts w:hint="eastAsia" w:ascii="仿宋_GB2312" w:hAnsi="仿宋_GB2312" w:eastAsia="仿宋_GB2312" w:cs="仿宋_GB2312"/>
          <w:sz w:val="32"/>
          <w:szCs w:val="32"/>
          <w:highlight w:val="none"/>
          <w:lang w:val="en-US" w:eastAsia="zh-CN"/>
        </w:rPr>
        <w:t>该项目年初预算数61.84万元，全年预算数61.02万元，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sz w:val="32"/>
          <w:szCs w:val="32"/>
          <w:highlight w:val="none"/>
          <w:lang w:val="en-US" w:eastAsia="zh-CN"/>
        </w:rPr>
        <w:t>全年执行数56.17万元，预算执行</w:t>
      </w:r>
      <w:r>
        <w:rPr>
          <w:rFonts w:hint="eastAsia" w:ascii="仿宋_GB2312" w:hAnsi="仿宋_GB2312" w:eastAsia="仿宋_GB2312" w:cs="仿宋_GB2312"/>
          <w:color w:val="auto"/>
          <w:sz w:val="32"/>
          <w:szCs w:val="32"/>
          <w:highlight w:val="none"/>
          <w:shd w:val="clear" w:color="auto" w:fill="auto"/>
          <w:lang w:val="en-US" w:eastAsia="zh-CN"/>
        </w:rPr>
        <w:t>率为92.05%，主要用于：</w:t>
      </w:r>
      <w:r>
        <w:rPr>
          <w:rFonts w:hint="eastAsia" w:ascii="仿宋_GB2312" w:hAnsi="仿宋_GB2312" w:eastAsia="仿宋_GB2312" w:cs="仿宋_GB2312"/>
          <w:color w:val="auto"/>
          <w:sz w:val="32"/>
          <w:szCs w:val="32"/>
          <w:highlight w:val="none"/>
          <w:lang w:val="en-US" w:eastAsia="zh-CN"/>
        </w:rPr>
        <w:t>选聘教师工资发放、社保缴纳</w:t>
      </w:r>
      <w:r>
        <w:rPr>
          <w:rFonts w:hint="eastAsia" w:ascii="仿宋_GB2312" w:hAnsi="仿宋_GB2312" w:eastAsia="仿宋_GB2312" w:cs="仿宋_GB2312"/>
          <w:sz w:val="32"/>
          <w:szCs w:val="32"/>
          <w:highlight w:val="none"/>
          <w:lang w:val="en-US" w:eastAsia="zh-CN"/>
        </w:rPr>
        <w:t>。</w:t>
      </w:r>
      <w:bookmarkEnd w:id="38"/>
      <w:bookmarkEnd w:id="39"/>
      <w:bookmarkEnd w:id="40"/>
    </w:p>
    <w:p w14:paraId="72594A8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1" w:name="_Toc9109"/>
      <w:r>
        <w:rPr>
          <w:rFonts w:hint="eastAsia" w:ascii="Times New Roman" w:hAnsi="Times New Roman" w:eastAsia="楷体_GB2312" w:cs="Times New Roman"/>
          <w:kern w:val="28"/>
          <w:sz w:val="32"/>
          <w:lang w:val="en-US" w:eastAsia="zh-CN"/>
        </w:rPr>
        <w:t>（二）项目绩效目标</w:t>
      </w:r>
      <w:bookmarkEnd w:id="41"/>
    </w:p>
    <w:p w14:paraId="0E591829">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2" w:name="_Toc10047"/>
      <w:bookmarkStart w:id="43" w:name="_Toc8528"/>
      <w:bookmarkStart w:id="44" w:name="_Toc14758"/>
      <w:bookmarkStart w:id="45" w:name="_Toc254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42"/>
      <w:bookmarkEnd w:id="43"/>
      <w:bookmarkEnd w:id="44"/>
      <w:bookmarkEnd w:id="45"/>
    </w:p>
    <w:p w14:paraId="1735351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FF0000"/>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绩效总体目标为：保障2024年幼儿园正常运转，维持幼儿园正常教学秩序。计划全年按时支付选聘教师10人12次工资补助经费，每人每年5.62万元。通过按时发放选聘教师工资，保障教师的正常工资待遇，提高教师的归属感，减少教师队伍人员流失，有效改善教学环境，提供良好的幼儿成长条件，达到幼儿园正常运转的目的。</w:t>
      </w:r>
    </w:p>
    <w:p w14:paraId="1E2B405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6" w:name="_Toc4487"/>
      <w:bookmarkStart w:id="47" w:name="_Toc3255"/>
      <w:bookmarkStart w:id="48" w:name="_Toc8990"/>
      <w:bookmarkStart w:id="49" w:name="_Toc400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6"/>
      <w:bookmarkEnd w:id="47"/>
      <w:bookmarkEnd w:id="48"/>
      <w:bookmarkEnd w:id="49"/>
    </w:p>
    <w:p w14:paraId="51769C8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03BF03F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1D5B642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①数量指标</w:t>
      </w:r>
    </w:p>
    <w:p w14:paraId="4802823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选聘教师人数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指标，预期目标值为≧10人；</w:t>
      </w:r>
    </w:p>
    <w:p w14:paraId="52BFC4C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工资支付次数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指标，预期目标值为=12次；</w:t>
      </w:r>
    </w:p>
    <w:p w14:paraId="0D8738F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②质量指标</w:t>
      </w:r>
    </w:p>
    <w:p w14:paraId="49FCCB6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人员经费享受比例</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586505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③时效指标</w:t>
      </w:r>
    </w:p>
    <w:p w14:paraId="3266425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“选聘教师工资发放时间”指标，预期目标值为=1次/月；</w:t>
      </w:r>
    </w:p>
    <w:p w14:paraId="40F0017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（2）成本指标</w:t>
      </w:r>
    </w:p>
    <w:p w14:paraId="5D9954B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人员经费标准</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指标，预期目标值为=5.62万元/人/学年；</w:t>
      </w:r>
    </w:p>
    <w:p w14:paraId="137AC08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）项目效益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628D7FA9">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0" w:name="_Toc26567"/>
      <w:r>
        <w:rPr>
          <w:rFonts w:hint="eastAsia" w:ascii="仿宋_GB2312" w:hAnsi="仿宋_GB2312" w:eastAsia="仿宋_GB2312" w:cs="仿宋_GB2312"/>
          <w:color w:val="auto"/>
          <w:sz w:val="32"/>
          <w:szCs w:val="32"/>
          <w:highlight w:val="none"/>
          <w:shd w:val="clear" w:color="auto" w:fill="auto"/>
          <w:lang w:val="en-US" w:eastAsia="zh-CN"/>
        </w:rPr>
        <w:t>①社会效益指标</w:t>
      </w:r>
    </w:p>
    <w:p w14:paraId="2D03C3A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学校正常运转率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66B2F42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改善教学环境，提供良好的学生成长条件</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指标，预期目标值为改善。</w:t>
      </w:r>
    </w:p>
    <w:p w14:paraId="25DB61DF">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50"/>
    </w:p>
    <w:p w14:paraId="25CEDBA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51" w:name="_Toc480473081"/>
      <w:bookmarkStart w:id="52" w:name="_Toc5258"/>
      <w:bookmarkStart w:id="53" w:name="_Toc5462343"/>
      <w:bookmarkStart w:id="54" w:name="_Toc21664"/>
      <w:bookmarkStart w:id="55" w:name="_Toc22922"/>
      <w:bookmarkStart w:id="56" w:name="_Toc12868"/>
      <w:bookmarkStart w:id="57" w:name="_Toc22169_WPSOffice_Level2"/>
      <w:bookmarkStart w:id="58" w:name="_Toc26632"/>
      <w:bookmarkStart w:id="59" w:name="_Toc22839"/>
      <w:r>
        <w:rPr>
          <w:rFonts w:hint="eastAsia" w:ascii="Times New Roman" w:hAnsi="Times New Roman" w:eastAsia="楷体_GB2312" w:cs="Times New Roman"/>
          <w:kern w:val="28"/>
          <w:sz w:val="32"/>
          <w:lang w:val="en-US" w:eastAsia="zh-CN"/>
        </w:rPr>
        <w:t>（一）绩效评价的目的</w:t>
      </w:r>
      <w:bookmarkEnd w:id="51"/>
      <w:bookmarkEnd w:id="52"/>
      <w:bookmarkEnd w:id="53"/>
      <w:bookmarkEnd w:id="54"/>
      <w:bookmarkEnd w:id="55"/>
      <w:bookmarkEnd w:id="56"/>
      <w:bookmarkEnd w:id="57"/>
      <w:bookmarkEnd w:id="58"/>
      <w:r>
        <w:rPr>
          <w:rFonts w:hint="eastAsia" w:ascii="Times New Roman" w:hAnsi="Times New Roman" w:eastAsia="楷体_GB2312" w:cs="Times New Roman"/>
          <w:kern w:val="28"/>
          <w:sz w:val="32"/>
          <w:lang w:val="en-US" w:eastAsia="zh-CN"/>
        </w:rPr>
        <w:t>、对象和范围</w:t>
      </w:r>
      <w:bookmarkEnd w:id="59"/>
    </w:p>
    <w:p w14:paraId="2134611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60"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02FAA52F">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6E0EBDD">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w:t>
      </w:r>
      <w:r>
        <w:rPr>
          <w:rFonts w:hint="default" w:ascii="Times New Roman" w:hAnsi="Times New Roman" w:eastAsia="仿宋_GB2312" w:cs="Times New Roman"/>
          <w:color w:val="auto"/>
          <w:sz w:val="32"/>
          <w:szCs w:val="32"/>
          <w:highlight w:val="none"/>
          <w:lang w:val="en-US" w:eastAsia="zh-CN"/>
        </w:rPr>
        <w:t>选取了具有代表性和可衡量性的关键指标，涵盖了社会效益维度，力求全方位反映项目的绩效状况。</w:t>
      </w:r>
      <w:r>
        <w:rPr>
          <w:rFonts w:hint="default" w:ascii="Times New Roman" w:hAnsi="Times New Roman" w:eastAsia="仿宋_GB2312" w:cs="Times New Roman"/>
          <w:sz w:val="32"/>
          <w:szCs w:val="32"/>
          <w:highlight w:val="none"/>
          <w:lang w:val="en-US" w:eastAsia="zh-CN"/>
        </w:rPr>
        <w:t>同时，对于每个指标的评价标准和数据来源均进行了明确说明，确保评价结果的客观性和可追溯性。</w:t>
      </w:r>
    </w:p>
    <w:p w14:paraId="251CDEA2">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B2A22CC">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4650DC2">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2B5628EC">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_Toc417"/>
      <w:bookmarkStart w:id="62" w:name="_Toc21770"/>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60"/>
      <w:bookmarkEnd w:id="61"/>
      <w:bookmarkEnd w:id="62"/>
    </w:p>
    <w:p w14:paraId="41E6034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0EF681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3" w:name="_Toc30609"/>
      <w:r>
        <w:rPr>
          <w:rFonts w:hint="default" w:ascii="Times New Roman" w:hAnsi="Times New Roman" w:eastAsia="仿宋_GB2312" w:cs="Times New Roman"/>
          <w:sz w:val="32"/>
          <w:szCs w:val="32"/>
          <w:highlight w:val="none"/>
        </w:rPr>
        <w:t>（1）评估项目实施效果</w:t>
      </w:r>
    </w:p>
    <w:p w14:paraId="63BD6E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299F2A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302865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791DF7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69892E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2EC64F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5B4CC1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5EEB52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5A4D9A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46998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682EF217">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4" w:name="_Toc16346"/>
      <w:bookmarkStart w:id="65" w:name="_Toc31970"/>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3"/>
      <w:bookmarkEnd w:id="64"/>
      <w:bookmarkEnd w:id="65"/>
    </w:p>
    <w:p w14:paraId="11307E6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6" w:name="_Toc11666"/>
      <w:bookmarkStart w:id="67" w:name="_Toc21311"/>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w:t>
      </w:r>
      <w:bookmarkStart w:id="68" w:name="OLE_LINK5"/>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bookmarkEnd w:id="68"/>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3045184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阜康市滋泥泉子镇中心幼儿园</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保障教师的正常工资待遇，提高教师的归属感，减少教师队伍人员流失，有效改善教学环境，提供良好的幼儿成长条件</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2024年2月1日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56.17</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39515204">
      <w:pPr>
        <w:pStyle w:val="5"/>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6"/>
      <w:bookmarkEnd w:id="67"/>
    </w:p>
    <w:p w14:paraId="0F9388B1">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09CE55CE">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5F44005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59BC4445">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16620D5F">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社会影响：考察项目对社会方面的综合影响。</w:t>
      </w:r>
    </w:p>
    <w:p w14:paraId="04CCA08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9" w:name="_Toc29785"/>
      <w:bookmarkStart w:id="70" w:name="_Toc1286"/>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9"/>
      <w:bookmarkEnd w:id="70"/>
    </w:p>
    <w:p w14:paraId="5ABE7F3A">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71" w:name="_Toc13694"/>
      <w:bookmarkStart w:id="72" w:name="_Toc24506"/>
      <w:bookmarkStart w:id="73" w:name="_Toc5354"/>
      <w:r>
        <w:rPr>
          <w:rFonts w:hint="eastAsia" w:ascii="Times New Roman" w:hAnsi="Times New Roman" w:eastAsia="仿宋_GB2312" w:cs="Times New Roman"/>
          <w:b/>
          <w:bCs/>
          <w:color w:val="000000"/>
          <w:kern w:val="2"/>
          <w:sz w:val="32"/>
          <w:szCs w:val="32"/>
          <w:lang w:val="en-US" w:eastAsia="zh-CN" w:bidi="ar-SA"/>
        </w:rPr>
        <w:t>1.绩效评价原则</w:t>
      </w:r>
      <w:bookmarkEnd w:id="71"/>
      <w:bookmarkEnd w:id="72"/>
      <w:bookmarkEnd w:id="73"/>
    </w:p>
    <w:p w14:paraId="430B75AB">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依据《财政支出绩效评价管理暂行办法》（财预〔20</w:t>
      </w:r>
      <w:r>
        <w:rPr>
          <w:rFonts w:hint="eastAsia" w:ascii="Times New Roman" w:hAnsi="Times New Roman" w:eastAsia="仿宋_GB2312" w:cs="Times New Roman"/>
          <w:color w:val="000000"/>
          <w:sz w:val="32"/>
          <w:szCs w:val="32"/>
          <w:lang w:val="en-US" w:eastAsia="zh-CN"/>
        </w:rPr>
        <w:t>20</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lang w:eastAsia="zh-CN"/>
        </w:rPr>
        <w:t>号）本次绩效评价秉承科学规范、公正公开、分级分类、绩效相关等原则，按照从投入、过程到产出效果和影响的绩效逻辑路径，结合</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Times New Roman" w:hAnsi="Times New Roman" w:eastAsia="仿宋_GB2312" w:cs="Times New Roman"/>
          <w:color w:val="auto"/>
          <w:sz w:val="32"/>
          <w:szCs w:val="32"/>
          <w:highlight w:val="none"/>
          <w:lang w:eastAsia="zh-CN"/>
        </w:rPr>
        <w:t>实际开展情况，</w:t>
      </w:r>
      <w:r>
        <w:rPr>
          <w:rFonts w:hint="eastAsia" w:ascii="Times New Roman" w:hAnsi="Times New Roman" w:eastAsia="仿宋_GB2312" w:cs="Times New Roman"/>
          <w:color w:val="000000"/>
          <w:sz w:val="32"/>
          <w:szCs w:val="32"/>
          <w:lang w:eastAsia="zh-CN"/>
        </w:rPr>
        <w:t>运用定量和定性分析相结合的方法，总结经验做法，反思项目实施和管理中的问题，以切实提升财政资金管理的科学化、规范化和精细化水平。</w:t>
      </w:r>
    </w:p>
    <w:p w14:paraId="48CA379B">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403E6BA4">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0FDA1E4F">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670DFEC2">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39F74930">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25E5AA5E">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4" w:name="_Toc24396"/>
      <w:bookmarkStart w:id="75" w:name="_Toc428278230"/>
      <w:bookmarkStart w:id="76" w:name="_Toc1913"/>
      <w:bookmarkStart w:id="77" w:name="_Toc419984722"/>
      <w:bookmarkStart w:id="78" w:name="_Toc26131"/>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4"/>
      <w:bookmarkEnd w:id="75"/>
      <w:bookmarkEnd w:id="76"/>
      <w:bookmarkEnd w:id="77"/>
      <w:bookmarkEnd w:id="78"/>
    </w:p>
    <w:p w14:paraId="1731C27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9"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69FA91E0">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2573F075">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299FA599">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74333BA0">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41C6865">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74C10F7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37A410F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73477C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46B6B6B0">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80" w:name="_Toc30114"/>
      <w:bookmarkStart w:id="81" w:name="_Toc56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9"/>
      <w:bookmarkEnd w:id="80"/>
      <w:bookmarkEnd w:id="81"/>
    </w:p>
    <w:p w14:paraId="78F99B91">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82" w:name="_Toc25391"/>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14:paraId="00A52B6C">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558A10D5">
      <w:pPr>
        <w:spacing w:line="560" w:lineRule="exact"/>
        <w:ind w:firstLine="708" w:firstLineChars="200"/>
        <w:rPr>
          <w:rFonts w:hint="eastAsia" w:ascii="Times New Roman" w:hAnsi="Times New Roman" w:eastAsia="仿宋_GB2312" w:cs="Times New Roman"/>
          <w:color w:val="auto"/>
          <w:spacing w:val="17"/>
          <w:sz w:val="32"/>
          <w:szCs w:val="32"/>
          <w:highlight w:val="none"/>
          <w:lang w:eastAsia="zh-CN"/>
        </w:rPr>
      </w:pPr>
      <w:bookmarkStart w:id="83" w:name="_Toc6081"/>
      <w:bookmarkStart w:id="84" w:name="_Toc25651"/>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r>
        <w:rPr>
          <w:rFonts w:hint="eastAsia" w:ascii="Times New Roman" w:hAnsi="Times New Roman" w:eastAsia="仿宋_GB2312" w:cs="Times New Roman"/>
          <w:color w:val="auto"/>
          <w:spacing w:val="17"/>
          <w:sz w:val="32"/>
          <w:szCs w:val="32"/>
          <w:highlight w:val="none"/>
          <w:lang w:eastAsia="zh-CN"/>
        </w:rPr>
        <w:t>原因：利用比较法可以清楚对比项目的实施情况，更好的比对出项目之间的差距。</w:t>
      </w:r>
    </w:p>
    <w:p w14:paraId="34ED3EAC">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r>
        <w:rPr>
          <w:rFonts w:hint="eastAsia" w:ascii="Times New Roman" w:hAnsi="Times New Roman" w:eastAsia="仿宋_GB2312" w:cs="Times New Roman"/>
          <w:color w:val="auto"/>
          <w:spacing w:val="17"/>
          <w:sz w:val="32"/>
          <w:szCs w:val="32"/>
          <w:highlight w:val="none"/>
          <w:lang w:eastAsia="zh-CN"/>
        </w:rPr>
        <w:t>原因：通过因素分析法，可以明确关键因素，预测影响项目目标的因素。</w:t>
      </w:r>
    </w:p>
    <w:p w14:paraId="2F135500">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82"/>
      <w:bookmarkEnd w:id="83"/>
      <w:bookmarkEnd w:id="84"/>
    </w:p>
    <w:p w14:paraId="15251500">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w:t>
      </w:r>
      <w:r>
        <w:rPr>
          <w:rFonts w:hint="default" w:ascii="Times New Roman" w:hAnsi="Times New Roman" w:eastAsia="仿宋_GB2312" w:cs="Times New Roman"/>
          <w:color w:val="auto"/>
          <w:spacing w:val="17"/>
          <w:sz w:val="32"/>
          <w:szCs w:val="32"/>
          <w:highlight w:val="none"/>
        </w:rPr>
        <w:t>本次评价主要采用了</w:t>
      </w:r>
      <w:r>
        <w:rPr>
          <w:rFonts w:hint="eastAsia" w:ascii="Times New Roman" w:hAnsi="Times New Roman" w:eastAsia="仿宋_GB2312" w:cs="Times New Roman"/>
          <w:color w:val="auto"/>
          <w:spacing w:val="17"/>
          <w:sz w:val="32"/>
          <w:szCs w:val="32"/>
          <w:highlight w:val="none"/>
          <w:lang w:val="en-US" w:eastAsia="zh-CN"/>
        </w:rPr>
        <w:t>计划</w:t>
      </w:r>
      <w:r>
        <w:rPr>
          <w:rFonts w:hint="default" w:ascii="Times New Roman" w:hAnsi="Times New Roman" w:eastAsia="仿宋_GB2312" w:cs="Times New Roman"/>
          <w:color w:val="auto"/>
          <w:spacing w:val="17"/>
          <w:sz w:val="32"/>
          <w:szCs w:val="32"/>
          <w:highlight w:val="none"/>
        </w:rPr>
        <w:t>标准</w:t>
      </w:r>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其他标准</w:t>
      </w:r>
      <w:r>
        <w:rPr>
          <w:rFonts w:hint="default" w:ascii="Times New Roman" w:hAnsi="Times New Roman" w:eastAsia="仿宋_GB2312" w:cs="Times New Roman"/>
          <w:color w:val="auto"/>
          <w:spacing w:val="17"/>
          <w:sz w:val="32"/>
          <w:szCs w:val="32"/>
          <w:highlight w:val="none"/>
        </w:rPr>
        <w:t>。</w:t>
      </w:r>
    </w:p>
    <w:p w14:paraId="5CF685EA">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2FD14C9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财政部门和预算部门确认或认可的其他标准。</w:t>
      </w:r>
    </w:p>
    <w:p w14:paraId="35B2449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5" w:name="_Toc21435"/>
      <w:r>
        <w:rPr>
          <w:rFonts w:hint="eastAsia" w:ascii="Times New Roman" w:hAnsi="Times New Roman" w:eastAsia="楷体_GB2312" w:cs="Times New Roman"/>
          <w:kern w:val="28"/>
          <w:sz w:val="32"/>
          <w:lang w:val="en-US" w:eastAsia="zh-CN"/>
        </w:rPr>
        <w:t>（三）绩效评价工作过程</w:t>
      </w:r>
      <w:bookmarkEnd w:id="85"/>
    </w:p>
    <w:p w14:paraId="77403B36">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6"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6"/>
    </w:p>
    <w:p w14:paraId="00E0D27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416DEBF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06FF817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7"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7"/>
    </w:p>
    <w:p w14:paraId="027710C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绩效评价项目小组依据此次绩效评价受委托内容，对拟评价的项目实施前期调研。</w:t>
      </w:r>
      <w:bookmarkEnd w:id="88"/>
      <w:bookmarkStart w:id="89" w:name="_Toc27977"/>
      <w:r>
        <w:rPr>
          <w:rFonts w:hint="eastAsia" w:ascii="Times New Roman" w:hAnsi="Times New Roman" w:eastAsia="仿宋_GB2312" w:cs="Times New Roman"/>
          <w:color w:val="auto"/>
          <w:spacing w:val="17"/>
          <w:sz w:val="32"/>
          <w:szCs w:val="32"/>
          <w:highlight w:val="none"/>
          <w:lang w:val="en-US" w:eastAsia="zh-CN"/>
        </w:rPr>
        <w:t>通过调研对</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Times New Roman" w:hAnsi="Times New Roman" w:eastAsia="仿宋_GB2312" w:cs="Times New Roman"/>
          <w:color w:val="auto"/>
          <w:spacing w:val="17"/>
          <w:sz w:val="32"/>
          <w:szCs w:val="32"/>
          <w:highlight w:val="none"/>
          <w:lang w:val="en-US" w:eastAsia="zh-CN"/>
        </w:rPr>
        <w:t>实施内容、目标信息、预算信息以及其他的一些项目基本信息，有了初步了解，为制定绩效评价工作方案做好准备。</w:t>
      </w:r>
    </w:p>
    <w:p w14:paraId="2571908B">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9"/>
    </w:p>
    <w:p w14:paraId="49DE3CA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90"/>
    </w:p>
    <w:p w14:paraId="11DBE7A4">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91"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91"/>
    </w:p>
    <w:p w14:paraId="13F3A0A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92"/>
    </w:p>
    <w:p w14:paraId="6BB2644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93"/>
    </w:p>
    <w:p w14:paraId="0F3FEF8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4"/>
    </w:p>
    <w:p w14:paraId="44E5DFF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5"/>
    </w:p>
    <w:p w14:paraId="73405B11">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6"/>
    </w:p>
    <w:p w14:paraId="4665495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7"/>
    </w:p>
    <w:p w14:paraId="7F4E15F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8"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8"/>
    </w:p>
    <w:p w14:paraId="09CAB940">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9"/>
    </w:p>
    <w:p w14:paraId="1F22D20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100"/>
    </w:p>
    <w:p w14:paraId="0DD8731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101"/>
    </w:p>
    <w:p w14:paraId="2FF6A5FE">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102"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102"/>
    </w:p>
    <w:p w14:paraId="28A0E640">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103"/>
    </w:p>
    <w:p w14:paraId="0D9F907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4"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4"/>
    </w:p>
    <w:p w14:paraId="3FE7F81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5"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5"/>
    </w:p>
    <w:p w14:paraId="75FF8EC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6"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6"/>
    </w:p>
    <w:p w14:paraId="1EB7EBA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7"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7"/>
    </w:p>
    <w:p w14:paraId="3E8B89BA">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8"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8"/>
    </w:p>
    <w:p w14:paraId="1F8D6DE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9" w:name="_Toc23319"/>
      <w:r>
        <w:rPr>
          <w:rFonts w:hint="eastAsia" w:ascii="Times New Roman" w:hAnsi="Times New Roman" w:eastAsia="楷体_GB2312" w:cs="Times New Roman"/>
          <w:kern w:val="28"/>
          <w:sz w:val="32"/>
          <w:lang w:val="en-US" w:eastAsia="zh-CN"/>
        </w:rPr>
        <w:t>（一）综合评价情况及评价结论</w:t>
      </w:r>
      <w:bookmarkEnd w:id="109"/>
    </w:p>
    <w:p w14:paraId="5763D6BA">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bookmarkStart w:id="110" w:name="OLE_LINK58"/>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bookmarkEnd w:id="110"/>
    <w:p w14:paraId="689A32E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阜康市滋泥泉子镇中心幼儿园</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55489AAA">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从项目效益的角度来看，本项目不仅实现了预期的社会效益方面产生了积极的影响。具体而言，</w:t>
      </w:r>
      <w:r>
        <w:rPr>
          <w:rFonts w:hint="eastAsia" w:ascii="Times New Roman" w:hAnsi="Times New Roman" w:eastAsia="仿宋_GB2312" w:cs="Times New Roman"/>
          <w:color w:val="auto"/>
          <w:sz w:val="32"/>
          <w:szCs w:val="32"/>
          <w:highlight w:val="none"/>
          <w:lang w:val="en-US" w:eastAsia="zh-CN"/>
        </w:rPr>
        <w:t>保障教师的正常工资待遇，提高教师的归属感，减少教师队伍人员流失</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10B25A0A">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Times New Roman" w:hAnsi="Times New Roman" w:eastAsia="仿宋_GB2312" w:cs="Times New Roman"/>
          <w:highlight w:val="none"/>
          <w:lang w:val="en-US" w:eastAsia="zh-CN"/>
        </w:rPr>
      </w:pPr>
      <w:r>
        <w:rPr>
          <w:rFonts w:hint="default" w:ascii="Times New Roman" w:hAnsi="Times New Roman" w:eastAsia="仿宋_GB2312" w:cs="Times New Roman"/>
          <w:color w:val="auto"/>
          <w:sz w:val="32"/>
          <w:szCs w:val="32"/>
          <w:highlight w:val="none"/>
        </w:rPr>
        <w:t>综上所述，</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3D96F13E">
      <w:pPr>
        <w:pStyle w:val="14"/>
        <w:keepNext w:val="0"/>
        <w:keepLines w:val="0"/>
        <w:pageBreakBefore w:val="0"/>
        <w:widowControl/>
        <w:numPr>
          <w:ilvl w:val="0"/>
          <w:numId w:val="2"/>
        </w:numP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11" w:name="_Toc11863"/>
      <w:r>
        <w:rPr>
          <w:rFonts w:hint="eastAsia" w:ascii="Times New Roman" w:hAnsi="Times New Roman" w:eastAsia="楷体_GB2312" w:cs="Times New Roman"/>
          <w:kern w:val="28"/>
          <w:sz w:val="32"/>
          <w:lang w:val="en-US" w:eastAsia="zh-CN"/>
        </w:rPr>
        <w:t>相关评分表</w:t>
      </w:r>
      <w:bookmarkEnd w:id="111"/>
    </w:p>
    <w:p w14:paraId="48936E49">
      <w:pPr>
        <w:spacing w:line="560" w:lineRule="exact"/>
        <w:ind w:firstLine="708" w:firstLineChars="200"/>
        <w:rPr>
          <w:rFonts w:hint="eastAsia"/>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94.11</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19.2</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19.68</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98.4</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38.38</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95.95</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0D8EADF0">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283B9F2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表3-1：</w:t>
            </w:r>
            <w:r>
              <w:rPr>
                <w:rFonts w:hint="eastAsia" w:ascii="仿宋_GB2312" w:hAnsi="仿宋_GB2312" w:eastAsia="仿宋_GB2312" w:cs="仿宋_GB2312"/>
                <w:b/>
                <w:bCs/>
                <w:color w:val="auto"/>
                <w:sz w:val="32"/>
                <w:szCs w:val="32"/>
                <w:highlight w:val="none"/>
                <w:shd w:val="clear" w:color="auto" w:fill="auto"/>
                <w:lang w:val="en-US" w:eastAsia="zh-CN"/>
              </w:rPr>
              <w:t>2024年选聘教师工资补助经费项目</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得分表</w:t>
            </w:r>
          </w:p>
        </w:tc>
      </w:tr>
      <w:tr w14:paraId="70E89EE7">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98B9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41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AD59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813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A3B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420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14:paraId="0046082C">
        <w:tblPrEx>
          <w:shd w:val="clear" w:color="auto" w:fill="auto"/>
          <w:tblCellMar>
            <w:top w:w="0" w:type="dxa"/>
            <w:left w:w="0" w:type="dxa"/>
            <w:bottom w:w="0" w:type="dxa"/>
            <w:right w:w="0" w:type="dxa"/>
          </w:tblCellMar>
        </w:tblPrEx>
        <w:trPr>
          <w:trHeight w:val="51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A28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3042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1D8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82F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092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F62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r>
      <w:tr w14:paraId="5FAE06C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D92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A6D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F98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19.68</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322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38.38</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C30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4D3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97.26</w:t>
            </w:r>
          </w:p>
        </w:tc>
      </w:tr>
      <w:tr w14:paraId="625D175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EC1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114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96%</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318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98.4</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12D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95.95</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CDB3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95</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5FE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97.26</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r>
    </w:tbl>
    <w:p w14:paraId="425F4573">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12"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12"/>
    </w:p>
    <w:p w14:paraId="59EE2B14">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kern w:val="28"/>
          <w:sz w:val="32"/>
        </w:rPr>
      </w:pPr>
      <w:bookmarkStart w:id="113" w:name="_Toc6759"/>
      <w:r>
        <w:rPr>
          <w:rFonts w:hint="eastAsia" w:ascii="Times New Roman" w:hAnsi="Times New Roman" w:eastAsia="楷体_GB2312" w:cs="Times New Roman"/>
          <w:kern w:val="28"/>
          <w:sz w:val="32"/>
        </w:rPr>
        <w:t>（一）项目决策情况</w:t>
      </w:r>
      <w:bookmarkEnd w:id="113"/>
    </w:p>
    <w:p w14:paraId="5C73E4AD">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4D74412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72204717">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23910E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07FC4E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2F24DC8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4AD5E5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792C4C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8D317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25D2A0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0FFE13A">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BB384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30E2E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CF446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1ABEF9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2CC1E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0D3ADB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F0505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6FFF4FF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9FBF0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84D57A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3938B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4BBEE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7DD1955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F3857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30DCF3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0A760563">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2A4303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C0DD7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E1CB9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77053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B9CCE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6F026D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9B01C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6BC4226">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85B9CA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CD7E7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1A433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D2EF30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AB9C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70DA2BD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F5659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03040C2">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28C7F3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7BB592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B0B31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FCB95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89143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7B3E0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7E3B47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5329C87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188B96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A34C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0B86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25352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4319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1AFE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7EEF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535421E9">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856AF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CF48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3DDE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CC97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CE749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14:paraId="124A3E19">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4" w:name="_Toc28069"/>
      <w:bookmarkStart w:id="115" w:name="_Toc13522"/>
      <w:r>
        <w:rPr>
          <w:rFonts w:hint="eastAsia" w:ascii="仿宋_GB2312" w:hAnsi="仿宋_GB2312" w:eastAsia="仿宋_GB2312" w:cs="仿宋_GB2312"/>
          <w:b/>
          <w:bCs/>
          <w:sz w:val="32"/>
          <w:szCs w:val="32"/>
          <w:lang w:val="en-US" w:eastAsia="zh-CN"/>
        </w:rPr>
        <w:t>1.立项依据充分性</w:t>
      </w:r>
      <w:bookmarkEnd w:id="114"/>
      <w:bookmarkEnd w:id="115"/>
    </w:p>
    <w:p w14:paraId="38D8F29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①项目立项符合《中华人民共和国学前教育法》、《关于学前教育深化改革规范发展的若干意见》</w:t>
      </w:r>
      <w:r>
        <w:rPr>
          <w:rFonts w:hint="eastAsia" w:ascii="仿宋_GB2312" w:hAnsi="仿宋_GB2312" w:eastAsia="仿宋_GB2312" w:cs="仿宋_GB2312"/>
          <w:color w:val="auto"/>
          <w:sz w:val="32"/>
          <w:szCs w:val="32"/>
          <w:highlight w:val="none"/>
          <w:lang w:val="en-US" w:eastAsia="zh-CN"/>
        </w:rPr>
        <w:t>等</w:t>
      </w:r>
      <w:r>
        <w:rPr>
          <w:rFonts w:hint="eastAsia" w:ascii="仿宋_GB2312" w:hAnsi="仿宋_GB2312" w:eastAsia="仿宋_GB2312" w:cs="仿宋_GB2312"/>
          <w:color w:val="auto"/>
          <w:sz w:val="32"/>
          <w:szCs w:val="32"/>
          <w:highlight w:val="none"/>
          <w:lang w:eastAsia="zh-CN"/>
        </w:rPr>
        <w:t>；</w:t>
      </w:r>
    </w:p>
    <w:p w14:paraId="5C601E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②项目立项符合《幼儿园教职工配备标准（暂行）》</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政策要求；</w:t>
      </w:r>
    </w:p>
    <w:p w14:paraId="004A1B7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w:t>
      </w:r>
      <w:r>
        <w:rPr>
          <w:rFonts w:hint="eastAsia" w:ascii="仿宋_GB2312" w:hAnsi="仿宋_GB2312" w:eastAsia="仿宋_GB2312" w:cs="仿宋_GB2312"/>
          <w:color w:val="auto"/>
          <w:sz w:val="32"/>
          <w:szCs w:val="32"/>
          <w:highlight w:val="none"/>
          <w:lang w:val="en-US" w:eastAsia="zh-CN"/>
        </w:rPr>
        <w:t>宣传贯彻党和国家的教育方针、教育政策、教育法律法规、贯彻执行上级教育行政部门的各项规章制度的</w:t>
      </w:r>
      <w:r>
        <w:rPr>
          <w:rFonts w:hint="eastAsia" w:ascii="仿宋_GB2312" w:hAnsi="仿宋_GB2312" w:eastAsia="仿宋_GB2312" w:cs="仿宋_GB2312"/>
          <w:color w:val="auto"/>
          <w:sz w:val="32"/>
          <w:szCs w:val="32"/>
          <w:highlight w:val="none"/>
          <w:lang w:eastAsia="zh-CN"/>
        </w:rPr>
        <w:t>部门职责范围相符，属于部门履职所需；</w:t>
      </w:r>
    </w:p>
    <w:p w14:paraId="1504AF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791718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10A3994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综上，该项指标满分2分，得分2分。</w:t>
      </w:r>
    </w:p>
    <w:p w14:paraId="2C9AEFF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6" w:name="_Toc23240"/>
      <w:bookmarkStart w:id="117" w:name="_Toc21976"/>
      <w:r>
        <w:rPr>
          <w:rFonts w:hint="eastAsia" w:ascii="仿宋_GB2312" w:hAnsi="仿宋_GB2312" w:eastAsia="仿宋_GB2312" w:cs="仿宋_GB2312"/>
          <w:b/>
          <w:bCs/>
          <w:color w:val="auto"/>
          <w:sz w:val="32"/>
          <w:szCs w:val="32"/>
          <w:lang w:val="en-US" w:eastAsia="zh-CN"/>
        </w:rPr>
        <w:t>2.立项程序规范性</w:t>
      </w:r>
      <w:bookmarkEnd w:id="116"/>
      <w:bookmarkEnd w:id="117"/>
    </w:p>
    <w:p w14:paraId="20E46E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4A0F71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1348984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③事前经过必要的集体决策，</w:t>
      </w:r>
      <w:r>
        <w:rPr>
          <w:rFonts w:hint="eastAsia" w:ascii="仿宋_GB2312" w:hAnsi="仿宋_GB2312" w:eastAsia="仿宋_GB2312" w:cs="仿宋_GB2312"/>
          <w:color w:val="auto"/>
          <w:sz w:val="32"/>
          <w:szCs w:val="32"/>
          <w:highlight w:val="none"/>
          <w:lang w:val="en-US" w:eastAsia="zh-CN"/>
        </w:rPr>
        <w:t>未经过可行性研究、专家论证、风险评估、绩效评估扣0.8分</w:t>
      </w:r>
      <w:r>
        <w:rPr>
          <w:rFonts w:hint="eastAsia" w:ascii="仿宋_GB2312" w:hAnsi="仿宋_GB2312" w:eastAsia="仿宋_GB2312" w:cs="仿宋_GB2312"/>
          <w:color w:val="auto"/>
          <w:sz w:val="32"/>
          <w:szCs w:val="32"/>
          <w:highlight w:val="none"/>
          <w:lang w:eastAsia="zh-CN"/>
        </w:rPr>
        <w:t>。</w:t>
      </w:r>
    </w:p>
    <w:p w14:paraId="023D00C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综上，该项指标满分3分，得分2.2分。</w:t>
      </w:r>
    </w:p>
    <w:p w14:paraId="515CF24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8" w:name="_Toc23542"/>
      <w:bookmarkStart w:id="119" w:name="_Toc15382"/>
      <w:r>
        <w:rPr>
          <w:rFonts w:hint="eastAsia" w:ascii="仿宋_GB2312" w:hAnsi="仿宋_GB2312" w:eastAsia="仿宋_GB2312" w:cs="仿宋_GB2312"/>
          <w:b/>
          <w:bCs/>
          <w:sz w:val="32"/>
          <w:szCs w:val="32"/>
          <w:lang w:val="en-US" w:eastAsia="zh-CN"/>
        </w:rPr>
        <w:t>3.绩效目标合理性</w:t>
      </w:r>
      <w:bookmarkEnd w:id="118"/>
      <w:bookmarkEnd w:id="119"/>
    </w:p>
    <w:p w14:paraId="247665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01BC10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w:t>
      </w:r>
      <w:bookmarkStart w:id="120" w:name="OLE_LINK13"/>
      <w:r>
        <w:rPr>
          <w:rFonts w:hint="eastAsia" w:ascii="仿宋_GB2312" w:hAnsi="仿宋_GB2312" w:eastAsia="仿宋_GB2312" w:cs="仿宋_GB2312"/>
          <w:color w:val="auto"/>
          <w:sz w:val="32"/>
          <w:szCs w:val="32"/>
          <w:highlight w:val="none"/>
          <w:lang w:eastAsia="zh-CN"/>
        </w:rPr>
        <w:t>按每人每月0.47万元的标准，完成</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eastAsia="zh-CN"/>
        </w:rPr>
        <w:t>名选聘教师工资发放12次</w:t>
      </w:r>
      <w:bookmarkEnd w:id="120"/>
      <w:r>
        <w:rPr>
          <w:rFonts w:hint="eastAsia" w:ascii="仿宋_GB2312" w:hAnsi="仿宋_GB2312" w:eastAsia="仿宋_GB2312" w:cs="仿宋_GB2312"/>
          <w:color w:val="auto"/>
          <w:sz w:val="32"/>
          <w:szCs w:val="32"/>
          <w:highlight w:val="none"/>
          <w:lang w:eastAsia="zh-CN"/>
        </w:rPr>
        <w:t>，共支付</w:t>
      </w:r>
      <w:r>
        <w:rPr>
          <w:rFonts w:hint="eastAsia" w:ascii="仿宋_GB2312" w:hAnsi="仿宋_GB2312" w:eastAsia="仿宋_GB2312" w:cs="仿宋_GB2312"/>
          <w:color w:val="auto"/>
          <w:sz w:val="32"/>
          <w:szCs w:val="32"/>
          <w:highlight w:val="none"/>
          <w:lang w:val="en-US" w:eastAsia="zh-CN"/>
        </w:rPr>
        <w:t>56.17</w:t>
      </w:r>
      <w:r>
        <w:rPr>
          <w:rFonts w:hint="eastAsia" w:ascii="仿宋_GB2312" w:hAnsi="仿宋_GB2312" w:eastAsia="仿宋_GB2312" w:cs="仿宋_GB2312"/>
          <w:color w:val="auto"/>
          <w:sz w:val="32"/>
          <w:szCs w:val="32"/>
          <w:highlight w:val="none"/>
          <w:lang w:eastAsia="zh-CN"/>
        </w:rPr>
        <w:t>万元。绩效目标与实际工作内容一致，两者具有相关性。</w:t>
      </w:r>
    </w:p>
    <w:p w14:paraId="6D1F3D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③该项目按照绩效目标完成数量指标、质量指标、时效指标、成本指标，完成了按每人每月0.47万元的标准</w:t>
      </w:r>
      <w:r>
        <w:rPr>
          <w:rFonts w:hint="eastAsia" w:ascii="仿宋_GB2312" w:hAnsi="仿宋_GB2312" w:eastAsia="仿宋_GB2312" w:cs="仿宋_GB2312"/>
          <w:color w:val="auto"/>
          <w:sz w:val="32"/>
          <w:szCs w:val="32"/>
          <w:highlight w:val="none"/>
          <w:lang w:val="en-US" w:eastAsia="zh-CN"/>
        </w:rPr>
        <w:t>发放10</w:t>
      </w:r>
      <w:r>
        <w:rPr>
          <w:rFonts w:hint="eastAsia" w:ascii="仿宋_GB2312" w:hAnsi="仿宋_GB2312" w:eastAsia="仿宋_GB2312" w:cs="仿宋_GB2312"/>
          <w:color w:val="auto"/>
          <w:sz w:val="32"/>
          <w:szCs w:val="32"/>
          <w:highlight w:val="none"/>
          <w:lang w:eastAsia="zh-CN"/>
        </w:rPr>
        <w:t>名选聘教师工资12次，达到改善教学环境，提供良好的学生成长条件，</w:t>
      </w:r>
      <w:r>
        <w:rPr>
          <w:rFonts w:hint="eastAsia" w:ascii="仿宋_GB2312" w:hAnsi="仿宋_GB2312" w:eastAsia="仿宋_GB2312" w:cs="仿宋_GB2312"/>
          <w:color w:val="auto"/>
          <w:sz w:val="32"/>
          <w:szCs w:val="32"/>
          <w:highlight w:val="none"/>
          <w:lang w:val="en-US" w:eastAsia="zh-CN"/>
        </w:rPr>
        <w:t>保障</w:t>
      </w:r>
      <w:r>
        <w:rPr>
          <w:rFonts w:hint="eastAsia" w:ascii="仿宋_GB2312" w:hAnsi="仿宋_GB2312" w:eastAsia="仿宋_GB2312" w:cs="仿宋_GB2312"/>
          <w:color w:val="auto"/>
          <w:sz w:val="32"/>
          <w:szCs w:val="32"/>
          <w:highlight w:val="none"/>
          <w:lang w:eastAsia="zh-CN"/>
        </w:rPr>
        <w:t>幼儿园正常运转的社会效益，预期产出效益和效果符合正常的业绩水平。</w:t>
      </w:r>
    </w:p>
    <w:p w14:paraId="12FF37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61.02</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2CCB3C4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41D06DF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1" w:name="_Toc10650"/>
      <w:bookmarkStart w:id="122" w:name="_Toc18198"/>
      <w:r>
        <w:rPr>
          <w:rFonts w:hint="eastAsia" w:ascii="仿宋_GB2312" w:hAnsi="仿宋_GB2312" w:eastAsia="仿宋_GB2312" w:cs="仿宋_GB2312"/>
          <w:b/>
          <w:bCs/>
          <w:sz w:val="32"/>
          <w:szCs w:val="32"/>
          <w:lang w:val="en-US" w:eastAsia="zh-CN"/>
        </w:rPr>
        <w:t>4.绩效指标明确性</w:t>
      </w:r>
      <w:bookmarkEnd w:id="121"/>
      <w:bookmarkEnd w:id="122"/>
    </w:p>
    <w:p w14:paraId="74F929A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其中三级指标共计7个</w:t>
      </w:r>
      <w:r>
        <w:rPr>
          <w:rFonts w:hint="eastAsia" w:ascii="仿宋_GB2312" w:hAnsi="仿宋_GB2312" w:eastAsia="仿宋_GB2312" w:cs="仿宋_GB2312"/>
          <w:color w:val="auto"/>
          <w:sz w:val="32"/>
          <w:szCs w:val="32"/>
          <w:highlight w:val="none"/>
          <w:lang w:eastAsia="zh-CN"/>
        </w:rPr>
        <w:t>；</w:t>
      </w:r>
    </w:p>
    <w:p w14:paraId="22B45F9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量化率达到85.71%</w:t>
      </w:r>
      <w:r>
        <w:rPr>
          <w:rFonts w:hint="eastAsia" w:ascii="仿宋_GB2312" w:hAnsi="仿宋_GB2312" w:eastAsia="仿宋_GB2312" w:cs="仿宋_GB2312"/>
          <w:color w:val="auto"/>
          <w:sz w:val="32"/>
          <w:szCs w:val="32"/>
          <w:highlight w:val="none"/>
          <w:lang w:eastAsia="zh-CN"/>
        </w:rPr>
        <w:t>；</w:t>
      </w:r>
    </w:p>
    <w:p w14:paraId="7CF8449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33DE724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104ED44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6B707A3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3" w:name="_Toc19401"/>
      <w:bookmarkStart w:id="124" w:name="_Toc8296"/>
      <w:r>
        <w:rPr>
          <w:rFonts w:hint="eastAsia" w:ascii="仿宋_GB2312" w:hAnsi="仿宋_GB2312" w:eastAsia="仿宋_GB2312" w:cs="仿宋_GB2312"/>
          <w:b/>
          <w:bCs/>
          <w:sz w:val="32"/>
          <w:szCs w:val="32"/>
          <w:lang w:val="en-US" w:eastAsia="zh-CN"/>
        </w:rPr>
        <w:t>5.预算编制科学性</w:t>
      </w:r>
      <w:bookmarkEnd w:id="123"/>
      <w:bookmarkEnd w:id="124"/>
    </w:p>
    <w:p w14:paraId="452185C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bookmarkStart w:id="125" w:name="_Toc697"/>
      <w:bookmarkStart w:id="126" w:name="_Toc20556"/>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6FA44A1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预算申请内容为2024年选聘教师工资补助经费，项目实际内容为2024年选聘教师工资补助经费</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，预算申请与项目内容匹配；</w:t>
      </w:r>
    </w:p>
    <w:p w14:paraId="674A1FA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61.02万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w:t>
      </w:r>
      <w:r>
        <w:rPr>
          <w:rFonts w:hint="eastAsia" w:ascii="仿宋_GB2312" w:hAnsi="仿宋_GB2312" w:eastAsia="仿宋_GB2312" w:cs="仿宋_GB2312"/>
          <w:color w:val="auto"/>
          <w:sz w:val="32"/>
          <w:szCs w:val="32"/>
          <w:highlight w:val="none"/>
          <w:lang w:val="en-US" w:eastAsia="zh-CN"/>
        </w:rPr>
        <w:t>商品服务支出中列支选聘教师工资的劳务费61.02</w:t>
      </w:r>
      <w:r>
        <w:rPr>
          <w:rFonts w:hint="eastAsia" w:ascii="仿宋_GB2312" w:hAnsi="仿宋_GB2312" w:eastAsia="仿宋_GB2312" w:cs="仿宋_GB2312"/>
          <w:color w:val="auto"/>
          <w:sz w:val="32"/>
          <w:szCs w:val="32"/>
          <w:highlight w:val="none"/>
          <w:lang w:eastAsia="zh-CN"/>
        </w:rPr>
        <w:t>万元。</w:t>
      </w:r>
    </w:p>
    <w:p w14:paraId="34B10DC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05CDAE4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38DEDEC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6.资金分配合理性</w:t>
      </w:r>
      <w:bookmarkEnd w:id="125"/>
      <w:bookmarkEnd w:id="126"/>
    </w:p>
    <w:p w14:paraId="184C903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shd w:val="clear" w:color="auto" w:fill="auto"/>
          <w:lang w:val="en-US" w:eastAsia="zh-CN"/>
        </w:rPr>
        <w:t>《阜康市财政局关于2024年部门预算批复》【阜财预字（2024）7号】</w:t>
      </w:r>
      <w:r>
        <w:rPr>
          <w:rFonts w:hint="eastAsia" w:ascii="仿宋_GB2312" w:hAnsi="仿宋_GB2312" w:eastAsia="仿宋_GB2312" w:cs="仿宋_GB2312"/>
          <w:color w:val="auto"/>
          <w:sz w:val="32"/>
          <w:szCs w:val="32"/>
          <w:highlight w:val="none"/>
          <w:lang w:val="en-US" w:eastAsia="zh-CN"/>
        </w:rPr>
        <w:t>为</w:t>
      </w:r>
      <w:r>
        <w:rPr>
          <w:rFonts w:hint="eastAsia" w:ascii="仿宋_GB2312" w:hAnsi="仿宋_GB2312" w:eastAsia="仿宋_GB2312" w:cs="仿宋_GB2312"/>
          <w:color w:val="auto"/>
          <w:sz w:val="32"/>
          <w:szCs w:val="32"/>
          <w:highlight w:val="none"/>
          <w:lang w:eastAsia="zh-Hans"/>
        </w:rPr>
        <w:t>依据进行资金分配，预算资金分配依据充分</w:t>
      </w:r>
      <w:r>
        <w:rPr>
          <w:rFonts w:hint="eastAsia" w:ascii="仿宋_GB2312" w:hAnsi="仿宋_GB2312" w:eastAsia="仿宋_GB2312" w:cs="仿宋_GB2312"/>
          <w:color w:val="auto"/>
          <w:sz w:val="32"/>
          <w:szCs w:val="32"/>
          <w:highlight w:val="none"/>
          <w:lang w:eastAsia="zh-CN"/>
        </w:rPr>
        <w:t>。</w:t>
      </w:r>
    </w:p>
    <w:p w14:paraId="6E75F13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61.02</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1E49A360">
      <w:pPr>
        <w:pageBreakBefore w:val="0"/>
        <w:kinsoku/>
        <w:wordWrap/>
        <w:overflowPunct/>
        <w:topLinePunct w:val="0"/>
        <w:autoSpaceDE/>
        <w:autoSpaceDN/>
        <w:bidi w:val="0"/>
        <w:spacing w:line="560" w:lineRule="exact"/>
        <w:textAlignment w:val="auto"/>
        <w:rPr>
          <w:rFonts w:hint="eastAsia"/>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44B6040F">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kern w:val="28"/>
          <w:sz w:val="32"/>
          <w:highlight w:val="none"/>
        </w:rPr>
      </w:pPr>
      <w:bookmarkStart w:id="127" w:name="_Toc10564"/>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lang w:val="en-US" w:eastAsia="zh-CN"/>
        </w:rPr>
        <w:t>二</w:t>
      </w:r>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rPr>
        <w:t>项目过程</w:t>
      </w:r>
      <w:r>
        <w:rPr>
          <w:rFonts w:hint="eastAsia" w:ascii="Times New Roman" w:hAnsi="Times New Roman" w:eastAsia="楷体" w:cs="Times New Roman"/>
          <w:kern w:val="28"/>
          <w:sz w:val="32"/>
          <w:highlight w:val="none"/>
        </w:rPr>
        <w:t>情况</w:t>
      </w:r>
      <w:bookmarkEnd w:id="127"/>
    </w:p>
    <w:p w14:paraId="1E42B8D2">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bCs/>
          <w:color w:val="FF0000"/>
          <w:kern w:val="0"/>
          <w:sz w:val="32"/>
          <w:szCs w:val="32"/>
          <w:highlight w:val="none"/>
          <w:shd w:val="clear" w:color="auto" w:fill="auto"/>
          <w:lang w:val="zh-TW" w:eastAsia="zh-CN"/>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19.68</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73666C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5F1DA08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B99A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8340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98BE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0C21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A2EDE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2C13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98CE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35ED420A">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D858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AA96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A972F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FF36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F9B3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94E5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6617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B6B0A03">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DA842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D1E5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17FD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81DE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AB56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9003B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34DE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3.68</w:t>
            </w:r>
          </w:p>
        </w:tc>
      </w:tr>
      <w:tr w14:paraId="491B8714">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0D05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3B1B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7C6E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DB37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A37D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08A6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828C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BD0E4F0">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EFD5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D217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7381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ED1B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722C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16C5C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4946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6BFF39BA">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10EF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748B7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530C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97310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9C77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39A1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37B9A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BD0BC6F">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123C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2C923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6AF2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771E4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E48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19.68</w:t>
            </w:r>
          </w:p>
        </w:tc>
      </w:tr>
    </w:tbl>
    <w:p w14:paraId="4EB2256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highlight w:val="none"/>
          <w:lang w:val="en-US" w:eastAsia="zh-CN"/>
        </w:rPr>
      </w:pPr>
      <w:bookmarkStart w:id="128" w:name="_Toc20449"/>
      <w:bookmarkStart w:id="129" w:name="_Toc3886"/>
      <w:r>
        <w:rPr>
          <w:rFonts w:hint="eastAsia" w:ascii="仿宋_GB2312" w:hAnsi="仿宋_GB2312" w:eastAsia="仿宋_GB2312" w:cs="仿宋_GB2312"/>
          <w:b/>
          <w:bCs/>
          <w:sz w:val="32"/>
          <w:szCs w:val="32"/>
          <w:highlight w:val="none"/>
          <w:lang w:val="en-US" w:eastAsia="zh-CN"/>
        </w:rPr>
        <w:t>1.资金到位率</w:t>
      </w:r>
      <w:bookmarkEnd w:id="128"/>
      <w:bookmarkEnd w:id="129"/>
    </w:p>
    <w:p w14:paraId="22CC398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bookmarkStart w:id="130" w:name="_Toc9705"/>
      <w:bookmarkStart w:id="131" w:name="_Toc17709"/>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61.02</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61.02</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76537C3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bookmarkStart w:id="132" w:name="OLE_LINK10"/>
      <w:bookmarkStart w:id="133" w:name="OLE_LINK11"/>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61.02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61.02</w:t>
      </w:r>
      <w:r>
        <w:rPr>
          <w:rFonts w:hint="eastAsia" w:ascii="仿宋_GB2312" w:hAnsi="仿宋_GB2312" w:eastAsia="仿宋_GB2312" w:cs="仿宋_GB2312"/>
          <w:color w:val="auto"/>
          <w:sz w:val="32"/>
          <w:szCs w:val="32"/>
          <w:highlight w:val="none"/>
          <w:lang w:eastAsia="zh-CN"/>
        </w:rPr>
        <w:t>）</w:t>
      </w:r>
      <w:bookmarkEnd w:id="132"/>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lang w:eastAsia="zh-CN"/>
        </w:rPr>
        <w:t>。</w:t>
      </w:r>
    </w:p>
    <w:bookmarkEnd w:id="133"/>
    <w:p w14:paraId="7F7FEBC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638AE73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2.预算执行率</w:t>
      </w:r>
      <w:bookmarkEnd w:id="130"/>
      <w:bookmarkEnd w:id="131"/>
    </w:p>
    <w:p w14:paraId="374E2C66">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bookmarkStart w:id="134" w:name="_Toc28875"/>
      <w:bookmarkStart w:id="135" w:name="_Toc18691"/>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56.17</w:t>
      </w:r>
      <w:r>
        <w:rPr>
          <w:rFonts w:hint="eastAsia" w:ascii="仿宋_GB2312" w:hAnsi="仿宋_GB2312" w:eastAsia="仿宋_GB2312" w:cs="仿宋_GB2312"/>
          <w:color w:val="auto"/>
          <w:sz w:val="32"/>
          <w:szCs w:val="32"/>
          <w:highlight w:val="none"/>
          <w:lang w:val="en-US" w:eastAsia="zh-CN"/>
        </w:rPr>
        <w:t>万元。</w:t>
      </w:r>
    </w:p>
    <w:p w14:paraId="05FA9B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color w:val="auto"/>
          <w:sz w:val="32"/>
          <w:szCs w:val="32"/>
          <w:highlight w:val="none"/>
          <w:lang w:val="en-US" w:eastAsia="zh-CN"/>
        </w:rPr>
        <w:t>56.17</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61.02</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92.1%</w:t>
      </w:r>
      <w:r>
        <w:rPr>
          <w:rFonts w:hint="eastAsia" w:ascii="仿宋_GB2312" w:hAnsi="仿宋_GB2312" w:eastAsia="仿宋_GB2312" w:cs="仿宋_GB2312"/>
          <w:b w:val="0"/>
          <w:bCs w:val="0"/>
          <w:color w:val="auto"/>
          <w:sz w:val="32"/>
          <w:szCs w:val="32"/>
          <w:highlight w:val="none"/>
          <w:lang w:eastAsia="zh-CN"/>
        </w:rPr>
        <w:t>。扣</w:t>
      </w:r>
      <w:r>
        <w:rPr>
          <w:rFonts w:hint="eastAsia" w:ascii="仿宋_GB2312" w:hAnsi="仿宋_GB2312" w:eastAsia="仿宋_GB2312" w:cs="仿宋_GB2312"/>
          <w:b w:val="0"/>
          <w:bCs w:val="0"/>
          <w:color w:val="auto"/>
          <w:sz w:val="32"/>
          <w:szCs w:val="32"/>
          <w:highlight w:val="none"/>
          <w:lang w:val="en-US" w:eastAsia="zh-CN"/>
        </w:rPr>
        <w:t>0.32分</w:t>
      </w:r>
    </w:p>
    <w:p w14:paraId="314FCAA2">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综上，该项指标满分4分，得分3.68分。</w:t>
      </w:r>
    </w:p>
    <w:p w14:paraId="736D08CA">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3.资金使用合规性</w:t>
      </w:r>
      <w:bookmarkEnd w:id="134"/>
      <w:bookmarkEnd w:id="135"/>
    </w:p>
    <w:p w14:paraId="3EE55E27">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w:t>
      </w:r>
      <w:bookmarkStart w:id="136" w:name="OLE_LINK12"/>
      <w:r>
        <w:rPr>
          <w:rFonts w:hint="eastAsia" w:ascii="仿宋_GB2312" w:hAnsi="仿宋_GB2312" w:eastAsia="仿宋_GB2312" w:cs="仿宋_GB2312"/>
          <w:color w:val="auto"/>
          <w:sz w:val="32"/>
          <w:szCs w:val="32"/>
          <w:highlight w:val="none"/>
          <w:lang w:val="en-US" w:eastAsia="zh-CN"/>
        </w:rPr>
        <w:t>阜康市滋泥泉子镇中心幼儿园</w:t>
      </w:r>
      <w:bookmarkEnd w:id="136"/>
      <w:r>
        <w:rPr>
          <w:rFonts w:hint="eastAsia" w:ascii="仿宋_GB2312" w:hAnsi="仿宋_GB2312" w:eastAsia="仿宋_GB2312" w:cs="仿宋_GB2312"/>
          <w:color w:val="auto"/>
          <w:sz w:val="32"/>
          <w:szCs w:val="32"/>
          <w:highlight w:val="none"/>
          <w:lang w:eastAsia="zh-CN"/>
        </w:rPr>
        <w:t>资金管理办法》《阜康市滋泥泉子镇中心幼儿园财务制度》；</w:t>
      </w:r>
    </w:p>
    <w:p w14:paraId="6001DAE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11D95FD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70DDF05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01C7CB23">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11CAA718">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D7FC46D">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4.</w:t>
      </w:r>
      <w:r>
        <w:rPr>
          <w:rFonts w:hint="eastAsia" w:ascii="仿宋_GB2312" w:hAnsi="仿宋_GB2312" w:eastAsia="仿宋_GB2312" w:cs="仿宋_GB2312"/>
          <w:b/>
          <w:bCs/>
          <w:sz w:val="32"/>
          <w:szCs w:val="32"/>
          <w:lang w:val="en-US" w:eastAsia="zh-CN"/>
        </w:rPr>
        <w:t>管理制度健全性</w:t>
      </w:r>
    </w:p>
    <w:p w14:paraId="409BF63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bookmarkStart w:id="137" w:name="_Toc31684"/>
      <w:bookmarkStart w:id="138" w:name="_Toc13984"/>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bookmarkStart w:id="139" w:name="OLE_LINK3"/>
      <w:r>
        <w:rPr>
          <w:rFonts w:hint="eastAsia" w:ascii="仿宋_GB2312" w:hAnsi="仿宋_GB2312" w:eastAsia="仿宋_GB2312" w:cs="仿宋_GB2312"/>
          <w:color w:val="auto"/>
          <w:sz w:val="32"/>
          <w:szCs w:val="32"/>
          <w:highlight w:val="none"/>
          <w:lang w:val="en-US" w:eastAsia="zh-CN"/>
        </w:rPr>
        <w:t>阜康市滋泥泉子镇</w:t>
      </w:r>
      <w:bookmarkEnd w:id="139"/>
      <w:r>
        <w:rPr>
          <w:rFonts w:hint="eastAsia" w:ascii="仿宋_GB2312" w:hAnsi="仿宋_GB2312" w:eastAsia="仿宋_GB2312" w:cs="仿宋_GB2312"/>
          <w:color w:val="auto"/>
          <w:sz w:val="32"/>
          <w:szCs w:val="32"/>
          <w:highlight w:val="none"/>
          <w:lang w:val="en-US" w:eastAsia="zh-CN"/>
        </w:rPr>
        <w:t>中心幼儿园</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阜康市滋泥泉子镇中心幼儿园</w:t>
      </w:r>
      <w:r>
        <w:rPr>
          <w:rFonts w:hint="eastAsia" w:ascii="仿宋_GB2312" w:hAnsi="仿宋_GB2312" w:eastAsia="仿宋_GB2312" w:cs="仿宋_GB2312"/>
          <w:color w:val="auto"/>
          <w:sz w:val="32"/>
          <w:szCs w:val="32"/>
          <w:highlight w:val="none"/>
          <w:lang w:eastAsia="zh-CN"/>
        </w:rPr>
        <w:t>收支业务管理制度》《</w:t>
      </w:r>
      <w:r>
        <w:rPr>
          <w:rFonts w:hint="eastAsia" w:ascii="仿宋_GB2312" w:hAnsi="仿宋_GB2312" w:eastAsia="仿宋_GB2312" w:cs="仿宋_GB2312"/>
          <w:color w:val="auto"/>
          <w:sz w:val="32"/>
          <w:szCs w:val="32"/>
          <w:highlight w:val="none"/>
          <w:lang w:val="en-US" w:eastAsia="zh-CN"/>
        </w:rPr>
        <w:t>阜康市滋泥泉子镇中心幼儿园</w:t>
      </w:r>
      <w:r>
        <w:rPr>
          <w:rFonts w:hint="eastAsia" w:ascii="仿宋_GB2312" w:hAnsi="仿宋_GB2312" w:eastAsia="仿宋_GB2312" w:cs="仿宋_GB2312"/>
          <w:color w:val="auto"/>
          <w:sz w:val="32"/>
          <w:szCs w:val="32"/>
          <w:highlight w:val="none"/>
          <w:lang w:eastAsia="zh-CN"/>
        </w:rPr>
        <w:t>政府采购业务管理制度》《</w:t>
      </w:r>
      <w:bookmarkStart w:id="140" w:name="OLE_LINK4"/>
      <w:r>
        <w:rPr>
          <w:rFonts w:hint="eastAsia" w:ascii="仿宋_GB2312" w:hAnsi="仿宋_GB2312" w:eastAsia="仿宋_GB2312" w:cs="仿宋_GB2312"/>
          <w:color w:val="auto"/>
          <w:sz w:val="32"/>
          <w:szCs w:val="32"/>
          <w:highlight w:val="none"/>
          <w:lang w:val="en-US" w:eastAsia="zh-CN"/>
        </w:rPr>
        <w:t>阜康市滋泥泉子镇</w:t>
      </w:r>
      <w:bookmarkEnd w:id="140"/>
      <w:r>
        <w:rPr>
          <w:rFonts w:hint="eastAsia" w:ascii="仿宋_GB2312" w:hAnsi="仿宋_GB2312" w:eastAsia="仿宋_GB2312" w:cs="仿宋_GB2312"/>
          <w:color w:val="auto"/>
          <w:sz w:val="32"/>
          <w:szCs w:val="32"/>
          <w:highlight w:val="none"/>
          <w:lang w:val="en-US" w:eastAsia="zh-CN"/>
        </w:rPr>
        <w:t>中心幼儿园</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52F79E0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3227D5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5956297">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5.制度执行有效性</w:t>
      </w:r>
      <w:bookmarkEnd w:id="137"/>
      <w:bookmarkEnd w:id="138"/>
    </w:p>
    <w:p w14:paraId="2EC97DF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bookmarkStart w:id="141" w:name="_Toc2441"/>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val="en-US" w:eastAsia="zh-CN"/>
        </w:rPr>
        <w:t>阜康市滋泥泉子镇中心幼儿园财务</w:t>
      </w:r>
      <w:r>
        <w:rPr>
          <w:rFonts w:hint="eastAsia" w:ascii="仿宋_GB2312" w:hAnsi="仿宋_GB2312" w:eastAsia="仿宋_GB2312" w:cs="仿宋_GB2312"/>
          <w:color w:val="auto"/>
          <w:sz w:val="32"/>
          <w:szCs w:val="32"/>
          <w:highlight w:val="none"/>
        </w:rPr>
        <w:t>管理制度》《</w:t>
      </w:r>
      <w:r>
        <w:rPr>
          <w:rFonts w:hint="eastAsia" w:ascii="仿宋_GB2312" w:hAnsi="仿宋_GB2312" w:eastAsia="仿宋_GB2312" w:cs="仿宋_GB2312"/>
          <w:color w:val="auto"/>
          <w:sz w:val="32"/>
          <w:szCs w:val="32"/>
          <w:highlight w:val="none"/>
          <w:lang w:val="en-US" w:eastAsia="zh-CN"/>
        </w:rPr>
        <w:t>阜康市滋泥泉子镇中心幼儿园</w:t>
      </w:r>
      <w:r>
        <w:rPr>
          <w:rFonts w:hint="eastAsia" w:ascii="仿宋_GB2312" w:hAnsi="仿宋_GB2312" w:eastAsia="仿宋_GB2312" w:cs="仿宋_GB2312"/>
          <w:color w:val="auto"/>
          <w:sz w:val="32"/>
          <w:szCs w:val="32"/>
          <w:highlight w:val="none"/>
        </w:rPr>
        <w:t>采购管理制度》《</w:t>
      </w:r>
      <w:r>
        <w:rPr>
          <w:rFonts w:hint="eastAsia" w:ascii="仿宋_GB2312" w:hAnsi="仿宋_GB2312" w:eastAsia="仿宋_GB2312" w:cs="仿宋_GB2312"/>
          <w:color w:val="auto"/>
          <w:sz w:val="32"/>
          <w:szCs w:val="32"/>
          <w:highlight w:val="none"/>
          <w:lang w:val="en-US" w:eastAsia="zh-CN"/>
        </w:rPr>
        <w:t>阜康市滋泥泉子镇中心幼儿园</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2523539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该项目实施过程中不存在调整事项</w:t>
      </w:r>
      <w:r>
        <w:rPr>
          <w:rFonts w:hint="eastAsia" w:ascii="仿宋_GB2312" w:hAnsi="仿宋_GB2312" w:eastAsia="仿宋_GB2312" w:cs="仿宋_GB2312"/>
          <w:color w:val="auto"/>
          <w:sz w:val="32"/>
          <w:szCs w:val="32"/>
          <w:highlight w:val="none"/>
          <w:lang w:eastAsia="zh-CN"/>
        </w:rPr>
        <w:t>。</w:t>
      </w:r>
    </w:p>
    <w:p w14:paraId="51BF81A3">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17F5E33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2024年选聘教师工资补助经费项目工作领导小组，由</w:t>
      </w:r>
      <w:r>
        <w:rPr>
          <w:rFonts w:hint="eastAsia" w:ascii="仿宋_GB2312" w:hAnsi="仿宋_GB2312" w:eastAsia="仿宋_GB2312" w:cs="仿宋_GB2312"/>
          <w:color w:val="auto"/>
          <w:sz w:val="32"/>
          <w:szCs w:val="32"/>
          <w:highlight w:val="none"/>
          <w:lang w:val="en-US" w:eastAsia="zh-CN"/>
        </w:rPr>
        <w:t>李欢</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郑杰、马圆丽</w:t>
      </w:r>
      <w:r>
        <w:rPr>
          <w:rFonts w:hint="eastAsia" w:ascii="仿宋_GB2312" w:hAnsi="仿宋_GB2312" w:eastAsia="仿宋_GB2312" w:cs="仿宋_GB2312"/>
          <w:color w:val="auto"/>
          <w:sz w:val="32"/>
          <w:szCs w:val="32"/>
          <w:highlight w:val="none"/>
          <w:lang w:eastAsia="zh-CN"/>
        </w:rPr>
        <w:t>任副组长，负责项目的实施工作；组员包括：张倩楠、</w:t>
      </w:r>
      <w:r>
        <w:rPr>
          <w:rFonts w:hint="eastAsia" w:ascii="仿宋_GB2312" w:hAnsi="仿宋_GB2312" w:eastAsia="仿宋_GB2312" w:cs="仿宋_GB2312"/>
          <w:color w:val="auto"/>
          <w:sz w:val="32"/>
          <w:szCs w:val="32"/>
          <w:highlight w:val="none"/>
          <w:lang w:val="en-US" w:eastAsia="zh-CN"/>
        </w:rPr>
        <w:t>王娟娟、杜凤媚、王梦瑶</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2D94EDD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2FD7B2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r>
        <w:rPr>
          <w:rFonts w:hint="eastAsia" w:ascii="Times New Roman" w:hAnsi="Times New Roman" w:eastAsia="楷体_GB2312" w:cs="Times New Roman"/>
          <w:kern w:val="28"/>
          <w:sz w:val="32"/>
          <w:lang w:val="en-US" w:eastAsia="zh-CN"/>
        </w:rPr>
        <w:t>（三）项目产出情况</w:t>
      </w:r>
      <w:bookmarkEnd w:id="141"/>
    </w:p>
    <w:p w14:paraId="44FDA0F8">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38.38</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768B56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1990D83A">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FD64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5B72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FC73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DB3A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B1D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FAF5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8017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14:paraId="2F2B8749">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6C85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C7171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96DA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选聘教师人数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BD9F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374A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8248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04AF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r>
      <w:tr w14:paraId="5A06DC9C">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EEFB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DBBBED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55FC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工资支付次数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B465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52D7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C8D6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11次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D251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9.17</w:t>
            </w:r>
          </w:p>
        </w:tc>
      </w:tr>
      <w:tr w14:paraId="10BF57E5">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B717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692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A41C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人员经费享受比例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F9A0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bookmarkStart w:id="142" w:name="OLE_LINK8"/>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bookmarkEnd w:id="142"/>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36F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D8F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92.1%</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B7D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9.21</w:t>
            </w:r>
          </w:p>
        </w:tc>
      </w:tr>
      <w:tr w14:paraId="79D058C8">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0843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59AD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D97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选聘教师工资发放时间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778D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bookmarkStart w:id="143" w:name="OLE_LINK7"/>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=1次/月</w:t>
            </w:r>
            <w:bookmarkEnd w:id="143"/>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DF98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0478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=1次/月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D974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r>
      <w:tr w14:paraId="0938651A">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5070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1A67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1BEF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人员经费标准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8955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=5.62万元/人/学年</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1C73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418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=5.62万元/人/学年</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BD70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r>
      <w:tr w14:paraId="747D026E">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D22C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F68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5D18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4970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38.38</w:t>
            </w:r>
          </w:p>
        </w:tc>
      </w:tr>
    </w:tbl>
    <w:p w14:paraId="3D3E47A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44" w:name="_Toc26689"/>
      <w:bookmarkStart w:id="145" w:name="_Toc11067"/>
      <w:r>
        <w:rPr>
          <w:rFonts w:hint="eastAsia" w:ascii="仿宋_GB2312" w:hAnsi="仿宋_GB2312" w:eastAsia="仿宋_GB2312" w:cs="仿宋_GB2312"/>
          <w:b/>
          <w:bCs/>
          <w:sz w:val="32"/>
          <w:szCs w:val="32"/>
          <w:lang w:val="en-US" w:eastAsia="zh-CN"/>
        </w:rPr>
        <w:t>1.数量指标完成情况</w:t>
      </w:r>
      <w:bookmarkEnd w:id="144"/>
      <w:bookmarkEnd w:id="145"/>
    </w:p>
    <w:p w14:paraId="6439AC1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46" w:name="_Toc31739"/>
      <w:bookmarkStart w:id="147" w:name="_Toc14255"/>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选聘教师人数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指标，预期目标值为≧10人，实际完成为10人。实际完成率</w:t>
      </w:r>
      <w:bookmarkStart w:id="148" w:name="OLE_LINK9"/>
      <w:r>
        <w:rPr>
          <w:rFonts w:hint="eastAsia" w:ascii="仿宋_GB2312" w:hAnsi="仿宋_GB2312" w:eastAsia="仿宋_GB2312" w:cs="仿宋_GB2312"/>
          <w:color w:val="auto"/>
          <w:sz w:val="32"/>
          <w:szCs w:val="32"/>
          <w:highlight w:val="none"/>
          <w:lang w:val="en-US" w:eastAsia="zh-CN"/>
        </w:rPr>
        <w:t>=（10人/10人）×100%=100%</w:t>
      </w:r>
      <w:bookmarkEnd w:id="148"/>
      <w:r>
        <w:rPr>
          <w:rFonts w:hint="eastAsia" w:ascii="仿宋_GB2312" w:hAnsi="仿宋_GB2312" w:eastAsia="仿宋_GB2312" w:cs="仿宋_GB2312"/>
          <w:color w:val="auto"/>
          <w:sz w:val="32"/>
          <w:szCs w:val="32"/>
          <w:highlight w:val="none"/>
          <w:lang w:val="en-US" w:eastAsia="zh-CN"/>
        </w:rPr>
        <w:t>。</w:t>
      </w:r>
    </w:p>
    <w:p w14:paraId="234BB36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工资支付次数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 xml:space="preserve">指标，预期目标值为=12次，实际完成为11次。实际完成率=（11次/12次）×100%=91.67%。  </w:t>
      </w:r>
    </w:p>
    <w:p w14:paraId="36C02CB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偏差原因：因选聘教师是次月发放工资，所以次数有未完成情况。</w:t>
      </w:r>
    </w:p>
    <w:p w14:paraId="7FF71106">
      <w:pPr>
        <w:keepNext w:val="0"/>
        <w:keepLines w:val="0"/>
        <w:pageBreakBefore w:val="0"/>
        <w:widowControl w:val="0"/>
        <w:kinsoku/>
        <w:wordWrap/>
        <w:overflowPunct/>
        <w:topLinePunct w:val="0"/>
        <w:autoSpaceDE/>
        <w:autoSpaceDN/>
        <w:bidi w:val="0"/>
        <w:adjustRightInd/>
        <w:snapToGri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综上，该项指标满分20分，得分19.17分。</w:t>
      </w:r>
    </w:p>
    <w:p w14:paraId="415482B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w:t>
      </w:r>
      <w:bookmarkEnd w:id="146"/>
      <w:r>
        <w:rPr>
          <w:rFonts w:hint="eastAsia" w:ascii="仿宋_GB2312" w:hAnsi="仿宋_GB2312" w:eastAsia="仿宋_GB2312" w:cs="仿宋_GB2312"/>
          <w:b/>
          <w:bCs/>
          <w:sz w:val="32"/>
          <w:szCs w:val="32"/>
          <w:lang w:val="en-US" w:eastAsia="zh-CN"/>
        </w:rPr>
        <w:t>质量指标完成情况</w:t>
      </w:r>
      <w:bookmarkEnd w:id="147"/>
    </w:p>
    <w:p w14:paraId="3C6CE6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人员经费享受比例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指标，预期目标值为=100%，实际完成为92.1%。实际完成率92.1%。</w:t>
      </w:r>
    </w:p>
    <w:p w14:paraId="514B8AB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偏差原因：上年选聘教师工资预算工作完成后，有一名教师退休，本年度按11人下拨资金，但实际人数10人。</w:t>
      </w:r>
    </w:p>
    <w:p w14:paraId="01BB7A4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综上，该项指标满分10分，得分9.21分。</w:t>
      </w:r>
    </w:p>
    <w:p w14:paraId="7E8CB68D">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49" w:name="_Toc18307"/>
      <w:bookmarkStart w:id="150" w:name="_Toc28885"/>
      <w:r>
        <w:rPr>
          <w:rFonts w:hint="eastAsia" w:ascii="仿宋_GB2312" w:hAnsi="仿宋_GB2312" w:eastAsia="仿宋_GB2312" w:cs="仿宋_GB2312"/>
          <w:b/>
          <w:bCs/>
          <w:sz w:val="32"/>
          <w:szCs w:val="32"/>
          <w:lang w:val="en-US" w:eastAsia="zh-CN"/>
        </w:rPr>
        <w:t>3.</w:t>
      </w:r>
      <w:bookmarkEnd w:id="149"/>
      <w:r>
        <w:rPr>
          <w:rFonts w:hint="eastAsia" w:ascii="仿宋_GB2312" w:hAnsi="仿宋_GB2312" w:eastAsia="仿宋_GB2312" w:cs="仿宋_GB2312"/>
          <w:b/>
          <w:bCs/>
          <w:sz w:val="32"/>
          <w:szCs w:val="32"/>
          <w:lang w:val="en-US" w:eastAsia="zh-CN"/>
        </w:rPr>
        <w:t>时效指标完成情况</w:t>
      </w:r>
      <w:bookmarkEnd w:id="150"/>
    </w:p>
    <w:p w14:paraId="67B1D8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选聘教师工资发放时间</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指标，预期目标值为=1次/月，实际完成为1次/月。实际完成率100%。</w:t>
      </w:r>
    </w:p>
    <w:p w14:paraId="7067A48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1BE85B3E">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51" w:name="_Toc32765"/>
      <w:bookmarkStart w:id="152" w:name="_Toc20607"/>
      <w:r>
        <w:rPr>
          <w:rFonts w:hint="eastAsia" w:ascii="仿宋_GB2312" w:hAnsi="仿宋_GB2312" w:eastAsia="仿宋_GB2312" w:cs="仿宋_GB2312"/>
          <w:b/>
          <w:bCs/>
          <w:sz w:val="32"/>
          <w:szCs w:val="32"/>
          <w:lang w:val="en-US" w:eastAsia="zh-CN"/>
        </w:rPr>
        <w:t>4.项目</w:t>
      </w:r>
      <w:bookmarkEnd w:id="151"/>
      <w:r>
        <w:rPr>
          <w:rFonts w:hint="eastAsia" w:ascii="仿宋_GB2312" w:hAnsi="仿宋_GB2312" w:eastAsia="仿宋_GB2312" w:cs="仿宋_GB2312"/>
          <w:b/>
          <w:bCs/>
          <w:sz w:val="32"/>
          <w:szCs w:val="32"/>
          <w:lang w:val="en-US" w:eastAsia="zh-CN"/>
        </w:rPr>
        <w:t>成本情况</w:t>
      </w:r>
      <w:bookmarkEnd w:id="152"/>
    </w:p>
    <w:p w14:paraId="08C3AC7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bookmarkStart w:id="153" w:name="_Toc19424"/>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232D04D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人员经费标准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指标，预期目标值为=5.62万元/人/学年，实际完成为</w:t>
      </w:r>
      <w:bookmarkStart w:id="154" w:name="OLE_LINK24"/>
      <w:r>
        <w:rPr>
          <w:rFonts w:hint="eastAsia" w:ascii="仿宋_GB2312" w:hAnsi="仿宋_GB2312" w:eastAsia="仿宋_GB2312" w:cs="仿宋_GB2312"/>
          <w:color w:val="auto"/>
          <w:sz w:val="32"/>
          <w:szCs w:val="32"/>
          <w:highlight w:val="none"/>
          <w:lang w:val="en-US" w:eastAsia="zh-CN"/>
        </w:rPr>
        <w:t>5.62万元/人/学年</w:t>
      </w:r>
      <w:bookmarkEnd w:id="154"/>
      <w:r>
        <w:rPr>
          <w:rFonts w:hint="eastAsia" w:ascii="仿宋_GB2312" w:hAnsi="仿宋_GB2312" w:eastAsia="仿宋_GB2312" w:cs="仿宋_GB2312"/>
          <w:color w:val="auto"/>
          <w:sz w:val="32"/>
          <w:szCs w:val="32"/>
          <w:highlight w:val="none"/>
          <w:lang w:val="en-US" w:eastAsia="zh-CN"/>
        </w:rPr>
        <w:t>。实际完成率=（5.62万元/5.62万元）×100%=100%。</w:t>
      </w:r>
    </w:p>
    <w:p w14:paraId="66A5ED0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2564C65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r>
        <w:rPr>
          <w:rFonts w:hint="eastAsia" w:ascii="Times New Roman" w:hAnsi="Times New Roman" w:eastAsia="楷体_GB2312" w:cs="Times New Roman"/>
          <w:kern w:val="28"/>
          <w:sz w:val="32"/>
          <w:lang w:val="en-US" w:eastAsia="zh-CN"/>
        </w:rPr>
        <w:t>（四）项目效益情况</w:t>
      </w:r>
      <w:bookmarkEnd w:id="153"/>
    </w:p>
    <w:p w14:paraId="447E1E49">
      <w:pPr>
        <w:pageBreakBefore w:val="0"/>
        <w:widowControl w:val="0"/>
        <w:kinsoku/>
        <w:wordWrap/>
        <w:overflowPunct/>
        <w:topLinePunct w:val="0"/>
        <w:autoSpaceDE/>
        <w:autoSpaceDN/>
        <w:bidi w:val="0"/>
        <w:adjustRightInd/>
        <w:spacing w:line="560" w:lineRule="exact"/>
        <w:ind w:firstLine="560"/>
        <w:jc w:val="left"/>
        <w:textAlignment w:val="auto"/>
        <w:rPr>
          <w:rFonts w:hint="eastAsia" w:cs="宋体"/>
          <w:b/>
          <w:bCs/>
          <w:color w:val="FF0000"/>
          <w:kern w:val="0"/>
          <w:sz w:val="28"/>
          <w:szCs w:val="28"/>
          <w:highlight w:val="none"/>
          <w:shd w:val="clear" w:color="auto" w:fill="auto"/>
          <w:lang w:val="zh-TW" w:eastAsia="zh-CN"/>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360B061">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275C8C2">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3A8811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14:paraId="52FE25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FBF993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2E39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0F71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14:paraId="08AA29C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8808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14:paraId="6D5532E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BD8B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14:paraId="1909FFD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CAD8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14:paraId="048BE0F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424BB48D">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BFC66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37B30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经济效益指标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F81F24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幼儿园正常运转率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5D5D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bookmarkStart w:id="155" w:name="OLE_LINK30"/>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bookmarkEnd w:id="155"/>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F9FF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0DF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E41F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r>
      <w:tr w14:paraId="795A453C">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5C52D24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5AE404C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511822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改善教学环境，提供良好的学生成长条件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4C56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321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781C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5A1F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14:paraId="07A60996">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C53C95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BF42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5B7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教师满意度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7A09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bookmarkStart w:id="156" w:name="OLE_LINK33"/>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≥90%</w:t>
            </w:r>
            <w:bookmarkEnd w:id="156"/>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7B1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A5CC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9A2C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r>
      <w:tr w14:paraId="631A3CD6">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DA15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827C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8104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192F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20</w:t>
            </w:r>
          </w:p>
        </w:tc>
      </w:tr>
    </w:tbl>
    <w:p w14:paraId="561CD08D">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57" w:name="_Toc5170"/>
      <w:bookmarkStart w:id="158" w:name="_Toc8010"/>
      <w:r>
        <w:rPr>
          <w:rFonts w:hint="eastAsia" w:ascii="仿宋_GB2312" w:hAnsi="仿宋_GB2312" w:eastAsia="仿宋_GB2312" w:cs="仿宋_GB2312"/>
          <w:b/>
          <w:bCs/>
          <w:sz w:val="32"/>
          <w:szCs w:val="32"/>
          <w:lang w:val="en-US" w:eastAsia="zh-CN"/>
        </w:rPr>
        <w:t>1.</w:t>
      </w:r>
      <w:bookmarkEnd w:id="157"/>
      <w:bookmarkEnd w:id="158"/>
      <w:r>
        <w:rPr>
          <w:rFonts w:hint="eastAsia" w:ascii="仿宋_GB2312" w:hAnsi="仿宋_GB2312" w:eastAsia="仿宋_GB2312" w:cs="仿宋_GB2312"/>
          <w:b/>
          <w:bCs/>
          <w:sz w:val="32"/>
          <w:szCs w:val="32"/>
          <w:lang w:val="en-US" w:eastAsia="zh-CN"/>
        </w:rPr>
        <w:t>社会效益指标完成情况</w:t>
      </w:r>
    </w:p>
    <w:p w14:paraId="6633B325">
      <w:pPr>
        <w:pageBreakBefore w:val="0"/>
        <w:numPr>
          <w:ilvl w:val="0"/>
          <w:numId w:val="3"/>
        </w:numP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59" w:name="_Toc27006"/>
      <w:bookmarkStart w:id="160" w:name="_Toc29606"/>
      <w:r>
        <w:rPr>
          <w:rFonts w:hint="eastAsia" w:ascii="仿宋_GB2312" w:hAnsi="仿宋_GB2312" w:eastAsia="仿宋_GB2312" w:cs="仿宋_GB2312"/>
          <w:color w:val="auto"/>
          <w:sz w:val="32"/>
          <w:szCs w:val="32"/>
          <w:highlight w:val="none"/>
          <w:lang w:eastAsia="zh-CN"/>
        </w:rPr>
        <w:t>“</w:t>
      </w:r>
      <w:r>
        <w:rPr>
          <w:rFonts w:hint="default" w:ascii="仿宋_GB2312" w:hAnsi="仿宋_GB2312" w:eastAsia="仿宋_GB2312" w:cs="仿宋_GB2312"/>
          <w:color w:val="auto"/>
          <w:sz w:val="32"/>
          <w:szCs w:val="32"/>
          <w:highlight w:val="none"/>
          <w:lang w:val="en-US" w:eastAsia="zh-CN"/>
        </w:rPr>
        <w:t>学校正常运转率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w:t>
      </w:r>
      <w:bookmarkStart w:id="161" w:name="OLE_LINK28"/>
    </w:p>
    <w:p w14:paraId="2EF55EEA">
      <w:pPr>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通过项目的实施，达到了改善校园环境，提升幼儿教育教学环境的效益。</w:t>
      </w:r>
    </w:p>
    <w:p w14:paraId="47935036">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改善教学环境，提供良好的学生成长条件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指标，预期目标值为改善，实际完成为达到预期指标。</w:t>
      </w:r>
    </w:p>
    <w:bookmarkEnd w:id="159"/>
    <w:bookmarkEnd w:id="160"/>
    <w:bookmarkEnd w:id="161"/>
    <w:p w14:paraId="13F8BEF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bookmarkStart w:id="162" w:name="_Toc6622"/>
      <w:r>
        <w:rPr>
          <w:rFonts w:hint="eastAsia" w:ascii="仿宋_GB2312" w:hAnsi="仿宋_GB2312" w:eastAsia="仿宋_GB2312" w:cs="仿宋_GB2312"/>
          <w:b w:val="0"/>
          <w:bCs w:val="0"/>
          <w:color w:val="auto"/>
          <w:sz w:val="32"/>
          <w:szCs w:val="32"/>
          <w:highlight w:val="none"/>
          <w:lang w:val="en-US" w:eastAsia="zh-CN"/>
        </w:rPr>
        <w:t>通过项目的实施，保障了教师的正常工资待遇，提高教师的归属感，减少教师队伍人员流失，有效改善教学环境，提供良好的幼儿成长条件。</w:t>
      </w:r>
    </w:p>
    <w:p w14:paraId="1A29A24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63" w:name="OLE_LINK31"/>
      <w:r>
        <w:rPr>
          <w:rFonts w:hint="eastAsia" w:ascii="仿宋_GB2312" w:hAnsi="仿宋_GB2312" w:eastAsia="仿宋_GB2312" w:cs="仿宋_GB2312"/>
          <w:b/>
          <w:bCs/>
          <w:color w:val="auto"/>
          <w:sz w:val="32"/>
          <w:szCs w:val="32"/>
          <w:highlight w:val="none"/>
          <w:lang w:val="en-US" w:eastAsia="zh-CN"/>
        </w:rPr>
        <w:t>综上，该项指标满分15分，得分15分。</w:t>
      </w:r>
      <w:bookmarkEnd w:id="163"/>
    </w:p>
    <w:p w14:paraId="1C310F7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kern w:val="28"/>
          <w:sz w:val="32"/>
          <w:highlight w:val="none"/>
          <w:lang w:val="en-US" w:eastAsia="zh-CN"/>
        </w:rPr>
      </w:pPr>
      <w:bookmarkStart w:id="164" w:name="_Toc23313"/>
      <w:r>
        <w:rPr>
          <w:rFonts w:hint="eastAsia" w:ascii="Times New Roman" w:hAnsi="Times New Roman" w:eastAsia="楷体_GB2312" w:cs="Times New Roman"/>
          <w:b/>
          <w:bCs/>
          <w:kern w:val="28"/>
          <w:sz w:val="32"/>
          <w:highlight w:val="none"/>
          <w:lang w:val="en-US" w:eastAsia="zh-CN"/>
        </w:rPr>
        <w:t>（五）满意度指标完成情况分析</w:t>
      </w:r>
      <w:bookmarkEnd w:id="164"/>
    </w:p>
    <w:p w14:paraId="086AF62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教师满意度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指标，预期目标值为≥90%，实际完成为90%。</w:t>
      </w:r>
    </w:p>
    <w:p w14:paraId="516C2816">
      <w:pPr>
        <w:pStyle w:val="3"/>
        <w:pageBreakBefore w:val="0"/>
        <w:kinsoku/>
        <w:wordWrap/>
        <w:overflowPunct/>
        <w:topLinePunct w:val="0"/>
        <w:autoSpaceDE/>
        <w:autoSpaceDN/>
        <w:bidi w:val="0"/>
        <w:adjustRightInd/>
        <w:spacing w:beforeLines="0" w:afterLines="0"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1D6A1CCE">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62"/>
    </w:p>
    <w:p w14:paraId="5A882FE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65" w:name="_Toc15449"/>
      <w:bookmarkStart w:id="166" w:name="_Toc28290"/>
      <w:bookmarkStart w:id="167" w:name="_Toc1921"/>
      <w:r>
        <w:rPr>
          <w:rFonts w:hint="eastAsia" w:ascii="Times New Roman" w:hAnsi="Times New Roman" w:eastAsia="楷体_GB2312" w:cs="Times New Roman"/>
          <w:b/>
          <w:bCs/>
          <w:kern w:val="28"/>
          <w:sz w:val="32"/>
          <w:highlight w:val="none"/>
          <w:lang w:val="en-US" w:eastAsia="zh-CN"/>
        </w:rPr>
        <w:t>（一）主要经验及做法</w:t>
      </w:r>
      <w:bookmarkEnd w:id="165"/>
    </w:p>
    <w:bookmarkEnd w:id="166"/>
    <w:bookmarkEnd w:id="167"/>
    <w:p w14:paraId="4E71BF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bookmarkStart w:id="168" w:name="_Toc11349"/>
      <w:bookmarkStart w:id="169" w:name="_Toc28971"/>
      <w:r>
        <w:rPr>
          <w:rFonts w:hint="eastAsia" w:ascii="仿宋_GB2312" w:hAnsi="仿宋_GB2312" w:eastAsia="仿宋_GB2312" w:cs="仿宋_GB2312"/>
          <w:color w:val="auto"/>
          <w:sz w:val="32"/>
          <w:szCs w:val="32"/>
          <w:highlight w:val="none"/>
          <w:lang w:val="en-US" w:eastAsia="zh-CN"/>
        </w:rPr>
        <w:t>2024年选聘教师工资补助经费</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61.02</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56.17</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92.1</w:t>
      </w:r>
      <w:r>
        <w:rPr>
          <w:rFonts w:hint="eastAsia" w:ascii="仿宋_GB2312" w:hAnsi="仿宋_GB2312" w:eastAsia="仿宋_GB2312" w:cs="仿宋_GB2312"/>
          <w:color w:val="auto"/>
          <w:sz w:val="32"/>
          <w:szCs w:val="32"/>
          <w:highlight w:val="none"/>
          <w:lang w:eastAsia="zh-CN"/>
        </w:rPr>
        <w:t>%。</w:t>
      </w:r>
    </w:p>
    <w:p w14:paraId="4971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bookmarkStart w:id="170" w:name="OLE_LINK6"/>
      <w:r>
        <w:rPr>
          <w:rFonts w:hint="eastAsia" w:ascii="仿宋_GB2312" w:hAnsi="仿宋_GB2312" w:eastAsia="仿宋_GB2312" w:cs="仿宋_GB2312"/>
          <w:color w:val="auto"/>
          <w:sz w:val="32"/>
          <w:szCs w:val="32"/>
          <w:highlight w:val="none"/>
          <w:lang w:val="en-US" w:eastAsia="zh-CN"/>
        </w:rPr>
        <w:t>阜康市滋泥泉子镇</w:t>
      </w:r>
      <w:bookmarkEnd w:id="170"/>
      <w:r>
        <w:rPr>
          <w:rFonts w:hint="eastAsia" w:ascii="仿宋_GB2312" w:hAnsi="仿宋_GB2312" w:eastAsia="仿宋_GB2312" w:cs="仿宋_GB2312"/>
          <w:color w:val="auto"/>
          <w:sz w:val="32"/>
          <w:szCs w:val="32"/>
          <w:highlight w:val="none"/>
          <w:lang w:val="en-US" w:eastAsia="zh-CN"/>
        </w:rPr>
        <w:t>中心幼儿园</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阜康市滋泥泉子镇中心幼儿园</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p w14:paraId="19B9940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71"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71"/>
    </w:p>
    <w:p w14:paraId="6131812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1.发放不及时：在项目实施过程中，存在工资补助经费发放不及时的情况。原因分析:可能由于资金审批流程繁琐、部门之间协调不畅等原因导致的。</w:t>
      </w:r>
    </w:p>
    <w:p w14:paraId="3A443874">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2.在项目实施期间部分业务人员未能全面深入认识理解项目管理工作的意义。</w:t>
      </w:r>
      <w:bookmarkStart w:id="172" w:name="OLE_LINK16"/>
      <w:r>
        <w:rPr>
          <w:rFonts w:hint="eastAsia" w:ascii="仿宋_GB2312" w:hAnsi="仿宋_GB2312" w:eastAsia="仿宋_GB2312" w:cs="仿宋_GB2312"/>
          <w:color w:val="auto"/>
          <w:sz w:val="32"/>
          <w:szCs w:val="32"/>
          <w:highlight w:val="none"/>
          <w:lang w:val="en-US" w:eastAsia="zh-CN"/>
        </w:rPr>
        <w:t>原因分析:</w:t>
      </w:r>
      <w:bookmarkEnd w:id="172"/>
      <w:r>
        <w:rPr>
          <w:rFonts w:hint="eastAsia" w:ascii="仿宋_GB2312" w:hAnsi="仿宋_GB2312" w:eastAsia="仿宋_GB2312" w:cs="仿宋_GB2312"/>
          <w:color w:val="auto"/>
          <w:sz w:val="32"/>
          <w:szCs w:val="32"/>
          <w:highlight w:val="none"/>
          <w:lang w:val="en-US" w:eastAsia="zh-CN"/>
        </w:rPr>
        <w:t>项目管理经验不足，项目管理工作有待进一步落实。</w:t>
      </w:r>
    </w:p>
    <w:p w14:paraId="6913C133">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73" w:name="_Toc3333"/>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73"/>
    </w:p>
    <w:p w14:paraId="092F76F8">
      <w:pPr>
        <w:pageBreakBefore w:val="0"/>
        <w:kinsoku/>
        <w:wordWrap/>
        <w:overflowPunct/>
        <w:topLinePunct w:val="0"/>
        <w:autoSpaceDE/>
        <w:autoSpaceDN/>
        <w:bidi w:val="0"/>
        <w:spacing w:line="560" w:lineRule="exact"/>
        <w:textAlignment w:val="auto"/>
        <w:outlineLvl w:val="1"/>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（一）简化审批环节：对工资补助经费的审批流程进行全面梳理，减少不必要的中间环节，明确各部门职责与审批时限，建立高效的审批机制，确保资金快速、准确到位。</w:t>
      </w:r>
    </w:p>
    <w:p w14:paraId="6428C34E">
      <w:pPr>
        <w:pStyle w:val="3"/>
        <w:pageBreakBefore w:val="0"/>
        <w:kinsoku/>
        <w:wordWrap/>
        <w:overflowPunct/>
        <w:topLinePunct w:val="0"/>
        <w:autoSpaceDE/>
        <w:autoSpaceDN/>
        <w:bidi w:val="0"/>
        <w:adjustRightInd/>
        <w:spacing w:beforeLines="0" w:afterLines="0" w:line="560" w:lineRule="exac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（二）</w:t>
      </w:r>
      <w:bookmarkStart w:id="174" w:name="_Toc14256"/>
      <w:r>
        <w:rPr>
          <w:rFonts w:hint="eastAsia" w:ascii="仿宋_GB2312" w:hAnsi="仿宋_GB2312" w:eastAsia="仿宋_GB2312" w:cs="仿宋_GB2312"/>
          <w:color w:val="auto"/>
          <w:kern w:val="2"/>
          <w:sz w:val="32"/>
          <w:szCs w:val="32"/>
          <w:highlight w:val="none"/>
          <w:lang w:val="en-US" w:eastAsia="zh-CN" w:bidi="ar-SA"/>
        </w:rPr>
        <w:t>加强项目管理，健全单位项目管理制度体系。 加大项目管理人员的业务培训，确保项目能够顺利实施。</w:t>
      </w:r>
    </w:p>
    <w:p w14:paraId="78211D63">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74"/>
    </w:p>
    <w:p w14:paraId="40A243E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37108A95">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4662FBA6">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highlight w:val="none"/>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68"/>
      <w:bookmarkEnd w:id="169"/>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9"/>
        <w:gridCol w:w="890"/>
        <w:gridCol w:w="890"/>
        <w:gridCol w:w="890"/>
        <w:gridCol w:w="1135"/>
        <w:gridCol w:w="1135"/>
        <w:gridCol w:w="1217"/>
        <w:gridCol w:w="1217"/>
        <w:gridCol w:w="1135"/>
        <w:gridCol w:w="890"/>
        <w:gridCol w:w="1053"/>
        <w:gridCol w:w="890"/>
        <w:gridCol w:w="890"/>
        <w:gridCol w:w="1053"/>
      </w:tblGrid>
      <w:tr w14:paraId="14785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67" w:hRule="atLeast"/>
        </w:trPr>
        <w:tc>
          <w:tcPr>
            <w:tcW w:w="5000" w:type="pct"/>
            <w:gridSpan w:val="14"/>
            <w:tcBorders>
              <w:top w:val="nil"/>
              <w:left w:val="nil"/>
              <w:bottom w:val="nil"/>
              <w:right w:val="nil"/>
            </w:tcBorders>
            <w:shd w:val="clear" w:color="auto" w:fill="auto"/>
            <w:vAlign w:val="center"/>
          </w:tcPr>
          <w:p w14:paraId="7217DDFA">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00A01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6B24DB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2226A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681A44A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9"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72AC9B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2024年选聘教师工资补助经费</w:t>
            </w:r>
          </w:p>
        </w:tc>
      </w:tr>
      <w:tr w14:paraId="0CF03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F5BB9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2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E88AC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阜康市财政局</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1B9E5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0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BCD9E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阜康市滋泥泉子镇中心幼儿园</w:t>
            </w:r>
          </w:p>
        </w:tc>
      </w:tr>
      <w:tr w14:paraId="5775D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86A36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6BC0AC">
            <w:pPr>
              <w:jc w:val="center"/>
              <w:rPr>
                <w:rFonts w:hint="eastAsia" w:ascii="宋体" w:hAnsi="宋体" w:eastAsia="宋体" w:cs="宋体"/>
                <w:b/>
                <w:bCs/>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0182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C5AE3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6946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6373D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6D307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056F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0F14A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3899A4">
            <w:pPr>
              <w:jc w:val="center"/>
              <w:rPr>
                <w:rFonts w:hint="eastAsia" w:ascii="宋体" w:hAnsi="宋体" w:eastAsia="宋体" w:cs="宋体"/>
                <w:b/>
                <w:bCs/>
                <w:i w:val="0"/>
                <w:iCs w:val="0"/>
                <w:color w:val="000000"/>
                <w:sz w:val="18"/>
                <w:szCs w:val="18"/>
                <w:u w:val="none"/>
              </w:rPr>
            </w:pP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7521F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618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61.84</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9DFE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61.02</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63E4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56.17</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9027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2C9F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92.05%</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B73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9.21</w:t>
            </w:r>
          </w:p>
        </w:tc>
      </w:tr>
      <w:tr w14:paraId="05CFF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9BB172">
            <w:pPr>
              <w:jc w:val="center"/>
              <w:rPr>
                <w:rFonts w:hint="eastAsia" w:ascii="宋体" w:hAnsi="宋体" w:eastAsia="宋体" w:cs="宋体"/>
                <w:b/>
                <w:bCs/>
                <w:i w:val="0"/>
                <w:iCs w:val="0"/>
                <w:color w:val="000000"/>
                <w:sz w:val="18"/>
                <w:szCs w:val="18"/>
                <w:u w:val="none"/>
              </w:rPr>
            </w:pP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939E7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F38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61.84</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14B8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61.02</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31C1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56.17</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5FD3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E7FA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3C6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9B62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DC5EA">
            <w:pPr>
              <w:jc w:val="center"/>
              <w:rPr>
                <w:rFonts w:hint="eastAsia" w:ascii="宋体" w:hAnsi="宋体" w:eastAsia="宋体" w:cs="宋体"/>
                <w:b/>
                <w:bCs/>
                <w:i w:val="0"/>
                <w:iCs w:val="0"/>
                <w:color w:val="000000"/>
                <w:sz w:val="18"/>
                <w:szCs w:val="18"/>
                <w:u w:val="none"/>
              </w:rPr>
            </w:pP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40D4B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C1D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C8C2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6AFD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51C4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F1AE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222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A220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AC87A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3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1ECBA5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6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00EC95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0EDA3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88C66">
            <w:pPr>
              <w:jc w:val="center"/>
              <w:rPr>
                <w:rFonts w:hint="eastAsia" w:ascii="宋体" w:hAnsi="宋体" w:eastAsia="宋体" w:cs="宋体"/>
                <w:b/>
                <w:bCs/>
                <w:i w:val="0"/>
                <w:iCs w:val="0"/>
                <w:color w:val="000000"/>
                <w:sz w:val="18"/>
                <w:szCs w:val="18"/>
                <w:u w:val="none"/>
              </w:rPr>
            </w:pPr>
          </w:p>
        </w:tc>
        <w:tc>
          <w:tcPr>
            <w:tcW w:w="193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BAF15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2024年幼儿园正常运转，维持幼儿园正常教学秩序。计划全年按时支付选聘教师11人12次工资补助经费，每人每年5.62万元。通过按时发放选聘教师工资，保障教师的正常工资待遇，提高教师的归属感，减少教师队伍人员流失，有效改善教学环境，提供良好的幼儿成长条件，达到幼儿园正常运转的目的。</w:t>
            </w:r>
          </w:p>
        </w:tc>
        <w:tc>
          <w:tcPr>
            <w:tcW w:w="286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FDF99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选聘教师10人12次工资发放，每人每年5.62万元，共支付56.17万元。项目的实施保障了教师正常工资待遇，提高教师归属感，减少教师队伍人员流失，有效改善教学环境，提供良好的幼儿成长条件，达到幼儿园正常运转的社会效益。</w:t>
            </w:r>
          </w:p>
        </w:tc>
      </w:tr>
      <w:tr w14:paraId="2607D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1A3134">
            <w:pPr>
              <w:jc w:val="center"/>
              <w:rPr>
                <w:rFonts w:hint="eastAsia" w:ascii="宋体" w:hAnsi="宋体" w:eastAsia="宋体" w:cs="宋体"/>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BD09B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DA72B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CAA76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F9514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A280D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A1E48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B04B6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69335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28104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E8AAD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B2462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5E07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B54B7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34254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604D7">
            <w:pPr>
              <w:jc w:val="center"/>
              <w:rPr>
                <w:rFonts w:hint="eastAsia" w:ascii="宋体" w:hAnsi="宋体" w:eastAsia="宋体" w:cs="宋体"/>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F072A6">
            <w:pPr>
              <w:jc w:val="center"/>
              <w:rPr>
                <w:rFonts w:hint="eastAsia" w:ascii="宋体" w:hAnsi="宋体" w:eastAsia="宋体" w:cs="宋体"/>
                <w:b/>
                <w:bCs/>
                <w:i w:val="0"/>
                <w:iCs w:val="0"/>
                <w:color w:val="000000"/>
                <w:sz w:val="18"/>
                <w:szCs w:val="18"/>
                <w:u w:val="none"/>
              </w:rPr>
            </w:pPr>
          </w:p>
        </w:tc>
        <w:tc>
          <w:tcPr>
            <w:tcW w:w="2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56B02">
            <w:pPr>
              <w:jc w:val="center"/>
              <w:rPr>
                <w:rFonts w:hint="eastAsia" w:ascii="宋体" w:hAnsi="宋体" w:eastAsia="宋体" w:cs="宋体"/>
                <w:b/>
                <w:bCs/>
                <w:i w:val="0"/>
                <w:iCs w:val="0"/>
                <w:color w:val="000000"/>
                <w:sz w:val="18"/>
                <w:szCs w:val="18"/>
                <w:u w:val="none"/>
              </w:rPr>
            </w:pPr>
          </w:p>
        </w:tc>
        <w:tc>
          <w:tcPr>
            <w:tcW w:w="4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7D1F5">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9541F">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A695B3">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E2281">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2CE7D">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46B47">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8EF1D">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AA46A">
            <w:pPr>
              <w:jc w:val="center"/>
              <w:rPr>
                <w:rFonts w:hint="eastAsia" w:ascii="宋体" w:hAnsi="宋体" w:eastAsia="宋体" w:cs="宋体"/>
                <w:b/>
                <w:bCs/>
                <w:i w:val="0"/>
                <w:iCs w:val="0"/>
                <w:color w:val="000000"/>
                <w:sz w:val="18"/>
                <w:szCs w:val="18"/>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8248D">
            <w:pPr>
              <w:jc w:val="center"/>
              <w:rPr>
                <w:rFonts w:hint="eastAsia" w:ascii="宋体" w:hAnsi="宋体" w:eastAsia="宋体" w:cs="宋体"/>
                <w:b/>
                <w:bCs/>
                <w:i w:val="0"/>
                <w:iCs w:val="0"/>
                <w:color w:val="000000"/>
                <w:sz w:val="18"/>
                <w:szCs w:val="18"/>
                <w:u w:val="none"/>
              </w:rPr>
            </w:pPr>
          </w:p>
        </w:tc>
        <w:tc>
          <w:tcPr>
            <w:tcW w:w="3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62A6C">
            <w:pPr>
              <w:jc w:val="center"/>
              <w:rPr>
                <w:rFonts w:hint="eastAsia" w:ascii="宋体" w:hAnsi="宋体" w:eastAsia="宋体" w:cs="宋体"/>
                <w:b/>
                <w:bCs/>
                <w:i w:val="0"/>
                <w:iCs w:val="0"/>
                <w:color w:val="000000"/>
                <w:sz w:val="18"/>
                <w:szCs w:val="18"/>
                <w:u w:val="none"/>
              </w:rPr>
            </w:pPr>
          </w:p>
        </w:tc>
        <w:tc>
          <w:tcPr>
            <w:tcW w:w="8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7630B7">
            <w:pPr>
              <w:jc w:val="center"/>
              <w:rPr>
                <w:rFonts w:hint="eastAsia" w:ascii="宋体" w:hAnsi="宋体" w:eastAsia="宋体" w:cs="宋体"/>
                <w:b/>
                <w:bCs/>
                <w:i w:val="0"/>
                <w:iCs w:val="0"/>
                <w:color w:val="000000"/>
                <w:sz w:val="18"/>
                <w:szCs w:val="18"/>
                <w:u w:val="none"/>
              </w:rPr>
            </w:pPr>
          </w:p>
        </w:tc>
      </w:tr>
      <w:tr w14:paraId="15D4F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39CD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bookmarkStart w:id="179" w:name="_GoBack" w:colFirst="7" w:colLast="7"/>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7217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B66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609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选聘教师人数</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D65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6B5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&gt;=10人</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15F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=10人</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9EBF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5D1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EC9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9F9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11人</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702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EBE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17017">
            <w:pPr>
              <w:jc w:val="center"/>
              <w:rPr>
                <w:rFonts w:hint="eastAsia" w:ascii="宋体" w:hAnsi="宋体" w:eastAsia="宋体" w:cs="宋体"/>
                <w:i w:val="0"/>
                <w:iCs w:val="0"/>
                <w:color w:val="000000"/>
                <w:sz w:val="18"/>
                <w:szCs w:val="18"/>
                <w:u w:val="none"/>
              </w:rPr>
            </w:pPr>
          </w:p>
        </w:tc>
      </w:tr>
      <w:tr w14:paraId="3A626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C2B5C">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49C38">
            <w:pPr>
              <w:jc w:val="center"/>
              <w:rPr>
                <w:rFonts w:hint="eastAsia" w:ascii="宋体" w:hAnsi="宋体" w:eastAsia="宋体" w:cs="宋体"/>
                <w:i w:val="0"/>
                <w:iCs w:val="0"/>
                <w:color w:val="000000"/>
                <w:sz w:val="18"/>
                <w:szCs w:val="1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024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AF2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审计中央转移支付项目数（个）</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538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FF3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4A3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=11次</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C606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91.67%</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86D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12A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598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B0F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107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4DA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因为本年度1月工资发放时间为2月，导致全年按月发放次数少1次。</w:t>
            </w:r>
          </w:p>
        </w:tc>
      </w:tr>
      <w:tr w14:paraId="24036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D6EBE4">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B2478">
            <w:pPr>
              <w:jc w:val="center"/>
              <w:rPr>
                <w:rFonts w:hint="eastAsia" w:ascii="宋体" w:hAnsi="宋体" w:eastAsia="宋体" w:cs="宋体"/>
                <w:i w:val="0"/>
                <w:iCs w:val="0"/>
                <w:color w:val="000000"/>
                <w:sz w:val="18"/>
                <w:szCs w:val="1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4AD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19A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人员经费享受比例</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F21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853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BF1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=92.1%</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64F2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5A4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9B9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D54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7C7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911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03A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上年选聘教师工资预算工作完成后，有一名教师退休，本年度按11人下拨资金，但实际人数10人。</w:t>
            </w:r>
          </w:p>
        </w:tc>
      </w:tr>
      <w:tr w14:paraId="54E8E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AF37A">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A46B7">
            <w:pPr>
              <w:jc w:val="center"/>
              <w:rPr>
                <w:rFonts w:hint="eastAsia" w:ascii="宋体" w:hAnsi="宋体" w:eastAsia="宋体" w:cs="宋体"/>
                <w:i w:val="0"/>
                <w:iCs w:val="0"/>
                <w:color w:val="000000"/>
                <w:sz w:val="18"/>
                <w:szCs w:val="1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D31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D53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选聘教师工资发放时间</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108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C4C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=1次/月</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D24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=1次/月</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4CAC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B51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AFD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CAE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C45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FBD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3D951">
            <w:pPr>
              <w:jc w:val="center"/>
              <w:rPr>
                <w:rFonts w:hint="eastAsia" w:ascii="宋体" w:hAnsi="宋体" w:eastAsia="宋体" w:cs="宋体"/>
                <w:i w:val="0"/>
                <w:iCs w:val="0"/>
                <w:color w:val="000000"/>
                <w:sz w:val="18"/>
                <w:szCs w:val="18"/>
                <w:u w:val="none"/>
              </w:rPr>
            </w:pPr>
          </w:p>
        </w:tc>
      </w:tr>
      <w:tr w14:paraId="48A9C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CDE800">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BCF3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DE1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4E2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BE0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64D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=5.62万元/人/学年</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A81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=5.62万元/人/学年</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8A68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E79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AEB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606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5.48万元/人/学年</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654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AC1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02841">
            <w:pPr>
              <w:jc w:val="center"/>
              <w:rPr>
                <w:rFonts w:hint="eastAsia" w:ascii="宋体" w:hAnsi="宋体" w:eastAsia="宋体" w:cs="宋体"/>
                <w:i w:val="0"/>
                <w:iCs w:val="0"/>
                <w:color w:val="000000"/>
                <w:sz w:val="18"/>
                <w:szCs w:val="18"/>
                <w:u w:val="none"/>
              </w:rPr>
            </w:pPr>
          </w:p>
        </w:tc>
      </w:tr>
      <w:tr w14:paraId="17201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437FCA">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1A71A">
            <w:pPr>
              <w:jc w:val="center"/>
              <w:rPr>
                <w:rFonts w:hint="eastAsia" w:ascii="宋体" w:hAnsi="宋体" w:eastAsia="宋体" w:cs="宋体"/>
                <w:i w:val="0"/>
                <w:iCs w:val="0"/>
                <w:color w:val="000000"/>
                <w:sz w:val="18"/>
                <w:szCs w:val="1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007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98107">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FEAE9">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F585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F1CF6">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1874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DDB04">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BCE8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97351">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7EC57">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3D04E">
            <w:pPr>
              <w:jc w:val="cente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26457">
            <w:pPr>
              <w:jc w:val="center"/>
              <w:rPr>
                <w:rFonts w:hint="eastAsia" w:ascii="宋体" w:hAnsi="宋体" w:eastAsia="宋体" w:cs="宋体"/>
                <w:i w:val="0"/>
                <w:iCs w:val="0"/>
                <w:color w:val="000000"/>
                <w:sz w:val="18"/>
                <w:szCs w:val="18"/>
                <w:u w:val="none"/>
              </w:rPr>
            </w:pPr>
          </w:p>
        </w:tc>
      </w:tr>
      <w:tr w14:paraId="69988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5B0FF">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C859D">
            <w:pPr>
              <w:jc w:val="center"/>
              <w:rPr>
                <w:rFonts w:hint="eastAsia" w:ascii="宋体" w:hAnsi="宋体" w:eastAsia="宋体" w:cs="宋体"/>
                <w:i w:val="0"/>
                <w:iCs w:val="0"/>
                <w:color w:val="000000"/>
                <w:sz w:val="18"/>
                <w:szCs w:val="1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326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0D87D">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A8FB4">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B38FF">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0FF55">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7A8A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74D43">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0E07E">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89D66">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0524A">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76A3D">
            <w:pPr>
              <w:jc w:val="cente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34460">
            <w:pPr>
              <w:jc w:val="center"/>
              <w:rPr>
                <w:rFonts w:hint="eastAsia" w:ascii="宋体" w:hAnsi="宋体" w:eastAsia="宋体" w:cs="宋体"/>
                <w:i w:val="0"/>
                <w:iCs w:val="0"/>
                <w:color w:val="000000"/>
                <w:sz w:val="18"/>
                <w:szCs w:val="18"/>
                <w:u w:val="none"/>
              </w:rPr>
            </w:pPr>
          </w:p>
        </w:tc>
      </w:tr>
      <w:tr w14:paraId="102C3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53CD4">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3B17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87E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F592F">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BD273">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798A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2406B">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3B38D">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0A568">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613D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8261A">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C8927">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A9318">
            <w:pPr>
              <w:jc w:val="cente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A8F7E">
            <w:pPr>
              <w:jc w:val="center"/>
              <w:rPr>
                <w:rFonts w:hint="eastAsia" w:ascii="宋体" w:hAnsi="宋体" w:eastAsia="宋体" w:cs="宋体"/>
                <w:i w:val="0"/>
                <w:iCs w:val="0"/>
                <w:color w:val="000000"/>
                <w:sz w:val="18"/>
                <w:szCs w:val="18"/>
                <w:u w:val="none"/>
              </w:rPr>
            </w:pPr>
          </w:p>
        </w:tc>
      </w:tr>
      <w:tr w14:paraId="51689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83F3D9">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A24AC">
            <w:pPr>
              <w:jc w:val="center"/>
              <w:rPr>
                <w:rFonts w:hint="eastAsia" w:ascii="宋体" w:hAnsi="宋体" w:eastAsia="宋体" w:cs="宋体"/>
                <w:i w:val="0"/>
                <w:iCs w:val="0"/>
                <w:color w:val="000000"/>
                <w:sz w:val="18"/>
                <w:szCs w:val="1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6E4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CFB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幼儿园正常运转率</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6E5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51F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813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B5AC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DF8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BE1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24E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19F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601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26437">
            <w:pPr>
              <w:jc w:val="center"/>
              <w:rPr>
                <w:rFonts w:hint="eastAsia" w:ascii="宋体" w:hAnsi="宋体" w:eastAsia="宋体" w:cs="宋体"/>
                <w:i w:val="0"/>
                <w:iCs w:val="0"/>
                <w:color w:val="000000"/>
                <w:sz w:val="18"/>
                <w:szCs w:val="18"/>
                <w:u w:val="none"/>
              </w:rPr>
            </w:pPr>
          </w:p>
        </w:tc>
      </w:tr>
      <w:tr w14:paraId="58BC2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607D5">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5357F">
            <w:pPr>
              <w:jc w:val="center"/>
              <w:rPr>
                <w:rFonts w:hint="eastAsia" w:ascii="宋体" w:hAnsi="宋体" w:eastAsia="宋体" w:cs="宋体"/>
                <w:i w:val="0"/>
                <w:iCs w:val="0"/>
                <w:color w:val="000000"/>
                <w:sz w:val="18"/>
                <w:szCs w:val="1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2B7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739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改善教学环境，提供良好的学生成长条件</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CB7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B66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A8C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D4A4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5B8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179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283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742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FA4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CCE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上年退休1人，岗位空缺，导致人员不够。</w:t>
            </w:r>
          </w:p>
        </w:tc>
      </w:tr>
      <w:tr w14:paraId="6FF06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738E9A">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5B58D">
            <w:pPr>
              <w:jc w:val="center"/>
              <w:rPr>
                <w:rFonts w:hint="eastAsia" w:ascii="宋体" w:hAnsi="宋体" w:eastAsia="宋体" w:cs="宋体"/>
                <w:i w:val="0"/>
                <w:iCs w:val="0"/>
                <w:color w:val="000000"/>
                <w:sz w:val="18"/>
                <w:szCs w:val="1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211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30151">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27921">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7739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87165">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33ACA">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3284F">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B06FE">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FC016">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F8CF6">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21F8D">
            <w:pPr>
              <w:jc w:val="cente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D0CE4">
            <w:pPr>
              <w:jc w:val="center"/>
              <w:rPr>
                <w:rFonts w:hint="eastAsia" w:ascii="宋体" w:hAnsi="宋体" w:eastAsia="宋体" w:cs="宋体"/>
                <w:i w:val="0"/>
                <w:iCs w:val="0"/>
                <w:color w:val="000000"/>
                <w:sz w:val="18"/>
                <w:szCs w:val="18"/>
                <w:u w:val="none"/>
              </w:rPr>
            </w:pPr>
          </w:p>
        </w:tc>
      </w:tr>
      <w:tr w14:paraId="3A035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A0DB32">
            <w:pPr>
              <w:jc w:val="center"/>
              <w:rPr>
                <w:rFonts w:hint="eastAsia" w:ascii="宋体" w:hAnsi="宋体" w:eastAsia="宋体" w:cs="宋体"/>
                <w:b/>
                <w:bCs/>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DD4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751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13EF1">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7D8C5">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05DCE">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6BA5D">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80E66">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8FE1D">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A42D0">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08171">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0D641">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60AE8">
            <w:pPr>
              <w:jc w:val="cente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27E2E">
            <w:pPr>
              <w:jc w:val="center"/>
              <w:rPr>
                <w:rFonts w:hint="eastAsia" w:ascii="宋体" w:hAnsi="宋体" w:eastAsia="宋体" w:cs="宋体"/>
                <w:i w:val="0"/>
                <w:iCs w:val="0"/>
                <w:color w:val="000000"/>
                <w:sz w:val="18"/>
                <w:szCs w:val="18"/>
                <w:u w:val="none"/>
              </w:rPr>
            </w:pPr>
          </w:p>
        </w:tc>
      </w:tr>
      <w:bookmarkEnd w:id="179"/>
      <w:tr w14:paraId="35E15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57" w:type="pct"/>
            <w:gridSpan w:val="4"/>
            <w:tcBorders>
              <w:top w:val="single" w:color="000000" w:sz="4" w:space="0"/>
              <w:left w:val="single" w:color="000000" w:sz="4" w:space="0"/>
              <w:bottom w:val="single" w:color="000000" w:sz="4" w:space="0"/>
              <w:right w:val="nil"/>
            </w:tcBorders>
            <w:shd w:val="clear" w:color="auto" w:fill="auto"/>
            <w:vAlign w:val="center"/>
          </w:tcPr>
          <w:p w14:paraId="594D8F4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0C3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nil"/>
              <w:bottom w:val="single" w:color="000000" w:sz="4" w:space="0"/>
              <w:right w:val="single" w:color="000000" w:sz="4" w:space="0"/>
            </w:tcBorders>
            <w:shd w:val="clear" w:color="auto" w:fill="auto"/>
            <w:vAlign w:val="center"/>
          </w:tcPr>
          <w:p w14:paraId="687C6F29">
            <w:pP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E2290">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F3555">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E2B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94.11分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086FB">
            <w:pP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98EAA">
            <w:pP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75F02">
            <w:pP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E5C9A">
            <w:pP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F8B3B">
            <w:pPr>
              <w:rPr>
                <w:rFonts w:hint="eastAsia" w:ascii="宋体" w:hAnsi="宋体" w:eastAsia="宋体" w:cs="宋体"/>
                <w:i w:val="0"/>
                <w:iCs w:val="0"/>
                <w:color w:val="000000"/>
                <w:sz w:val="18"/>
                <w:szCs w:val="18"/>
                <w:u w:val="none"/>
              </w:rPr>
            </w:pPr>
          </w:p>
        </w:tc>
      </w:tr>
    </w:tbl>
    <w:p w14:paraId="6C15793B">
      <w:pPr>
        <w:ind w:left="0" w:leftChars="0" w:firstLine="0" w:firstLineChars="0"/>
      </w:pPr>
      <w:r>
        <w:br w:type="page"/>
      </w:r>
    </w:p>
    <w:p w14:paraId="7EDC722B">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75" w:name="_Toc15067"/>
      <w:bookmarkStart w:id="176" w:name="_Toc11223"/>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75"/>
      <w:bookmarkEnd w:id="176"/>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490F10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4B7142B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一级指标</w:t>
            </w:r>
          </w:p>
        </w:tc>
        <w:tc>
          <w:tcPr>
            <w:tcW w:w="727" w:type="dxa"/>
            <w:shd w:val="clear" w:color="auto" w:fill="auto"/>
            <w:noWrap w:val="0"/>
            <w:vAlign w:val="center"/>
          </w:tcPr>
          <w:p w14:paraId="78899E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二级指标</w:t>
            </w:r>
          </w:p>
        </w:tc>
        <w:tc>
          <w:tcPr>
            <w:tcW w:w="820" w:type="dxa"/>
            <w:shd w:val="clear" w:color="auto" w:fill="auto"/>
            <w:noWrap w:val="0"/>
            <w:vAlign w:val="center"/>
          </w:tcPr>
          <w:p w14:paraId="10253C7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三级指标</w:t>
            </w:r>
          </w:p>
        </w:tc>
        <w:tc>
          <w:tcPr>
            <w:tcW w:w="2141" w:type="dxa"/>
            <w:shd w:val="clear" w:color="auto" w:fill="auto"/>
            <w:noWrap w:val="0"/>
            <w:vAlign w:val="center"/>
          </w:tcPr>
          <w:p w14:paraId="1080F00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指标解释</w:t>
            </w:r>
          </w:p>
        </w:tc>
        <w:tc>
          <w:tcPr>
            <w:tcW w:w="7821" w:type="dxa"/>
            <w:shd w:val="clear" w:color="auto" w:fill="auto"/>
            <w:noWrap w:val="0"/>
            <w:vAlign w:val="center"/>
          </w:tcPr>
          <w:p w14:paraId="51D862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指标说明</w:t>
            </w:r>
          </w:p>
        </w:tc>
        <w:tc>
          <w:tcPr>
            <w:tcW w:w="785" w:type="dxa"/>
            <w:shd w:val="clear" w:color="auto" w:fill="auto"/>
            <w:noWrap w:val="0"/>
            <w:vAlign w:val="center"/>
          </w:tcPr>
          <w:p w14:paraId="10FD390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highlight w:val="none"/>
                <w:lang w:val="en-US" w:eastAsia="zh-CN"/>
              </w:rPr>
            </w:pPr>
            <w:r>
              <w:rPr>
                <w:rFonts w:hint="eastAsia" w:ascii="宋体" w:hAnsi="宋体" w:eastAsia="宋体" w:cs="宋体"/>
                <w:b/>
                <w:bCs/>
                <w:color w:val="000000"/>
                <w:kern w:val="0"/>
                <w:sz w:val="22"/>
                <w:szCs w:val="22"/>
                <w:highlight w:val="none"/>
                <w:lang w:val="en-US" w:eastAsia="zh-CN"/>
              </w:rPr>
              <w:t>分值</w:t>
            </w:r>
          </w:p>
        </w:tc>
        <w:tc>
          <w:tcPr>
            <w:tcW w:w="769" w:type="dxa"/>
            <w:shd w:val="clear" w:color="auto" w:fill="auto"/>
            <w:noWrap w:val="0"/>
            <w:vAlign w:val="center"/>
          </w:tcPr>
          <w:p w14:paraId="09C9258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highlight w:val="none"/>
                <w:lang w:val="en-US" w:eastAsia="zh-CN"/>
              </w:rPr>
            </w:pPr>
            <w:r>
              <w:rPr>
                <w:rFonts w:hint="eastAsia" w:ascii="宋体" w:hAnsi="宋体" w:eastAsia="宋体" w:cs="宋体"/>
                <w:b/>
                <w:bCs/>
                <w:color w:val="000000"/>
                <w:kern w:val="0"/>
                <w:sz w:val="22"/>
                <w:szCs w:val="22"/>
                <w:highlight w:val="none"/>
                <w:lang w:val="en-US" w:eastAsia="zh-CN"/>
              </w:rPr>
              <w:t>得分</w:t>
            </w:r>
          </w:p>
        </w:tc>
      </w:tr>
      <w:tr w14:paraId="256F0B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315EFBF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36D196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697B2AE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68F5EF3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3CBB454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2190ED4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4166C17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16DBA47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CD22B9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71040D1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172F68F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6A3556A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7CC8EC79">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24B4168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5C7CAEF">
            <w:pPr>
              <w:pageBreakBefore w:val="0"/>
              <w:widowControl/>
              <w:kinsoku/>
              <w:wordWrap/>
              <w:overflowPunct/>
              <w:topLinePunct w:val="0"/>
              <w:autoSpaceDE/>
              <w:autoSpaceDN/>
              <w:bidi w:val="0"/>
              <w:spacing w:line="240" w:lineRule="auto"/>
              <w:ind w:firstLine="220" w:firstLineChars="100"/>
              <w:jc w:val="left"/>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61F157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1389971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7FB7788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45FFC77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2BFDD1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0FA3BD7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2CE9135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47EEE4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377FB48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5EE1286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3BC9B8B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2F069947">
            <w:pPr>
              <w:pageBreakBefore w:val="0"/>
              <w:widowControl/>
              <w:kinsoku/>
              <w:wordWrap/>
              <w:overflowPunct/>
              <w:topLinePunct w:val="0"/>
              <w:autoSpaceDE/>
              <w:autoSpaceDN/>
              <w:bidi w:val="0"/>
              <w:spacing w:line="240" w:lineRule="auto"/>
              <w:ind w:left="0" w:leftChars="0" w:firstLine="220" w:firstLineChars="100"/>
              <w:jc w:val="both"/>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2.2</w:t>
            </w:r>
          </w:p>
        </w:tc>
      </w:tr>
      <w:tr w14:paraId="08F05A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01A75E4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229F88F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0F02AA2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29AE821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27A6017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760FA3E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079FD4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26FBEF9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38AF483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4AA5E9E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31FD30F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4662840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DF3240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645B03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E6981E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1BAB08A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1D8C7B3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67C800F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04E875A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1D9FF81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AE5F3C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684E34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72863B3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2FD5CA1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65E9E9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D6F054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7AA506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13825FE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24F99E4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498022C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532B511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0AA676E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6189BB1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6195D5C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25DFED8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2AE3C1B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7DBBEFA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515B7D3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736312C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0D0C6D3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14F676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181EF3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1338005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15FC657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487EB5A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57C6341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0BA8E55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8FBB45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29422AF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0F1618F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5FA5B83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61E2BD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04EDB1F5">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306BD09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030F48D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auto" w:fill="auto"/>
            <w:noWrap w:val="0"/>
            <w:vAlign w:val="center"/>
          </w:tcPr>
          <w:p w14:paraId="31FCDD2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5147994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p w14:paraId="7726F3E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实际到位资金/预算资金）×100%。</w:t>
            </w:r>
          </w:p>
          <w:p w14:paraId="399D041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0AEB851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1B19BC1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457973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7C0F4B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71066200">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7B0E13E4">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7FD3C94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auto"/>
            <w:noWrap w:val="0"/>
            <w:vAlign w:val="center"/>
          </w:tcPr>
          <w:p w14:paraId="3DE4077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auto"/>
            <w:noWrap w:val="0"/>
            <w:vAlign w:val="center"/>
          </w:tcPr>
          <w:p w14:paraId="62A279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32D4850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17B1353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A7BD27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3.68</w:t>
            </w:r>
          </w:p>
        </w:tc>
      </w:tr>
      <w:tr w14:paraId="21E94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33D1A56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658233A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auto"/>
            <w:noWrap w:val="0"/>
            <w:vAlign w:val="center"/>
          </w:tcPr>
          <w:p w14:paraId="105CA43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443B441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7A82620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auto" w:fill="auto"/>
            <w:noWrap w:val="0"/>
            <w:vAlign w:val="center"/>
          </w:tcPr>
          <w:p w14:paraId="2607A66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auto" w:fill="auto"/>
            <w:noWrap w:val="0"/>
            <w:vAlign w:val="center"/>
          </w:tcPr>
          <w:p w14:paraId="0717A68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252EF5D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22F2985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7CA3FA3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024F184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auto" w:fill="auto"/>
            <w:noWrap w:val="0"/>
            <w:vAlign w:val="center"/>
          </w:tcPr>
          <w:p w14:paraId="6DAB651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AAFE005">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6911C0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6F8243C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3BEAF59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11B00D51">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069C2CA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0D70B37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auto" w:fill="auto"/>
            <w:noWrap w:val="0"/>
            <w:vAlign w:val="center"/>
          </w:tcPr>
          <w:p w14:paraId="7F06A08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4806A50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66C45E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30F927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auto" w:fill="auto"/>
            <w:noWrap w:val="0"/>
            <w:vAlign w:val="center"/>
          </w:tcPr>
          <w:p w14:paraId="38B4926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2F29B0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1B7004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3B7A05B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305E98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1EB3A1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64FB9D6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auto" w:fill="auto"/>
            <w:noWrap w:val="0"/>
            <w:vAlign w:val="center"/>
          </w:tcPr>
          <w:p w14:paraId="22807D4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auto" w:fill="auto"/>
            <w:noWrap w:val="0"/>
            <w:vAlign w:val="center"/>
          </w:tcPr>
          <w:p w14:paraId="6684FBD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114401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14:paraId="23FC3A4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14:paraId="4F14777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14:paraId="1C4F98A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auto" w:fill="auto"/>
            <w:noWrap w:val="0"/>
            <w:vAlign w:val="center"/>
          </w:tcPr>
          <w:p w14:paraId="4C12FF6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2F72EB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3EFB3B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70004F1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5CB6A0D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15DCED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000000"/>
                <w:kern w:val="0"/>
                <w:sz w:val="22"/>
                <w:szCs w:val="22"/>
              </w:rPr>
              <w:t>选聘教师人数</w:t>
            </w:r>
          </w:p>
        </w:tc>
        <w:tc>
          <w:tcPr>
            <w:tcW w:w="2141" w:type="dxa"/>
            <w:shd w:val="clear" w:color="auto" w:fill="auto"/>
            <w:noWrap w:val="0"/>
            <w:vAlign w:val="center"/>
          </w:tcPr>
          <w:p w14:paraId="4ABEC6C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auto" w:fill="auto"/>
            <w:noWrap w:val="0"/>
            <w:vAlign w:val="center"/>
          </w:tcPr>
          <w:p w14:paraId="172BFF8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478F5BA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36D3163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3837BAC9">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auto" w:fill="auto"/>
            <w:noWrap w:val="0"/>
            <w:vAlign w:val="center"/>
          </w:tcPr>
          <w:p w14:paraId="60090E6E">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14:paraId="432FB6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3C15EE9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727" w:type="dxa"/>
            <w:shd w:val="clear" w:color="auto" w:fill="auto"/>
            <w:noWrap w:val="0"/>
            <w:vAlign w:val="center"/>
          </w:tcPr>
          <w:p w14:paraId="25BF7B8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820" w:type="dxa"/>
            <w:shd w:val="clear" w:color="auto" w:fill="auto"/>
            <w:noWrap w:val="0"/>
            <w:vAlign w:val="center"/>
          </w:tcPr>
          <w:p w14:paraId="526EF2E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auto"/>
                <w:kern w:val="0"/>
                <w:sz w:val="22"/>
                <w:szCs w:val="22"/>
                <w:highlight w:val="none"/>
              </w:rPr>
              <w:t>工资支付次数</w:t>
            </w:r>
          </w:p>
        </w:tc>
        <w:tc>
          <w:tcPr>
            <w:tcW w:w="2141" w:type="dxa"/>
            <w:shd w:val="clear" w:color="auto" w:fill="auto"/>
            <w:noWrap w:val="0"/>
            <w:vAlign w:val="center"/>
          </w:tcPr>
          <w:p w14:paraId="0B9D7FF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1AD1CC8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2964408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50E6F49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1F9E916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auto"/>
                <w:kern w:val="0"/>
                <w:sz w:val="22"/>
                <w:szCs w:val="22"/>
                <w:highlight w:val="none"/>
              </w:rPr>
              <w:t>10</w:t>
            </w:r>
          </w:p>
        </w:tc>
        <w:tc>
          <w:tcPr>
            <w:tcW w:w="769" w:type="dxa"/>
            <w:shd w:val="clear" w:color="auto" w:fill="auto"/>
            <w:noWrap w:val="0"/>
            <w:vAlign w:val="center"/>
          </w:tcPr>
          <w:p w14:paraId="5A2EEE0A">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auto"/>
                <w:kern w:val="0"/>
                <w:sz w:val="22"/>
                <w:szCs w:val="22"/>
                <w:highlight w:val="none"/>
                <w:lang w:val="en-US" w:eastAsia="zh-CN"/>
              </w:rPr>
              <w:t>9.17</w:t>
            </w:r>
          </w:p>
        </w:tc>
      </w:tr>
      <w:tr w14:paraId="4B52B1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6118EF4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4F010C4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4E2016D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auto"/>
                <w:kern w:val="0"/>
                <w:sz w:val="22"/>
                <w:szCs w:val="22"/>
                <w:highlight w:val="none"/>
              </w:rPr>
              <w:t>人员经费享受比例</w:t>
            </w:r>
          </w:p>
        </w:tc>
        <w:tc>
          <w:tcPr>
            <w:tcW w:w="2141" w:type="dxa"/>
            <w:shd w:val="clear" w:color="auto" w:fill="auto"/>
            <w:noWrap w:val="0"/>
            <w:vAlign w:val="center"/>
          </w:tcPr>
          <w:p w14:paraId="1DF71D6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05ED76A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3D65B0C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4FDBCAF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5A3396D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rPr>
            </w:pPr>
            <w:r>
              <w:rPr>
                <w:rFonts w:hint="eastAsia" w:cs="宋体"/>
                <w:color w:val="auto"/>
                <w:kern w:val="0"/>
                <w:sz w:val="22"/>
                <w:szCs w:val="22"/>
                <w:highlight w:val="none"/>
                <w:lang w:val="en-US" w:eastAsia="zh-CN"/>
              </w:rPr>
              <w:t>9.21</w:t>
            </w:r>
          </w:p>
        </w:tc>
      </w:tr>
      <w:tr w14:paraId="3D310D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1D0F39B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shd w:val="clear" w:color="auto" w:fill="auto"/>
            <w:noWrap w:val="0"/>
            <w:vAlign w:val="center"/>
          </w:tcPr>
          <w:p w14:paraId="3B92261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290EDF1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auto"/>
                <w:kern w:val="0"/>
                <w:sz w:val="22"/>
                <w:szCs w:val="22"/>
                <w:highlight w:val="none"/>
              </w:rPr>
              <w:t>选聘教师工资发放时间</w:t>
            </w:r>
          </w:p>
        </w:tc>
        <w:tc>
          <w:tcPr>
            <w:tcW w:w="2141" w:type="dxa"/>
            <w:shd w:val="clear" w:color="auto" w:fill="auto"/>
            <w:noWrap w:val="0"/>
            <w:vAlign w:val="center"/>
          </w:tcPr>
          <w:p w14:paraId="1EE797A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auto" w:fill="auto"/>
            <w:noWrap w:val="0"/>
            <w:vAlign w:val="center"/>
          </w:tcPr>
          <w:p w14:paraId="7636982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实际完成时间：项目实施单位完成该项目实际所耗用的时间。</w:t>
            </w:r>
          </w:p>
          <w:p w14:paraId="1626D06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auto" w:fill="auto"/>
            <w:noWrap w:val="0"/>
            <w:vAlign w:val="center"/>
          </w:tcPr>
          <w:p w14:paraId="48C32B3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07E36AD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40A93A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0AD9D55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727" w:type="dxa"/>
            <w:shd w:val="clear" w:color="auto" w:fill="auto"/>
            <w:noWrap w:val="0"/>
            <w:vAlign w:val="center"/>
          </w:tcPr>
          <w:p w14:paraId="29AFAA8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17542B7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auto"/>
                <w:kern w:val="0"/>
                <w:sz w:val="22"/>
                <w:szCs w:val="22"/>
                <w:highlight w:val="none"/>
              </w:rPr>
              <w:t>人员经费标准</w:t>
            </w:r>
          </w:p>
        </w:tc>
        <w:tc>
          <w:tcPr>
            <w:tcW w:w="2141" w:type="dxa"/>
            <w:shd w:val="clear" w:color="auto" w:fill="auto"/>
            <w:noWrap w:val="0"/>
            <w:vAlign w:val="center"/>
          </w:tcPr>
          <w:p w14:paraId="6D940CD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auto" w:fill="auto"/>
            <w:noWrap w:val="0"/>
            <w:vAlign w:val="center"/>
          </w:tcPr>
          <w:p w14:paraId="1298ED6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p w14:paraId="6D2542F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14:paraId="000C6F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14:paraId="1970E1C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auto" w:fill="auto"/>
            <w:noWrap w:val="0"/>
            <w:vAlign w:val="center"/>
          </w:tcPr>
          <w:p w14:paraId="16D30F2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4BBE50D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29C988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53CC6F8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bookmarkStart w:id="177" w:name="OLE_LINK15" w:colFirst="3" w:colLast="6"/>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00E8FB7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6E44874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cs="宋体"/>
                <w:i w:val="0"/>
                <w:iCs w:val="0"/>
                <w:color w:val="000000"/>
                <w:kern w:val="0"/>
                <w:sz w:val="20"/>
                <w:szCs w:val="20"/>
                <w:u w:val="none"/>
                <w:lang w:val="en-US" w:eastAsia="zh-CN" w:bidi="ar"/>
              </w:rPr>
              <w:t>幼儿园</w:t>
            </w:r>
            <w:r>
              <w:rPr>
                <w:rFonts w:hint="eastAsia" w:ascii="宋体" w:hAnsi="宋体" w:eastAsia="宋体" w:cs="宋体"/>
                <w:i w:val="0"/>
                <w:iCs w:val="0"/>
                <w:color w:val="000000"/>
                <w:kern w:val="0"/>
                <w:sz w:val="20"/>
                <w:szCs w:val="20"/>
                <w:u w:val="none"/>
                <w:lang w:val="en-US" w:eastAsia="zh-CN" w:bidi="ar"/>
              </w:rPr>
              <w:t>正常运转率</w:t>
            </w:r>
          </w:p>
        </w:tc>
        <w:tc>
          <w:tcPr>
            <w:tcW w:w="2141" w:type="dxa"/>
            <w:shd w:val="clear" w:color="auto" w:fill="auto"/>
            <w:noWrap w:val="0"/>
            <w:vAlign w:val="center"/>
          </w:tcPr>
          <w:p w14:paraId="7BC2A448">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auto"/>
            <w:noWrap w:val="0"/>
            <w:vAlign w:val="center"/>
          </w:tcPr>
          <w:p w14:paraId="2C7CFBA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auto"/>
            <w:noWrap w:val="0"/>
            <w:vAlign w:val="center"/>
          </w:tcPr>
          <w:p w14:paraId="5A012C32">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auto" w:fill="auto"/>
            <w:noWrap w:val="0"/>
            <w:vAlign w:val="center"/>
          </w:tcPr>
          <w:p w14:paraId="0034304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bookmarkEnd w:id="177"/>
      <w:tr w14:paraId="4FF400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03" w:hRule="atLeast"/>
          <w:jc w:val="center"/>
        </w:trPr>
        <w:tc>
          <w:tcPr>
            <w:tcW w:w="861" w:type="dxa"/>
            <w:vMerge w:val="continue"/>
            <w:shd w:val="clear" w:color="auto" w:fill="auto"/>
            <w:noWrap w:val="0"/>
            <w:vAlign w:val="center"/>
          </w:tcPr>
          <w:p w14:paraId="482A29B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bookmarkStart w:id="178" w:name="OLE_LINK17" w:colFirst="3" w:colLast="4"/>
          </w:p>
        </w:tc>
        <w:tc>
          <w:tcPr>
            <w:tcW w:w="727" w:type="dxa"/>
            <w:vMerge w:val="continue"/>
            <w:shd w:val="clear" w:color="auto" w:fill="auto"/>
            <w:noWrap w:val="0"/>
            <w:vAlign w:val="center"/>
          </w:tcPr>
          <w:p w14:paraId="5BEAEC3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820" w:type="dxa"/>
            <w:shd w:val="clear" w:color="auto" w:fill="auto"/>
            <w:noWrap w:val="0"/>
            <w:vAlign w:val="center"/>
          </w:tcPr>
          <w:p w14:paraId="57273AEF">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yellow"/>
                <w:lang w:val="en-US" w:eastAsia="zh-CN"/>
              </w:rPr>
            </w:pPr>
            <w:r>
              <w:rPr>
                <w:rFonts w:hint="eastAsia" w:ascii="宋体" w:hAnsi="宋体" w:eastAsia="宋体" w:cs="宋体"/>
                <w:i w:val="0"/>
                <w:iCs w:val="0"/>
                <w:color w:val="000000"/>
                <w:kern w:val="0"/>
                <w:sz w:val="20"/>
                <w:szCs w:val="20"/>
                <w:u w:val="none"/>
                <w:lang w:val="en-US" w:eastAsia="zh-CN" w:bidi="ar"/>
              </w:rPr>
              <w:t>改善教学环境，提供良好的学生成长条件</w:t>
            </w:r>
          </w:p>
        </w:tc>
        <w:tc>
          <w:tcPr>
            <w:tcW w:w="2141" w:type="dxa"/>
            <w:shd w:val="clear" w:color="auto" w:fill="auto"/>
            <w:noWrap w:val="0"/>
            <w:vAlign w:val="center"/>
          </w:tcPr>
          <w:p w14:paraId="6631DD3E">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auto"/>
            <w:noWrap w:val="0"/>
            <w:vAlign w:val="center"/>
          </w:tcPr>
          <w:p w14:paraId="7E56628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auto"/>
            <w:noWrap w:val="0"/>
            <w:vAlign w:val="center"/>
          </w:tcPr>
          <w:p w14:paraId="232F487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cs="宋体"/>
                <w:color w:val="000000"/>
                <w:kern w:val="0"/>
                <w:sz w:val="22"/>
                <w:szCs w:val="22"/>
                <w:lang w:val="en-US" w:eastAsia="zh-CN"/>
              </w:rPr>
              <w:t>5</w:t>
            </w:r>
          </w:p>
        </w:tc>
        <w:tc>
          <w:tcPr>
            <w:tcW w:w="769" w:type="dxa"/>
            <w:shd w:val="clear" w:color="auto" w:fill="auto"/>
            <w:noWrap w:val="0"/>
            <w:vAlign w:val="center"/>
          </w:tcPr>
          <w:p w14:paraId="0AB5BFA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cs="宋体"/>
                <w:color w:val="000000"/>
                <w:kern w:val="0"/>
                <w:sz w:val="22"/>
                <w:szCs w:val="22"/>
                <w:lang w:val="en-US" w:eastAsia="zh-CN"/>
              </w:rPr>
              <w:t>5</w:t>
            </w:r>
          </w:p>
        </w:tc>
      </w:tr>
      <w:bookmarkEnd w:id="178"/>
      <w:tr w14:paraId="1D4C64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0DE0363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0E2AC76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820" w:type="dxa"/>
            <w:shd w:val="clear" w:color="auto" w:fill="auto"/>
            <w:noWrap w:val="0"/>
            <w:vAlign w:val="center"/>
          </w:tcPr>
          <w:p w14:paraId="551601F1">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师生满意度</w:t>
            </w:r>
          </w:p>
        </w:tc>
        <w:tc>
          <w:tcPr>
            <w:tcW w:w="2141" w:type="dxa"/>
            <w:shd w:val="clear" w:color="auto" w:fill="auto"/>
            <w:noWrap w:val="0"/>
            <w:vAlign w:val="center"/>
          </w:tcPr>
          <w:p w14:paraId="66F34D2B">
            <w:pPr>
              <w:keepNext w:val="0"/>
              <w:keepLines w:val="0"/>
              <w:pageBreakBefore w:val="0"/>
              <w:widowControl/>
              <w:kinsoku/>
              <w:wordWrap/>
              <w:overflowPunct/>
              <w:topLinePunct w:val="0"/>
              <w:autoSpaceDE/>
              <w:autoSpaceDN/>
              <w:bidi w:val="0"/>
              <w:adjustRightInd/>
              <w:snapToGrid/>
              <w:spacing w:line="300" w:lineRule="exact"/>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2169A347">
            <w:pPr>
              <w:keepNext w:val="0"/>
              <w:keepLines w:val="0"/>
              <w:pageBreakBefore w:val="0"/>
              <w:widowControl/>
              <w:kinsoku/>
              <w:wordWrap/>
              <w:overflowPunct/>
              <w:topLinePunct w:val="0"/>
              <w:autoSpaceDE/>
              <w:autoSpaceDN/>
              <w:bidi w:val="0"/>
              <w:adjustRightInd/>
              <w:snapToGrid/>
              <w:spacing w:line="300" w:lineRule="exact"/>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1449A232">
            <w:pPr>
              <w:pageBreakBefore w:val="0"/>
              <w:widowControl/>
              <w:kinsoku/>
              <w:wordWrap/>
              <w:overflowPunct/>
              <w:topLinePunct w:val="0"/>
              <w:autoSpaceDE/>
              <w:autoSpaceDN/>
              <w:bidi w:val="0"/>
              <w:spacing w:line="240" w:lineRule="auto"/>
              <w:ind w:firstLine="0" w:firstLineChars="0"/>
              <w:jc w:val="center"/>
              <w:textAlignment w:val="auto"/>
              <w:rPr>
                <w:rFonts w:hint="default"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12CD5F7A">
            <w:pPr>
              <w:pageBreakBefore w:val="0"/>
              <w:widowControl/>
              <w:kinsoku/>
              <w:wordWrap/>
              <w:overflowPunct/>
              <w:topLinePunct w:val="0"/>
              <w:autoSpaceDE/>
              <w:autoSpaceDN/>
              <w:bidi w:val="0"/>
              <w:spacing w:line="240" w:lineRule="auto"/>
              <w:ind w:firstLine="0" w:firstLineChars="0"/>
              <w:jc w:val="center"/>
              <w:textAlignment w:val="auto"/>
              <w:rPr>
                <w:rFonts w:hint="default" w:cs="宋体"/>
                <w:color w:val="000000"/>
                <w:kern w:val="0"/>
                <w:sz w:val="22"/>
                <w:szCs w:val="22"/>
                <w:lang w:val="en-US" w:eastAsia="zh-CN"/>
              </w:rPr>
            </w:pPr>
            <w:r>
              <w:rPr>
                <w:rFonts w:hint="eastAsia" w:cs="宋体"/>
                <w:color w:val="000000"/>
                <w:kern w:val="0"/>
                <w:sz w:val="22"/>
                <w:szCs w:val="22"/>
                <w:lang w:val="en-US" w:eastAsia="zh-CN"/>
              </w:rPr>
              <w:t>5</w:t>
            </w:r>
          </w:p>
        </w:tc>
      </w:tr>
      <w:tr w14:paraId="47CDEA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00229AA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合计</w:t>
            </w:r>
          </w:p>
        </w:tc>
        <w:tc>
          <w:tcPr>
            <w:tcW w:w="7821" w:type="dxa"/>
            <w:shd w:val="clear" w:color="auto" w:fill="auto"/>
            <w:noWrap w:val="0"/>
            <w:vAlign w:val="center"/>
          </w:tcPr>
          <w:p w14:paraId="78CBE1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c>
          <w:tcPr>
            <w:tcW w:w="785" w:type="dxa"/>
            <w:shd w:val="clear" w:color="auto" w:fill="auto"/>
            <w:noWrap w:val="0"/>
            <w:vAlign w:val="center"/>
          </w:tcPr>
          <w:p w14:paraId="2F86FD29">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100</w:t>
            </w:r>
          </w:p>
        </w:tc>
        <w:tc>
          <w:tcPr>
            <w:tcW w:w="769" w:type="dxa"/>
            <w:shd w:val="clear" w:color="auto" w:fill="auto"/>
            <w:noWrap w:val="0"/>
            <w:vAlign w:val="center"/>
          </w:tcPr>
          <w:p w14:paraId="064B2B4F">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97.26</w:t>
            </w:r>
          </w:p>
        </w:tc>
      </w:tr>
    </w:tbl>
    <w:p w14:paraId="1C2A9491">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rPr>
      </w:pPr>
    </w:p>
    <w:p w14:paraId="44E92335">
      <w:pPr>
        <w:pageBreakBefore w:val="0"/>
        <w:kinsoku/>
        <w:wordWrap/>
        <w:overflowPunct/>
        <w:topLinePunct w:val="0"/>
        <w:autoSpaceDE/>
        <w:autoSpaceDN/>
        <w:bidi w:val="0"/>
        <w:spacing w:line="560" w:lineRule="exact"/>
        <w:textAlignment w:val="auto"/>
        <w:rPr>
          <w:rFonts w:hint="default"/>
          <w:lang w:val="en-US" w:eastAsia="zh-CN"/>
        </w:rPr>
      </w:pPr>
    </w:p>
    <w:sectPr>
      <w:footerReference r:id="rId6" w:type="default"/>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8A548">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C9C540">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5C9C540">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073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F65702">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F65702">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85E194"/>
    <w:multiLevelType w:val="singleLevel"/>
    <w:tmpl w:val="9F85E194"/>
    <w:lvl w:ilvl="0" w:tentative="0">
      <w:start w:val="1"/>
      <w:numFmt w:val="decimal"/>
      <w:suff w:val="nothing"/>
      <w:lvlText w:val="（%1）"/>
      <w:lvlJc w:val="left"/>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441BA53A"/>
    <w:multiLevelType w:val="singleLevel"/>
    <w:tmpl w:val="441BA53A"/>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7658D3"/>
    <w:rsid w:val="02B015E2"/>
    <w:rsid w:val="02DC08FA"/>
    <w:rsid w:val="033B569D"/>
    <w:rsid w:val="039C3BA0"/>
    <w:rsid w:val="03A845BB"/>
    <w:rsid w:val="03B45AD1"/>
    <w:rsid w:val="04D12EE4"/>
    <w:rsid w:val="04D63993"/>
    <w:rsid w:val="05961B33"/>
    <w:rsid w:val="07890F4F"/>
    <w:rsid w:val="07A61770"/>
    <w:rsid w:val="08111F20"/>
    <w:rsid w:val="08892439"/>
    <w:rsid w:val="08EB30F3"/>
    <w:rsid w:val="09237408"/>
    <w:rsid w:val="09781BD6"/>
    <w:rsid w:val="09F359DF"/>
    <w:rsid w:val="0A575E65"/>
    <w:rsid w:val="0ACA0AB6"/>
    <w:rsid w:val="0BEB4563"/>
    <w:rsid w:val="0C032502"/>
    <w:rsid w:val="0C27698C"/>
    <w:rsid w:val="0C5E37E8"/>
    <w:rsid w:val="0D4452F3"/>
    <w:rsid w:val="0D5F2C1C"/>
    <w:rsid w:val="0F0D4579"/>
    <w:rsid w:val="0F5E5042"/>
    <w:rsid w:val="0FE95707"/>
    <w:rsid w:val="104C77DC"/>
    <w:rsid w:val="10510571"/>
    <w:rsid w:val="10787A20"/>
    <w:rsid w:val="108672DE"/>
    <w:rsid w:val="10EC685A"/>
    <w:rsid w:val="11FA6155"/>
    <w:rsid w:val="12092851"/>
    <w:rsid w:val="12184439"/>
    <w:rsid w:val="12CF0947"/>
    <w:rsid w:val="12F1313F"/>
    <w:rsid w:val="136C678E"/>
    <w:rsid w:val="13EB2FF5"/>
    <w:rsid w:val="14161A01"/>
    <w:rsid w:val="14ED4CAC"/>
    <w:rsid w:val="15A46B04"/>
    <w:rsid w:val="15CE3C21"/>
    <w:rsid w:val="165825BC"/>
    <w:rsid w:val="168355B7"/>
    <w:rsid w:val="16BC5D73"/>
    <w:rsid w:val="176F36D7"/>
    <w:rsid w:val="1795226D"/>
    <w:rsid w:val="17B85951"/>
    <w:rsid w:val="18456B1E"/>
    <w:rsid w:val="192D566D"/>
    <w:rsid w:val="1A620A92"/>
    <w:rsid w:val="1AE87384"/>
    <w:rsid w:val="1B2E6EE1"/>
    <w:rsid w:val="1C1171C5"/>
    <w:rsid w:val="1D265138"/>
    <w:rsid w:val="1D7B6BCA"/>
    <w:rsid w:val="1DA41A79"/>
    <w:rsid w:val="1DF53469"/>
    <w:rsid w:val="1E2F24F2"/>
    <w:rsid w:val="1E58492F"/>
    <w:rsid w:val="1E5B6757"/>
    <w:rsid w:val="1ED10AC6"/>
    <w:rsid w:val="1F7C4949"/>
    <w:rsid w:val="1F89225F"/>
    <w:rsid w:val="1F900A1F"/>
    <w:rsid w:val="1FC0575D"/>
    <w:rsid w:val="206132C7"/>
    <w:rsid w:val="21B00C1D"/>
    <w:rsid w:val="23031BEB"/>
    <w:rsid w:val="23917691"/>
    <w:rsid w:val="244D65B8"/>
    <w:rsid w:val="245E1E24"/>
    <w:rsid w:val="257E320C"/>
    <w:rsid w:val="25AD5E5D"/>
    <w:rsid w:val="26437FCC"/>
    <w:rsid w:val="2732478D"/>
    <w:rsid w:val="27661469"/>
    <w:rsid w:val="27900EAD"/>
    <w:rsid w:val="279B538A"/>
    <w:rsid w:val="286F545C"/>
    <w:rsid w:val="29314FBC"/>
    <w:rsid w:val="2A2D73B2"/>
    <w:rsid w:val="2A8906FA"/>
    <w:rsid w:val="2AA2081A"/>
    <w:rsid w:val="2AEB2E6D"/>
    <w:rsid w:val="2C024B86"/>
    <w:rsid w:val="2C927671"/>
    <w:rsid w:val="2CC6306F"/>
    <w:rsid w:val="2CFA1947"/>
    <w:rsid w:val="2D7C5CD6"/>
    <w:rsid w:val="2E483E7E"/>
    <w:rsid w:val="2E690493"/>
    <w:rsid w:val="2E9854BD"/>
    <w:rsid w:val="2F0D407F"/>
    <w:rsid w:val="2F3F1B4A"/>
    <w:rsid w:val="2F454B19"/>
    <w:rsid w:val="2F8B3C72"/>
    <w:rsid w:val="310224D9"/>
    <w:rsid w:val="31B4621C"/>
    <w:rsid w:val="31E3230A"/>
    <w:rsid w:val="32E36D81"/>
    <w:rsid w:val="330957E0"/>
    <w:rsid w:val="331B4748"/>
    <w:rsid w:val="33356F64"/>
    <w:rsid w:val="33944516"/>
    <w:rsid w:val="34B62907"/>
    <w:rsid w:val="35C17C62"/>
    <w:rsid w:val="36BD137C"/>
    <w:rsid w:val="38053EDF"/>
    <w:rsid w:val="380812A4"/>
    <w:rsid w:val="385D37E7"/>
    <w:rsid w:val="38782EDD"/>
    <w:rsid w:val="389759EB"/>
    <w:rsid w:val="39044A77"/>
    <w:rsid w:val="3A9818A6"/>
    <w:rsid w:val="3AF159C7"/>
    <w:rsid w:val="3B42664A"/>
    <w:rsid w:val="3B957E99"/>
    <w:rsid w:val="3BBE2247"/>
    <w:rsid w:val="3CAD1E92"/>
    <w:rsid w:val="3D836A4E"/>
    <w:rsid w:val="3EA37E97"/>
    <w:rsid w:val="3FBE0BC5"/>
    <w:rsid w:val="4048103A"/>
    <w:rsid w:val="40736643"/>
    <w:rsid w:val="40D24A7A"/>
    <w:rsid w:val="42621029"/>
    <w:rsid w:val="42F42BF2"/>
    <w:rsid w:val="4323740B"/>
    <w:rsid w:val="435241E2"/>
    <w:rsid w:val="43975C51"/>
    <w:rsid w:val="439E3FA7"/>
    <w:rsid w:val="44B32266"/>
    <w:rsid w:val="44FC64F4"/>
    <w:rsid w:val="467F4585"/>
    <w:rsid w:val="469D3F42"/>
    <w:rsid w:val="470628CB"/>
    <w:rsid w:val="4729480B"/>
    <w:rsid w:val="47555BD4"/>
    <w:rsid w:val="47BC2DB1"/>
    <w:rsid w:val="47E96399"/>
    <w:rsid w:val="47F76025"/>
    <w:rsid w:val="480A6F32"/>
    <w:rsid w:val="486E33F5"/>
    <w:rsid w:val="48E12B50"/>
    <w:rsid w:val="49263E49"/>
    <w:rsid w:val="499441BE"/>
    <w:rsid w:val="499A6C1C"/>
    <w:rsid w:val="4A195607"/>
    <w:rsid w:val="4A2138F0"/>
    <w:rsid w:val="4A583887"/>
    <w:rsid w:val="4B266053"/>
    <w:rsid w:val="4B9F6E02"/>
    <w:rsid w:val="4C89637B"/>
    <w:rsid w:val="4E6E48A8"/>
    <w:rsid w:val="4EEC036B"/>
    <w:rsid w:val="4F714FA1"/>
    <w:rsid w:val="501D2673"/>
    <w:rsid w:val="50C80BF1"/>
    <w:rsid w:val="515F73D8"/>
    <w:rsid w:val="51852833"/>
    <w:rsid w:val="52F11AC8"/>
    <w:rsid w:val="534F49D9"/>
    <w:rsid w:val="53555F0F"/>
    <w:rsid w:val="535D23D5"/>
    <w:rsid w:val="56F4341A"/>
    <w:rsid w:val="575A7321"/>
    <w:rsid w:val="580C3AB9"/>
    <w:rsid w:val="583C7AE0"/>
    <w:rsid w:val="586C1E9A"/>
    <w:rsid w:val="586E0800"/>
    <w:rsid w:val="58753F4D"/>
    <w:rsid w:val="58FD62A5"/>
    <w:rsid w:val="59216F96"/>
    <w:rsid w:val="598C4145"/>
    <w:rsid w:val="59957D1B"/>
    <w:rsid w:val="59D4294E"/>
    <w:rsid w:val="5B634312"/>
    <w:rsid w:val="5B8B02EA"/>
    <w:rsid w:val="5B9D2CCD"/>
    <w:rsid w:val="5B9E71EA"/>
    <w:rsid w:val="5C3C5047"/>
    <w:rsid w:val="5E226FBC"/>
    <w:rsid w:val="5E755295"/>
    <w:rsid w:val="5E85415C"/>
    <w:rsid w:val="5FE72BD2"/>
    <w:rsid w:val="60120613"/>
    <w:rsid w:val="6103297D"/>
    <w:rsid w:val="618D5292"/>
    <w:rsid w:val="622E78FA"/>
    <w:rsid w:val="62505F23"/>
    <w:rsid w:val="63343F70"/>
    <w:rsid w:val="64296E1C"/>
    <w:rsid w:val="64386FCC"/>
    <w:rsid w:val="649E64A2"/>
    <w:rsid w:val="65E5270A"/>
    <w:rsid w:val="663D3C54"/>
    <w:rsid w:val="667A6962"/>
    <w:rsid w:val="66862C89"/>
    <w:rsid w:val="66BB486D"/>
    <w:rsid w:val="67394C7D"/>
    <w:rsid w:val="6797513E"/>
    <w:rsid w:val="679C5F25"/>
    <w:rsid w:val="68126B38"/>
    <w:rsid w:val="68291A1A"/>
    <w:rsid w:val="68352BB8"/>
    <w:rsid w:val="68720A94"/>
    <w:rsid w:val="691327EB"/>
    <w:rsid w:val="691B1594"/>
    <w:rsid w:val="693A016B"/>
    <w:rsid w:val="697C738B"/>
    <w:rsid w:val="6A17429C"/>
    <w:rsid w:val="6A567EA3"/>
    <w:rsid w:val="6AC14D93"/>
    <w:rsid w:val="6B4B4368"/>
    <w:rsid w:val="6B6206EF"/>
    <w:rsid w:val="6B79100E"/>
    <w:rsid w:val="6BDF5323"/>
    <w:rsid w:val="6C844C00"/>
    <w:rsid w:val="6D854400"/>
    <w:rsid w:val="6E10212C"/>
    <w:rsid w:val="6E314956"/>
    <w:rsid w:val="6E43561A"/>
    <w:rsid w:val="6E557973"/>
    <w:rsid w:val="6E8E5DF4"/>
    <w:rsid w:val="6E9568DB"/>
    <w:rsid w:val="6F03322A"/>
    <w:rsid w:val="6F0D6C22"/>
    <w:rsid w:val="6F47657F"/>
    <w:rsid w:val="6FAF23D9"/>
    <w:rsid w:val="70635CF6"/>
    <w:rsid w:val="70670707"/>
    <w:rsid w:val="720E3691"/>
    <w:rsid w:val="723E3ABA"/>
    <w:rsid w:val="7249173A"/>
    <w:rsid w:val="724E244C"/>
    <w:rsid w:val="72DA6946"/>
    <w:rsid w:val="732764B3"/>
    <w:rsid w:val="74026044"/>
    <w:rsid w:val="74325A77"/>
    <w:rsid w:val="74746410"/>
    <w:rsid w:val="74E47226"/>
    <w:rsid w:val="75103BDE"/>
    <w:rsid w:val="75C8506C"/>
    <w:rsid w:val="75E5007C"/>
    <w:rsid w:val="76AF5C27"/>
    <w:rsid w:val="76B557CB"/>
    <w:rsid w:val="76E2104C"/>
    <w:rsid w:val="77636B63"/>
    <w:rsid w:val="77813724"/>
    <w:rsid w:val="77861774"/>
    <w:rsid w:val="78F31435"/>
    <w:rsid w:val="79300B45"/>
    <w:rsid w:val="794D3E18"/>
    <w:rsid w:val="79F3729A"/>
    <w:rsid w:val="7A880722"/>
    <w:rsid w:val="7ABE6120"/>
    <w:rsid w:val="7ACB0498"/>
    <w:rsid w:val="7AE46010"/>
    <w:rsid w:val="7AED0B4D"/>
    <w:rsid w:val="7C097F8E"/>
    <w:rsid w:val="7C1E4487"/>
    <w:rsid w:val="7C215E02"/>
    <w:rsid w:val="7CF23764"/>
    <w:rsid w:val="7D851A94"/>
    <w:rsid w:val="7E797F74"/>
    <w:rsid w:val="7E831600"/>
    <w:rsid w:val="7F8420AB"/>
    <w:rsid w:val="7F924011"/>
    <w:rsid w:val="7FC52DC2"/>
    <w:rsid w:val="7FDF7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10561</Words>
  <Characters>11193</Characters>
  <Lines>0</Lines>
  <Paragraphs>0</Paragraphs>
  <TotalTime>2</TotalTime>
  <ScaleCrop>false</ScaleCrop>
  <LinksUpToDate>false</LinksUpToDate>
  <CharactersWithSpaces>11268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2025-10-24T04:25:41Z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