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4F63DCD5">
      <w:pPr>
        <w:pageBreakBefore w:val="0"/>
        <w:kinsoku/>
        <w:wordWrap/>
        <w:overflowPunct/>
        <w:topLinePunct w:val="0"/>
        <w:autoSpaceDE/>
        <w:autoSpaceDN/>
        <w:bidi w:val="0"/>
        <w:adjustRightInd/>
        <w:spacing w:line="560" w:lineRule="exact"/>
        <w:ind w:firstLine="1142" w:firstLineChars="316"/>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14:paraId="05DA5F02">
      <w:pPr>
        <w:pageBreakBefore w:val="0"/>
        <w:kinsoku/>
        <w:wordWrap/>
        <w:overflowPunct/>
        <w:topLinePunct w:val="0"/>
        <w:autoSpaceDE/>
        <w:autoSpaceDN/>
        <w:bidi w:val="0"/>
        <w:adjustRightInd/>
        <w:spacing w:line="560" w:lineRule="exact"/>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14:paraId="589F3419">
      <w:pPr>
        <w:pageBreakBefore w:val="0"/>
        <w:kinsoku/>
        <w:wordWrap/>
        <w:overflowPunct/>
        <w:topLinePunct w:val="0"/>
        <w:autoSpaceDE/>
        <w:autoSpaceDN/>
        <w:bidi w:val="0"/>
        <w:adjustRightInd/>
        <w:spacing w:line="560" w:lineRule="exact"/>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14:paraId="1D8A7C4F">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0"/>
        <w:rPr>
          <w:rFonts w:hint="eastAsia" w:ascii="宋体" w:hAnsi="宋体" w:eastAsia="宋体" w:cs="宋体"/>
          <w:b/>
          <w:bCs/>
          <w:color w:val="auto"/>
          <w:sz w:val="40"/>
          <w:szCs w:val="40"/>
          <w:highlight w:val="none"/>
          <w:shd w:val="clear" w:color="auto" w:fill="auto"/>
        </w:rPr>
      </w:pPr>
      <w:bookmarkStart w:id="0" w:name="_Toc25575"/>
      <w:bookmarkStart w:id="1" w:name="_Toc15679"/>
      <w:bookmarkStart w:id="2" w:name="_Toc1949"/>
      <w:bookmarkStart w:id="3" w:name="_Toc29123"/>
      <w:r>
        <w:rPr>
          <w:rFonts w:hint="eastAsia" w:cs="宋体"/>
          <w:b/>
          <w:bCs/>
          <w:color w:val="auto"/>
          <w:sz w:val="40"/>
          <w:szCs w:val="40"/>
          <w:highlight w:val="none"/>
          <w:shd w:val="clear" w:color="auto" w:fill="auto"/>
          <w:lang w:val="en-US" w:eastAsia="zh-CN"/>
        </w:rPr>
        <w:t>基本公共卫生服务</w:t>
      </w:r>
      <w:r>
        <w:rPr>
          <w:rFonts w:hint="eastAsia" w:ascii="宋体" w:hAnsi="宋体" w:eastAsia="宋体" w:cs="宋体"/>
          <w:b/>
          <w:bCs/>
          <w:color w:val="auto"/>
          <w:sz w:val="40"/>
          <w:szCs w:val="40"/>
          <w:highlight w:val="none"/>
          <w:shd w:val="clear" w:color="auto" w:fill="auto"/>
          <w:lang w:val="en-US" w:eastAsia="zh-CN"/>
        </w:rPr>
        <w:t>项目</w:t>
      </w:r>
      <w:r>
        <w:rPr>
          <w:rFonts w:hint="eastAsia" w:ascii="宋体" w:hAnsi="宋体" w:eastAsia="宋体" w:cs="宋体"/>
          <w:b/>
          <w:bCs/>
          <w:color w:val="auto"/>
          <w:sz w:val="40"/>
          <w:szCs w:val="40"/>
          <w:highlight w:val="none"/>
          <w:shd w:val="clear" w:color="auto" w:fill="auto"/>
        </w:rPr>
        <w:t>支出绩效评价报告</w:t>
      </w:r>
      <w:bookmarkEnd w:id="0"/>
      <w:bookmarkEnd w:id="1"/>
      <w:bookmarkEnd w:id="2"/>
      <w:bookmarkEnd w:id="3"/>
    </w:p>
    <w:p w14:paraId="358F3A4A">
      <w:pPr>
        <w:keepNext w:val="0"/>
        <w:keepLines w:val="0"/>
        <w:pageBreakBefore w:val="0"/>
        <w:widowControl w:val="0"/>
        <w:kinsoku/>
        <w:wordWrap/>
        <w:overflowPunct/>
        <w:topLinePunct w:val="0"/>
        <w:autoSpaceDE/>
        <w:autoSpaceDN/>
        <w:bidi w:val="0"/>
        <w:adjustRightInd/>
        <w:snapToGrid/>
        <w:spacing w:line="560" w:lineRule="exact"/>
        <w:ind w:firstLine="723" w:firstLineChars="200"/>
        <w:jc w:val="center"/>
        <w:textAlignment w:val="auto"/>
        <w:rPr>
          <w:rFonts w:hint="eastAsia" w:ascii="宋体" w:hAnsi="宋体" w:eastAsia="宋体" w:cs="宋体"/>
          <w:b/>
          <w:bCs/>
          <w:color w:val="auto"/>
          <w:sz w:val="36"/>
          <w:szCs w:val="36"/>
          <w:highlight w:val="none"/>
          <w:shd w:val="clear" w:color="auto" w:fill="auto"/>
        </w:rPr>
      </w:pPr>
    </w:p>
    <w:p w14:paraId="7DBF365E">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color w:val="auto"/>
          <w:sz w:val="36"/>
          <w:szCs w:val="36"/>
          <w:highlight w:val="none"/>
          <w:shd w:val="clear" w:color="auto" w:fill="auto"/>
        </w:rPr>
      </w:pPr>
    </w:p>
    <w:p w14:paraId="2A917D87">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color w:val="auto"/>
          <w:sz w:val="36"/>
          <w:szCs w:val="36"/>
          <w:highlight w:val="none"/>
          <w:shd w:val="clear" w:color="auto" w:fill="auto"/>
        </w:rPr>
      </w:pPr>
    </w:p>
    <w:p w14:paraId="020B14EE">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color w:val="auto"/>
          <w:sz w:val="36"/>
          <w:szCs w:val="36"/>
          <w:highlight w:val="none"/>
          <w:shd w:val="clear" w:color="auto" w:fill="auto"/>
        </w:rPr>
      </w:pPr>
    </w:p>
    <w:p w14:paraId="416530D9">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color w:val="auto"/>
          <w:sz w:val="36"/>
          <w:szCs w:val="36"/>
          <w:highlight w:val="none"/>
          <w:shd w:val="clear" w:color="auto" w:fill="auto"/>
        </w:rPr>
      </w:pPr>
    </w:p>
    <w:p w14:paraId="3694107D">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color w:val="auto"/>
          <w:sz w:val="36"/>
          <w:szCs w:val="36"/>
          <w:highlight w:val="none"/>
          <w:shd w:val="clear" w:color="auto" w:fill="auto"/>
        </w:rPr>
      </w:pPr>
    </w:p>
    <w:p w14:paraId="15D3F63B">
      <w:pPr>
        <w:keepNext w:val="0"/>
        <w:keepLines w:val="0"/>
        <w:pageBreakBefore w:val="0"/>
        <w:widowControl w:val="0"/>
        <w:kinsoku/>
        <w:wordWrap/>
        <w:overflowPunct/>
        <w:topLinePunct w:val="0"/>
        <w:autoSpaceDE/>
        <w:autoSpaceDN/>
        <w:bidi w:val="0"/>
        <w:adjustRightInd/>
        <w:snapToGrid/>
        <w:spacing w:line="560" w:lineRule="exact"/>
        <w:ind w:firstLine="723" w:firstLineChars="200"/>
        <w:jc w:val="center"/>
        <w:textAlignment w:val="auto"/>
        <w:rPr>
          <w:rFonts w:hint="eastAsia" w:ascii="宋体" w:hAnsi="宋体" w:eastAsia="宋体" w:cs="宋体"/>
          <w:b/>
          <w:bCs/>
          <w:color w:val="auto"/>
          <w:sz w:val="36"/>
          <w:szCs w:val="36"/>
          <w:highlight w:val="none"/>
          <w:shd w:val="clear" w:color="auto" w:fill="auto"/>
        </w:rPr>
      </w:pPr>
    </w:p>
    <w:p w14:paraId="0A13E2E4">
      <w:pPr>
        <w:spacing w:line="360" w:lineRule="auto"/>
        <w:ind w:firstLine="0" w:firstLineChars="0"/>
        <w:jc w:val="left"/>
        <w:rPr>
          <w:rFonts w:hint="eastAsia" w:ascii="黑体" w:hAnsi="Times New Roman" w:eastAsia="黑体"/>
          <w:b w:val="0"/>
          <w:bCs/>
          <w:color w:val="000000"/>
          <w:sz w:val="30"/>
          <w:szCs w:val="30"/>
          <w:highlight w:val="none"/>
          <w:lang w:val="en-US" w:eastAsia="zh-CN"/>
        </w:rPr>
      </w:pPr>
      <w:r>
        <w:rPr>
          <w:rFonts w:hint="eastAsia" w:ascii="黑体" w:hAnsi="Times New Roman" w:eastAsia="黑体"/>
          <w:b w:val="0"/>
          <w:bCs/>
          <w:color w:val="000000"/>
          <w:sz w:val="30"/>
          <w:szCs w:val="30"/>
          <w:highlight w:val="none"/>
          <w:lang w:val="en-US" w:eastAsia="zh-CN"/>
        </w:rPr>
        <w:t>项目名称：基本公共卫生服务项目</w:t>
      </w:r>
    </w:p>
    <w:p w14:paraId="6ED24C11">
      <w:pPr>
        <w:spacing w:line="360" w:lineRule="auto"/>
        <w:ind w:firstLine="0" w:firstLineChars="0"/>
        <w:jc w:val="left"/>
        <w:rPr>
          <w:rFonts w:hint="eastAsia" w:ascii="黑体" w:hAnsi="Times New Roman" w:eastAsia="黑体"/>
          <w:b w:val="0"/>
          <w:bCs/>
          <w:color w:val="000000"/>
          <w:sz w:val="30"/>
          <w:szCs w:val="30"/>
          <w:highlight w:val="none"/>
          <w:lang w:val="en-US" w:eastAsia="zh-CN"/>
        </w:rPr>
      </w:pPr>
      <w:r>
        <w:rPr>
          <w:rFonts w:hint="eastAsia" w:ascii="黑体" w:hAnsi="Times New Roman" w:eastAsia="黑体"/>
          <w:b w:val="0"/>
          <w:bCs/>
          <w:color w:val="000000"/>
          <w:sz w:val="30"/>
          <w:szCs w:val="30"/>
          <w:highlight w:val="none"/>
          <w:lang w:val="en-US" w:eastAsia="zh-CN"/>
        </w:rPr>
        <w:t>实施单位：阜康市滋泥泉子镇中心卫生院</w:t>
      </w:r>
    </w:p>
    <w:p w14:paraId="727F51F0">
      <w:pPr>
        <w:spacing w:line="360" w:lineRule="auto"/>
        <w:ind w:firstLine="0" w:firstLineChars="0"/>
        <w:jc w:val="left"/>
        <w:rPr>
          <w:rFonts w:hint="eastAsia" w:ascii="黑体" w:hAnsi="Times New Roman" w:eastAsia="黑体"/>
          <w:b w:val="0"/>
          <w:bCs/>
          <w:color w:val="000000"/>
          <w:sz w:val="30"/>
          <w:szCs w:val="30"/>
          <w:highlight w:val="none"/>
          <w:lang w:val="en-US" w:eastAsia="zh-CN"/>
        </w:rPr>
      </w:pPr>
      <w:r>
        <w:rPr>
          <w:rFonts w:hint="eastAsia" w:ascii="黑体" w:hAnsi="Times New Roman" w:eastAsia="黑体"/>
          <w:b w:val="0"/>
          <w:bCs/>
          <w:color w:val="000000"/>
          <w:sz w:val="30"/>
          <w:szCs w:val="30"/>
          <w:highlight w:val="none"/>
          <w:lang w:val="en-US" w:eastAsia="zh-CN"/>
        </w:rPr>
        <w:t>主管部门：阜康市滋泥泉子镇中心卫生院</w:t>
      </w:r>
    </w:p>
    <w:p w14:paraId="6DCDB5AC">
      <w:pPr>
        <w:spacing w:line="360" w:lineRule="auto"/>
        <w:ind w:firstLine="0" w:firstLineChars="0"/>
        <w:jc w:val="left"/>
        <w:rPr>
          <w:rFonts w:hint="default" w:ascii="黑体" w:hAnsi="Times New Roman" w:eastAsia="黑体"/>
          <w:b w:val="0"/>
          <w:bCs/>
          <w:color w:val="000000"/>
          <w:sz w:val="30"/>
          <w:szCs w:val="30"/>
          <w:highlight w:val="none"/>
          <w:lang w:val="en-US" w:eastAsia="zh-CN"/>
        </w:rPr>
      </w:pPr>
      <w:r>
        <w:rPr>
          <w:rFonts w:hint="eastAsia" w:ascii="黑体" w:hAnsi="Times New Roman" w:eastAsia="黑体"/>
          <w:b w:val="0"/>
          <w:bCs/>
          <w:color w:val="000000"/>
          <w:sz w:val="30"/>
          <w:szCs w:val="30"/>
          <w:highlight w:val="none"/>
          <w:lang w:val="en-US" w:eastAsia="zh-CN"/>
        </w:rPr>
        <w:t>项目负责人：袁建国</w:t>
      </w:r>
    </w:p>
    <w:p w14:paraId="04F92E18">
      <w:pPr>
        <w:spacing w:line="360" w:lineRule="auto"/>
        <w:ind w:firstLine="0" w:firstLineChars="0"/>
        <w:jc w:val="left"/>
        <w:rPr>
          <w:rFonts w:hint="default" w:cs="宋体"/>
          <w:b/>
          <w:color w:val="auto"/>
          <w:kern w:val="2"/>
          <w:sz w:val="28"/>
          <w:szCs w:val="28"/>
          <w:highlight w:val="none"/>
          <w:shd w:val="clear" w:color="auto" w:fill="auto"/>
          <w:lang w:val="en-US" w:eastAsia="zh-CN"/>
        </w:rPr>
      </w:pPr>
      <w:r>
        <w:rPr>
          <w:rFonts w:hint="eastAsia" w:ascii="黑体" w:hAnsi="Times New Roman" w:eastAsia="黑体"/>
          <w:b w:val="0"/>
          <w:bCs/>
          <w:color w:val="000000"/>
          <w:sz w:val="30"/>
          <w:szCs w:val="30"/>
          <w:highlight w:val="none"/>
          <w:lang w:val="en-US" w:eastAsia="zh-CN"/>
        </w:rPr>
        <w:t>填报时间：2025年4月30日</w:t>
      </w:r>
    </w:p>
    <w:p w14:paraId="136AE7A6">
      <w:pPr>
        <w:pStyle w:val="14"/>
        <w:pageBreakBefore w:val="0"/>
        <w:kinsoku/>
        <w:wordWrap/>
        <w:overflowPunct/>
        <w:topLinePunct w:val="0"/>
        <w:autoSpaceDE/>
        <w:autoSpaceDN/>
        <w:bidi w:val="0"/>
        <w:adjustRightInd/>
        <w:spacing w:line="560" w:lineRule="exact"/>
        <w:textAlignment w:val="auto"/>
        <w:outlineLvl w:val="9"/>
        <w:rPr>
          <w:rFonts w:hint="eastAsia" w:ascii="宋体" w:hAnsi="宋体" w:eastAsia="宋体" w:cs="宋体"/>
          <w:b/>
          <w:color w:val="auto"/>
          <w:kern w:val="2"/>
          <w:sz w:val="28"/>
          <w:szCs w:val="28"/>
          <w:highlight w:val="none"/>
          <w:shd w:val="clear" w:color="auto" w:fill="auto"/>
          <w:lang w:val="en-US" w:eastAsia="zh-CN"/>
        </w:rPr>
      </w:pPr>
    </w:p>
    <w:p w14:paraId="2E156EB8">
      <w:pPr>
        <w:pageBreakBefore w:val="0"/>
        <w:kinsoku/>
        <w:wordWrap/>
        <w:overflowPunct/>
        <w:topLinePunct w:val="0"/>
        <w:autoSpaceDE/>
        <w:autoSpaceDN/>
        <w:bidi w:val="0"/>
        <w:adjustRightInd/>
        <w:spacing w:line="560" w:lineRule="exact"/>
        <w:textAlignment w:val="auto"/>
        <w:rPr>
          <w:rFonts w:hint="eastAsia"/>
          <w:color w:val="auto"/>
          <w:highlight w:val="none"/>
          <w:lang w:val="en-US" w:eastAsia="zh-CN"/>
        </w:rPr>
      </w:pPr>
      <w:r>
        <w:rPr>
          <w:rFonts w:hint="eastAsia"/>
          <w:color w:val="auto"/>
          <w:highlight w:val="none"/>
          <w:lang w:val="en-US" w:eastAsia="zh-CN"/>
        </w:rPr>
        <w:br w:type="page"/>
      </w:r>
    </w:p>
    <w:p w14:paraId="5617B44D">
      <w:pPr>
        <w:pageBreakBefore w:val="0"/>
        <w:kinsoku/>
        <w:wordWrap/>
        <w:overflowPunct/>
        <w:topLinePunct w:val="0"/>
        <w:autoSpaceDE/>
        <w:autoSpaceDN/>
        <w:bidi w:val="0"/>
        <w:adjustRightInd/>
        <w:spacing w:line="560" w:lineRule="exact"/>
        <w:textAlignment w:val="auto"/>
        <w:rPr>
          <w:rFonts w:hint="eastAsia"/>
          <w:color w:val="auto"/>
          <w:highlight w:val="none"/>
          <w:lang w:val="en-US" w:eastAsia="zh-CN"/>
        </w:rPr>
      </w:pPr>
    </w:p>
    <w:sdt>
      <w:sdtPr>
        <w:rPr>
          <w:rFonts w:ascii="宋体" w:hAnsi="宋体" w:eastAsia="宋体" w:cs="宋体"/>
          <w:b/>
          <w:bCs/>
          <w:color w:val="auto"/>
          <w:kern w:val="2"/>
          <w:sz w:val="28"/>
          <w:szCs w:val="40"/>
          <w:highlight w:val="yellow"/>
          <w:lang w:val="en-US" w:eastAsia="zh-CN" w:bidi="ar-SA"/>
        </w:rPr>
        <w:id w:val="147474046"/>
        <w15:color w:val="DBDBDB"/>
      </w:sdtPr>
      <w:sdtEndPr>
        <w:rPr>
          <w:rFonts w:hint="eastAsia" w:ascii="宋体" w:hAnsi="宋体" w:eastAsia="宋体" w:cs="宋体"/>
          <w:b/>
          <w:bCs/>
          <w:color w:val="auto"/>
          <w:kern w:val="2"/>
          <w:sz w:val="28"/>
          <w:szCs w:val="28"/>
          <w:highlight w:val="none"/>
          <w:lang w:val="en-US" w:eastAsia="zh-CN" w:bidi="ar-SA"/>
        </w:rPr>
      </w:sdtEndPr>
      <w:sdtContent>
        <w:p w14:paraId="2458D42D">
          <w:pPr>
            <w:keepNext w:val="0"/>
            <w:keepLines w:val="0"/>
            <w:pageBreakBefore w:val="0"/>
            <w:shd w:val="clear"/>
            <w:kinsoku/>
            <w:wordWrap/>
            <w:overflowPunct/>
            <w:topLinePunct w:val="0"/>
            <w:autoSpaceDE/>
            <w:autoSpaceDN/>
            <w:bidi w:val="0"/>
            <w:adjustRightInd/>
            <w:snapToGrid/>
            <w:spacing w:before="0" w:beforeLines="0" w:after="0" w:afterLines="0" w:line="560" w:lineRule="exact"/>
            <w:ind w:left="0" w:leftChars="0" w:right="0" w:rightChars="0" w:firstLine="0" w:firstLineChars="0"/>
            <w:jc w:val="center"/>
            <w:textAlignment w:val="auto"/>
            <w:rPr>
              <w:b/>
              <w:bCs/>
              <w:color w:val="auto"/>
              <w:sz w:val="40"/>
              <w:szCs w:val="40"/>
              <w:highlight w:val="none"/>
            </w:rPr>
          </w:pPr>
          <w:r>
            <w:rPr>
              <w:rFonts w:ascii="宋体" w:hAnsi="宋体" w:eastAsia="宋体"/>
              <w:b/>
              <w:bCs/>
              <w:color w:val="auto"/>
              <w:sz w:val="40"/>
              <w:szCs w:val="40"/>
              <w:highlight w:val="none"/>
            </w:rPr>
            <w:t>目录</w:t>
          </w:r>
        </w:p>
        <w:p w14:paraId="477AF70D">
          <w:pPr>
            <w:pStyle w:val="10"/>
            <w:pageBreakBefore w:val="0"/>
            <w:tabs>
              <w:tab w:val="right" w:leader="dot" w:pos="8844"/>
            </w:tabs>
            <w:kinsoku/>
            <w:wordWrap/>
            <w:overflowPunct/>
            <w:topLinePunct w:val="0"/>
            <w:autoSpaceDE/>
            <w:autoSpaceDN/>
            <w:bidi w:val="0"/>
            <w:adjustRightInd/>
            <w:spacing w:line="560" w:lineRule="exact"/>
            <w:rPr>
              <w:color w:val="auto"/>
              <w:highlight w:val="none"/>
            </w:rPr>
          </w:pPr>
          <w:r>
            <w:rPr>
              <w:rFonts w:hint="eastAsia"/>
              <w:color w:val="auto"/>
              <w:sz w:val="28"/>
              <w:szCs w:val="28"/>
              <w:highlight w:val="none"/>
              <w:lang w:val="en-US" w:eastAsia="zh-CN"/>
            </w:rPr>
            <w:fldChar w:fldCharType="begin"/>
          </w:r>
          <w:r>
            <w:rPr>
              <w:rFonts w:hint="eastAsia"/>
              <w:color w:val="auto"/>
              <w:sz w:val="28"/>
              <w:szCs w:val="28"/>
              <w:highlight w:val="none"/>
              <w:lang w:val="en-US" w:eastAsia="zh-CN"/>
            </w:rPr>
            <w:instrText xml:space="preserve">TOC \o "1-3" \h \u </w:instrText>
          </w:r>
          <w:r>
            <w:rPr>
              <w:rFonts w:hint="eastAsia"/>
              <w:color w:val="auto"/>
              <w:sz w:val="28"/>
              <w:szCs w:val="28"/>
              <w:highlight w:val="none"/>
              <w:lang w:val="en-US" w:eastAsia="zh-CN"/>
            </w:rPr>
            <w:fldChar w:fldCharType="separate"/>
          </w:r>
        </w:p>
        <w:p w14:paraId="03F36BAC">
          <w:pPr>
            <w:pStyle w:val="10"/>
            <w:pageBreakBefore w:val="0"/>
            <w:tabs>
              <w:tab w:val="right" w:leader="dot" w:pos="8844"/>
            </w:tabs>
            <w:kinsoku/>
            <w:wordWrap/>
            <w:overflowPunct/>
            <w:topLinePunct w:val="0"/>
            <w:autoSpaceDE/>
            <w:autoSpaceDN/>
            <w:bidi w:val="0"/>
            <w:adjustRightInd/>
            <w:spacing w:line="560" w:lineRule="exact"/>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_Toc18485 </w:instrText>
          </w:r>
          <w:r>
            <w:rPr>
              <w:rFonts w:hint="eastAsia"/>
              <w:color w:val="auto"/>
              <w:szCs w:val="28"/>
              <w:highlight w:val="none"/>
              <w:lang w:val="en-US" w:eastAsia="zh-CN"/>
            </w:rPr>
            <w:fldChar w:fldCharType="separate"/>
          </w:r>
          <w:r>
            <w:rPr>
              <w:rFonts w:hint="eastAsia" w:ascii="黑体" w:hAnsi="黑体" w:eastAsia="黑体" w:cs="黑体"/>
              <w:bCs w:val="0"/>
              <w:color w:val="auto"/>
              <w:highlight w:val="none"/>
              <w:shd w:val="clear" w:color="auto" w:fill="auto"/>
            </w:rPr>
            <w:t>一、基本情况</w:t>
          </w:r>
          <w:r>
            <w:rPr>
              <w:color w:val="auto"/>
              <w:highlight w:val="none"/>
            </w:rPr>
            <w:tab/>
          </w:r>
          <w:r>
            <w:rPr>
              <w:color w:val="auto"/>
              <w:highlight w:val="none"/>
            </w:rPr>
            <w:fldChar w:fldCharType="begin"/>
          </w:r>
          <w:r>
            <w:rPr>
              <w:color w:val="auto"/>
              <w:highlight w:val="none"/>
            </w:rPr>
            <w:instrText xml:space="preserve"> PAGEREF _Toc18485 \h </w:instrText>
          </w:r>
          <w:r>
            <w:rPr>
              <w:color w:val="auto"/>
              <w:highlight w:val="none"/>
            </w:rPr>
            <w:fldChar w:fldCharType="separate"/>
          </w:r>
          <w:r>
            <w:rPr>
              <w:color w:val="auto"/>
              <w:highlight w:val="none"/>
            </w:rPr>
            <w:t>1</w:t>
          </w:r>
          <w:r>
            <w:rPr>
              <w:color w:val="auto"/>
              <w:highlight w:val="none"/>
            </w:rPr>
            <w:fldChar w:fldCharType="end"/>
          </w:r>
          <w:r>
            <w:rPr>
              <w:rFonts w:hint="eastAsia"/>
              <w:color w:val="auto"/>
              <w:szCs w:val="28"/>
              <w:highlight w:val="none"/>
              <w:lang w:val="en-US" w:eastAsia="zh-CN"/>
            </w:rPr>
            <w:fldChar w:fldCharType="end"/>
          </w:r>
        </w:p>
        <w:p w14:paraId="3BD6B96B">
          <w:pPr>
            <w:pStyle w:val="10"/>
            <w:pageBreakBefore w:val="0"/>
            <w:tabs>
              <w:tab w:val="right" w:leader="dot" w:pos="8844"/>
            </w:tabs>
            <w:kinsoku/>
            <w:wordWrap/>
            <w:overflowPunct/>
            <w:topLinePunct w:val="0"/>
            <w:autoSpaceDE/>
            <w:autoSpaceDN/>
            <w:bidi w:val="0"/>
            <w:adjustRightInd/>
            <w:spacing w:line="560" w:lineRule="exact"/>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_Toc23184 </w:instrText>
          </w:r>
          <w:r>
            <w:rPr>
              <w:rFonts w:hint="eastAsia"/>
              <w:color w:val="auto"/>
              <w:szCs w:val="28"/>
              <w:highlight w:val="none"/>
              <w:lang w:val="en-US" w:eastAsia="zh-CN"/>
            </w:rPr>
            <w:fldChar w:fldCharType="separate"/>
          </w:r>
          <w:r>
            <w:rPr>
              <w:rFonts w:hint="eastAsia" w:ascii="Times New Roman" w:hAnsi="Times New Roman" w:eastAsia="楷体_GB2312" w:cs="Times New Roman"/>
              <w:color w:val="auto"/>
              <w:kern w:val="28"/>
              <w:highlight w:val="none"/>
              <w:lang w:val="en-US" w:eastAsia="zh-CN"/>
            </w:rPr>
            <w:t>（一）项目概况</w:t>
          </w:r>
          <w:r>
            <w:rPr>
              <w:color w:val="auto"/>
              <w:highlight w:val="none"/>
            </w:rPr>
            <w:tab/>
          </w:r>
          <w:r>
            <w:rPr>
              <w:color w:val="auto"/>
              <w:highlight w:val="none"/>
            </w:rPr>
            <w:fldChar w:fldCharType="begin"/>
          </w:r>
          <w:r>
            <w:rPr>
              <w:color w:val="auto"/>
              <w:highlight w:val="none"/>
            </w:rPr>
            <w:instrText xml:space="preserve"> PAGEREF _Toc23184 \h </w:instrText>
          </w:r>
          <w:r>
            <w:rPr>
              <w:color w:val="auto"/>
              <w:highlight w:val="none"/>
            </w:rPr>
            <w:fldChar w:fldCharType="separate"/>
          </w:r>
          <w:r>
            <w:rPr>
              <w:color w:val="auto"/>
              <w:highlight w:val="none"/>
            </w:rPr>
            <w:t>1</w:t>
          </w:r>
          <w:r>
            <w:rPr>
              <w:color w:val="auto"/>
              <w:highlight w:val="none"/>
            </w:rPr>
            <w:fldChar w:fldCharType="end"/>
          </w:r>
          <w:r>
            <w:rPr>
              <w:rFonts w:hint="eastAsia"/>
              <w:color w:val="auto"/>
              <w:szCs w:val="28"/>
              <w:highlight w:val="none"/>
              <w:lang w:val="en-US" w:eastAsia="zh-CN"/>
            </w:rPr>
            <w:fldChar w:fldCharType="end"/>
          </w:r>
        </w:p>
        <w:p w14:paraId="210EAED5">
          <w:pPr>
            <w:pStyle w:val="10"/>
            <w:pageBreakBefore w:val="0"/>
            <w:tabs>
              <w:tab w:val="right" w:leader="dot" w:pos="8844"/>
            </w:tabs>
            <w:kinsoku/>
            <w:wordWrap/>
            <w:overflowPunct/>
            <w:topLinePunct w:val="0"/>
            <w:autoSpaceDE/>
            <w:autoSpaceDN/>
            <w:bidi w:val="0"/>
            <w:adjustRightInd/>
            <w:spacing w:line="560" w:lineRule="exact"/>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_Toc9109 </w:instrText>
          </w:r>
          <w:r>
            <w:rPr>
              <w:rFonts w:hint="eastAsia"/>
              <w:color w:val="auto"/>
              <w:szCs w:val="28"/>
              <w:highlight w:val="none"/>
              <w:lang w:val="en-US" w:eastAsia="zh-CN"/>
            </w:rPr>
            <w:fldChar w:fldCharType="separate"/>
          </w:r>
          <w:r>
            <w:rPr>
              <w:rFonts w:hint="eastAsia" w:ascii="Times New Roman" w:hAnsi="Times New Roman" w:eastAsia="楷体_GB2312" w:cs="Times New Roman"/>
              <w:color w:val="auto"/>
              <w:kern w:val="28"/>
              <w:highlight w:val="none"/>
              <w:lang w:val="en-US" w:eastAsia="zh-CN"/>
            </w:rPr>
            <w:t>（二）项目绩效目标</w:t>
          </w:r>
          <w:r>
            <w:rPr>
              <w:color w:val="auto"/>
              <w:highlight w:val="none"/>
            </w:rPr>
            <w:tab/>
          </w:r>
          <w:r>
            <w:rPr>
              <w:color w:val="auto"/>
              <w:highlight w:val="none"/>
            </w:rPr>
            <w:fldChar w:fldCharType="begin"/>
          </w:r>
          <w:r>
            <w:rPr>
              <w:color w:val="auto"/>
              <w:highlight w:val="none"/>
            </w:rPr>
            <w:instrText xml:space="preserve"> PAGEREF _Toc9109 \h </w:instrText>
          </w:r>
          <w:r>
            <w:rPr>
              <w:color w:val="auto"/>
              <w:highlight w:val="none"/>
            </w:rPr>
            <w:fldChar w:fldCharType="separate"/>
          </w:r>
          <w:r>
            <w:rPr>
              <w:color w:val="auto"/>
              <w:highlight w:val="none"/>
            </w:rPr>
            <w:t>4</w:t>
          </w:r>
          <w:r>
            <w:rPr>
              <w:color w:val="auto"/>
              <w:highlight w:val="none"/>
            </w:rPr>
            <w:fldChar w:fldCharType="end"/>
          </w:r>
          <w:r>
            <w:rPr>
              <w:rFonts w:hint="eastAsia"/>
              <w:color w:val="auto"/>
              <w:szCs w:val="28"/>
              <w:highlight w:val="none"/>
              <w:lang w:val="en-US" w:eastAsia="zh-CN"/>
            </w:rPr>
            <w:fldChar w:fldCharType="end"/>
          </w:r>
        </w:p>
        <w:p w14:paraId="36C82FB7">
          <w:pPr>
            <w:pStyle w:val="10"/>
            <w:pageBreakBefore w:val="0"/>
            <w:tabs>
              <w:tab w:val="right" w:leader="dot" w:pos="8844"/>
            </w:tabs>
            <w:kinsoku/>
            <w:wordWrap/>
            <w:overflowPunct/>
            <w:topLinePunct w:val="0"/>
            <w:autoSpaceDE/>
            <w:autoSpaceDN/>
            <w:bidi w:val="0"/>
            <w:adjustRightInd/>
            <w:spacing w:line="560" w:lineRule="exact"/>
            <w:rPr>
              <w:rFonts w:hint="eastAsia" w:ascii="黑体" w:hAnsi="黑体" w:eastAsia="黑体" w:cs="黑体"/>
              <w:color w:val="auto"/>
              <w:highlight w:val="none"/>
            </w:rPr>
          </w:pPr>
          <w:r>
            <w:rPr>
              <w:rFonts w:hint="eastAsia" w:ascii="黑体" w:hAnsi="黑体" w:eastAsia="黑体" w:cs="黑体"/>
              <w:color w:val="auto"/>
              <w:szCs w:val="28"/>
              <w:highlight w:val="none"/>
              <w:lang w:val="en-US" w:eastAsia="zh-CN"/>
            </w:rPr>
            <w:fldChar w:fldCharType="begin"/>
          </w:r>
          <w:r>
            <w:rPr>
              <w:rFonts w:hint="eastAsia" w:ascii="黑体" w:hAnsi="黑体" w:eastAsia="黑体" w:cs="黑体"/>
              <w:color w:val="auto"/>
              <w:szCs w:val="28"/>
              <w:highlight w:val="none"/>
              <w:lang w:val="en-US" w:eastAsia="zh-CN"/>
            </w:rPr>
            <w:instrText xml:space="preserve"> HYPERLINK \l _Toc26567 </w:instrText>
          </w:r>
          <w:r>
            <w:rPr>
              <w:rFonts w:hint="eastAsia" w:ascii="黑体" w:hAnsi="黑体" w:eastAsia="黑体" w:cs="黑体"/>
              <w:color w:val="auto"/>
              <w:szCs w:val="28"/>
              <w:highlight w:val="none"/>
              <w:lang w:val="en-US" w:eastAsia="zh-CN"/>
            </w:rPr>
            <w:fldChar w:fldCharType="separate"/>
          </w:r>
          <w:r>
            <w:rPr>
              <w:rFonts w:hint="eastAsia" w:ascii="黑体" w:hAnsi="黑体" w:eastAsia="黑体" w:cs="黑体"/>
              <w:bCs/>
              <w:color w:val="auto"/>
              <w:highlight w:val="none"/>
              <w:shd w:val="clear" w:color="auto" w:fill="auto"/>
            </w:rPr>
            <w:t>二、绩效评价工作开展情况</w:t>
          </w:r>
          <w:r>
            <w:rPr>
              <w:rFonts w:hint="eastAsia" w:ascii="黑体" w:hAnsi="黑体" w:eastAsia="黑体" w:cs="黑体"/>
              <w:color w:val="auto"/>
              <w:highlight w:val="none"/>
            </w:rPr>
            <w:tab/>
          </w:r>
          <w:r>
            <w:rPr>
              <w:rFonts w:hint="eastAsia" w:ascii="黑体" w:hAnsi="黑体" w:eastAsia="黑体" w:cs="黑体"/>
              <w:color w:val="auto"/>
              <w:highlight w:val="none"/>
            </w:rPr>
            <w:fldChar w:fldCharType="begin"/>
          </w:r>
          <w:r>
            <w:rPr>
              <w:rFonts w:hint="eastAsia" w:ascii="黑体" w:hAnsi="黑体" w:eastAsia="黑体" w:cs="黑体"/>
              <w:color w:val="auto"/>
              <w:highlight w:val="none"/>
            </w:rPr>
            <w:instrText xml:space="preserve"> PAGEREF _Toc26567 \h </w:instrText>
          </w:r>
          <w:r>
            <w:rPr>
              <w:rFonts w:hint="eastAsia" w:ascii="黑体" w:hAnsi="黑体" w:eastAsia="黑体" w:cs="黑体"/>
              <w:color w:val="auto"/>
              <w:highlight w:val="none"/>
            </w:rPr>
            <w:fldChar w:fldCharType="separate"/>
          </w:r>
          <w:r>
            <w:rPr>
              <w:rFonts w:hint="eastAsia" w:ascii="黑体" w:hAnsi="黑体" w:eastAsia="黑体" w:cs="黑体"/>
              <w:color w:val="auto"/>
              <w:highlight w:val="none"/>
            </w:rPr>
            <w:t>6</w:t>
          </w:r>
          <w:r>
            <w:rPr>
              <w:rFonts w:hint="eastAsia" w:ascii="黑体" w:hAnsi="黑体" w:eastAsia="黑体" w:cs="黑体"/>
              <w:color w:val="auto"/>
              <w:highlight w:val="none"/>
            </w:rPr>
            <w:fldChar w:fldCharType="end"/>
          </w:r>
          <w:r>
            <w:rPr>
              <w:rFonts w:hint="eastAsia" w:ascii="黑体" w:hAnsi="黑体" w:eastAsia="黑体" w:cs="黑体"/>
              <w:color w:val="auto"/>
              <w:szCs w:val="28"/>
              <w:highlight w:val="none"/>
              <w:lang w:val="en-US" w:eastAsia="zh-CN"/>
            </w:rPr>
            <w:fldChar w:fldCharType="end"/>
          </w:r>
        </w:p>
        <w:p w14:paraId="36937286">
          <w:pPr>
            <w:pStyle w:val="10"/>
            <w:pageBreakBefore w:val="0"/>
            <w:tabs>
              <w:tab w:val="right" w:leader="dot" w:pos="8844"/>
            </w:tabs>
            <w:kinsoku/>
            <w:wordWrap/>
            <w:overflowPunct/>
            <w:topLinePunct w:val="0"/>
            <w:autoSpaceDE/>
            <w:autoSpaceDN/>
            <w:bidi w:val="0"/>
            <w:adjustRightInd/>
            <w:spacing w:line="560" w:lineRule="exact"/>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_Toc22839 </w:instrText>
          </w:r>
          <w:r>
            <w:rPr>
              <w:rFonts w:hint="eastAsia"/>
              <w:color w:val="auto"/>
              <w:szCs w:val="28"/>
              <w:highlight w:val="none"/>
              <w:lang w:val="en-US" w:eastAsia="zh-CN"/>
            </w:rPr>
            <w:fldChar w:fldCharType="separate"/>
          </w:r>
          <w:r>
            <w:rPr>
              <w:rFonts w:hint="eastAsia" w:ascii="Times New Roman" w:hAnsi="Times New Roman" w:eastAsia="楷体_GB2312" w:cs="Times New Roman"/>
              <w:color w:val="auto"/>
              <w:kern w:val="28"/>
              <w:highlight w:val="none"/>
              <w:lang w:val="en-US" w:eastAsia="zh-CN"/>
            </w:rPr>
            <w:t>（一）绩效评价的目的、对象和范围</w:t>
          </w:r>
          <w:r>
            <w:rPr>
              <w:color w:val="auto"/>
              <w:highlight w:val="none"/>
            </w:rPr>
            <w:tab/>
          </w:r>
          <w:r>
            <w:rPr>
              <w:color w:val="auto"/>
              <w:highlight w:val="none"/>
            </w:rPr>
            <w:fldChar w:fldCharType="begin"/>
          </w:r>
          <w:r>
            <w:rPr>
              <w:color w:val="auto"/>
              <w:highlight w:val="none"/>
            </w:rPr>
            <w:instrText xml:space="preserve"> PAGEREF _Toc22839 \h </w:instrText>
          </w:r>
          <w:r>
            <w:rPr>
              <w:color w:val="auto"/>
              <w:highlight w:val="none"/>
            </w:rPr>
            <w:fldChar w:fldCharType="separate"/>
          </w:r>
          <w:r>
            <w:rPr>
              <w:color w:val="auto"/>
              <w:highlight w:val="none"/>
            </w:rPr>
            <w:t>6</w:t>
          </w:r>
          <w:r>
            <w:rPr>
              <w:color w:val="auto"/>
              <w:highlight w:val="none"/>
            </w:rPr>
            <w:fldChar w:fldCharType="end"/>
          </w:r>
          <w:r>
            <w:rPr>
              <w:rFonts w:hint="eastAsia"/>
              <w:color w:val="auto"/>
              <w:szCs w:val="28"/>
              <w:highlight w:val="none"/>
              <w:lang w:val="en-US" w:eastAsia="zh-CN"/>
            </w:rPr>
            <w:fldChar w:fldCharType="end"/>
          </w:r>
        </w:p>
        <w:p w14:paraId="27AFF14C">
          <w:pPr>
            <w:pStyle w:val="10"/>
            <w:pageBreakBefore w:val="0"/>
            <w:tabs>
              <w:tab w:val="right" w:leader="dot" w:pos="8844"/>
            </w:tabs>
            <w:kinsoku/>
            <w:wordWrap/>
            <w:overflowPunct/>
            <w:topLinePunct w:val="0"/>
            <w:autoSpaceDE/>
            <w:autoSpaceDN/>
            <w:bidi w:val="0"/>
            <w:adjustRightInd/>
            <w:spacing w:line="560" w:lineRule="exact"/>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_Toc29785 </w:instrText>
          </w:r>
          <w:r>
            <w:rPr>
              <w:rFonts w:hint="eastAsia"/>
              <w:color w:val="auto"/>
              <w:szCs w:val="28"/>
              <w:highlight w:val="none"/>
              <w:lang w:val="en-US" w:eastAsia="zh-CN"/>
            </w:rPr>
            <w:fldChar w:fldCharType="separate"/>
          </w:r>
          <w:r>
            <w:rPr>
              <w:rFonts w:hint="eastAsia" w:ascii="Times New Roman" w:hAnsi="Times New Roman" w:eastAsia="楷体_GB2312" w:cs="Times New Roman"/>
              <w:color w:val="auto"/>
              <w:kern w:val="28"/>
              <w:highlight w:val="none"/>
              <w:lang w:val="en-US" w:eastAsia="zh-CN"/>
            </w:rPr>
            <w:t>（二）绩效评价原则、评价指标体系（</w:t>
          </w:r>
          <w:r>
            <w:rPr>
              <w:rFonts w:hint="default" w:ascii="Times New Roman" w:hAnsi="Times New Roman" w:eastAsia="楷体_GB2312" w:cs="Times New Roman"/>
              <w:color w:val="auto"/>
              <w:kern w:val="28"/>
              <w:highlight w:val="none"/>
              <w:lang w:val="en-US" w:eastAsia="zh-CN"/>
            </w:rPr>
            <w:t>详情见</w:t>
          </w:r>
          <w:r>
            <w:rPr>
              <w:rFonts w:hint="eastAsia" w:ascii="Times New Roman" w:hAnsi="Times New Roman" w:eastAsia="楷体_GB2312" w:cs="Times New Roman"/>
              <w:color w:val="auto"/>
              <w:kern w:val="28"/>
              <w:highlight w:val="none"/>
              <w:lang w:val="en-US" w:eastAsia="zh-CN"/>
            </w:rPr>
            <w:t>附件二）、评价方法、评价标准</w:t>
          </w:r>
          <w:r>
            <w:rPr>
              <w:color w:val="auto"/>
              <w:highlight w:val="none"/>
            </w:rPr>
            <w:tab/>
          </w:r>
          <w:r>
            <w:rPr>
              <w:color w:val="auto"/>
              <w:highlight w:val="none"/>
            </w:rPr>
            <w:fldChar w:fldCharType="begin"/>
          </w:r>
          <w:r>
            <w:rPr>
              <w:color w:val="auto"/>
              <w:highlight w:val="none"/>
            </w:rPr>
            <w:instrText xml:space="preserve"> PAGEREF _Toc29785 \h </w:instrText>
          </w:r>
          <w:r>
            <w:rPr>
              <w:color w:val="auto"/>
              <w:highlight w:val="none"/>
            </w:rPr>
            <w:fldChar w:fldCharType="separate"/>
          </w:r>
          <w:r>
            <w:rPr>
              <w:color w:val="auto"/>
              <w:highlight w:val="none"/>
            </w:rPr>
            <w:t>10</w:t>
          </w:r>
          <w:r>
            <w:rPr>
              <w:color w:val="auto"/>
              <w:highlight w:val="none"/>
            </w:rPr>
            <w:fldChar w:fldCharType="end"/>
          </w:r>
          <w:r>
            <w:rPr>
              <w:rFonts w:hint="eastAsia"/>
              <w:color w:val="auto"/>
              <w:szCs w:val="28"/>
              <w:highlight w:val="none"/>
              <w:lang w:val="en-US" w:eastAsia="zh-CN"/>
            </w:rPr>
            <w:fldChar w:fldCharType="end"/>
          </w:r>
        </w:p>
        <w:p w14:paraId="742B2B81">
          <w:pPr>
            <w:pStyle w:val="10"/>
            <w:pageBreakBefore w:val="0"/>
            <w:tabs>
              <w:tab w:val="right" w:leader="dot" w:pos="8844"/>
            </w:tabs>
            <w:kinsoku/>
            <w:wordWrap/>
            <w:overflowPunct/>
            <w:topLinePunct w:val="0"/>
            <w:autoSpaceDE/>
            <w:autoSpaceDN/>
            <w:bidi w:val="0"/>
            <w:adjustRightInd/>
            <w:spacing w:line="560" w:lineRule="exact"/>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_Toc21435 </w:instrText>
          </w:r>
          <w:r>
            <w:rPr>
              <w:rFonts w:hint="eastAsia"/>
              <w:color w:val="auto"/>
              <w:szCs w:val="28"/>
              <w:highlight w:val="none"/>
              <w:lang w:val="en-US" w:eastAsia="zh-CN"/>
            </w:rPr>
            <w:fldChar w:fldCharType="separate"/>
          </w:r>
          <w:r>
            <w:rPr>
              <w:rFonts w:hint="eastAsia" w:ascii="Times New Roman" w:hAnsi="Times New Roman" w:eastAsia="楷体_GB2312" w:cs="Times New Roman"/>
              <w:color w:val="auto"/>
              <w:kern w:val="28"/>
              <w:highlight w:val="none"/>
              <w:lang w:val="en-US" w:eastAsia="zh-CN"/>
            </w:rPr>
            <w:t>（三）绩效评价工作过程</w:t>
          </w:r>
          <w:r>
            <w:rPr>
              <w:color w:val="auto"/>
              <w:highlight w:val="none"/>
            </w:rPr>
            <w:tab/>
          </w:r>
          <w:r>
            <w:rPr>
              <w:color w:val="auto"/>
              <w:highlight w:val="none"/>
            </w:rPr>
            <w:fldChar w:fldCharType="begin"/>
          </w:r>
          <w:r>
            <w:rPr>
              <w:color w:val="auto"/>
              <w:highlight w:val="none"/>
            </w:rPr>
            <w:instrText xml:space="preserve"> PAGEREF _Toc21435 \h </w:instrText>
          </w:r>
          <w:r>
            <w:rPr>
              <w:color w:val="auto"/>
              <w:highlight w:val="none"/>
            </w:rPr>
            <w:fldChar w:fldCharType="separate"/>
          </w:r>
          <w:r>
            <w:rPr>
              <w:color w:val="auto"/>
              <w:highlight w:val="none"/>
            </w:rPr>
            <w:t>13</w:t>
          </w:r>
          <w:r>
            <w:rPr>
              <w:color w:val="auto"/>
              <w:highlight w:val="none"/>
            </w:rPr>
            <w:fldChar w:fldCharType="end"/>
          </w:r>
          <w:r>
            <w:rPr>
              <w:rFonts w:hint="eastAsia"/>
              <w:color w:val="auto"/>
              <w:szCs w:val="28"/>
              <w:highlight w:val="none"/>
              <w:lang w:val="en-US" w:eastAsia="zh-CN"/>
            </w:rPr>
            <w:fldChar w:fldCharType="end"/>
          </w:r>
        </w:p>
        <w:p w14:paraId="640D97BB">
          <w:pPr>
            <w:pStyle w:val="10"/>
            <w:pageBreakBefore w:val="0"/>
            <w:tabs>
              <w:tab w:val="right" w:leader="dot" w:pos="8844"/>
            </w:tabs>
            <w:kinsoku/>
            <w:wordWrap/>
            <w:overflowPunct/>
            <w:topLinePunct w:val="0"/>
            <w:autoSpaceDE/>
            <w:autoSpaceDN/>
            <w:bidi w:val="0"/>
            <w:adjustRightInd/>
            <w:spacing w:line="560" w:lineRule="exact"/>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_Toc19261 </w:instrText>
          </w:r>
          <w:r>
            <w:rPr>
              <w:rFonts w:hint="eastAsia"/>
              <w:color w:val="auto"/>
              <w:szCs w:val="28"/>
              <w:highlight w:val="none"/>
              <w:lang w:val="en-US" w:eastAsia="zh-CN"/>
            </w:rPr>
            <w:fldChar w:fldCharType="separate"/>
          </w:r>
          <w:r>
            <w:rPr>
              <w:rFonts w:hint="eastAsia" w:ascii="黑体" w:hAnsi="黑体" w:eastAsia="黑体" w:cs="黑体"/>
              <w:bCs w:val="0"/>
              <w:color w:val="auto"/>
              <w:highlight w:val="none"/>
              <w:shd w:val="clear" w:color="auto" w:fill="auto"/>
              <w:lang w:val="en-US" w:eastAsia="zh-CN"/>
            </w:rPr>
            <w:t>三、</w:t>
          </w:r>
          <w:r>
            <w:rPr>
              <w:rFonts w:hint="eastAsia" w:ascii="黑体" w:hAnsi="黑体" w:eastAsia="黑体" w:cs="黑体"/>
              <w:bCs w:val="0"/>
              <w:color w:val="auto"/>
              <w:highlight w:val="none"/>
              <w:shd w:val="clear" w:color="auto" w:fill="auto"/>
            </w:rPr>
            <w:t>综合评价情况及评价结论</w:t>
          </w:r>
          <w:r>
            <w:rPr>
              <w:color w:val="auto"/>
              <w:highlight w:val="none"/>
            </w:rPr>
            <w:tab/>
          </w:r>
          <w:r>
            <w:rPr>
              <w:color w:val="auto"/>
              <w:highlight w:val="none"/>
            </w:rPr>
            <w:fldChar w:fldCharType="begin"/>
          </w:r>
          <w:r>
            <w:rPr>
              <w:color w:val="auto"/>
              <w:highlight w:val="none"/>
            </w:rPr>
            <w:instrText xml:space="preserve"> PAGEREF _Toc19261 \h </w:instrText>
          </w:r>
          <w:r>
            <w:rPr>
              <w:color w:val="auto"/>
              <w:highlight w:val="none"/>
            </w:rPr>
            <w:fldChar w:fldCharType="separate"/>
          </w:r>
          <w:r>
            <w:rPr>
              <w:color w:val="auto"/>
              <w:highlight w:val="none"/>
            </w:rPr>
            <w:t>15</w:t>
          </w:r>
          <w:r>
            <w:rPr>
              <w:color w:val="auto"/>
              <w:highlight w:val="none"/>
            </w:rPr>
            <w:fldChar w:fldCharType="end"/>
          </w:r>
          <w:r>
            <w:rPr>
              <w:rFonts w:hint="eastAsia"/>
              <w:color w:val="auto"/>
              <w:szCs w:val="28"/>
              <w:highlight w:val="none"/>
              <w:lang w:val="en-US" w:eastAsia="zh-CN"/>
            </w:rPr>
            <w:fldChar w:fldCharType="end"/>
          </w:r>
        </w:p>
        <w:p w14:paraId="0709E48C">
          <w:pPr>
            <w:pStyle w:val="10"/>
            <w:pageBreakBefore w:val="0"/>
            <w:tabs>
              <w:tab w:val="right" w:leader="dot" w:pos="8844"/>
            </w:tabs>
            <w:kinsoku/>
            <w:wordWrap/>
            <w:overflowPunct/>
            <w:topLinePunct w:val="0"/>
            <w:autoSpaceDE/>
            <w:autoSpaceDN/>
            <w:bidi w:val="0"/>
            <w:adjustRightInd/>
            <w:spacing w:line="560" w:lineRule="exact"/>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_Toc23319 </w:instrText>
          </w:r>
          <w:r>
            <w:rPr>
              <w:rFonts w:hint="eastAsia"/>
              <w:color w:val="auto"/>
              <w:szCs w:val="28"/>
              <w:highlight w:val="none"/>
              <w:lang w:val="en-US" w:eastAsia="zh-CN"/>
            </w:rPr>
            <w:fldChar w:fldCharType="separate"/>
          </w:r>
          <w:r>
            <w:rPr>
              <w:rFonts w:hint="eastAsia" w:ascii="Times New Roman" w:hAnsi="Times New Roman" w:eastAsia="楷体_GB2312" w:cs="Times New Roman"/>
              <w:color w:val="auto"/>
              <w:kern w:val="28"/>
              <w:highlight w:val="none"/>
              <w:lang w:val="en-US" w:eastAsia="zh-CN"/>
            </w:rPr>
            <w:t>（一）综合评价情况及评价结论</w:t>
          </w:r>
          <w:r>
            <w:rPr>
              <w:color w:val="auto"/>
              <w:highlight w:val="none"/>
            </w:rPr>
            <w:tab/>
          </w:r>
          <w:r>
            <w:rPr>
              <w:color w:val="auto"/>
              <w:highlight w:val="none"/>
            </w:rPr>
            <w:fldChar w:fldCharType="begin"/>
          </w:r>
          <w:r>
            <w:rPr>
              <w:color w:val="auto"/>
              <w:highlight w:val="none"/>
            </w:rPr>
            <w:instrText xml:space="preserve"> PAGEREF _Toc23319 \h </w:instrText>
          </w:r>
          <w:r>
            <w:rPr>
              <w:color w:val="auto"/>
              <w:highlight w:val="none"/>
            </w:rPr>
            <w:fldChar w:fldCharType="separate"/>
          </w:r>
          <w:r>
            <w:rPr>
              <w:color w:val="auto"/>
              <w:highlight w:val="none"/>
            </w:rPr>
            <w:t>15</w:t>
          </w:r>
          <w:r>
            <w:rPr>
              <w:color w:val="auto"/>
              <w:highlight w:val="none"/>
            </w:rPr>
            <w:fldChar w:fldCharType="end"/>
          </w:r>
          <w:r>
            <w:rPr>
              <w:rFonts w:hint="eastAsia"/>
              <w:color w:val="auto"/>
              <w:szCs w:val="28"/>
              <w:highlight w:val="none"/>
              <w:lang w:val="en-US" w:eastAsia="zh-CN"/>
            </w:rPr>
            <w:fldChar w:fldCharType="end"/>
          </w:r>
        </w:p>
        <w:p w14:paraId="5449B131">
          <w:pPr>
            <w:pStyle w:val="10"/>
            <w:pageBreakBefore w:val="0"/>
            <w:tabs>
              <w:tab w:val="right" w:leader="dot" w:pos="8844"/>
            </w:tabs>
            <w:kinsoku/>
            <w:wordWrap/>
            <w:overflowPunct/>
            <w:topLinePunct w:val="0"/>
            <w:autoSpaceDE/>
            <w:autoSpaceDN/>
            <w:bidi w:val="0"/>
            <w:adjustRightInd/>
            <w:spacing w:line="560" w:lineRule="exact"/>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_Toc11863 </w:instrText>
          </w:r>
          <w:r>
            <w:rPr>
              <w:rFonts w:hint="eastAsia"/>
              <w:color w:val="auto"/>
              <w:szCs w:val="28"/>
              <w:highlight w:val="none"/>
              <w:lang w:val="en-US" w:eastAsia="zh-CN"/>
            </w:rPr>
            <w:fldChar w:fldCharType="separate"/>
          </w:r>
          <w:r>
            <w:rPr>
              <w:rFonts w:hint="eastAsia" w:ascii="Times New Roman" w:hAnsi="Times New Roman" w:eastAsia="楷体_GB2312" w:cs="Times New Roman"/>
              <w:color w:val="auto"/>
              <w:kern w:val="28"/>
              <w:highlight w:val="none"/>
              <w:lang w:val="en-US" w:eastAsia="zh-CN"/>
            </w:rPr>
            <w:t>（二）相关评分表</w:t>
          </w:r>
          <w:r>
            <w:rPr>
              <w:color w:val="auto"/>
              <w:highlight w:val="none"/>
            </w:rPr>
            <w:tab/>
          </w:r>
          <w:r>
            <w:rPr>
              <w:color w:val="auto"/>
              <w:highlight w:val="none"/>
            </w:rPr>
            <w:fldChar w:fldCharType="begin"/>
          </w:r>
          <w:r>
            <w:rPr>
              <w:color w:val="auto"/>
              <w:highlight w:val="none"/>
            </w:rPr>
            <w:instrText xml:space="preserve"> PAGEREF _Toc11863 \h </w:instrText>
          </w:r>
          <w:r>
            <w:rPr>
              <w:color w:val="auto"/>
              <w:highlight w:val="none"/>
            </w:rPr>
            <w:fldChar w:fldCharType="separate"/>
          </w:r>
          <w:r>
            <w:rPr>
              <w:color w:val="auto"/>
              <w:highlight w:val="none"/>
            </w:rPr>
            <w:t>16</w:t>
          </w:r>
          <w:r>
            <w:rPr>
              <w:color w:val="auto"/>
              <w:highlight w:val="none"/>
            </w:rPr>
            <w:fldChar w:fldCharType="end"/>
          </w:r>
          <w:r>
            <w:rPr>
              <w:rFonts w:hint="eastAsia"/>
              <w:color w:val="auto"/>
              <w:szCs w:val="28"/>
              <w:highlight w:val="none"/>
              <w:lang w:val="en-US" w:eastAsia="zh-CN"/>
            </w:rPr>
            <w:fldChar w:fldCharType="end"/>
          </w:r>
        </w:p>
        <w:p w14:paraId="553DC475">
          <w:pPr>
            <w:pStyle w:val="10"/>
            <w:pageBreakBefore w:val="0"/>
            <w:tabs>
              <w:tab w:val="right" w:leader="dot" w:pos="8844"/>
            </w:tabs>
            <w:kinsoku/>
            <w:wordWrap/>
            <w:overflowPunct/>
            <w:topLinePunct w:val="0"/>
            <w:autoSpaceDE/>
            <w:autoSpaceDN/>
            <w:bidi w:val="0"/>
            <w:adjustRightInd/>
            <w:spacing w:line="560" w:lineRule="exact"/>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_Toc14941 </w:instrText>
          </w:r>
          <w:r>
            <w:rPr>
              <w:rFonts w:hint="eastAsia"/>
              <w:color w:val="auto"/>
              <w:szCs w:val="28"/>
              <w:highlight w:val="none"/>
              <w:lang w:val="en-US" w:eastAsia="zh-CN"/>
            </w:rPr>
            <w:fldChar w:fldCharType="separate"/>
          </w:r>
          <w:r>
            <w:rPr>
              <w:rFonts w:hint="eastAsia" w:ascii="黑体" w:hAnsi="黑体" w:eastAsia="黑体" w:cs="黑体"/>
              <w:bCs w:val="0"/>
              <w:color w:val="auto"/>
              <w:highlight w:val="none"/>
              <w:shd w:val="clear" w:color="auto" w:fill="auto"/>
              <w:lang w:val="en-US" w:eastAsia="zh-CN"/>
            </w:rPr>
            <w:t>四、绩效评价指标分析</w:t>
          </w:r>
          <w:r>
            <w:rPr>
              <w:color w:val="auto"/>
              <w:highlight w:val="none"/>
            </w:rPr>
            <w:tab/>
          </w:r>
          <w:r>
            <w:rPr>
              <w:color w:val="auto"/>
              <w:highlight w:val="none"/>
            </w:rPr>
            <w:fldChar w:fldCharType="begin"/>
          </w:r>
          <w:r>
            <w:rPr>
              <w:color w:val="auto"/>
              <w:highlight w:val="none"/>
            </w:rPr>
            <w:instrText xml:space="preserve"> PAGEREF _Toc14941 \h </w:instrText>
          </w:r>
          <w:r>
            <w:rPr>
              <w:color w:val="auto"/>
              <w:highlight w:val="none"/>
            </w:rPr>
            <w:fldChar w:fldCharType="separate"/>
          </w:r>
          <w:r>
            <w:rPr>
              <w:color w:val="auto"/>
              <w:highlight w:val="none"/>
            </w:rPr>
            <w:t>16</w:t>
          </w:r>
          <w:r>
            <w:rPr>
              <w:color w:val="auto"/>
              <w:highlight w:val="none"/>
            </w:rPr>
            <w:fldChar w:fldCharType="end"/>
          </w:r>
          <w:r>
            <w:rPr>
              <w:rFonts w:hint="eastAsia"/>
              <w:color w:val="auto"/>
              <w:szCs w:val="28"/>
              <w:highlight w:val="none"/>
              <w:lang w:val="en-US" w:eastAsia="zh-CN"/>
            </w:rPr>
            <w:fldChar w:fldCharType="end"/>
          </w:r>
        </w:p>
        <w:p w14:paraId="6A3FC24D">
          <w:pPr>
            <w:pStyle w:val="10"/>
            <w:pageBreakBefore w:val="0"/>
            <w:tabs>
              <w:tab w:val="right" w:leader="dot" w:pos="8844"/>
            </w:tabs>
            <w:kinsoku/>
            <w:wordWrap/>
            <w:overflowPunct/>
            <w:topLinePunct w:val="0"/>
            <w:autoSpaceDE/>
            <w:autoSpaceDN/>
            <w:bidi w:val="0"/>
            <w:adjustRightInd/>
            <w:spacing w:line="560" w:lineRule="exact"/>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_Toc6759 </w:instrText>
          </w:r>
          <w:r>
            <w:rPr>
              <w:rFonts w:hint="eastAsia"/>
              <w:color w:val="auto"/>
              <w:szCs w:val="28"/>
              <w:highlight w:val="none"/>
              <w:lang w:val="en-US" w:eastAsia="zh-CN"/>
            </w:rPr>
            <w:fldChar w:fldCharType="separate"/>
          </w:r>
          <w:r>
            <w:rPr>
              <w:rFonts w:hint="eastAsia" w:ascii="Times New Roman" w:hAnsi="Times New Roman" w:eastAsia="楷体_GB2312" w:cs="Times New Roman"/>
              <w:color w:val="auto"/>
              <w:kern w:val="28"/>
              <w:highlight w:val="none"/>
            </w:rPr>
            <w:t>（一）项目决策情况</w:t>
          </w:r>
          <w:r>
            <w:rPr>
              <w:color w:val="auto"/>
              <w:highlight w:val="none"/>
            </w:rPr>
            <w:tab/>
          </w:r>
          <w:r>
            <w:rPr>
              <w:color w:val="auto"/>
              <w:highlight w:val="none"/>
            </w:rPr>
            <w:fldChar w:fldCharType="begin"/>
          </w:r>
          <w:r>
            <w:rPr>
              <w:color w:val="auto"/>
              <w:highlight w:val="none"/>
            </w:rPr>
            <w:instrText xml:space="preserve"> PAGEREF _Toc6759 \h </w:instrText>
          </w:r>
          <w:r>
            <w:rPr>
              <w:color w:val="auto"/>
              <w:highlight w:val="none"/>
            </w:rPr>
            <w:fldChar w:fldCharType="separate"/>
          </w:r>
          <w:r>
            <w:rPr>
              <w:color w:val="auto"/>
              <w:highlight w:val="none"/>
            </w:rPr>
            <w:t>16</w:t>
          </w:r>
          <w:r>
            <w:rPr>
              <w:color w:val="auto"/>
              <w:highlight w:val="none"/>
            </w:rPr>
            <w:fldChar w:fldCharType="end"/>
          </w:r>
          <w:r>
            <w:rPr>
              <w:rFonts w:hint="eastAsia"/>
              <w:color w:val="auto"/>
              <w:szCs w:val="28"/>
              <w:highlight w:val="none"/>
              <w:lang w:val="en-US" w:eastAsia="zh-CN"/>
            </w:rPr>
            <w:fldChar w:fldCharType="end"/>
          </w:r>
        </w:p>
        <w:p w14:paraId="4106AF71">
          <w:pPr>
            <w:pStyle w:val="10"/>
            <w:pageBreakBefore w:val="0"/>
            <w:tabs>
              <w:tab w:val="right" w:leader="dot" w:pos="8844"/>
            </w:tabs>
            <w:kinsoku/>
            <w:wordWrap/>
            <w:overflowPunct/>
            <w:topLinePunct w:val="0"/>
            <w:autoSpaceDE/>
            <w:autoSpaceDN/>
            <w:bidi w:val="0"/>
            <w:adjustRightInd/>
            <w:spacing w:line="560" w:lineRule="exact"/>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_Toc10564 </w:instrText>
          </w:r>
          <w:r>
            <w:rPr>
              <w:rFonts w:hint="eastAsia"/>
              <w:color w:val="auto"/>
              <w:szCs w:val="28"/>
              <w:highlight w:val="none"/>
              <w:lang w:val="en-US" w:eastAsia="zh-CN"/>
            </w:rPr>
            <w:fldChar w:fldCharType="separate"/>
          </w:r>
          <w:r>
            <w:rPr>
              <w:rFonts w:hint="eastAsia" w:ascii="Times New Roman" w:hAnsi="Times New Roman" w:eastAsia="楷体" w:cs="Times New Roman"/>
              <w:color w:val="auto"/>
              <w:kern w:val="28"/>
              <w:highlight w:val="none"/>
              <w:lang w:eastAsia="zh-CN"/>
            </w:rPr>
            <w:t>（</w:t>
          </w:r>
          <w:r>
            <w:rPr>
              <w:rFonts w:hint="eastAsia" w:ascii="Times New Roman" w:hAnsi="Times New Roman" w:eastAsia="楷体" w:cs="Times New Roman"/>
              <w:color w:val="auto"/>
              <w:kern w:val="28"/>
              <w:highlight w:val="none"/>
              <w:lang w:val="en-US" w:eastAsia="zh-CN"/>
            </w:rPr>
            <w:t>二</w:t>
          </w:r>
          <w:r>
            <w:rPr>
              <w:rFonts w:hint="eastAsia" w:ascii="Times New Roman" w:hAnsi="Times New Roman" w:eastAsia="楷体" w:cs="Times New Roman"/>
              <w:color w:val="auto"/>
              <w:kern w:val="28"/>
              <w:highlight w:val="none"/>
              <w:lang w:eastAsia="zh-CN"/>
            </w:rPr>
            <w:t>）</w:t>
          </w:r>
          <w:r>
            <w:rPr>
              <w:rFonts w:hint="eastAsia" w:ascii="Times New Roman" w:hAnsi="Times New Roman" w:eastAsia="楷体" w:cs="Times New Roman"/>
              <w:color w:val="auto"/>
              <w:kern w:val="28"/>
              <w:highlight w:val="none"/>
            </w:rPr>
            <w:t>项目过程情况</w:t>
          </w:r>
          <w:r>
            <w:rPr>
              <w:color w:val="auto"/>
              <w:highlight w:val="none"/>
            </w:rPr>
            <w:tab/>
          </w:r>
          <w:r>
            <w:rPr>
              <w:color w:val="auto"/>
              <w:highlight w:val="none"/>
            </w:rPr>
            <w:fldChar w:fldCharType="begin"/>
          </w:r>
          <w:r>
            <w:rPr>
              <w:color w:val="auto"/>
              <w:highlight w:val="none"/>
            </w:rPr>
            <w:instrText xml:space="preserve"> PAGEREF _Toc10564 \h </w:instrText>
          </w:r>
          <w:r>
            <w:rPr>
              <w:color w:val="auto"/>
              <w:highlight w:val="none"/>
            </w:rPr>
            <w:fldChar w:fldCharType="separate"/>
          </w:r>
          <w:r>
            <w:rPr>
              <w:color w:val="auto"/>
              <w:highlight w:val="none"/>
            </w:rPr>
            <w:t>17</w:t>
          </w:r>
          <w:r>
            <w:rPr>
              <w:color w:val="auto"/>
              <w:highlight w:val="none"/>
            </w:rPr>
            <w:fldChar w:fldCharType="end"/>
          </w:r>
          <w:r>
            <w:rPr>
              <w:rFonts w:hint="eastAsia"/>
              <w:color w:val="auto"/>
              <w:szCs w:val="28"/>
              <w:highlight w:val="none"/>
              <w:lang w:val="en-US" w:eastAsia="zh-CN"/>
            </w:rPr>
            <w:fldChar w:fldCharType="end"/>
          </w:r>
        </w:p>
        <w:p w14:paraId="71EE165A">
          <w:pPr>
            <w:pStyle w:val="10"/>
            <w:pageBreakBefore w:val="0"/>
            <w:tabs>
              <w:tab w:val="right" w:leader="dot" w:pos="8844"/>
            </w:tabs>
            <w:kinsoku/>
            <w:wordWrap/>
            <w:overflowPunct/>
            <w:topLinePunct w:val="0"/>
            <w:autoSpaceDE/>
            <w:autoSpaceDN/>
            <w:bidi w:val="0"/>
            <w:adjustRightInd/>
            <w:spacing w:line="560" w:lineRule="exact"/>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_Toc2441 </w:instrText>
          </w:r>
          <w:r>
            <w:rPr>
              <w:rFonts w:hint="eastAsia"/>
              <w:color w:val="auto"/>
              <w:szCs w:val="28"/>
              <w:highlight w:val="none"/>
              <w:lang w:val="en-US" w:eastAsia="zh-CN"/>
            </w:rPr>
            <w:fldChar w:fldCharType="separate"/>
          </w:r>
          <w:r>
            <w:rPr>
              <w:rFonts w:hint="eastAsia" w:ascii="Times New Roman" w:hAnsi="Times New Roman" w:eastAsia="楷体_GB2312" w:cs="Times New Roman"/>
              <w:color w:val="auto"/>
              <w:kern w:val="28"/>
              <w:highlight w:val="none"/>
              <w:lang w:val="en-US" w:eastAsia="zh-CN"/>
            </w:rPr>
            <w:t>（三）项目产出情况</w:t>
          </w:r>
          <w:r>
            <w:rPr>
              <w:color w:val="auto"/>
              <w:highlight w:val="none"/>
            </w:rPr>
            <w:tab/>
          </w:r>
          <w:r>
            <w:rPr>
              <w:color w:val="auto"/>
              <w:highlight w:val="none"/>
            </w:rPr>
            <w:fldChar w:fldCharType="begin"/>
          </w:r>
          <w:r>
            <w:rPr>
              <w:color w:val="auto"/>
              <w:highlight w:val="none"/>
            </w:rPr>
            <w:instrText xml:space="preserve"> PAGEREF _Toc2441 \h </w:instrText>
          </w:r>
          <w:r>
            <w:rPr>
              <w:color w:val="auto"/>
              <w:highlight w:val="none"/>
            </w:rPr>
            <w:fldChar w:fldCharType="separate"/>
          </w:r>
          <w:r>
            <w:rPr>
              <w:color w:val="auto"/>
              <w:highlight w:val="none"/>
            </w:rPr>
            <w:t>22</w:t>
          </w:r>
          <w:r>
            <w:rPr>
              <w:color w:val="auto"/>
              <w:highlight w:val="none"/>
            </w:rPr>
            <w:fldChar w:fldCharType="end"/>
          </w:r>
          <w:r>
            <w:rPr>
              <w:rFonts w:hint="eastAsia"/>
              <w:color w:val="auto"/>
              <w:szCs w:val="28"/>
              <w:highlight w:val="none"/>
              <w:lang w:val="en-US" w:eastAsia="zh-CN"/>
            </w:rPr>
            <w:fldChar w:fldCharType="end"/>
          </w:r>
        </w:p>
        <w:p w14:paraId="506195B3">
          <w:pPr>
            <w:pStyle w:val="10"/>
            <w:pageBreakBefore w:val="0"/>
            <w:tabs>
              <w:tab w:val="right" w:leader="dot" w:pos="8844"/>
            </w:tabs>
            <w:kinsoku/>
            <w:wordWrap/>
            <w:overflowPunct/>
            <w:topLinePunct w:val="0"/>
            <w:autoSpaceDE/>
            <w:autoSpaceDN/>
            <w:bidi w:val="0"/>
            <w:adjustRightInd/>
            <w:spacing w:line="560" w:lineRule="exact"/>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_Toc19424 </w:instrText>
          </w:r>
          <w:r>
            <w:rPr>
              <w:rFonts w:hint="eastAsia"/>
              <w:color w:val="auto"/>
              <w:szCs w:val="28"/>
              <w:highlight w:val="none"/>
              <w:lang w:val="en-US" w:eastAsia="zh-CN"/>
            </w:rPr>
            <w:fldChar w:fldCharType="separate"/>
          </w:r>
          <w:r>
            <w:rPr>
              <w:rFonts w:hint="eastAsia" w:ascii="Times New Roman" w:hAnsi="Times New Roman" w:eastAsia="楷体_GB2312" w:cs="Times New Roman"/>
              <w:color w:val="auto"/>
              <w:kern w:val="28"/>
              <w:highlight w:val="none"/>
              <w:lang w:val="en-US" w:eastAsia="zh-CN"/>
            </w:rPr>
            <w:t>（四）项目效益情况</w:t>
          </w:r>
          <w:r>
            <w:rPr>
              <w:color w:val="auto"/>
              <w:highlight w:val="none"/>
            </w:rPr>
            <w:tab/>
          </w:r>
          <w:r>
            <w:rPr>
              <w:color w:val="auto"/>
              <w:highlight w:val="none"/>
            </w:rPr>
            <w:fldChar w:fldCharType="begin"/>
          </w:r>
          <w:r>
            <w:rPr>
              <w:color w:val="auto"/>
              <w:highlight w:val="none"/>
            </w:rPr>
            <w:instrText xml:space="preserve"> PAGEREF _Toc19424 \h </w:instrText>
          </w:r>
          <w:r>
            <w:rPr>
              <w:color w:val="auto"/>
              <w:highlight w:val="none"/>
            </w:rPr>
            <w:fldChar w:fldCharType="separate"/>
          </w:r>
          <w:r>
            <w:rPr>
              <w:color w:val="auto"/>
              <w:highlight w:val="none"/>
            </w:rPr>
            <w:t>24</w:t>
          </w:r>
          <w:r>
            <w:rPr>
              <w:color w:val="auto"/>
              <w:highlight w:val="none"/>
            </w:rPr>
            <w:fldChar w:fldCharType="end"/>
          </w:r>
          <w:r>
            <w:rPr>
              <w:rFonts w:hint="eastAsia"/>
              <w:color w:val="auto"/>
              <w:szCs w:val="28"/>
              <w:highlight w:val="none"/>
              <w:lang w:val="en-US" w:eastAsia="zh-CN"/>
            </w:rPr>
            <w:fldChar w:fldCharType="end"/>
          </w:r>
        </w:p>
        <w:p w14:paraId="135FC44A">
          <w:pPr>
            <w:pStyle w:val="10"/>
            <w:pageBreakBefore w:val="0"/>
            <w:tabs>
              <w:tab w:val="right" w:leader="dot" w:pos="8844"/>
            </w:tabs>
            <w:kinsoku/>
            <w:wordWrap/>
            <w:overflowPunct/>
            <w:topLinePunct w:val="0"/>
            <w:autoSpaceDE/>
            <w:autoSpaceDN/>
            <w:bidi w:val="0"/>
            <w:adjustRightInd/>
            <w:spacing w:line="560" w:lineRule="exact"/>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_Toc23313 </w:instrText>
          </w:r>
          <w:r>
            <w:rPr>
              <w:rFonts w:hint="eastAsia"/>
              <w:color w:val="auto"/>
              <w:szCs w:val="28"/>
              <w:highlight w:val="none"/>
              <w:lang w:val="en-US" w:eastAsia="zh-CN"/>
            </w:rPr>
            <w:fldChar w:fldCharType="separate"/>
          </w:r>
          <w:r>
            <w:rPr>
              <w:rFonts w:hint="eastAsia" w:ascii="Times New Roman" w:hAnsi="Times New Roman" w:eastAsia="楷体_GB2312" w:cs="Times New Roman"/>
              <w:bCs/>
              <w:color w:val="auto"/>
              <w:kern w:val="28"/>
              <w:highlight w:val="none"/>
              <w:lang w:val="en-US" w:eastAsia="zh-CN"/>
            </w:rPr>
            <w:t>（五）满意度指标完成情况分析</w:t>
          </w:r>
          <w:r>
            <w:rPr>
              <w:color w:val="auto"/>
              <w:highlight w:val="none"/>
            </w:rPr>
            <w:tab/>
          </w:r>
          <w:r>
            <w:rPr>
              <w:color w:val="auto"/>
              <w:highlight w:val="none"/>
            </w:rPr>
            <w:fldChar w:fldCharType="begin"/>
          </w:r>
          <w:r>
            <w:rPr>
              <w:color w:val="auto"/>
              <w:highlight w:val="none"/>
            </w:rPr>
            <w:instrText xml:space="preserve"> PAGEREF _Toc23313 \h </w:instrText>
          </w:r>
          <w:r>
            <w:rPr>
              <w:color w:val="auto"/>
              <w:highlight w:val="none"/>
            </w:rPr>
            <w:fldChar w:fldCharType="separate"/>
          </w:r>
          <w:r>
            <w:rPr>
              <w:color w:val="auto"/>
              <w:highlight w:val="none"/>
            </w:rPr>
            <w:t>25</w:t>
          </w:r>
          <w:r>
            <w:rPr>
              <w:color w:val="auto"/>
              <w:highlight w:val="none"/>
            </w:rPr>
            <w:fldChar w:fldCharType="end"/>
          </w:r>
          <w:r>
            <w:rPr>
              <w:rFonts w:hint="eastAsia"/>
              <w:color w:val="auto"/>
              <w:szCs w:val="28"/>
              <w:highlight w:val="none"/>
              <w:lang w:val="en-US" w:eastAsia="zh-CN"/>
            </w:rPr>
            <w:fldChar w:fldCharType="end"/>
          </w:r>
        </w:p>
        <w:p w14:paraId="64FEB023">
          <w:pPr>
            <w:pStyle w:val="10"/>
            <w:pageBreakBefore w:val="0"/>
            <w:tabs>
              <w:tab w:val="right" w:leader="dot" w:pos="8844"/>
            </w:tabs>
            <w:kinsoku/>
            <w:wordWrap/>
            <w:overflowPunct/>
            <w:topLinePunct w:val="0"/>
            <w:autoSpaceDE/>
            <w:autoSpaceDN/>
            <w:bidi w:val="0"/>
            <w:adjustRightInd/>
            <w:spacing w:line="560" w:lineRule="exact"/>
            <w:rPr>
              <w:rFonts w:hint="eastAsia" w:ascii="黑体" w:hAnsi="黑体" w:eastAsia="黑体" w:cs="黑体"/>
              <w:color w:val="auto"/>
              <w:highlight w:val="none"/>
            </w:rPr>
          </w:pPr>
          <w:r>
            <w:rPr>
              <w:rFonts w:hint="eastAsia" w:ascii="黑体" w:hAnsi="黑体" w:eastAsia="黑体" w:cs="黑体"/>
              <w:color w:val="auto"/>
              <w:szCs w:val="28"/>
              <w:highlight w:val="none"/>
              <w:lang w:val="en-US" w:eastAsia="zh-CN"/>
            </w:rPr>
            <w:fldChar w:fldCharType="begin"/>
          </w:r>
          <w:r>
            <w:rPr>
              <w:rFonts w:hint="eastAsia" w:ascii="黑体" w:hAnsi="黑体" w:eastAsia="黑体" w:cs="黑体"/>
              <w:color w:val="auto"/>
              <w:szCs w:val="28"/>
              <w:highlight w:val="none"/>
              <w:lang w:val="en-US" w:eastAsia="zh-CN"/>
            </w:rPr>
            <w:instrText xml:space="preserve"> HYPERLINK \l _Toc6622 </w:instrText>
          </w:r>
          <w:r>
            <w:rPr>
              <w:rFonts w:hint="eastAsia" w:ascii="黑体" w:hAnsi="黑体" w:eastAsia="黑体" w:cs="黑体"/>
              <w:color w:val="auto"/>
              <w:szCs w:val="28"/>
              <w:highlight w:val="none"/>
              <w:lang w:val="en-US" w:eastAsia="zh-CN"/>
            </w:rPr>
            <w:fldChar w:fldCharType="separate"/>
          </w:r>
          <w:r>
            <w:rPr>
              <w:rFonts w:hint="eastAsia" w:ascii="黑体" w:hAnsi="黑体" w:eastAsia="黑体" w:cs="黑体"/>
              <w:bCs w:val="0"/>
              <w:color w:val="auto"/>
              <w:highlight w:val="none"/>
              <w:shd w:val="clear" w:color="auto" w:fill="auto"/>
              <w:lang w:val="en-US" w:eastAsia="zh-CN"/>
            </w:rPr>
            <w:t>五、主要经验及做法、存在的问题及原因分析</w:t>
          </w:r>
          <w:r>
            <w:rPr>
              <w:rFonts w:hint="eastAsia" w:ascii="黑体" w:hAnsi="黑体" w:eastAsia="黑体" w:cs="黑体"/>
              <w:color w:val="auto"/>
              <w:highlight w:val="none"/>
            </w:rPr>
            <w:tab/>
          </w:r>
          <w:r>
            <w:rPr>
              <w:rFonts w:hint="eastAsia" w:ascii="黑体" w:hAnsi="黑体" w:eastAsia="黑体" w:cs="黑体"/>
              <w:color w:val="auto"/>
              <w:highlight w:val="none"/>
            </w:rPr>
            <w:fldChar w:fldCharType="begin"/>
          </w:r>
          <w:r>
            <w:rPr>
              <w:rFonts w:hint="eastAsia" w:ascii="黑体" w:hAnsi="黑体" w:eastAsia="黑体" w:cs="黑体"/>
              <w:color w:val="auto"/>
              <w:highlight w:val="none"/>
            </w:rPr>
            <w:instrText xml:space="preserve"> PAGEREF _Toc6622 \h </w:instrText>
          </w:r>
          <w:r>
            <w:rPr>
              <w:rFonts w:hint="eastAsia" w:ascii="黑体" w:hAnsi="黑体" w:eastAsia="黑体" w:cs="黑体"/>
              <w:color w:val="auto"/>
              <w:highlight w:val="none"/>
            </w:rPr>
            <w:fldChar w:fldCharType="separate"/>
          </w:r>
          <w:r>
            <w:rPr>
              <w:rFonts w:hint="eastAsia" w:ascii="黑体" w:hAnsi="黑体" w:eastAsia="黑体" w:cs="黑体"/>
              <w:color w:val="auto"/>
              <w:highlight w:val="none"/>
            </w:rPr>
            <w:t>25</w:t>
          </w:r>
          <w:r>
            <w:rPr>
              <w:rFonts w:hint="eastAsia" w:ascii="黑体" w:hAnsi="黑体" w:eastAsia="黑体" w:cs="黑体"/>
              <w:color w:val="auto"/>
              <w:highlight w:val="none"/>
            </w:rPr>
            <w:fldChar w:fldCharType="end"/>
          </w:r>
          <w:r>
            <w:rPr>
              <w:rFonts w:hint="eastAsia" w:ascii="黑体" w:hAnsi="黑体" w:eastAsia="黑体" w:cs="黑体"/>
              <w:color w:val="auto"/>
              <w:szCs w:val="28"/>
              <w:highlight w:val="none"/>
              <w:lang w:val="en-US" w:eastAsia="zh-CN"/>
            </w:rPr>
            <w:fldChar w:fldCharType="end"/>
          </w:r>
        </w:p>
        <w:p w14:paraId="3A55F5E8">
          <w:pPr>
            <w:pStyle w:val="10"/>
            <w:pageBreakBefore w:val="0"/>
            <w:tabs>
              <w:tab w:val="right" w:leader="dot" w:pos="8844"/>
            </w:tabs>
            <w:kinsoku/>
            <w:wordWrap/>
            <w:overflowPunct/>
            <w:topLinePunct w:val="0"/>
            <w:autoSpaceDE/>
            <w:autoSpaceDN/>
            <w:bidi w:val="0"/>
            <w:adjustRightInd/>
            <w:spacing w:line="560" w:lineRule="exact"/>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_Toc15449 </w:instrText>
          </w:r>
          <w:r>
            <w:rPr>
              <w:rFonts w:hint="eastAsia"/>
              <w:color w:val="auto"/>
              <w:szCs w:val="28"/>
              <w:highlight w:val="none"/>
              <w:lang w:val="en-US" w:eastAsia="zh-CN"/>
            </w:rPr>
            <w:fldChar w:fldCharType="separate"/>
          </w:r>
          <w:r>
            <w:rPr>
              <w:rFonts w:hint="eastAsia" w:ascii="Times New Roman" w:hAnsi="Times New Roman" w:eastAsia="楷体_GB2312" w:cs="Times New Roman"/>
              <w:bCs/>
              <w:color w:val="auto"/>
              <w:kern w:val="28"/>
              <w:highlight w:val="none"/>
              <w:lang w:val="en-US" w:eastAsia="zh-CN"/>
            </w:rPr>
            <w:t>（一）主要经验及做法</w:t>
          </w:r>
          <w:r>
            <w:rPr>
              <w:color w:val="auto"/>
              <w:highlight w:val="none"/>
            </w:rPr>
            <w:tab/>
          </w:r>
          <w:r>
            <w:rPr>
              <w:color w:val="auto"/>
              <w:highlight w:val="none"/>
            </w:rPr>
            <w:fldChar w:fldCharType="begin"/>
          </w:r>
          <w:r>
            <w:rPr>
              <w:color w:val="auto"/>
              <w:highlight w:val="none"/>
            </w:rPr>
            <w:instrText xml:space="preserve"> PAGEREF _Toc15449 \h </w:instrText>
          </w:r>
          <w:r>
            <w:rPr>
              <w:color w:val="auto"/>
              <w:highlight w:val="none"/>
            </w:rPr>
            <w:fldChar w:fldCharType="separate"/>
          </w:r>
          <w:r>
            <w:rPr>
              <w:color w:val="auto"/>
              <w:highlight w:val="none"/>
            </w:rPr>
            <w:t>25</w:t>
          </w:r>
          <w:r>
            <w:rPr>
              <w:color w:val="auto"/>
              <w:highlight w:val="none"/>
            </w:rPr>
            <w:fldChar w:fldCharType="end"/>
          </w:r>
          <w:r>
            <w:rPr>
              <w:rFonts w:hint="eastAsia"/>
              <w:color w:val="auto"/>
              <w:szCs w:val="28"/>
              <w:highlight w:val="none"/>
              <w:lang w:val="en-US" w:eastAsia="zh-CN"/>
            </w:rPr>
            <w:fldChar w:fldCharType="end"/>
          </w:r>
        </w:p>
        <w:p w14:paraId="6073E1EB">
          <w:pPr>
            <w:pStyle w:val="10"/>
            <w:pageBreakBefore w:val="0"/>
            <w:tabs>
              <w:tab w:val="right" w:leader="dot" w:pos="8844"/>
            </w:tabs>
            <w:kinsoku/>
            <w:wordWrap/>
            <w:overflowPunct/>
            <w:topLinePunct w:val="0"/>
            <w:autoSpaceDE/>
            <w:autoSpaceDN/>
            <w:bidi w:val="0"/>
            <w:adjustRightInd/>
            <w:spacing w:line="560" w:lineRule="exact"/>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_Toc29168 </w:instrText>
          </w:r>
          <w:r>
            <w:rPr>
              <w:rFonts w:hint="eastAsia"/>
              <w:color w:val="auto"/>
              <w:szCs w:val="28"/>
              <w:highlight w:val="none"/>
              <w:lang w:val="en-US" w:eastAsia="zh-CN"/>
            </w:rPr>
            <w:fldChar w:fldCharType="separate"/>
          </w:r>
          <w:r>
            <w:rPr>
              <w:rFonts w:hint="eastAsia" w:ascii="Times New Roman" w:hAnsi="Times New Roman" w:eastAsia="楷体_GB2312" w:cs="Times New Roman"/>
              <w:bCs/>
              <w:color w:val="auto"/>
              <w:kern w:val="28"/>
              <w:highlight w:val="none"/>
              <w:lang w:val="en-US" w:eastAsia="zh-CN"/>
            </w:rPr>
            <w:t>（二）存在的问题及原因分析</w:t>
          </w:r>
          <w:r>
            <w:rPr>
              <w:color w:val="auto"/>
              <w:highlight w:val="none"/>
            </w:rPr>
            <w:tab/>
          </w:r>
          <w:r>
            <w:rPr>
              <w:color w:val="auto"/>
              <w:highlight w:val="none"/>
            </w:rPr>
            <w:fldChar w:fldCharType="begin"/>
          </w:r>
          <w:r>
            <w:rPr>
              <w:color w:val="auto"/>
              <w:highlight w:val="none"/>
            </w:rPr>
            <w:instrText xml:space="preserve"> PAGEREF _Toc29168 \h </w:instrText>
          </w:r>
          <w:r>
            <w:rPr>
              <w:color w:val="auto"/>
              <w:highlight w:val="none"/>
            </w:rPr>
            <w:fldChar w:fldCharType="separate"/>
          </w:r>
          <w:r>
            <w:rPr>
              <w:color w:val="auto"/>
              <w:highlight w:val="none"/>
            </w:rPr>
            <w:t>26</w:t>
          </w:r>
          <w:r>
            <w:rPr>
              <w:color w:val="auto"/>
              <w:highlight w:val="none"/>
            </w:rPr>
            <w:fldChar w:fldCharType="end"/>
          </w:r>
          <w:r>
            <w:rPr>
              <w:rFonts w:hint="eastAsia"/>
              <w:color w:val="auto"/>
              <w:szCs w:val="28"/>
              <w:highlight w:val="none"/>
              <w:lang w:val="en-US" w:eastAsia="zh-CN"/>
            </w:rPr>
            <w:fldChar w:fldCharType="end"/>
          </w:r>
        </w:p>
        <w:p w14:paraId="513FC018">
          <w:pPr>
            <w:pStyle w:val="10"/>
            <w:pageBreakBefore w:val="0"/>
            <w:tabs>
              <w:tab w:val="right" w:leader="dot" w:pos="8844"/>
            </w:tabs>
            <w:kinsoku/>
            <w:wordWrap/>
            <w:overflowPunct/>
            <w:topLinePunct w:val="0"/>
            <w:autoSpaceDE/>
            <w:autoSpaceDN/>
            <w:bidi w:val="0"/>
            <w:adjustRightInd/>
            <w:spacing w:line="560" w:lineRule="exact"/>
            <w:rPr>
              <w:rFonts w:hint="eastAsia" w:ascii="黑体" w:hAnsi="黑体" w:eastAsia="黑体" w:cs="黑体"/>
              <w:color w:val="auto"/>
              <w:highlight w:val="none"/>
            </w:rPr>
          </w:pPr>
          <w:r>
            <w:rPr>
              <w:rFonts w:hint="eastAsia" w:ascii="黑体" w:hAnsi="黑体" w:eastAsia="黑体" w:cs="黑体"/>
              <w:color w:val="auto"/>
              <w:szCs w:val="28"/>
              <w:highlight w:val="none"/>
              <w:lang w:val="en-US" w:eastAsia="zh-CN"/>
            </w:rPr>
            <w:fldChar w:fldCharType="begin"/>
          </w:r>
          <w:r>
            <w:rPr>
              <w:rFonts w:hint="eastAsia" w:ascii="黑体" w:hAnsi="黑体" w:eastAsia="黑体" w:cs="黑体"/>
              <w:color w:val="auto"/>
              <w:szCs w:val="28"/>
              <w:highlight w:val="none"/>
              <w:lang w:val="en-US" w:eastAsia="zh-CN"/>
            </w:rPr>
            <w:instrText xml:space="preserve"> HYPERLINK \l _Toc3333 </w:instrText>
          </w:r>
          <w:r>
            <w:rPr>
              <w:rFonts w:hint="eastAsia" w:ascii="黑体" w:hAnsi="黑体" w:eastAsia="黑体" w:cs="黑体"/>
              <w:color w:val="auto"/>
              <w:szCs w:val="28"/>
              <w:highlight w:val="none"/>
              <w:lang w:val="en-US" w:eastAsia="zh-CN"/>
            </w:rPr>
            <w:fldChar w:fldCharType="separate"/>
          </w:r>
          <w:r>
            <w:rPr>
              <w:rFonts w:hint="eastAsia" w:ascii="黑体" w:hAnsi="黑体" w:eastAsia="黑体" w:cs="黑体"/>
              <w:bCs w:val="0"/>
              <w:color w:val="auto"/>
              <w:highlight w:val="none"/>
              <w:shd w:val="clear" w:color="auto" w:fill="auto"/>
              <w:lang w:val="en-US" w:eastAsia="zh-CN"/>
            </w:rPr>
            <w:t>六、有关建议</w:t>
          </w:r>
          <w:r>
            <w:rPr>
              <w:rFonts w:hint="eastAsia" w:ascii="黑体" w:hAnsi="黑体" w:eastAsia="黑体" w:cs="黑体"/>
              <w:color w:val="auto"/>
              <w:highlight w:val="none"/>
            </w:rPr>
            <w:tab/>
          </w:r>
          <w:r>
            <w:rPr>
              <w:rFonts w:hint="eastAsia" w:ascii="黑体" w:hAnsi="黑体" w:eastAsia="黑体" w:cs="黑体"/>
              <w:color w:val="auto"/>
              <w:highlight w:val="none"/>
            </w:rPr>
            <w:fldChar w:fldCharType="begin"/>
          </w:r>
          <w:r>
            <w:rPr>
              <w:rFonts w:hint="eastAsia" w:ascii="黑体" w:hAnsi="黑体" w:eastAsia="黑体" w:cs="黑体"/>
              <w:color w:val="auto"/>
              <w:highlight w:val="none"/>
            </w:rPr>
            <w:instrText xml:space="preserve"> PAGEREF _Toc3333 \h </w:instrText>
          </w:r>
          <w:r>
            <w:rPr>
              <w:rFonts w:hint="eastAsia" w:ascii="黑体" w:hAnsi="黑体" w:eastAsia="黑体" w:cs="黑体"/>
              <w:color w:val="auto"/>
              <w:highlight w:val="none"/>
            </w:rPr>
            <w:fldChar w:fldCharType="separate"/>
          </w:r>
          <w:r>
            <w:rPr>
              <w:rFonts w:hint="eastAsia" w:ascii="黑体" w:hAnsi="黑体" w:eastAsia="黑体" w:cs="黑体"/>
              <w:color w:val="auto"/>
              <w:highlight w:val="none"/>
            </w:rPr>
            <w:t>26</w:t>
          </w:r>
          <w:r>
            <w:rPr>
              <w:rFonts w:hint="eastAsia" w:ascii="黑体" w:hAnsi="黑体" w:eastAsia="黑体" w:cs="黑体"/>
              <w:color w:val="auto"/>
              <w:highlight w:val="none"/>
            </w:rPr>
            <w:fldChar w:fldCharType="end"/>
          </w:r>
          <w:r>
            <w:rPr>
              <w:rFonts w:hint="eastAsia" w:ascii="黑体" w:hAnsi="黑体" w:eastAsia="黑体" w:cs="黑体"/>
              <w:color w:val="auto"/>
              <w:szCs w:val="28"/>
              <w:highlight w:val="none"/>
              <w:lang w:val="en-US" w:eastAsia="zh-CN"/>
            </w:rPr>
            <w:fldChar w:fldCharType="end"/>
          </w:r>
        </w:p>
        <w:p w14:paraId="7CE0B759">
          <w:pPr>
            <w:pStyle w:val="10"/>
            <w:pageBreakBefore w:val="0"/>
            <w:tabs>
              <w:tab w:val="right" w:leader="dot" w:pos="8844"/>
            </w:tabs>
            <w:kinsoku/>
            <w:wordWrap/>
            <w:overflowPunct/>
            <w:topLinePunct w:val="0"/>
            <w:autoSpaceDE/>
            <w:autoSpaceDN/>
            <w:bidi w:val="0"/>
            <w:adjustRightInd/>
            <w:spacing w:line="560" w:lineRule="exact"/>
            <w:rPr>
              <w:rFonts w:hint="eastAsia" w:ascii="黑体" w:hAnsi="黑体" w:eastAsia="黑体" w:cs="黑体"/>
              <w:color w:val="auto"/>
              <w:highlight w:val="none"/>
            </w:rPr>
          </w:pPr>
          <w:r>
            <w:rPr>
              <w:rFonts w:hint="eastAsia" w:ascii="黑体" w:hAnsi="黑体" w:eastAsia="黑体" w:cs="黑体"/>
              <w:color w:val="auto"/>
              <w:szCs w:val="28"/>
              <w:highlight w:val="none"/>
              <w:lang w:val="en-US" w:eastAsia="zh-CN"/>
            </w:rPr>
            <w:fldChar w:fldCharType="begin"/>
          </w:r>
          <w:r>
            <w:rPr>
              <w:rFonts w:hint="eastAsia" w:ascii="黑体" w:hAnsi="黑体" w:eastAsia="黑体" w:cs="黑体"/>
              <w:color w:val="auto"/>
              <w:szCs w:val="28"/>
              <w:highlight w:val="none"/>
              <w:lang w:val="en-US" w:eastAsia="zh-CN"/>
            </w:rPr>
            <w:instrText xml:space="preserve"> HYPERLINK \l _Toc14256 </w:instrText>
          </w:r>
          <w:r>
            <w:rPr>
              <w:rFonts w:hint="eastAsia" w:ascii="黑体" w:hAnsi="黑体" w:eastAsia="黑体" w:cs="黑体"/>
              <w:color w:val="auto"/>
              <w:szCs w:val="28"/>
              <w:highlight w:val="none"/>
              <w:lang w:val="en-US" w:eastAsia="zh-CN"/>
            </w:rPr>
            <w:fldChar w:fldCharType="separate"/>
          </w:r>
          <w:r>
            <w:rPr>
              <w:rFonts w:hint="eastAsia" w:ascii="黑体" w:hAnsi="黑体" w:eastAsia="黑体" w:cs="黑体"/>
              <w:bCs w:val="0"/>
              <w:color w:val="auto"/>
              <w:highlight w:val="none"/>
              <w:shd w:val="clear" w:color="auto" w:fill="auto"/>
              <w:lang w:val="en-US" w:eastAsia="zh-CN"/>
            </w:rPr>
            <w:t>七、其他需要说明的问题</w:t>
          </w:r>
          <w:r>
            <w:rPr>
              <w:rFonts w:hint="eastAsia" w:ascii="黑体" w:hAnsi="黑体" w:eastAsia="黑体" w:cs="黑体"/>
              <w:color w:val="auto"/>
              <w:highlight w:val="none"/>
            </w:rPr>
            <w:tab/>
          </w:r>
          <w:r>
            <w:rPr>
              <w:rFonts w:hint="eastAsia" w:ascii="黑体" w:hAnsi="黑体" w:eastAsia="黑体" w:cs="黑体"/>
              <w:color w:val="auto"/>
              <w:highlight w:val="none"/>
            </w:rPr>
            <w:fldChar w:fldCharType="begin"/>
          </w:r>
          <w:r>
            <w:rPr>
              <w:rFonts w:hint="eastAsia" w:ascii="黑体" w:hAnsi="黑体" w:eastAsia="黑体" w:cs="黑体"/>
              <w:color w:val="auto"/>
              <w:highlight w:val="none"/>
            </w:rPr>
            <w:instrText xml:space="preserve"> PAGEREF _Toc14256 \h </w:instrText>
          </w:r>
          <w:r>
            <w:rPr>
              <w:rFonts w:hint="eastAsia" w:ascii="黑体" w:hAnsi="黑体" w:eastAsia="黑体" w:cs="黑体"/>
              <w:color w:val="auto"/>
              <w:highlight w:val="none"/>
            </w:rPr>
            <w:fldChar w:fldCharType="separate"/>
          </w:r>
          <w:r>
            <w:rPr>
              <w:rFonts w:hint="eastAsia" w:ascii="黑体" w:hAnsi="黑体" w:eastAsia="黑体" w:cs="黑体"/>
              <w:color w:val="auto"/>
              <w:highlight w:val="none"/>
            </w:rPr>
            <w:t>26</w:t>
          </w:r>
          <w:r>
            <w:rPr>
              <w:rFonts w:hint="eastAsia" w:ascii="黑体" w:hAnsi="黑体" w:eastAsia="黑体" w:cs="黑体"/>
              <w:color w:val="auto"/>
              <w:highlight w:val="none"/>
            </w:rPr>
            <w:fldChar w:fldCharType="end"/>
          </w:r>
          <w:r>
            <w:rPr>
              <w:rFonts w:hint="eastAsia" w:ascii="黑体" w:hAnsi="黑体" w:eastAsia="黑体" w:cs="黑体"/>
              <w:color w:val="auto"/>
              <w:szCs w:val="28"/>
              <w:highlight w:val="none"/>
              <w:lang w:val="en-US" w:eastAsia="zh-CN"/>
            </w:rPr>
            <w:fldChar w:fldCharType="end"/>
          </w:r>
        </w:p>
        <w:p w14:paraId="1619B35F">
          <w:pPr>
            <w:pStyle w:val="10"/>
            <w:pageBreakBefore w:val="0"/>
            <w:tabs>
              <w:tab w:val="right" w:leader="dot" w:pos="8844"/>
            </w:tabs>
            <w:kinsoku/>
            <w:wordWrap/>
            <w:overflowPunct/>
            <w:topLinePunct w:val="0"/>
            <w:autoSpaceDE/>
            <w:autoSpaceDN/>
            <w:bidi w:val="0"/>
            <w:adjustRightInd/>
            <w:spacing w:line="560" w:lineRule="exact"/>
            <w:rPr>
              <w:rFonts w:hint="eastAsia" w:ascii="黑体" w:hAnsi="黑体" w:eastAsia="黑体" w:cs="黑体"/>
              <w:color w:val="auto"/>
              <w:highlight w:val="none"/>
            </w:rPr>
          </w:pPr>
          <w:r>
            <w:rPr>
              <w:rFonts w:hint="eastAsia" w:ascii="黑体" w:hAnsi="黑体" w:eastAsia="黑体" w:cs="黑体"/>
              <w:color w:val="auto"/>
              <w:szCs w:val="28"/>
              <w:highlight w:val="none"/>
              <w:lang w:val="en-US" w:eastAsia="zh-CN"/>
            </w:rPr>
            <w:fldChar w:fldCharType="begin"/>
          </w:r>
          <w:r>
            <w:rPr>
              <w:rFonts w:hint="eastAsia" w:ascii="黑体" w:hAnsi="黑体" w:eastAsia="黑体" w:cs="黑体"/>
              <w:color w:val="auto"/>
              <w:szCs w:val="28"/>
              <w:highlight w:val="none"/>
              <w:lang w:val="en-US" w:eastAsia="zh-CN"/>
            </w:rPr>
            <w:instrText xml:space="preserve"> HYPERLINK \l _Toc28971 </w:instrText>
          </w:r>
          <w:r>
            <w:rPr>
              <w:rFonts w:hint="eastAsia" w:ascii="黑体" w:hAnsi="黑体" w:eastAsia="黑体" w:cs="黑体"/>
              <w:color w:val="auto"/>
              <w:szCs w:val="28"/>
              <w:highlight w:val="none"/>
              <w:lang w:val="en-US" w:eastAsia="zh-CN"/>
            </w:rPr>
            <w:fldChar w:fldCharType="separate"/>
          </w:r>
          <w:r>
            <w:rPr>
              <w:rFonts w:hint="eastAsia" w:ascii="黑体" w:hAnsi="黑体" w:eastAsia="黑体" w:cs="黑体"/>
              <w:bCs/>
              <w:color w:val="auto"/>
              <w:highlight w:val="none"/>
              <w:shd w:val="clear" w:color="auto" w:fill="auto"/>
              <w:lang w:val="en-US" w:eastAsia="zh-CN"/>
            </w:rPr>
            <w:t>附件一、项目支出绩效自评表</w:t>
          </w:r>
          <w:r>
            <w:rPr>
              <w:rFonts w:hint="eastAsia" w:ascii="黑体" w:hAnsi="黑体" w:eastAsia="黑体" w:cs="黑体"/>
              <w:color w:val="auto"/>
              <w:highlight w:val="none"/>
            </w:rPr>
            <w:tab/>
          </w:r>
          <w:r>
            <w:rPr>
              <w:rFonts w:hint="eastAsia" w:ascii="黑体" w:hAnsi="黑体" w:eastAsia="黑体" w:cs="黑体"/>
              <w:color w:val="auto"/>
              <w:highlight w:val="none"/>
            </w:rPr>
            <w:fldChar w:fldCharType="begin"/>
          </w:r>
          <w:r>
            <w:rPr>
              <w:rFonts w:hint="eastAsia" w:ascii="黑体" w:hAnsi="黑体" w:eastAsia="黑体" w:cs="黑体"/>
              <w:color w:val="auto"/>
              <w:highlight w:val="none"/>
            </w:rPr>
            <w:instrText xml:space="preserve"> PAGEREF _Toc28971 \h </w:instrText>
          </w:r>
          <w:r>
            <w:rPr>
              <w:rFonts w:hint="eastAsia" w:ascii="黑体" w:hAnsi="黑体" w:eastAsia="黑体" w:cs="黑体"/>
              <w:color w:val="auto"/>
              <w:highlight w:val="none"/>
            </w:rPr>
            <w:fldChar w:fldCharType="separate"/>
          </w:r>
          <w:r>
            <w:rPr>
              <w:rFonts w:hint="eastAsia" w:ascii="黑体" w:hAnsi="黑体" w:eastAsia="黑体" w:cs="黑体"/>
              <w:color w:val="auto"/>
              <w:highlight w:val="none"/>
            </w:rPr>
            <w:t>18</w:t>
          </w:r>
          <w:r>
            <w:rPr>
              <w:rFonts w:hint="eastAsia" w:ascii="黑体" w:hAnsi="黑体" w:eastAsia="黑体" w:cs="黑体"/>
              <w:color w:val="auto"/>
              <w:highlight w:val="none"/>
            </w:rPr>
            <w:fldChar w:fldCharType="end"/>
          </w:r>
          <w:r>
            <w:rPr>
              <w:rFonts w:hint="eastAsia" w:ascii="黑体" w:hAnsi="黑体" w:eastAsia="黑体" w:cs="黑体"/>
              <w:color w:val="auto"/>
              <w:szCs w:val="28"/>
              <w:highlight w:val="none"/>
              <w:lang w:val="en-US" w:eastAsia="zh-CN"/>
            </w:rPr>
            <w:fldChar w:fldCharType="end"/>
          </w:r>
        </w:p>
        <w:p w14:paraId="3A533BFB">
          <w:pPr>
            <w:pStyle w:val="10"/>
            <w:pageBreakBefore w:val="0"/>
            <w:tabs>
              <w:tab w:val="right" w:leader="dot" w:pos="8844"/>
            </w:tabs>
            <w:kinsoku/>
            <w:wordWrap/>
            <w:overflowPunct/>
            <w:topLinePunct w:val="0"/>
            <w:autoSpaceDE/>
            <w:autoSpaceDN/>
            <w:bidi w:val="0"/>
            <w:adjustRightInd/>
            <w:spacing w:line="560" w:lineRule="exact"/>
            <w:rPr>
              <w:rFonts w:hint="eastAsia" w:ascii="黑体" w:hAnsi="黑体" w:eastAsia="黑体" w:cs="黑体"/>
              <w:color w:val="auto"/>
              <w:highlight w:val="none"/>
            </w:rPr>
          </w:pPr>
          <w:r>
            <w:rPr>
              <w:rFonts w:hint="eastAsia" w:ascii="黑体" w:hAnsi="黑体" w:eastAsia="黑体" w:cs="黑体"/>
              <w:color w:val="auto"/>
              <w:szCs w:val="28"/>
              <w:highlight w:val="none"/>
              <w:lang w:val="en-US" w:eastAsia="zh-CN"/>
            </w:rPr>
            <w:fldChar w:fldCharType="begin"/>
          </w:r>
          <w:r>
            <w:rPr>
              <w:rFonts w:hint="eastAsia" w:ascii="黑体" w:hAnsi="黑体" w:eastAsia="黑体" w:cs="黑体"/>
              <w:color w:val="auto"/>
              <w:szCs w:val="28"/>
              <w:highlight w:val="none"/>
              <w:lang w:val="en-US" w:eastAsia="zh-CN"/>
            </w:rPr>
            <w:instrText xml:space="preserve"> HYPERLINK \l _Toc11223 </w:instrText>
          </w:r>
          <w:r>
            <w:rPr>
              <w:rFonts w:hint="eastAsia" w:ascii="黑体" w:hAnsi="黑体" w:eastAsia="黑体" w:cs="黑体"/>
              <w:color w:val="auto"/>
              <w:szCs w:val="28"/>
              <w:highlight w:val="none"/>
              <w:lang w:val="en-US" w:eastAsia="zh-CN"/>
            </w:rPr>
            <w:fldChar w:fldCharType="separate"/>
          </w:r>
          <w:r>
            <w:rPr>
              <w:rFonts w:hint="eastAsia" w:ascii="黑体" w:hAnsi="黑体" w:eastAsia="黑体" w:cs="黑体"/>
              <w:bCs/>
              <w:color w:val="auto"/>
              <w:highlight w:val="none"/>
              <w:shd w:val="clear" w:color="auto" w:fill="auto"/>
              <w:lang w:val="en-US" w:eastAsia="zh-CN"/>
            </w:rPr>
            <w:t>附件二、项目支出绩效评价指标体系打分表</w:t>
          </w:r>
          <w:r>
            <w:rPr>
              <w:rFonts w:hint="eastAsia" w:ascii="黑体" w:hAnsi="黑体" w:eastAsia="黑体" w:cs="黑体"/>
              <w:color w:val="auto"/>
              <w:highlight w:val="none"/>
            </w:rPr>
            <w:tab/>
          </w:r>
          <w:r>
            <w:rPr>
              <w:rFonts w:hint="eastAsia" w:ascii="黑体" w:hAnsi="黑体" w:eastAsia="黑体" w:cs="黑体"/>
              <w:color w:val="auto"/>
              <w:highlight w:val="none"/>
            </w:rPr>
            <w:fldChar w:fldCharType="begin"/>
          </w:r>
          <w:r>
            <w:rPr>
              <w:rFonts w:hint="eastAsia" w:ascii="黑体" w:hAnsi="黑体" w:eastAsia="黑体" w:cs="黑体"/>
              <w:color w:val="auto"/>
              <w:highlight w:val="none"/>
            </w:rPr>
            <w:instrText xml:space="preserve"> PAGEREF _Toc11223 \h </w:instrText>
          </w:r>
          <w:r>
            <w:rPr>
              <w:rFonts w:hint="eastAsia" w:ascii="黑体" w:hAnsi="黑体" w:eastAsia="黑体" w:cs="黑体"/>
              <w:color w:val="auto"/>
              <w:highlight w:val="none"/>
            </w:rPr>
            <w:fldChar w:fldCharType="separate"/>
          </w:r>
          <w:r>
            <w:rPr>
              <w:rFonts w:hint="eastAsia" w:ascii="黑体" w:hAnsi="黑体" w:eastAsia="黑体" w:cs="黑体"/>
              <w:color w:val="auto"/>
              <w:highlight w:val="none"/>
            </w:rPr>
            <w:t>33</w:t>
          </w:r>
          <w:r>
            <w:rPr>
              <w:rFonts w:hint="eastAsia" w:ascii="黑体" w:hAnsi="黑体" w:eastAsia="黑体" w:cs="黑体"/>
              <w:color w:val="auto"/>
              <w:highlight w:val="none"/>
            </w:rPr>
            <w:fldChar w:fldCharType="end"/>
          </w:r>
          <w:r>
            <w:rPr>
              <w:rFonts w:hint="eastAsia" w:ascii="黑体" w:hAnsi="黑体" w:eastAsia="黑体" w:cs="黑体"/>
              <w:color w:val="auto"/>
              <w:szCs w:val="28"/>
              <w:highlight w:val="none"/>
              <w:lang w:val="en-US" w:eastAsia="zh-CN"/>
            </w:rPr>
            <w:fldChar w:fldCharType="end"/>
          </w:r>
        </w:p>
        <w:p w14:paraId="43726547">
          <w:pPr>
            <w:keepNext w:val="0"/>
            <w:keepLines w:val="0"/>
            <w:pageBreakBefore w:val="0"/>
            <w:shd w:val="clear"/>
            <w:kinsoku/>
            <w:wordWrap/>
            <w:overflowPunct/>
            <w:topLinePunct w:val="0"/>
            <w:autoSpaceDE/>
            <w:autoSpaceDN/>
            <w:bidi w:val="0"/>
            <w:adjustRightInd/>
            <w:snapToGrid/>
            <w:spacing w:line="560" w:lineRule="exact"/>
            <w:textAlignment w:val="auto"/>
            <w:rPr>
              <w:rFonts w:hint="eastAsia"/>
              <w:color w:val="auto"/>
              <w:highlight w:val="none"/>
              <w:lang w:val="en-US" w:eastAsia="zh-CN"/>
            </w:rPr>
            <w:sectPr>
              <w:pgSz w:w="11906" w:h="16838"/>
              <w:pgMar w:top="1928" w:right="1531" w:bottom="1701" w:left="1531" w:header="737" w:footer="851" w:gutter="0"/>
              <w:cols w:space="720" w:num="1"/>
              <w:docGrid w:type="lines" w:linePitch="408" w:charSpace="0"/>
            </w:sectPr>
          </w:pPr>
          <w:r>
            <w:rPr>
              <w:rFonts w:hint="eastAsia"/>
              <w:color w:val="auto"/>
              <w:szCs w:val="28"/>
              <w:highlight w:val="none"/>
              <w:lang w:val="en-US" w:eastAsia="zh-CN"/>
            </w:rPr>
            <w:fldChar w:fldCharType="end"/>
          </w:r>
        </w:p>
      </w:sdtContent>
    </w:sdt>
    <w:p w14:paraId="5FDD79D1">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0"/>
        <w:rPr>
          <w:rFonts w:hint="eastAsia" w:ascii="宋体" w:hAnsi="宋体" w:eastAsia="宋体" w:cs="宋体"/>
          <w:b/>
          <w:bCs/>
          <w:color w:val="auto"/>
          <w:highlight w:val="none"/>
          <w:shd w:val="clear" w:color="auto" w:fill="auto"/>
        </w:rPr>
      </w:pPr>
      <w:bookmarkStart w:id="4" w:name="_Toc20432"/>
      <w:bookmarkStart w:id="5" w:name="_Toc1194"/>
      <w:bookmarkStart w:id="6" w:name="_Toc3663"/>
      <w:bookmarkStart w:id="7" w:name="_Toc22946"/>
      <w:r>
        <w:rPr>
          <w:rFonts w:hint="eastAsia" w:cs="宋体"/>
          <w:b/>
          <w:bCs/>
          <w:color w:val="auto"/>
          <w:sz w:val="36"/>
          <w:szCs w:val="36"/>
          <w:highlight w:val="none"/>
          <w:shd w:val="clear" w:color="auto" w:fill="auto"/>
          <w:lang w:val="en-US" w:eastAsia="zh-CN"/>
        </w:rPr>
        <w:t>基本公共卫生服务</w:t>
      </w:r>
      <w:r>
        <w:rPr>
          <w:rFonts w:hint="eastAsia" w:ascii="宋体" w:hAnsi="宋体" w:eastAsia="宋体" w:cs="宋体"/>
          <w:b/>
          <w:bCs/>
          <w:color w:val="auto"/>
          <w:sz w:val="36"/>
          <w:szCs w:val="36"/>
          <w:highlight w:val="none"/>
          <w:shd w:val="clear" w:color="auto" w:fill="auto"/>
          <w:lang w:val="en-US" w:eastAsia="zh-CN"/>
        </w:rPr>
        <w:t>项目</w:t>
      </w:r>
      <w:r>
        <w:rPr>
          <w:rFonts w:hint="eastAsia" w:ascii="宋体" w:hAnsi="宋体" w:eastAsia="宋体" w:cs="宋体"/>
          <w:b/>
          <w:bCs/>
          <w:color w:val="auto"/>
          <w:sz w:val="36"/>
          <w:szCs w:val="36"/>
          <w:highlight w:val="none"/>
          <w:shd w:val="clear" w:color="auto" w:fill="auto"/>
        </w:rPr>
        <w:t>支出绩效评价报告</w:t>
      </w:r>
      <w:bookmarkEnd w:id="4"/>
      <w:bookmarkEnd w:id="5"/>
      <w:bookmarkEnd w:id="6"/>
      <w:bookmarkEnd w:id="7"/>
    </w:p>
    <w:p w14:paraId="0F4F3906">
      <w:pPr>
        <w:pStyle w:val="3"/>
        <w:pageBreakBefore w:val="0"/>
        <w:kinsoku/>
        <w:wordWrap/>
        <w:overflowPunct/>
        <w:topLinePunct w:val="0"/>
        <w:autoSpaceDE/>
        <w:autoSpaceDN/>
        <w:bidi w:val="0"/>
        <w:adjustRightInd/>
        <w:snapToGrid/>
        <w:spacing w:beforeLines="0" w:afterLines="0" w:line="560" w:lineRule="exact"/>
        <w:textAlignment w:val="auto"/>
        <w:rPr>
          <w:rFonts w:hint="eastAsia" w:ascii="黑体" w:hAnsi="黑体" w:eastAsia="黑体" w:cs="黑体"/>
          <w:color w:val="auto"/>
          <w:spacing w:val="17"/>
          <w:kern w:val="2"/>
          <w:sz w:val="32"/>
          <w:szCs w:val="32"/>
          <w:highlight w:val="none"/>
          <w:lang w:val="en-US" w:eastAsia="zh-CN" w:bidi="ar-SA"/>
        </w:rPr>
      </w:pPr>
      <w:bookmarkStart w:id="8" w:name="_Toc18485"/>
      <w:r>
        <w:rPr>
          <w:rFonts w:hint="eastAsia" w:ascii="黑体" w:hAnsi="黑体" w:eastAsia="黑体" w:cs="黑体"/>
          <w:color w:val="auto"/>
          <w:spacing w:val="17"/>
          <w:kern w:val="2"/>
          <w:sz w:val="32"/>
          <w:szCs w:val="32"/>
          <w:highlight w:val="none"/>
          <w:lang w:val="en-US" w:eastAsia="zh-CN" w:bidi="ar-SA"/>
        </w:rPr>
        <w:t>一、基本情况</w:t>
      </w:r>
      <w:bookmarkEnd w:id="8"/>
    </w:p>
    <w:p w14:paraId="17495A18">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711" w:firstLineChars="200"/>
        <w:jc w:val="both"/>
        <w:textAlignment w:val="auto"/>
        <w:rPr>
          <w:rFonts w:hint="eastAsia" w:ascii="Times New Roman" w:hAnsi="Times New Roman" w:eastAsia="仿宋_GB2312" w:cs="Times New Roman"/>
          <w:color w:val="auto"/>
          <w:spacing w:val="17"/>
          <w:kern w:val="2"/>
          <w:sz w:val="32"/>
          <w:szCs w:val="32"/>
          <w:highlight w:val="none"/>
          <w:lang w:val="en-US" w:eastAsia="zh-CN" w:bidi="ar-SA"/>
        </w:rPr>
      </w:pPr>
      <w:bookmarkStart w:id="9" w:name="_Toc23184"/>
      <w:r>
        <w:rPr>
          <w:rFonts w:hint="eastAsia" w:ascii="Times New Roman" w:hAnsi="Times New Roman" w:eastAsia="仿宋_GB2312" w:cs="Times New Roman"/>
          <w:color w:val="auto"/>
          <w:spacing w:val="17"/>
          <w:kern w:val="2"/>
          <w:sz w:val="32"/>
          <w:szCs w:val="32"/>
          <w:highlight w:val="none"/>
          <w:lang w:val="en-US" w:eastAsia="zh-CN" w:bidi="ar-SA"/>
        </w:rPr>
        <w:t>（一）项目概况</w:t>
      </w:r>
      <w:bookmarkEnd w:id="9"/>
    </w:p>
    <w:p w14:paraId="73E18D06">
      <w:pPr>
        <w:pStyle w:val="5"/>
        <w:pageBreakBefore w:val="0"/>
        <w:kinsoku/>
        <w:wordWrap/>
        <w:overflowPunct/>
        <w:topLinePunct w:val="0"/>
        <w:autoSpaceDE/>
        <w:autoSpaceDN/>
        <w:bidi w:val="0"/>
        <w:adjustRightInd/>
        <w:snapToGrid/>
        <w:spacing w:line="560" w:lineRule="exact"/>
        <w:textAlignment w:val="auto"/>
        <w:rPr>
          <w:rFonts w:hint="eastAsia" w:ascii="Times New Roman" w:hAnsi="Times New Roman" w:eastAsia="仿宋_GB2312" w:cs="Times New Roman"/>
          <w:color w:val="auto"/>
          <w:spacing w:val="17"/>
          <w:kern w:val="2"/>
          <w:sz w:val="32"/>
          <w:szCs w:val="32"/>
          <w:highlight w:val="none"/>
          <w:lang w:val="en-US" w:eastAsia="zh-CN" w:bidi="ar-SA"/>
        </w:rPr>
      </w:pPr>
      <w:bookmarkStart w:id="10" w:name="_Toc10645"/>
      <w:bookmarkStart w:id="11" w:name="_Toc5043"/>
      <w:bookmarkStart w:id="12" w:name="_Toc29812"/>
      <w:bookmarkStart w:id="13" w:name="_Toc22346"/>
      <w:r>
        <w:rPr>
          <w:rFonts w:hint="eastAsia" w:ascii="Times New Roman" w:hAnsi="Times New Roman" w:eastAsia="仿宋_GB2312" w:cs="Times New Roman"/>
          <w:color w:val="auto"/>
          <w:spacing w:val="17"/>
          <w:kern w:val="2"/>
          <w:sz w:val="32"/>
          <w:szCs w:val="32"/>
          <w:highlight w:val="none"/>
          <w:lang w:val="en-US" w:eastAsia="zh-CN" w:bidi="ar-SA"/>
        </w:rPr>
        <w:t>1.项目背景</w:t>
      </w:r>
      <w:bookmarkEnd w:id="10"/>
      <w:bookmarkEnd w:id="11"/>
      <w:bookmarkEnd w:id="12"/>
      <w:bookmarkEnd w:id="13"/>
    </w:p>
    <w:p w14:paraId="56A38DA6">
      <w:pPr>
        <w:pageBreakBefore w:val="0"/>
        <w:kinsoku/>
        <w:wordWrap/>
        <w:overflowPunct/>
        <w:topLinePunct w:val="0"/>
        <w:autoSpaceDE/>
        <w:autoSpaceDN/>
        <w:bidi w:val="0"/>
        <w:adjustRightInd/>
        <w:spacing w:line="560" w:lineRule="exact"/>
        <w:rPr>
          <w:rFonts w:hint="eastAsia" w:ascii="仿宋_GB2312" w:hAnsi="仿宋_GB2312" w:eastAsia="仿宋_GB2312" w:cs="仿宋_GB2312"/>
          <w:color w:val="auto"/>
          <w:sz w:val="32"/>
          <w:szCs w:val="32"/>
          <w:highlight w:val="none"/>
          <w:lang w:val="en-US" w:eastAsia="zh-CN"/>
        </w:rPr>
      </w:pPr>
      <w:bookmarkStart w:id="14" w:name="_Toc1630"/>
      <w:bookmarkStart w:id="15" w:name="_Toc17880"/>
      <w:bookmarkStart w:id="16" w:name="_Toc10730"/>
      <w:bookmarkStart w:id="17" w:name="_Toc27343"/>
      <w:r>
        <w:rPr>
          <w:rFonts w:hint="eastAsia" w:ascii="仿宋_GB2312" w:hAnsi="仿宋_GB2312" w:eastAsia="仿宋_GB2312" w:cs="仿宋_GB2312"/>
          <w:color w:val="auto"/>
          <w:sz w:val="32"/>
          <w:szCs w:val="32"/>
          <w:highlight w:val="none"/>
          <w:lang w:val="en-US" w:eastAsia="zh-CN"/>
        </w:rPr>
        <w:t>依据《国家基本公共卫生服务规范（第三版）》，基本公共卫生服务项目是国家为了促进城乡居民基本公共卫生服务逐步均等化而实施的一项重要举措，其背景如下：（1）改善居民健康状况的需要，随着经济社会发展，人们对健康的需求不断提高，而一些常见疾病、传染病等仍威胁着居民健康。通过开展基本公共卫生服务，如预防接种、慢性病管理等，可以有效预防和控制疾病，提高居民健康水平。（2）促进社会公平的要求，不同地区、不同人群在医疗卫生服务的可及性和利用程度上存在差异。实施基本公共卫生服务项目，能够让全体居民，尤其是弱势群体，都能享受到基本的公共卫生服务，缩小城乡、地区和人群之间的健康差距，促进社会公平。（3）疾病谱变化的应对，当前，疾病谱逐渐从以传染病为主向慢性非传染性疾病为主转变。高血压、糖尿病等慢性病的发病率不断上升，对居民健康和社会经济造成了沉重负担。基本公共卫生服务项目将慢性病管理等纳入其中，有助于早期发现、干预和管理慢性病，降低疾病负担。（4）卫生事业发展的必然趋势，从注重疾病治疗向预防为主、防治结合转变是卫生事业发展的方向。基本公共卫生服务项目强调预防保健，通过提供健康教育、妇幼保健、老年人健康管理等服务，将卫生工作的关口前移，实现对居民全生命周期的健康管理。（5）政策支持与推动，国家高度重视公共卫生事业发展，出台了一系列政策文件，为基本公共卫生服务项目的实施提供了政策依据和保障。2009年，中共中央、国务院发布《关于深化医药卫生体制改革的意见》，明确提出促进基本公共卫生服务逐步均等化，启动实施国家基本公共卫生服务项目。</w:t>
      </w:r>
    </w:p>
    <w:p w14:paraId="1AE41C7B">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bCs/>
          <w:color w:val="auto"/>
          <w:sz w:val="32"/>
          <w:szCs w:val="32"/>
          <w:highlight w:val="none"/>
          <w:shd w:val="clear" w:color="auto" w:fill="auto"/>
          <w:lang w:val="en-US" w:eastAsia="zh-CN"/>
        </w:rPr>
      </w:pPr>
      <w:r>
        <w:rPr>
          <w:rFonts w:hint="eastAsia" w:ascii="仿宋_GB2312" w:hAnsi="仿宋_GB2312" w:eastAsia="仿宋_GB2312" w:cs="仿宋_GB2312"/>
          <w:b/>
          <w:bCs/>
          <w:color w:val="auto"/>
          <w:sz w:val="32"/>
          <w:szCs w:val="32"/>
          <w:highlight w:val="none"/>
          <w:shd w:val="clear" w:color="auto" w:fill="auto"/>
          <w:lang w:val="en-US" w:eastAsia="zh-CN"/>
        </w:rPr>
        <w:t>2.主要内容及实施情况</w:t>
      </w:r>
      <w:bookmarkEnd w:id="14"/>
      <w:bookmarkEnd w:id="15"/>
      <w:bookmarkEnd w:id="16"/>
      <w:bookmarkEnd w:id="17"/>
    </w:p>
    <w:p w14:paraId="6A650BA0">
      <w:pPr>
        <w:pageBreakBefore w:val="0"/>
        <w:kinsoku/>
        <w:wordWrap/>
        <w:overflowPunct/>
        <w:topLinePunct w:val="0"/>
        <w:autoSpaceDE/>
        <w:autoSpaceDN/>
        <w:bidi w:val="0"/>
        <w:adjustRightInd/>
        <w:spacing w:line="560" w:lineRule="exact"/>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b/>
          <w:bCs/>
          <w:color w:val="auto"/>
          <w:sz w:val="32"/>
          <w:szCs w:val="32"/>
          <w:highlight w:val="none"/>
          <w:shd w:val="clear" w:color="auto" w:fill="auto"/>
          <w:lang w:val="en-US" w:eastAsia="zh-CN"/>
        </w:rPr>
        <w:t>项目主要内容：</w:t>
      </w:r>
      <w:r>
        <w:rPr>
          <w:rFonts w:hint="eastAsia" w:ascii="仿宋_GB2312" w:hAnsi="仿宋_GB2312" w:eastAsia="仿宋_GB2312" w:cs="仿宋_GB2312"/>
          <w:color w:val="auto"/>
          <w:highlight w:val="none"/>
          <w:lang w:val="en-US" w:eastAsia="zh-CN"/>
        </w:rPr>
        <w:t>国</w:t>
      </w:r>
      <w:r>
        <w:rPr>
          <w:rFonts w:hint="eastAsia" w:ascii="仿宋_GB2312" w:hAnsi="仿宋_GB2312" w:eastAsia="仿宋_GB2312" w:cs="仿宋_GB2312"/>
          <w:color w:val="auto"/>
          <w:sz w:val="32"/>
          <w:szCs w:val="32"/>
          <w:highlight w:val="none"/>
          <w:lang w:val="en-US" w:eastAsia="zh-CN"/>
        </w:rPr>
        <w:t>家基本公共卫生服务项目包括14项内容：（1）城乡居民健康档案管理，为辖区内常住居民，包括居住半年以上非户籍居民建立健康档案，并进行维护管理。（2）健康教育，为辖区内居民提供健康教育资料，设置宣传栏，开展公众健康咨询、知识讲座及个体化健康教育。（3）预防接种，为辖区内0～6岁儿童和其他重点人群进行预防接种管理、实施预防接种及处理疑似预防接种异常反应。（4）0～6岁儿童健康管理，为辖区内居住的0～6岁儿童提供新生儿家庭访视、满月健康管理、婴幼儿及学龄前儿童健康管理。（5）孕产妇健康管理，为辖区内居住的孕产妇提供孕早期、中期、晚期健康管理，产后访视和产后42天健康检查。（6）老年人健康管理，为辖区内65岁及以上常住居民进行生活方式和健康状况评估、体格检查、辅助检查及健康指导。（7）慢性病患者健康管理，为辖区内35岁及以上原发性高血压患者和2型糖尿病患者进行筛查、随访评估和分类干预，并提供健康体检。（8）严重精神障碍患者管理，为辖区内诊断明确、在家居住的严重精神障碍患者进行信息管理、随访评估和分类干预，提供健康体检。（9）肺结核患者健康管理，对辖区内诊断明确、在家居住的结核病患者进行可疑症状者推荐、随访和用药管理、健康体检。（10）传染病及突发公共卫生事件报告和处理，对辖区内服务人口进行传染病疫情和突发公共卫生事件风险管理、发现和登记、相关信息报告及处理。（11）中医药健康管理，为辖区内65岁及以上常住居民进行中医体质辨识和中医药保健指导，为0～36个月儿童家长进行儿童中医药健康指导。（12）卫生计生监督协管，为辖区内居民提供食品安全信息报告、职业卫生咨询指导、饮用水卫生安全巡查、学校卫生服务、非法行医和非法采供血信息报告。（13）免费提供避孕药具，省级卫生计生部门负责采购，省、地市、县级计划生育药具管理机构负责存储、调拨等，为辖区内居民提供服务。（14）健康素养促进行动，开展健康促进县（区）建设等活动，提高居民健康素养水平。</w:t>
      </w:r>
    </w:p>
    <w:p w14:paraId="0794B4AD">
      <w:pPr>
        <w:pageBreakBefore w:val="0"/>
        <w:kinsoku/>
        <w:wordWrap/>
        <w:overflowPunct/>
        <w:topLinePunct w:val="0"/>
        <w:autoSpaceDE/>
        <w:autoSpaceDN/>
        <w:bidi w:val="0"/>
        <w:adjustRightInd/>
        <w:spacing w:line="560" w:lineRule="exact"/>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项目实施情况：</w:t>
      </w:r>
      <w:r>
        <w:rPr>
          <w:rFonts w:hint="eastAsia" w:ascii="仿宋_GB2312" w:hAnsi="仿宋_GB2312" w:eastAsia="仿宋_GB2312" w:cs="仿宋_GB2312"/>
          <w:color w:val="auto"/>
          <w:sz w:val="32"/>
          <w:szCs w:val="32"/>
          <w:highlight w:val="none"/>
          <w:lang w:val="en-US" w:eastAsia="zh-CN"/>
        </w:rPr>
        <w:t>本项目自2024年1月1日根据各级工作要求我单位根据各级要求确定项目领导小组，明确责任分工：组长为孙小凤，副组长为袁建国，项目负责人为陶楠,组员为、陶楠、陆彦、</w:t>
      </w:r>
      <w:bookmarkStart w:id="18" w:name="OLE_LINK3"/>
      <w:r>
        <w:rPr>
          <w:rFonts w:hint="eastAsia" w:ascii="仿宋_GB2312" w:hAnsi="仿宋_GB2312" w:eastAsia="仿宋_GB2312" w:cs="仿宋_GB2312"/>
          <w:color w:val="auto"/>
          <w:sz w:val="32"/>
          <w:szCs w:val="32"/>
          <w:highlight w:val="none"/>
          <w:lang w:val="en-US" w:eastAsia="zh-CN"/>
        </w:rPr>
        <w:t>李冬梅</w:t>
      </w:r>
      <w:bookmarkEnd w:id="18"/>
      <w:r>
        <w:rPr>
          <w:rFonts w:hint="eastAsia" w:ascii="仿宋_GB2312" w:hAnsi="仿宋_GB2312" w:eastAsia="仿宋_GB2312" w:cs="仿宋_GB2312"/>
          <w:color w:val="auto"/>
          <w:sz w:val="32"/>
          <w:szCs w:val="32"/>
          <w:highlight w:val="none"/>
          <w:lang w:val="en-US" w:eastAsia="zh-CN"/>
        </w:rPr>
        <w:t>、那拉提、</w:t>
      </w:r>
      <w:bookmarkStart w:id="19" w:name="OLE_LINK1"/>
      <w:r>
        <w:rPr>
          <w:rFonts w:hint="eastAsia" w:ascii="仿宋_GB2312" w:hAnsi="仿宋_GB2312" w:eastAsia="仿宋_GB2312" w:cs="仿宋_GB2312"/>
          <w:color w:val="auto"/>
          <w:sz w:val="32"/>
          <w:szCs w:val="32"/>
          <w:highlight w:val="none"/>
          <w:lang w:val="en-US" w:eastAsia="zh-CN"/>
        </w:rPr>
        <w:t>唐莎吾列</w:t>
      </w:r>
      <w:bookmarkEnd w:id="19"/>
      <w:r>
        <w:rPr>
          <w:rFonts w:hint="eastAsia" w:ascii="仿宋_GB2312" w:hAnsi="仿宋_GB2312" w:eastAsia="仿宋_GB2312" w:cs="仿宋_GB2312"/>
          <w:color w:val="auto"/>
          <w:sz w:val="32"/>
          <w:szCs w:val="32"/>
          <w:highlight w:val="none"/>
          <w:lang w:val="en-US" w:eastAsia="zh-CN"/>
        </w:rPr>
        <w:t>。</w:t>
      </w:r>
      <w:bookmarkStart w:id="20" w:name="_Toc10240"/>
      <w:bookmarkStart w:id="21" w:name="_Toc12348"/>
      <w:bookmarkStart w:id="22" w:name="_Toc1858"/>
      <w:bookmarkStart w:id="23" w:name="_Toc569"/>
      <w:r>
        <w:rPr>
          <w:rFonts w:hint="eastAsia" w:ascii="仿宋_GB2312" w:hAnsi="仿宋_GB2312" w:eastAsia="仿宋_GB2312" w:cs="仿宋_GB2312"/>
          <w:color w:val="auto"/>
          <w:sz w:val="32"/>
          <w:szCs w:val="32"/>
          <w:highlight w:val="none"/>
          <w:lang w:val="en-US" w:eastAsia="zh-CN"/>
        </w:rPr>
        <w:t>截止2024年12月31日，我院共计完成65岁以上老人健康管理1683人，高血压服务1937人，糖尿病人服务544人，高血压患者基层规范管理服务合格率90%，糖尿病人服务率90%，65岁以上老人健康管理服务合格率79%，通过项目的实施，提高了高血压、糖尿病及老年人群的服务水平。</w:t>
      </w:r>
    </w:p>
    <w:p w14:paraId="13EEAB0A">
      <w:pPr>
        <w:pStyle w:val="5"/>
        <w:pageBreakBefore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3.资金投入和使用情况</w:t>
      </w:r>
      <w:bookmarkEnd w:id="20"/>
      <w:bookmarkEnd w:id="21"/>
      <w:bookmarkEnd w:id="22"/>
      <w:bookmarkEnd w:id="23"/>
    </w:p>
    <w:p w14:paraId="7E0205F7">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eastAsia" w:ascii="仿宋_GB2312" w:hAnsi="仿宋_GB2312" w:eastAsia="仿宋_GB2312" w:cs="仿宋_GB2312"/>
          <w:sz w:val="32"/>
          <w:szCs w:val="32"/>
          <w:highlight w:val="none"/>
          <w:lang w:val="en-US" w:eastAsia="zh-CN"/>
        </w:rPr>
      </w:pPr>
      <w:bookmarkStart w:id="24" w:name="_Toc26369"/>
      <w:bookmarkStart w:id="25" w:name="_Toc23509"/>
      <w:bookmarkStart w:id="26" w:name="_Toc694"/>
      <w:r>
        <w:rPr>
          <w:rFonts w:hint="eastAsia" w:ascii="仿宋_GB2312" w:hAnsi="仿宋_GB2312" w:eastAsia="仿宋_GB2312" w:cs="仿宋_GB2312"/>
          <w:sz w:val="32"/>
          <w:szCs w:val="32"/>
          <w:highlight w:val="none"/>
          <w:lang w:val="en-US" w:eastAsia="zh-CN"/>
        </w:rPr>
        <w:t>（1）资金投入情况</w:t>
      </w:r>
      <w:bookmarkEnd w:id="24"/>
      <w:bookmarkEnd w:id="25"/>
      <w:bookmarkEnd w:id="26"/>
    </w:p>
    <w:p w14:paraId="5FC35BD3">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eastAsia" w:ascii="仿宋_GB2312" w:hAnsi="仿宋_GB2312" w:eastAsia="仿宋_GB2312" w:cs="仿宋_GB2312"/>
          <w:sz w:val="32"/>
          <w:szCs w:val="32"/>
          <w:highlight w:val="none"/>
          <w:lang w:val="en-US" w:eastAsia="zh-CN"/>
        </w:rPr>
      </w:pPr>
      <w:bookmarkStart w:id="27" w:name="_Toc5573"/>
      <w:bookmarkStart w:id="28" w:name="_Toc29190"/>
      <w:bookmarkStart w:id="29" w:name="_Toc9464"/>
      <w:r>
        <w:rPr>
          <w:rFonts w:hint="eastAsia" w:ascii="仿宋_GB2312" w:hAnsi="仿宋_GB2312" w:eastAsia="仿宋_GB2312" w:cs="仿宋_GB2312"/>
          <w:sz w:val="32"/>
          <w:szCs w:val="32"/>
          <w:highlight w:val="none"/>
          <w:lang w:val="en-US" w:eastAsia="zh-CN"/>
        </w:rPr>
        <w:t>该项目年初预算数66.73万元，全年预算数66.73万元，该项目资金已全部落实到位，</w:t>
      </w:r>
      <w:bookmarkEnd w:id="27"/>
      <w:bookmarkEnd w:id="28"/>
      <w:bookmarkEnd w:id="29"/>
      <w:bookmarkStart w:id="30" w:name="_Toc28187"/>
      <w:bookmarkStart w:id="31" w:name="_Toc3409"/>
      <w:bookmarkStart w:id="32" w:name="_Toc1166"/>
      <w:r>
        <w:rPr>
          <w:rFonts w:hint="eastAsia" w:ascii="仿宋_GB2312" w:hAnsi="仿宋_GB2312" w:eastAsia="仿宋_GB2312" w:cs="仿宋_GB2312"/>
          <w:sz w:val="32"/>
          <w:szCs w:val="32"/>
          <w:highlight w:val="none"/>
          <w:lang w:val="en-US" w:eastAsia="zh-CN"/>
        </w:rPr>
        <w:t>其中财政资金66.73万元，其他资金0万元，2024年实际收到预算资金66.73万元，预算资金到位率为100%。</w:t>
      </w:r>
    </w:p>
    <w:p w14:paraId="72562558">
      <w:pPr>
        <w:pageBreakBefore w:val="0"/>
        <w:shd w:val="clear"/>
        <w:kinsoku/>
        <w:wordWrap/>
        <w:overflowPunct/>
        <w:topLinePunct w:val="0"/>
        <w:autoSpaceDE/>
        <w:autoSpaceDN/>
        <w:bidi w:val="0"/>
        <w:adjustRightInd/>
        <w:snapToGrid/>
        <w:spacing w:line="560" w:lineRule="exact"/>
        <w:ind w:firstLine="560" w:firstLineChars="200"/>
        <w:textAlignment w:val="auto"/>
        <w:outlineLvl w:val="0"/>
        <w:rPr>
          <w:rFonts w:hint="eastAsia" w:ascii="仿宋_GB2312" w:hAnsi="仿宋_GB2312" w:eastAsia="仿宋_GB2312" w:cs="仿宋_GB2312"/>
          <w:sz w:val="32"/>
          <w:szCs w:val="32"/>
          <w:highlight w:val="none"/>
          <w:lang w:val="en-US" w:eastAsia="zh-CN"/>
        </w:rPr>
      </w:pPr>
      <w:r>
        <w:rPr>
          <w:rFonts w:hint="eastAsia"/>
          <w:color w:val="auto"/>
          <w:highlight w:val="none"/>
          <w:lang w:val="en-US" w:eastAsia="zh-CN"/>
        </w:rPr>
        <w:t>（</w:t>
      </w:r>
      <w:r>
        <w:rPr>
          <w:rFonts w:hint="eastAsia" w:ascii="仿宋_GB2312" w:hAnsi="仿宋_GB2312" w:eastAsia="仿宋_GB2312" w:cs="仿宋_GB2312"/>
          <w:sz w:val="32"/>
          <w:szCs w:val="32"/>
          <w:highlight w:val="none"/>
          <w:lang w:val="en-US" w:eastAsia="zh-CN"/>
        </w:rPr>
        <w:t>2）资金使用情况</w:t>
      </w:r>
      <w:bookmarkEnd w:id="30"/>
      <w:bookmarkEnd w:id="31"/>
      <w:bookmarkEnd w:id="32"/>
    </w:p>
    <w:p w14:paraId="7583E3D4">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eastAsia" w:ascii="仿宋_GB2312" w:hAnsi="仿宋_GB2312" w:eastAsia="仿宋_GB2312" w:cs="仿宋_GB2312"/>
          <w:sz w:val="32"/>
          <w:szCs w:val="32"/>
          <w:highlight w:val="none"/>
          <w:lang w:val="en-US" w:eastAsia="zh-CN"/>
        </w:rPr>
      </w:pPr>
      <w:bookmarkStart w:id="33" w:name="_Toc11647"/>
      <w:bookmarkStart w:id="34" w:name="_Toc1430"/>
      <w:bookmarkStart w:id="35" w:name="_Toc29121"/>
      <w:r>
        <w:rPr>
          <w:rFonts w:hint="eastAsia" w:ascii="仿宋_GB2312" w:hAnsi="仿宋_GB2312" w:eastAsia="仿宋_GB2312" w:cs="仿宋_GB2312"/>
          <w:sz w:val="32"/>
          <w:szCs w:val="32"/>
          <w:highlight w:val="none"/>
          <w:lang w:val="en-US" w:eastAsia="zh-CN"/>
        </w:rPr>
        <w:t>该项目年初预算数66.73万元，全年预算数66.73万元，截至2024年12月31日，全年执行数66.73万元，预算执行率为100%，主要用于：展基本公共卫生服务，继续实施建立居民健康档案、健康教育、预防接种、儿童健康管理、孕产妇健康管理、老年人健康管理、高血压和2型糖尿病等慢性病患者健康管理、严重精神障碍患者管理。</w:t>
      </w:r>
    </w:p>
    <w:bookmarkEnd w:id="33"/>
    <w:bookmarkEnd w:id="34"/>
    <w:bookmarkEnd w:id="35"/>
    <w:p w14:paraId="455FB029">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kern w:val="28"/>
          <w:sz w:val="32"/>
          <w:lang w:val="en-US" w:eastAsia="zh-CN"/>
        </w:rPr>
      </w:pPr>
      <w:bookmarkStart w:id="36" w:name="_Toc9109"/>
      <w:r>
        <w:rPr>
          <w:rFonts w:hint="eastAsia" w:ascii="Times New Roman" w:hAnsi="Times New Roman" w:eastAsia="楷体_GB2312" w:cs="Times New Roman"/>
          <w:color w:val="auto"/>
          <w:kern w:val="28"/>
          <w:sz w:val="32"/>
          <w:highlight w:val="none"/>
          <w:lang w:val="en-US" w:eastAsia="zh-CN"/>
        </w:rPr>
        <w:t>（</w:t>
      </w:r>
      <w:r>
        <w:rPr>
          <w:rFonts w:hint="eastAsia" w:ascii="Times New Roman" w:hAnsi="Times New Roman" w:eastAsia="楷体_GB2312" w:cs="Times New Roman"/>
          <w:kern w:val="28"/>
          <w:sz w:val="32"/>
          <w:lang w:val="en-US" w:eastAsia="zh-CN"/>
        </w:rPr>
        <w:t>二）项目绩效目标</w:t>
      </w:r>
      <w:bookmarkEnd w:id="36"/>
    </w:p>
    <w:p w14:paraId="1447F2D2">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kern w:val="28"/>
          <w:sz w:val="32"/>
          <w:lang w:val="en-US" w:eastAsia="zh-CN"/>
        </w:rPr>
      </w:pPr>
      <w:bookmarkStart w:id="37" w:name="_Toc2547"/>
      <w:bookmarkStart w:id="38" w:name="_Toc10047"/>
      <w:bookmarkStart w:id="39" w:name="_Toc8528"/>
      <w:bookmarkStart w:id="40" w:name="_Toc14758"/>
      <w:r>
        <w:rPr>
          <w:rFonts w:hint="eastAsia" w:ascii="Times New Roman" w:hAnsi="Times New Roman" w:eastAsia="楷体_GB2312" w:cs="Times New Roman"/>
          <w:kern w:val="28"/>
          <w:sz w:val="32"/>
          <w:lang w:val="en-US" w:eastAsia="zh-CN"/>
        </w:rPr>
        <w:t xml:space="preserve">   </w:t>
      </w:r>
      <w:bookmarkEnd w:id="37"/>
      <w:bookmarkEnd w:id="38"/>
      <w:bookmarkEnd w:id="39"/>
      <w:bookmarkEnd w:id="40"/>
      <w:r>
        <w:rPr>
          <w:rFonts w:hint="eastAsia" w:ascii="Times New Roman" w:hAnsi="Times New Roman" w:eastAsia="楷体_GB2312" w:cs="Times New Roman"/>
          <w:kern w:val="28"/>
          <w:sz w:val="32"/>
          <w:lang w:val="en-US" w:eastAsia="zh-CN"/>
        </w:rPr>
        <w:t>1.总体目标</w:t>
      </w:r>
    </w:p>
    <w:p w14:paraId="419622CF">
      <w:pPr>
        <w:pageBreakBefore w:val="0"/>
        <w:kinsoku/>
        <w:wordWrap/>
        <w:overflowPunct/>
        <w:topLinePunct w:val="0"/>
        <w:autoSpaceDE/>
        <w:autoSpaceDN/>
        <w:bidi w:val="0"/>
        <w:adjustRightInd/>
        <w:spacing w:line="560" w:lineRule="exact"/>
        <w:ind w:left="0" w:leftChars="0" w:firstLine="0" w:firstLineChars="0"/>
        <w:rPr>
          <w:rFonts w:hint="eastAsia" w:ascii="仿宋_GB2312" w:hAnsi="仿宋_GB2312" w:eastAsia="仿宋_GB2312" w:cs="仿宋_GB2312"/>
          <w:color w:val="auto"/>
          <w:sz w:val="32"/>
          <w:szCs w:val="32"/>
          <w:highlight w:val="none"/>
          <w:shd w:val="clear" w:color="auto" w:fill="auto"/>
          <w:lang w:val="en-US" w:eastAsia="zh-CN"/>
        </w:rPr>
      </w:pPr>
      <w:bookmarkStart w:id="41" w:name="_Toc8990"/>
      <w:bookmarkStart w:id="42" w:name="_Toc4007"/>
      <w:bookmarkStart w:id="43" w:name="_Toc4487"/>
      <w:bookmarkStart w:id="44" w:name="_Toc3255"/>
      <w:r>
        <w:rPr>
          <w:rFonts w:hint="eastAsia" w:ascii="仿宋_GB2312" w:hAnsi="仿宋_GB2312" w:eastAsia="仿宋_GB2312" w:cs="仿宋_GB2312"/>
          <w:color w:val="auto"/>
          <w:highlight w:val="none"/>
          <w:lang w:val="en-US" w:eastAsia="zh-CN"/>
        </w:rPr>
        <w:t xml:space="preserve">    </w:t>
      </w:r>
      <w:r>
        <w:rPr>
          <w:rFonts w:hint="eastAsia" w:ascii="仿宋_GB2312" w:hAnsi="仿宋_GB2312" w:eastAsia="仿宋_GB2312" w:cs="仿宋_GB2312"/>
          <w:bCs/>
          <w:color w:val="000000" w:themeColor="text1"/>
          <w:sz w:val="32"/>
          <w:szCs w:val="32"/>
          <w:highlight w:val="none"/>
          <w:shd w:val="clear" w:color="auto" w:fill="auto"/>
          <w:lang w:val="en-US" w:eastAsia="zh-CN"/>
          <w14:textFill>
            <w14:solidFill>
              <w14:schemeClr w14:val="tx1"/>
            </w14:solidFill>
          </w14:textFill>
        </w:rPr>
        <w:t>开展基本公共卫生服务，继续实施建立居民健康档案、健康教育、预防接种、儿童健康管理、孕产妇健康管理、老年人健康管理、高血压和2型糖尿病等慢性病患者健康管理、严重精神障碍患者管理。2024年计划完成65岁以上老人健康管理服务完成不少于1694人，高血压服务不少于1928人，糖尿病服务不少于313人；计划完成65岁以上老人健康管理服务合格率预计达到90%以上，高血压服务合格率预计达到90%以上，糖尿病服务合格率预计达到90%以上，通过项目的实施，预期提高基本公共卫生服务水平和老年人健康服务水平。</w:t>
      </w:r>
    </w:p>
    <w:p w14:paraId="0DDD7310">
      <w:pPr>
        <w:pageBreakBefore w:val="0"/>
        <w:kinsoku/>
        <w:wordWrap/>
        <w:overflowPunct/>
        <w:topLinePunct w:val="0"/>
        <w:autoSpaceDE/>
        <w:autoSpaceDN/>
        <w:bidi w:val="0"/>
        <w:adjustRightInd/>
        <w:spacing w:line="560" w:lineRule="exact"/>
        <w:rPr>
          <w:rFonts w:hint="eastAsia" w:ascii="仿宋_GB2312" w:hAnsi="仿宋_GB2312" w:eastAsia="仿宋_GB2312" w:cs="仿宋_GB2312"/>
          <w:b/>
          <w:bCs/>
          <w:color w:val="000000" w:themeColor="text1"/>
          <w:kern w:val="0"/>
          <w:sz w:val="32"/>
          <w:szCs w:val="32"/>
          <w:highlight w:val="none"/>
          <w:shd w:val="clear" w:color="auto" w:fill="auto"/>
          <w:lang w:val="en-US" w:eastAsia="zh-CN" w:bidi="ar-SA"/>
          <w14:textFill>
            <w14:solidFill>
              <w14:schemeClr w14:val="tx1"/>
            </w14:solidFill>
          </w14:textFill>
        </w:rPr>
      </w:pPr>
      <w:r>
        <w:rPr>
          <w:rFonts w:hint="eastAsia" w:ascii="仿宋_GB2312" w:hAnsi="仿宋_GB2312" w:eastAsia="仿宋_GB2312" w:cs="仿宋_GB2312"/>
          <w:b/>
          <w:bCs/>
          <w:color w:val="auto"/>
          <w:sz w:val="32"/>
          <w:szCs w:val="32"/>
          <w:highlight w:val="none"/>
          <w:shd w:val="clear" w:color="auto" w:fill="auto"/>
          <w:lang w:val="en-US" w:eastAsia="zh-CN"/>
        </w:rPr>
        <w:t xml:space="preserve"> 2.</w:t>
      </w:r>
      <w:r>
        <w:rPr>
          <w:rFonts w:hint="eastAsia" w:ascii="仿宋_GB2312" w:hAnsi="仿宋_GB2312" w:eastAsia="仿宋_GB2312" w:cs="仿宋_GB2312"/>
          <w:b/>
          <w:bCs/>
          <w:color w:val="000000" w:themeColor="text1"/>
          <w:kern w:val="0"/>
          <w:sz w:val="32"/>
          <w:szCs w:val="32"/>
          <w:highlight w:val="none"/>
          <w:shd w:val="clear" w:color="auto" w:fill="auto"/>
          <w:lang w:val="en-US" w:eastAsia="zh-CN" w:bidi="ar-SA"/>
          <w14:textFill>
            <w14:solidFill>
              <w14:schemeClr w14:val="tx1"/>
            </w14:solidFill>
          </w14:textFill>
        </w:rPr>
        <w:t xml:space="preserve"> 阶段性目标</w:t>
      </w:r>
      <w:bookmarkEnd w:id="41"/>
      <w:bookmarkEnd w:id="42"/>
      <w:bookmarkEnd w:id="43"/>
      <w:bookmarkEnd w:id="44"/>
      <w:r>
        <w:rPr>
          <w:rFonts w:hint="eastAsia" w:ascii="仿宋_GB2312" w:hAnsi="仿宋_GB2312" w:eastAsia="仿宋_GB2312" w:cs="仿宋_GB2312"/>
          <w:b/>
          <w:bCs/>
          <w:color w:val="000000" w:themeColor="text1"/>
          <w:kern w:val="0"/>
          <w:sz w:val="32"/>
          <w:szCs w:val="32"/>
          <w:highlight w:val="none"/>
          <w:shd w:val="clear" w:color="auto" w:fill="auto"/>
          <w:lang w:val="en-US" w:eastAsia="zh-CN" w:bidi="ar-SA"/>
          <w14:textFill>
            <w14:solidFill>
              <w14:schemeClr w14:val="tx1"/>
            </w14:solidFill>
          </w14:textFill>
        </w:rPr>
        <w:t xml:space="preserve"> </w:t>
      </w:r>
    </w:p>
    <w:p w14:paraId="3B806395">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Cs/>
          <w:color w:val="000000" w:themeColor="text1"/>
          <w:sz w:val="32"/>
          <w:szCs w:val="32"/>
          <w:highlight w:val="none"/>
          <w:shd w:val="clear" w:color="auto" w:fill="auto"/>
          <w:lang w:val="en-US" w:eastAsia="zh-CN"/>
          <w14:textFill>
            <w14:solidFill>
              <w14:schemeClr w14:val="tx1"/>
            </w14:solidFill>
          </w14:textFill>
        </w:rPr>
      </w:pPr>
      <w:r>
        <w:rPr>
          <w:rFonts w:hint="eastAsia" w:ascii="仿宋_GB2312" w:hAnsi="仿宋_GB2312" w:eastAsia="仿宋_GB2312" w:cs="仿宋_GB2312"/>
          <w:bCs/>
          <w:color w:val="000000" w:themeColor="text1"/>
          <w:sz w:val="32"/>
          <w:szCs w:val="32"/>
          <w:highlight w:val="none"/>
          <w:shd w:val="clear" w:color="auto" w:fill="auto"/>
          <w:lang w:val="en-US" w:eastAsia="zh-CN"/>
          <w14:textFill>
            <w14:solidFill>
              <w14:schemeClr w14:val="tx1"/>
            </w14:solidFill>
          </w14:textFill>
        </w:rPr>
        <w:t>根据《预算法》《财政支出绩效评价管理暂行办法》（财预〔2020〕10号）等文件的规定，结合项目实施单位的规章制度以及财务相关资料，评价小组对项目绩效目标进行了进一步的完善，完善后绩效目标如下：</w:t>
      </w:r>
    </w:p>
    <w:p w14:paraId="400626F7">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Cs/>
          <w:color w:val="000000" w:themeColor="text1"/>
          <w:sz w:val="32"/>
          <w:szCs w:val="32"/>
          <w:highlight w:val="none"/>
          <w:shd w:val="clear" w:color="auto" w:fill="auto"/>
          <w:lang w:val="en-US" w:eastAsia="zh-CN"/>
          <w14:textFill>
            <w14:solidFill>
              <w14:schemeClr w14:val="tx1"/>
            </w14:solidFill>
          </w14:textFill>
        </w:rPr>
      </w:pPr>
      <w:r>
        <w:rPr>
          <w:rFonts w:hint="eastAsia" w:ascii="仿宋_GB2312" w:hAnsi="仿宋_GB2312" w:eastAsia="仿宋_GB2312" w:cs="仿宋_GB2312"/>
          <w:bCs/>
          <w:color w:val="000000" w:themeColor="text1"/>
          <w:sz w:val="32"/>
          <w:szCs w:val="32"/>
          <w:highlight w:val="none"/>
          <w:shd w:val="clear" w:color="auto" w:fill="auto"/>
          <w:lang w:val="en-US" w:eastAsia="zh-CN"/>
          <w14:textFill>
            <w14:solidFill>
              <w14:schemeClr w14:val="tx1"/>
            </w14:solidFill>
          </w14:textFill>
        </w:rPr>
        <w:t>（1）项目产出目标</w:t>
      </w:r>
    </w:p>
    <w:p w14:paraId="5AB9B586">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Cs/>
          <w:color w:val="000000" w:themeColor="text1"/>
          <w:sz w:val="32"/>
          <w:szCs w:val="32"/>
          <w:highlight w:val="none"/>
          <w:shd w:val="clear" w:color="auto" w:fill="auto"/>
          <w:lang w:val="en-US" w:eastAsia="zh-CN"/>
          <w14:textFill>
            <w14:solidFill>
              <w14:schemeClr w14:val="tx1"/>
            </w14:solidFill>
          </w14:textFill>
        </w:rPr>
      </w:pPr>
      <w:r>
        <w:rPr>
          <w:rFonts w:hint="eastAsia" w:ascii="仿宋_GB2312" w:hAnsi="仿宋_GB2312" w:eastAsia="仿宋_GB2312" w:cs="仿宋_GB2312"/>
          <w:bCs/>
          <w:color w:val="000000" w:themeColor="text1"/>
          <w:sz w:val="32"/>
          <w:szCs w:val="32"/>
          <w:highlight w:val="none"/>
          <w:shd w:val="clear" w:color="auto" w:fill="auto"/>
          <w:lang w:val="en-US" w:eastAsia="zh-CN"/>
          <w14:textFill>
            <w14:solidFill>
              <w14:schemeClr w14:val="tx1"/>
            </w14:solidFill>
          </w14:textFill>
        </w:rPr>
        <w:t>①数量指标</w:t>
      </w:r>
    </w:p>
    <w:p w14:paraId="29E16F4F">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Cs/>
          <w:color w:val="000000" w:themeColor="text1"/>
          <w:sz w:val="32"/>
          <w:szCs w:val="32"/>
          <w:highlight w:val="none"/>
          <w:shd w:val="clear" w:color="auto" w:fill="auto"/>
          <w:lang w:val="en-US" w:eastAsia="zh-CN"/>
          <w14:textFill>
            <w14:solidFill>
              <w14:schemeClr w14:val="tx1"/>
            </w14:solidFill>
          </w14:textFill>
        </w:rPr>
      </w:pPr>
      <w:r>
        <w:rPr>
          <w:rFonts w:hint="eastAsia" w:ascii="仿宋_GB2312" w:hAnsi="仿宋_GB2312" w:eastAsia="仿宋_GB2312" w:cs="仿宋_GB2312"/>
          <w:bCs/>
          <w:color w:val="000000" w:themeColor="text1"/>
          <w:sz w:val="32"/>
          <w:szCs w:val="32"/>
          <w:highlight w:val="none"/>
          <w:shd w:val="clear" w:color="auto" w:fill="auto"/>
          <w:lang w:val="en-US" w:eastAsia="zh-CN"/>
          <w14:textFill>
            <w14:solidFill>
              <w14:schemeClr w14:val="tx1"/>
            </w14:solidFill>
          </w14:textFill>
        </w:rPr>
        <w:t>“65岁以上老人健康管理服务完成人数”指标，预期目标值为≥1710人；</w:t>
      </w:r>
    </w:p>
    <w:p w14:paraId="6FC3FB09">
      <w:pPr>
        <w:pStyle w:val="5"/>
        <w:pageBreakBefore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color w:val="000000" w:themeColor="text1"/>
          <w:kern w:val="2"/>
          <w:sz w:val="32"/>
          <w:szCs w:val="32"/>
          <w:highlight w:val="none"/>
          <w:shd w:val="clear" w:color="auto" w:fill="auto"/>
          <w:lang w:val="en-US" w:eastAsia="zh-CN" w:bidi="ar-SA"/>
          <w14:textFill>
            <w14:solidFill>
              <w14:schemeClr w14:val="tx1"/>
            </w14:solidFill>
          </w14:textFill>
        </w:rPr>
      </w:pPr>
      <w:r>
        <w:rPr>
          <w:rFonts w:hint="eastAsia" w:cs="仿宋_GB2312"/>
          <w:bCs/>
          <w:color w:val="000000" w:themeColor="text1"/>
          <w:sz w:val="32"/>
          <w:szCs w:val="32"/>
          <w:highlight w:val="none"/>
          <w:shd w:val="clear" w:color="auto" w:fill="auto"/>
          <w:lang w:val="en-US" w:eastAsia="zh-CN"/>
          <w14:textFill>
            <w14:solidFill>
              <w14:schemeClr w14:val="tx1"/>
            </w14:solidFill>
          </w14:textFill>
        </w:rPr>
        <w:t>“</w:t>
      </w:r>
      <w:r>
        <w:rPr>
          <w:rFonts w:hint="eastAsia" w:ascii="仿宋_GB2312" w:hAnsi="仿宋_GB2312" w:eastAsia="仿宋_GB2312" w:cs="仿宋_GB2312"/>
          <w:b w:val="0"/>
          <w:bCs/>
          <w:color w:val="000000" w:themeColor="text1"/>
          <w:kern w:val="2"/>
          <w:sz w:val="32"/>
          <w:szCs w:val="32"/>
          <w:highlight w:val="none"/>
          <w:shd w:val="clear" w:color="auto" w:fill="auto"/>
          <w:lang w:val="en-US" w:eastAsia="zh-CN" w:bidi="ar-SA"/>
          <w14:textFill>
            <w14:solidFill>
              <w14:schemeClr w14:val="tx1"/>
            </w14:solidFill>
          </w14:textFill>
        </w:rPr>
        <w:t>高血压服务人数”指标，预期目标值为≥</w:t>
      </w:r>
      <w:r>
        <w:rPr>
          <w:rFonts w:hint="eastAsia" w:cs="仿宋_GB2312"/>
          <w:b w:val="0"/>
          <w:bCs/>
          <w:color w:val="000000" w:themeColor="text1"/>
          <w:kern w:val="2"/>
          <w:sz w:val="32"/>
          <w:szCs w:val="32"/>
          <w:highlight w:val="none"/>
          <w:shd w:val="clear" w:color="auto" w:fill="auto"/>
          <w:lang w:val="en-US" w:eastAsia="zh-CN" w:bidi="ar-SA"/>
          <w14:textFill>
            <w14:solidFill>
              <w14:schemeClr w14:val="tx1"/>
            </w14:solidFill>
          </w14:textFill>
        </w:rPr>
        <w:t>1942</w:t>
      </w:r>
      <w:r>
        <w:rPr>
          <w:rFonts w:hint="eastAsia" w:ascii="仿宋_GB2312" w:hAnsi="仿宋_GB2312" w:eastAsia="仿宋_GB2312" w:cs="仿宋_GB2312"/>
          <w:b w:val="0"/>
          <w:bCs/>
          <w:color w:val="000000" w:themeColor="text1"/>
          <w:kern w:val="2"/>
          <w:sz w:val="32"/>
          <w:szCs w:val="32"/>
          <w:highlight w:val="none"/>
          <w:shd w:val="clear" w:color="auto" w:fill="auto"/>
          <w:lang w:val="en-US" w:eastAsia="zh-CN" w:bidi="ar-SA"/>
          <w14:textFill>
            <w14:solidFill>
              <w14:schemeClr w14:val="tx1"/>
            </w14:solidFill>
          </w14:textFill>
        </w:rPr>
        <w:t>人；</w:t>
      </w:r>
    </w:p>
    <w:p w14:paraId="41F2AD53">
      <w:pPr>
        <w:pStyle w:val="5"/>
        <w:pageBreakBefore w:val="0"/>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color w:val="000000" w:themeColor="text1"/>
          <w:kern w:val="2"/>
          <w:sz w:val="32"/>
          <w:szCs w:val="32"/>
          <w:highlight w:val="none"/>
          <w:shd w:val="clear" w:color="auto" w:fill="auto"/>
          <w:lang w:val="en-US" w:eastAsia="zh-CN" w:bidi="ar-SA"/>
          <w14:textFill>
            <w14:solidFill>
              <w14:schemeClr w14:val="tx1"/>
            </w14:solidFill>
          </w14:textFill>
        </w:rPr>
        <w:t>“糖尿病服务人数”指标，预期目标值为≥534人</w:t>
      </w:r>
      <w:r>
        <w:rPr>
          <w:rFonts w:hint="eastAsia" w:ascii="仿宋_GB2312" w:hAnsi="仿宋_GB2312" w:eastAsia="仿宋_GB2312" w:cs="仿宋_GB2312"/>
          <w:b w:val="0"/>
          <w:bCs w:val="0"/>
          <w:color w:val="auto"/>
          <w:kern w:val="2"/>
          <w:sz w:val="32"/>
          <w:szCs w:val="32"/>
          <w:highlight w:val="none"/>
          <w:lang w:val="en-US" w:eastAsia="zh-CN" w:bidi="ar-SA"/>
        </w:rPr>
        <w:t>；</w:t>
      </w:r>
    </w:p>
    <w:p w14:paraId="4042592C">
      <w:pPr>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bCs/>
          <w:color w:val="000000" w:themeColor="text1"/>
          <w:sz w:val="32"/>
          <w:szCs w:val="32"/>
          <w:highlight w:val="none"/>
          <w:shd w:val="clear" w:color="auto" w:fill="auto"/>
          <w:lang w:val="en-US" w:eastAsia="zh-CN"/>
          <w14:textFill>
            <w14:solidFill>
              <w14:schemeClr w14:val="tx1"/>
            </w14:solidFill>
          </w14:textFill>
        </w:rPr>
      </w:pPr>
      <w:r>
        <w:rPr>
          <w:rFonts w:hint="eastAsia" w:ascii="仿宋_GB2312" w:hAnsi="仿宋_GB2312" w:eastAsia="仿宋_GB2312" w:cs="仿宋_GB2312"/>
          <w:bCs/>
          <w:color w:val="000000" w:themeColor="text1"/>
          <w:sz w:val="32"/>
          <w:szCs w:val="32"/>
          <w:highlight w:val="none"/>
          <w:shd w:val="clear" w:color="auto" w:fill="auto"/>
          <w:lang w:val="en-US" w:eastAsia="zh-CN"/>
          <w14:textFill>
            <w14:solidFill>
              <w14:schemeClr w14:val="tx1"/>
            </w14:solidFill>
          </w14:textFill>
        </w:rPr>
        <w:t xml:space="preserve"> ②质量指标</w:t>
      </w:r>
    </w:p>
    <w:p w14:paraId="328DA0A4">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Cs/>
          <w:color w:val="000000" w:themeColor="text1"/>
          <w:sz w:val="32"/>
          <w:szCs w:val="32"/>
          <w:highlight w:val="none"/>
          <w:shd w:val="clear" w:color="auto" w:fill="auto"/>
          <w:lang w:val="en-US" w:eastAsia="zh-CN"/>
          <w14:textFill>
            <w14:solidFill>
              <w14:schemeClr w14:val="tx1"/>
            </w14:solidFill>
          </w14:textFill>
        </w:rPr>
      </w:pPr>
      <w:r>
        <w:rPr>
          <w:rFonts w:hint="eastAsia" w:ascii="仿宋_GB2312" w:hAnsi="仿宋_GB2312" w:eastAsia="仿宋_GB2312" w:cs="仿宋_GB2312"/>
          <w:bCs/>
          <w:color w:val="000000" w:themeColor="text1"/>
          <w:sz w:val="32"/>
          <w:szCs w:val="32"/>
          <w:highlight w:val="none"/>
          <w:shd w:val="clear" w:color="auto" w:fill="auto"/>
          <w:lang w:val="en-US" w:eastAsia="zh-CN"/>
          <w14:textFill>
            <w14:solidFill>
              <w14:schemeClr w14:val="tx1"/>
            </w14:solidFill>
          </w14:textFill>
        </w:rPr>
        <w:t>“65岁以上老人健康管理服务合格率”指标，预期目标值为≥90%；</w:t>
      </w:r>
    </w:p>
    <w:p w14:paraId="778CE1A5">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Cs/>
          <w:color w:val="000000" w:themeColor="text1"/>
          <w:sz w:val="32"/>
          <w:szCs w:val="32"/>
          <w:highlight w:val="none"/>
          <w:shd w:val="clear" w:color="auto" w:fill="auto"/>
          <w:lang w:val="en-US" w:eastAsia="zh-CN"/>
          <w14:textFill>
            <w14:solidFill>
              <w14:schemeClr w14:val="tx1"/>
            </w14:solidFill>
          </w14:textFill>
        </w:rPr>
      </w:pPr>
      <w:r>
        <w:rPr>
          <w:rFonts w:hint="eastAsia" w:ascii="仿宋_GB2312" w:hAnsi="仿宋_GB2312" w:eastAsia="仿宋_GB2312" w:cs="仿宋_GB2312"/>
          <w:bCs/>
          <w:color w:val="000000" w:themeColor="text1"/>
          <w:sz w:val="32"/>
          <w:szCs w:val="32"/>
          <w:highlight w:val="none"/>
          <w:shd w:val="clear" w:color="auto" w:fill="auto"/>
          <w:lang w:val="en-US" w:eastAsia="zh-CN"/>
          <w14:textFill>
            <w14:solidFill>
              <w14:schemeClr w14:val="tx1"/>
            </w14:solidFill>
          </w14:textFill>
        </w:rPr>
        <w:t>“高血压服务合格率”指标，预期目标值为≥90%；</w:t>
      </w:r>
    </w:p>
    <w:p w14:paraId="31F2B034">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Cs/>
          <w:color w:val="000000" w:themeColor="text1"/>
          <w:sz w:val="32"/>
          <w:szCs w:val="32"/>
          <w:highlight w:val="none"/>
          <w:shd w:val="clear" w:color="auto" w:fill="auto"/>
          <w:lang w:val="en-US" w:eastAsia="zh-CN"/>
          <w14:textFill>
            <w14:solidFill>
              <w14:schemeClr w14:val="tx1"/>
            </w14:solidFill>
          </w14:textFill>
        </w:rPr>
      </w:pPr>
      <w:r>
        <w:rPr>
          <w:rFonts w:hint="eastAsia" w:ascii="仿宋_GB2312" w:hAnsi="仿宋_GB2312" w:eastAsia="仿宋_GB2312" w:cs="仿宋_GB2312"/>
          <w:bCs/>
          <w:color w:val="000000" w:themeColor="text1"/>
          <w:sz w:val="32"/>
          <w:szCs w:val="32"/>
          <w:highlight w:val="none"/>
          <w:shd w:val="clear" w:color="auto" w:fill="auto"/>
          <w:lang w:val="en-US" w:eastAsia="zh-CN"/>
          <w14:textFill>
            <w14:solidFill>
              <w14:schemeClr w14:val="tx1"/>
            </w14:solidFill>
          </w14:textFill>
        </w:rPr>
        <w:t>“糖尿病服务合格率”指标，预期目标值为≥90%；</w:t>
      </w:r>
    </w:p>
    <w:p w14:paraId="1628ED4E">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Cs/>
          <w:color w:val="000000" w:themeColor="text1"/>
          <w:sz w:val="32"/>
          <w:szCs w:val="32"/>
          <w:highlight w:val="none"/>
          <w:shd w:val="clear" w:color="auto" w:fill="auto"/>
          <w:lang w:val="en-US" w:eastAsia="zh-CN"/>
          <w14:textFill>
            <w14:solidFill>
              <w14:schemeClr w14:val="tx1"/>
            </w14:solidFill>
          </w14:textFill>
        </w:rPr>
      </w:pPr>
      <w:r>
        <w:rPr>
          <w:rFonts w:hint="eastAsia" w:ascii="仿宋_GB2312" w:hAnsi="仿宋_GB2312" w:eastAsia="仿宋_GB2312" w:cs="仿宋_GB2312"/>
          <w:bCs/>
          <w:color w:val="000000" w:themeColor="text1"/>
          <w:sz w:val="32"/>
          <w:szCs w:val="32"/>
          <w:highlight w:val="none"/>
          <w:shd w:val="clear" w:color="auto" w:fill="auto"/>
          <w:lang w:val="en-US" w:eastAsia="zh-CN"/>
          <w14:textFill>
            <w14:solidFill>
              <w14:schemeClr w14:val="tx1"/>
            </w14:solidFill>
          </w14:textFill>
        </w:rPr>
        <w:t xml:space="preserve">   ③时效指标</w:t>
      </w:r>
    </w:p>
    <w:p w14:paraId="12A3A9F5">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Cs/>
          <w:color w:val="000000" w:themeColor="text1"/>
          <w:sz w:val="32"/>
          <w:szCs w:val="32"/>
          <w:highlight w:val="none"/>
          <w:shd w:val="clear" w:color="auto" w:fill="auto"/>
          <w:lang w:val="en-US" w:eastAsia="zh-CN"/>
          <w14:textFill>
            <w14:solidFill>
              <w14:schemeClr w14:val="tx1"/>
            </w14:solidFill>
          </w14:textFill>
        </w:rPr>
      </w:pPr>
      <w:r>
        <w:rPr>
          <w:rFonts w:hint="eastAsia" w:ascii="仿宋_GB2312" w:hAnsi="仿宋_GB2312" w:eastAsia="仿宋_GB2312" w:cs="仿宋_GB2312"/>
          <w:bCs/>
          <w:color w:val="000000" w:themeColor="text1"/>
          <w:sz w:val="32"/>
          <w:szCs w:val="32"/>
          <w:highlight w:val="none"/>
          <w:shd w:val="clear" w:color="auto" w:fill="auto"/>
          <w:lang w:val="en-US" w:eastAsia="zh-CN"/>
          <w14:textFill>
            <w14:solidFill>
              <w14:schemeClr w14:val="tx1"/>
            </w14:solidFill>
          </w14:textFill>
        </w:rPr>
        <w:t>“项目完成时限 ”指标，预期目标值为≤2024年12月；</w:t>
      </w:r>
    </w:p>
    <w:p w14:paraId="4DFE1445">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（2）成本指标</w:t>
      </w:r>
    </w:p>
    <w:p w14:paraId="5B653AFC">
      <w:pPr>
        <w:pageBreakBefore w:val="0"/>
        <w:widowControl w:val="0"/>
        <w:kinsoku/>
        <w:wordWrap/>
        <w:overflowPunct/>
        <w:topLinePunct w:val="0"/>
        <w:autoSpaceDE/>
        <w:autoSpaceDN/>
        <w:bidi w:val="0"/>
        <w:adjustRightInd/>
        <w:snapToGrid/>
        <w:spacing w:line="560" w:lineRule="exact"/>
        <w:textAlignment w:val="auto"/>
        <w:rPr>
          <w:rFonts w:hint="default"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本项目不涉及成本指标。</w:t>
      </w:r>
    </w:p>
    <w:p w14:paraId="44AF2457">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lang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shd w:val="clear" w:color="auto" w:fill="auto"/>
          <w14:textFill>
            <w14:solidFill>
              <w14:schemeClr w14:val="tx1"/>
            </w14:solidFill>
          </w14:textFill>
        </w:rPr>
        <w:t>（</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3</w:t>
      </w:r>
      <w:r>
        <w:rPr>
          <w:rFonts w:hint="eastAsia" w:ascii="仿宋_GB2312" w:hAnsi="仿宋_GB2312" w:eastAsia="仿宋_GB2312" w:cs="仿宋_GB2312"/>
          <w:color w:val="000000" w:themeColor="text1"/>
          <w:sz w:val="32"/>
          <w:szCs w:val="32"/>
          <w:highlight w:val="none"/>
          <w:shd w:val="clear" w:color="auto" w:fill="auto"/>
          <w14:textFill>
            <w14:solidFill>
              <w14:schemeClr w14:val="tx1"/>
            </w14:solidFill>
          </w14:textFill>
        </w:rPr>
        <w:t>）项目效益</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目标</w:t>
      </w:r>
    </w:p>
    <w:p w14:paraId="0111709E">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①经济效益指标</w:t>
      </w:r>
    </w:p>
    <w:p w14:paraId="3F07A0DE">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b w:val="0"/>
          <w:bCs w:val="0"/>
          <w:color w:val="auto"/>
          <w:kern w:val="2"/>
          <w:sz w:val="32"/>
          <w:szCs w:val="32"/>
          <w:highlight w:val="none"/>
          <w:lang w:val="en-US" w:eastAsia="zh-CN" w:bidi="ar-SA"/>
        </w:rPr>
        <w:t>本项目不涉及经济效益；</w:t>
      </w:r>
      <w:r>
        <w:rPr>
          <w:rFonts w:hint="eastAsia" w:ascii="仿宋_GB2312" w:hAnsi="仿宋_GB2312" w:eastAsia="仿宋_GB2312" w:cs="仿宋_GB2312"/>
          <w:color w:val="auto"/>
          <w:sz w:val="32"/>
          <w:szCs w:val="32"/>
          <w:highlight w:val="none"/>
          <w:shd w:val="clear" w:color="auto" w:fill="auto"/>
          <w:lang w:val="en-US" w:eastAsia="zh-CN"/>
        </w:rPr>
        <w:t>；</w:t>
      </w:r>
    </w:p>
    <w:p w14:paraId="53F0600F">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②社会效益指标</w:t>
      </w:r>
    </w:p>
    <w:p w14:paraId="5A4A732C">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“基本公共卫生服务水平”指标，预期目标值为逐步提高；</w:t>
      </w:r>
    </w:p>
    <w:p w14:paraId="693B0FAC">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b w:val="0"/>
          <w:bCs w:val="0"/>
          <w:color w:val="auto"/>
          <w:kern w:val="2"/>
          <w:sz w:val="32"/>
          <w:szCs w:val="32"/>
          <w:highlight w:val="none"/>
          <w:lang w:val="en-US" w:eastAsia="zh-CN" w:bidi="ar-SA"/>
        </w:rPr>
        <w:t>“老年人健康服务水平”指标，预期目标值为逐步提高；</w:t>
      </w:r>
    </w:p>
    <w:p w14:paraId="6CE8E4DD">
      <w:pPr>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③</w:t>
      </w:r>
      <w:bookmarkStart w:id="45" w:name="OLE_LINK5"/>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生态效益</w:t>
      </w:r>
      <w:bookmarkEnd w:id="45"/>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指标</w:t>
      </w:r>
    </w:p>
    <w:p w14:paraId="319148A6">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本项目不涉及</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生态效益</w:t>
      </w:r>
      <w:r>
        <w:rPr>
          <w:rFonts w:hint="eastAsia" w:ascii="仿宋_GB2312" w:hAnsi="仿宋_GB2312" w:eastAsia="仿宋_GB2312" w:cs="仿宋_GB2312"/>
          <w:b w:val="0"/>
          <w:bCs w:val="0"/>
          <w:color w:val="auto"/>
          <w:kern w:val="2"/>
          <w:sz w:val="32"/>
          <w:szCs w:val="32"/>
          <w:highlight w:val="none"/>
          <w:lang w:val="en-US" w:eastAsia="zh-CN" w:bidi="ar-SA"/>
        </w:rPr>
        <w:t>；</w:t>
      </w:r>
    </w:p>
    <w:p w14:paraId="1134DB9C">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④可持续影响</w:t>
      </w:r>
    </w:p>
    <w:p w14:paraId="5305D480">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b w:val="0"/>
          <w:bCs w:val="0"/>
          <w:color w:val="auto"/>
          <w:kern w:val="2"/>
          <w:sz w:val="32"/>
          <w:szCs w:val="32"/>
          <w:highlight w:val="none"/>
          <w:lang w:val="en-US" w:eastAsia="zh-CN" w:bidi="ar-SA"/>
        </w:rPr>
        <w:t>本项目不涉及可持续影响</w:t>
      </w:r>
      <w:r>
        <w:rPr>
          <w:rFonts w:hint="eastAsia" w:ascii="仿宋_GB2312" w:hAnsi="仿宋_GB2312" w:eastAsia="仿宋_GB2312" w:cs="仿宋_GB2312"/>
          <w:color w:val="auto"/>
          <w:sz w:val="32"/>
          <w:szCs w:val="32"/>
          <w:highlight w:val="none"/>
          <w:shd w:val="clear" w:color="auto" w:fill="auto"/>
          <w:lang w:val="en-US" w:eastAsia="zh-CN"/>
        </w:rPr>
        <w:t>；</w:t>
      </w:r>
    </w:p>
    <w:p w14:paraId="68511C34">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⑤</w:t>
      </w:r>
      <w:bookmarkStart w:id="46" w:name="OLE_LINK4"/>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满意度指标</w:t>
      </w:r>
      <w:bookmarkEnd w:id="46"/>
    </w:p>
    <w:p w14:paraId="7FA91763">
      <w:pPr>
        <w:pageBreakBefore w:val="0"/>
        <w:widowControl w:val="0"/>
        <w:kinsoku/>
        <w:wordWrap/>
        <w:overflowPunct/>
        <w:topLinePunct w:val="0"/>
        <w:autoSpaceDE/>
        <w:autoSpaceDN/>
        <w:bidi w:val="0"/>
        <w:adjustRightInd/>
        <w:snapToGrid/>
        <w:spacing w:line="560" w:lineRule="exact"/>
        <w:textAlignment w:val="auto"/>
        <w:rPr>
          <w:rFonts w:hint="eastAsia"/>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本项目不涉及满意度指标。</w:t>
      </w:r>
    </w:p>
    <w:p w14:paraId="135C44BF">
      <w:pPr>
        <w:pStyle w:val="3"/>
        <w:pageBreakBefore w:val="0"/>
        <w:kinsoku/>
        <w:wordWrap/>
        <w:overflowPunct/>
        <w:topLinePunct w:val="0"/>
        <w:autoSpaceDE/>
        <w:autoSpaceDN/>
        <w:bidi w:val="0"/>
        <w:adjustRightInd/>
        <w:snapToGrid/>
        <w:spacing w:beforeLines="0" w:afterLines="0" w:line="560" w:lineRule="exact"/>
        <w:textAlignment w:val="auto"/>
        <w:rPr>
          <w:rFonts w:hint="eastAsia" w:ascii="宋体" w:hAnsi="宋体" w:eastAsia="宋体" w:cs="宋体"/>
          <w:b/>
          <w:bCs/>
          <w:color w:val="000000" w:themeColor="text1"/>
          <w:highlight w:val="none"/>
          <w:shd w:val="clear" w:color="auto" w:fill="auto"/>
          <w:lang w:val="en-US" w:eastAsia="zh-CN"/>
          <w14:textFill>
            <w14:solidFill>
              <w14:schemeClr w14:val="tx1"/>
            </w14:solidFill>
          </w14:textFill>
        </w:rPr>
      </w:pPr>
      <w:bookmarkStart w:id="47" w:name="_Toc26567"/>
      <w:r>
        <w:rPr>
          <w:rFonts w:hint="eastAsia" w:ascii="宋体" w:hAnsi="宋体" w:eastAsia="宋体" w:cs="宋体"/>
          <w:b/>
          <w:bCs/>
          <w:color w:val="000000" w:themeColor="text1"/>
          <w:highlight w:val="none"/>
          <w:shd w:val="clear" w:color="auto" w:fill="auto"/>
          <w:lang w:val="en-US" w:eastAsia="zh-CN"/>
          <w14:textFill>
            <w14:solidFill>
              <w14:schemeClr w14:val="tx1"/>
            </w14:solidFill>
          </w14:textFill>
        </w:rPr>
        <w:t>二、绩效评价工作开展情况</w:t>
      </w:r>
      <w:bookmarkEnd w:id="47"/>
    </w:p>
    <w:p w14:paraId="5618A8FC">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711" w:firstLineChars="200"/>
        <w:jc w:val="both"/>
        <w:textAlignment w:val="auto"/>
        <w:rPr>
          <w:rFonts w:hint="eastAsia" w:ascii="Times New Roman" w:hAnsi="Times New Roman" w:eastAsia="楷体_GB2312" w:cs="Times New Roman"/>
          <w:kern w:val="28"/>
          <w:sz w:val="32"/>
          <w:lang w:val="en-US" w:eastAsia="zh-CN"/>
        </w:rPr>
      </w:pPr>
      <w:bookmarkStart w:id="48" w:name="_Toc5258"/>
      <w:bookmarkStart w:id="49" w:name="_Toc21664"/>
      <w:bookmarkStart w:id="50" w:name="_Toc22922"/>
      <w:bookmarkStart w:id="51" w:name="_Toc12868"/>
      <w:bookmarkStart w:id="52" w:name="_Toc5462343"/>
      <w:bookmarkStart w:id="53" w:name="_Toc26632"/>
      <w:bookmarkStart w:id="54" w:name="_Toc22169_WPSOffice_Level2"/>
      <w:bookmarkStart w:id="55" w:name="_Toc480473081"/>
      <w:bookmarkStart w:id="56" w:name="_Toc22839"/>
      <w:r>
        <w:rPr>
          <w:rFonts w:hint="eastAsia" w:ascii="Times New Roman" w:hAnsi="Times New Roman" w:eastAsia="仿宋_GB2312" w:cs="Times New Roman"/>
          <w:color w:val="auto"/>
          <w:spacing w:val="17"/>
          <w:kern w:val="2"/>
          <w:sz w:val="32"/>
          <w:szCs w:val="32"/>
          <w:highlight w:val="none"/>
          <w:lang w:val="en-US" w:eastAsia="zh-CN" w:bidi="ar-SA"/>
        </w:rPr>
        <w:t>（</w:t>
      </w:r>
      <w:r>
        <w:rPr>
          <w:rFonts w:hint="eastAsia" w:ascii="Times New Roman" w:hAnsi="Times New Roman" w:eastAsia="楷体_GB2312" w:cs="Times New Roman"/>
          <w:kern w:val="28"/>
          <w:sz w:val="32"/>
          <w:lang w:val="en-US" w:eastAsia="zh-CN"/>
        </w:rPr>
        <w:t>一）绩效评价的目的</w:t>
      </w:r>
      <w:bookmarkEnd w:id="48"/>
      <w:bookmarkEnd w:id="49"/>
      <w:bookmarkEnd w:id="50"/>
      <w:bookmarkEnd w:id="51"/>
      <w:bookmarkEnd w:id="52"/>
      <w:bookmarkEnd w:id="53"/>
      <w:bookmarkEnd w:id="54"/>
      <w:bookmarkEnd w:id="55"/>
      <w:r>
        <w:rPr>
          <w:rFonts w:hint="eastAsia" w:ascii="Times New Roman" w:hAnsi="Times New Roman" w:eastAsia="楷体_GB2312" w:cs="Times New Roman"/>
          <w:kern w:val="28"/>
          <w:sz w:val="32"/>
          <w:lang w:val="en-US" w:eastAsia="zh-CN"/>
        </w:rPr>
        <w:t>、对象和范围</w:t>
      </w:r>
      <w:bookmarkEnd w:id="56"/>
    </w:p>
    <w:p w14:paraId="6306658B">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default" w:ascii="Times New Roman" w:hAnsi="Times New Roman" w:eastAsia="楷体_GB2312" w:cs="Times New Roman"/>
          <w:kern w:val="28"/>
          <w:sz w:val="32"/>
          <w:lang w:val="en-US" w:eastAsia="zh-CN"/>
        </w:rPr>
      </w:pPr>
      <w:bookmarkStart w:id="57" w:name="_Toc417"/>
      <w:bookmarkStart w:id="58" w:name="_Toc15732"/>
      <w:bookmarkStart w:id="59" w:name="_Toc21770"/>
      <w:r>
        <w:rPr>
          <w:rFonts w:hint="eastAsia" w:ascii="Times New Roman" w:hAnsi="Times New Roman" w:eastAsia="楷体_GB2312" w:cs="Times New Roman"/>
          <w:kern w:val="28"/>
          <w:sz w:val="32"/>
          <w:lang w:val="en-US" w:eastAsia="zh-CN"/>
        </w:rPr>
        <w:t>1.</w:t>
      </w:r>
      <w:bookmarkEnd w:id="57"/>
      <w:bookmarkEnd w:id="58"/>
      <w:bookmarkEnd w:id="59"/>
      <w:r>
        <w:rPr>
          <w:rFonts w:hint="default" w:ascii="Times New Roman" w:hAnsi="Times New Roman" w:eastAsia="楷体_GB2312" w:cs="Times New Roman"/>
          <w:kern w:val="28"/>
          <w:sz w:val="32"/>
          <w:lang w:val="en-US" w:eastAsia="zh-CN"/>
        </w:rPr>
        <w:t>绩效评价完整性</w:t>
      </w:r>
    </w:p>
    <w:p w14:paraId="26F9DEE7">
      <w:pPr>
        <w:pageBreakBefore w:val="0"/>
        <w:kinsoku/>
        <w:wordWrap/>
        <w:overflowPunct/>
        <w:topLinePunct w:val="0"/>
        <w:autoSpaceDE/>
        <w:autoSpaceDN/>
        <w:bidi w:val="0"/>
        <w:adjustRightInd/>
        <w:snapToGrid/>
        <w:spacing w:line="560" w:lineRule="exact"/>
        <w:ind w:firstLine="708" w:firstLineChars="200"/>
        <w:textAlignment w:val="auto"/>
        <w:rPr>
          <w:rFonts w:hint="default" w:ascii="Times New Roman" w:hAnsi="Times New Roman" w:eastAsia="仿宋_GB2312" w:cs="Times New Roman"/>
          <w:color w:val="auto"/>
          <w:sz w:val="32"/>
          <w:szCs w:val="32"/>
          <w:highlight w:val="none"/>
        </w:rPr>
      </w:pPr>
      <w:r>
        <w:rPr>
          <w:rFonts w:hint="eastAsia" w:ascii="Times New Roman" w:hAnsi="Times New Roman" w:eastAsia="仿宋_GB2312" w:cs="Times New Roman"/>
          <w:color w:val="auto"/>
          <w:spacing w:val="17"/>
          <w:kern w:val="2"/>
          <w:sz w:val="32"/>
          <w:szCs w:val="32"/>
          <w:highlight w:val="none"/>
          <w:lang w:val="en-US" w:eastAsia="zh-CN" w:bidi="ar-SA"/>
        </w:rPr>
        <w:t xml:space="preserve"> </w:t>
      </w:r>
      <w:r>
        <w:rPr>
          <w:rFonts w:hint="default" w:ascii="Times New Roman" w:hAnsi="Times New Roman" w:eastAsia="仿宋_GB2312" w:cs="Times New Roman"/>
          <w:color w:val="auto"/>
          <w:sz w:val="32"/>
          <w:szCs w:val="32"/>
          <w:highlight w:val="none"/>
          <w:lang w:val="en-US" w:eastAsia="zh-CN"/>
        </w:rPr>
        <w:t>本项目预算绩效评价报告在编制过程中，严格遵循相关法规与标准，确保评价内容的全面性与准确性。报告涵盖了项目从预算编制、执行到完成的全过程，对项目的各项绩效指标进行了细致的梳理与评估。</w:t>
      </w:r>
    </w:p>
    <w:p w14:paraId="2B2C7394">
      <w:pPr>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在评价指标体系的构建上，充分考虑了项目的性质、目标以及预期成果，选取了具有代表性和可衡量性的关键指标，涵盖了社会效益等多个维度，力求全方位反映项目的绩效状况。同时，对于每个指标的评价标准和数据来源均进行了明确说明，确保评价结果的客观性和可追溯性。</w:t>
      </w:r>
    </w:p>
    <w:p w14:paraId="1B4502EE">
      <w:pPr>
        <w:pageBreakBefore w:val="0"/>
        <w:kinsoku/>
        <w:wordWrap/>
        <w:overflowPunct/>
        <w:topLinePunct w:val="0"/>
        <w:autoSpaceDE/>
        <w:autoSpaceDN/>
        <w:bidi w:val="0"/>
        <w:adjustRightInd/>
        <w:snapToGrid/>
        <w:spacing w:line="560" w:lineRule="exact"/>
        <w:ind w:left="0" w:leftChars="0" w:firstLine="0" w:firstLineChars="0"/>
        <w:textAlignment w:val="auto"/>
        <w:rPr>
          <w:rFonts w:hint="default" w:ascii="Times New Roman" w:hAnsi="Times New Roman" w:eastAsia="仿宋_GB2312" w:cs="Times New Roman"/>
          <w:color w:val="auto"/>
          <w:sz w:val="32"/>
          <w:szCs w:val="32"/>
          <w:highlight w:val="none"/>
        </w:rPr>
      </w:pPr>
      <w:r>
        <w:rPr>
          <w:rFonts w:hint="eastAsia" w:ascii="Times New Roman" w:hAnsi="Times New Roman" w:eastAsia="仿宋_GB2312" w:cs="Times New Roman"/>
          <w:color w:val="auto"/>
          <w:sz w:val="32"/>
          <w:szCs w:val="32"/>
          <w:highlight w:val="none"/>
          <w:lang w:val="en-US" w:eastAsia="zh-CN"/>
        </w:rPr>
        <w:t xml:space="preserve">    </w:t>
      </w:r>
      <w:r>
        <w:rPr>
          <w:rFonts w:hint="default" w:ascii="Times New Roman" w:hAnsi="Times New Roman" w:eastAsia="仿宋_GB2312" w:cs="Times New Roman"/>
          <w:color w:val="auto"/>
          <w:sz w:val="32"/>
          <w:szCs w:val="32"/>
          <w:highlight w:val="none"/>
          <w:lang w:val="en-US" w:eastAsia="zh-CN"/>
        </w:rPr>
        <w:t>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p>
    <w:p w14:paraId="2CA32C54">
      <w:pPr>
        <w:pageBreakBefore w:val="0"/>
        <w:kinsoku/>
        <w:wordWrap/>
        <w:overflowPunct/>
        <w:topLinePunct w:val="0"/>
        <w:autoSpaceDE/>
        <w:autoSpaceDN/>
        <w:bidi w:val="0"/>
        <w:adjustRightInd/>
        <w:spacing w:line="560" w:lineRule="exact"/>
        <w:ind w:firstLine="640" w:firstLineChars="20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val="en-US" w:eastAsia="zh-CN"/>
        </w:rPr>
        <w:t>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p>
    <w:p w14:paraId="3321458F">
      <w:pPr>
        <w:pageBreakBefore w:val="0"/>
        <w:kinsoku/>
        <w:wordWrap/>
        <w:overflowPunct/>
        <w:topLinePunct w:val="0"/>
        <w:autoSpaceDE/>
        <w:autoSpaceDN/>
        <w:bidi w:val="0"/>
        <w:adjustRightInd/>
        <w:spacing w:line="560" w:lineRule="exact"/>
        <w:ind w:firstLine="640" w:firstLineChars="200"/>
        <w:rPr>
          <w:rFonts w:hint="eastAsia" w:ascii="Times New Roman" w:hAnsi="Times New Roman" w:eastAsia="仿宋_GB2312" w:cs="Times New Roman"/>
          <w:color w:val="auto"/>
          <w:spacing w:val="17"/>
          <w:kern w:val="2"/>
          <w:sz w:val="32"/>
          <w:szCs w:val="32"/>
          <w:highlight w:val="none"/>
          <w:lang w:val="en-US" w:eastAsia="zh-CN" w:bidi="ar-SA"/>
        </w:rPr>
      </w:pPr>
      <w:r>
        <w:rPr>
          <w:rFonts w:hint="default" w:ascii="Times New Roman" w:hAnsi="Times New Roman" w:eastAsia="仿宋_GB2312" w:cs="Times New Roman"/>
          <w:color w:val="auto"/>
          <w:sz w:val="32"/>
          <w:szCs w:val="32"/>
          <w:highlight w:val="none"/>
          <w:lang w:val="en-US" w:eastAsia="zh-CN"/>
        </w:rPr>
        <w:t>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p>
    <w:p w14:paraId="4A57C14A">
      <w:pPr>
        <w:pStyle w:val="5"/>
        <w:pageBreakBefore w:val="0"/>
        <w:widowControl w:val="0"/>
        <w:kinsoku/>
        <w:wordWrap/>
        <w:overflowPunct/>
        <w:topLinePunct w:val="0"/>
        <w:autoSpaceDE/>
        <w:autoSpaceDN/>
        <w:bidi w:val="0"/>
        <w:adjustRightInd/>
        <w:snapToGrid/>
        <w:spacing w:line="560" w:lineRule="exact"/>
        <w:textAlignment w:val="auto"/>
        <w:rPr>
          <w:rFonts w:hint="eastAsia" w:ascii="Times New Roman" w:hAnsi="Times New Roman" w:eastAsia="仿宋_GB2312" w:cs="Times New Roman"/>
          <w:b/>
          <w:bCs/>
          <w:color w:val="auto"/>
          <w:kern w:val="2"/>
          <w:sz w:val="32"/>
          <w:szCs w:val="32"/>
          <w:highlight w:val="none"/>
          <w:lang w:val="en-US" w:eastAsia="zh-CN" w:bidi="ar-SA"/>
        </w:rPr>
      </w:pPr>
      <w:bookmarkStart w:id="60" w:name="_Toc31970"/>
      <w:bookmarkStart w:id="61" w:name="_Toc30609"/>
      <w:bookmarkStart w:id="62" w:name="_Toc16346"/>
      <w:r>
        <w:rPr>
          <w:rFonts w:hint="eastAsia" w:ascii="Times New Roman" w:hAnsi="Times New Roman" w:eastAsia="仿宋_GB2312" w:cs="Times New Roman"/>
          <w:b/>
          <w:bCs/>
          <w:color w:val="auto"/>
          <w:kern w:val="2"/>
          <w:sz w:val="32"/>
          <w:szCs w:val="32"/>
          <w:highlight w:val="none"/>
          <w:lang w:val="en-US" w:eastAsia="zh-CN" w:bidi="ar-SA"/>
        </w:rPr>
        <w:t>2.</w:t>
      </w:r>
      <w:bookmarkEnd w:id="60"/>
      <w:bookmarkEnd w:id="61"/>
      <w:bookmarkEnd w:id="62"/>
      <w:r>
        <w:rPr>
          <w:rFonts w:hint="eastAsia" w:ascii="Times New Roman" w:hAnsi="Times New Roman" w:eastAsia="仿宋_GB2312" w:cs="Times New Roman"/>
          <w:b/>
          <w:bCs/>
          <w:color w:val="auto"/>
          <w:kern w:val="2"/>
          <w:sz w:val="32"/>
          <w:szCs w:val="32"/>
          <w:highlight w:val="none"/>
          <w:lang w:val="en-US" w:eastAsia="zh-CN" w:bidi="ar-SA"/>
        </w:rPr>
        <w:t>绩效评价的目的</w:t>
      </w:r>
    </w:p>
    <w:p w14:paraId="47ECB682">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shd w:val="clear" w:color="auto" w:fill="auto"/>
          <w:lang w:eastAsia="zh-CN"/>
        </w:rPr>
      </w:pPr>
      <w:r>
        <w:rPr>
          <w:rFonts w:hint="eastAsia" w:ascii="仿宋_GB2312" w:hAnsi="仿宋_GB2312" w:eastAsia="仿宋_GB2312" w:cs="仿宋_GB2312"/>
          <w:color w:val="auto"/>
          <w:sz w:val="32"/>
          <w:szCs w:val="32"/>
          <w:highlight w:val="none"/>
          <w:lang w:val="en-US" w:eastAsia="zh-CN"/>
        </w:rPr>
        <w:t xml:space="preserve">  </w:t>
      </w:r>
      <w:r>
        <w:rPr>
          <w:rFonts w:hint="eastAsia" w:ascii="仿宋_GB2312" w:hAnsi="仿宋_GB2312" w:eastAsia="仿宋_GB2312" w:cs="仿宋_GB2312"/>
          <w:color w:val="auto"/>
          <w:sz w:val="32"/>
          <w:szCs w:val="32"/>
          <w:highlight w:val="none"/>
          <w:shd w:val="clear" w:color="auto" w:fill="auto"/>
          <w:lang w:eastAsia="zh-CN"/>
        </w:rPr>
        <w:t>全面了解</w:t>
      </w:r>
      <w:r>
        <w:rPr>
          <w:rFonts w:hint="eastAsia" w:ascii="仿宋_GB2312" w:hAnsi="仿宋_GB2312" w:eastAsia="仿宋_GB2312" w:cs="仿宋_GB2312"/>
          <w:color w:val="auto"/>
          <w:sz w:val="32"/>
          <w:szCs w:val="32"/>
          <w:highlight w:val="none"/>
          <w:shd w:val="clear" w:color="auto" w:fill="auto"/>
          <w:lang w:val="en-US" w:eastAsia="zh-CN"/>
        </w:rPr>
        <w:t>该</w:t>
      </w:r>
      <w:r>
        <w:rPr>
          <w:rFonts w:hint="eastAsia" w:ascii="仿宋_GB2312" w:hAnsi="仿宋_GB2312" w:eastAsia="仿宋_GB2312" w:cs="仿宋_GB2312"/>
          <w:color w:val="auto"/>
          <w:sz w:val="32"/>
          <w:szCs w:val="32"/>
          <w:highlight w:val="none"/>
          <w:shd w:val="clear" w:color="auto" w:fill="auto"/>
          <w:lang w:eastAsia="zh-CN"/>
        </w:rPr>
        <w:t>项目预算编制合理性、资金使用合规性、项目管理的规范性、</w:t>
      </w:r>
      <w:r>
        <w:rPr>
          <w:rFonts w:hint="eastAsia" w:ascii="仿宋_GB2312" w:hAnsi="仿宋_GB2312" w:eastAsia="仿宋_GB2312" w:cs="仿宋_GB2312"/>
          <w:color w:val="auto"/>
          <w:sz w:val="32"/>
          <w:szCs w:val="32"/>
          <w:highlight w:val="none"/>
          <w:shd w:val="clear" w:color="auto" w:fill="auto"/>
          <w:lang w:val="en-US" w:eastAsia="zh-CN"/>
        </w:rPr>
        <w:t>绩效</w:t>
      </w:r>
      <w:r>
        <w:rPr>
          <w:rFonts w:hint="eastAsia" w:ascii="仿宋_GB2312" w:hAnsi="仿宋_GB2312" w:eastAsia="仿宋_GB2312" w:cs="仿宋_GB2312"/>
          <w:color w:val="auto"/>
          <w:sz w:val="32"/>
          <w:szCs w:val="32"/>
          <w:highlight w:val="none"/>
          <w:shd w:val="clear" w:color="auto" w:fill="auto"/>
          <w:lang w:eastAsia="zh-CN"/>
        </w:rPr>
        <w:t>目标的实现情况、服务对象的满意度等，通过本次</w:t>
      </w:r>
      <w:r>
        <w:rPr>
          <w:rFonts w:hint="eastAsia" w:ascii="仿宋_GB2312" w:hAnsi="仿宋_GB2312" w:eastAsia="仿宋_GB2312" w:cs="仿宋_GB2312"/>
          <w:color w:val="auto"/>
          <w:sz w:val="32"/>
          <w:szCs w:val="32"/>
          <w:highlight w:val="none"/>
          <w:shd w:val="clear" w:color="auto" w:fill="auto"/>
          <w:lang w:val="en-US" w:eastAsia="zh-CN"/>
        </w:rPr>
        <w:t>部门</w:t>
      </w:r>
      <w:r>
        <w:rPr>
          <w:rFonts w:hint="eastAsia" w:ascii="仿宋_GB2312" w:hAnsi="仿宋_GB2312" w:eastAsia="仿宋_GB2312" w:cs="仿宋_GB2312"/>
          <w:color w:val="auto"/>
          <w:sz w:val="32"/>
          <w:szCs w:val="32"/>
          <w:highlight w:val="none"/>
          <w:shd w:val="clear" w:color="auto" w:fill="auto"/>
          <w:lang w:eastAsia="zh-CN"/>
        </w:rPr>
        <w:t>绩效评价来总结经验和教训，促进项目成果转化和应用，为今后类似项目的长效管理，提供可行性参考建议。</w:t>
      </w:r>
    </w:p>
    <w:p w14:paraId="0AB57BB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（1）评估项目实施效果</w:t>
      </w:r>
    </w:p>
    <w:p w14:paraId="7623A6A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通过对项目预算执行情况及各项绩效目标达成程度的系统性分析，全面、客观地评估项目在预定周期内的实施效果，包括社会效益等多维度指标，为项目后续的改进与优化提供科学依据。</w:t>
      </w:r>
    </w:p>
    <w:p w14:paraId="09E6397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（2）提升资源利用效率</w:t>
      </w:r>
    </w:p>
    <w:p w14:paraId="100E2A1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p>
    <w:p w14:paraId="735F039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（3）强化项目管理责任</w:t>
      </w:r>
    </w:p>
    <w:p w14:paraId="7E13379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p>
    <w:p w14:paraId="545B3F1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（4）为决策提供支持</w:t>
      </w:r>
    </w:p>
    <w:p w14:paraId="0B22111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p>
    <w:p w14:paraId="7A48EC2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（5）促进项目持续改进</w:t>
      </w:r>
    </w:p>
    <w:p w14:paraId="5311275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p>
    <w:p w14:paraId="15950E6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highlight w:val="none"/>
        </w:rPr>
      </w:pPr>
      <w:r>
        <w:rPr>
          <w:rFonts w:hint="eastAsia" w:ascii="仿宋_GB2312" w:hAnsi="仿宋_GB2312" w:eastAsia="仿宋_GB2312" w:cs="仿宋_GB2312"/>
          <w:color w:val="auto"/>
          <w:sz w:val="32"/>
          <w:szCs w:val="32"/>
          <w:highlight w:val="none"/>
        </w:rPr>
        <w:t>本项目预算绩效评价报告的编制以提升项目绩效为核心，旨在通过科学、严谨的评价工作，为项目管理与决策提供全方位、深层次的支持，推动项目在预算约束下实现高质量、可持续发展，充</w:t>
      </w:r>
      <w:r>
        <w:rPr>
          <w:rFonts w:hint="default" w:ascii="Times New Roman" w:hAnsi="Times New Roman" w:eastAsia="仿宋_GB2312" w:cs="Times New Roman"/>
          <w:sz w:val="32"/>
          <w:szCs w:val="32"/>
          <w:highlight w:val="none"/>
        </w:rPr>
        <w:t>充分发挥财政资金的经济效益与社会效益。</w:t>
      </w:r>
    </w:p>
    <w:p w14:paraId="1CC6A67B">
      <w:pPr>
        <w:pStyle w:val="5"/>
        <w:pageBreakBefore w:val="0"/>
        <w:numPr>
          <w:ilvl w:val="0"/>
          <w:numId w:val="0"/>
        </w:numPr>
        <w:kinsoku/>
        <w:wordWrap/>
        <w:overflowPunct/>
        <w:topLinePunct w:val="0"/>
        <w:autoSpaceDE/>
        <w:autoSpaceDN/>
        <w:bidi w:val="0"/>
        <w:adjustRightIn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cs="仿宋_GB2312"/>
          <w:color w:val="auto"/>
          <w:sz w:val="32"/>
          <w:szCs w:val="32"/>
          <w:highlight w:val="none"/>
          <w:shd w:val="clear" w:color="auto" w:fill="auto"/>
          <w:lang w:val="en-US" w:eastAsia="zh-CN"/>
        </w:rPr>
        <w:t xml:space="preserve">    3.</w:t>
      </w:r>
      <w:r>
        <w:rPr>
          <w:rFonts w:hint="eastAsia" w:ascii="仿宋_GB2312" w:hAnsi="仿宋_GB2312" w:eastAsia="仿宋_GB2312" w:cs="仿宋_GB2312"/>
          <w:color w:val="auto"/>
          <w:sz w:val="32"/>
          <w:szCs w:val="32"/>
          <w:highlight w:val="none"/>
          <w:shd w:val="clear" w:color="auto" w:fill="auto"/>
          <w:lang w:val="en-US" w:eastAsia="zh-CN"/>
        </w:rPr>
        <w:t>绩效评价的对象</w:t>
      </w:r>
    </w:p>
    <w:p w14:paraId="6D45803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此次我单位根据《财政支出绩效评价管理暂行办法》（财预〔2020〕10号）文件要求对2024年度我单位实施的2024全民健康体检项目开展部门绩效评价。</w:t>
      </w:r>
    </w:p>
    <w:p w14:paraId="048B48A0">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仿宋_GB2312" w:hAnsi="仿宋_GB2312" w:eastAsia="仿宋_GB2312" w:cs="仿宋_GB2312"/>
          <w:b w:val="0"/>
          <w:bCs w:val="0"/>
          <w:color w:val="auto"/>
          <w:kern w:val="2"/>
          <w:sz w:val="32"/>
          <w:szCs w:val="32"/>
          <w:highlight w:val="none"/>
          <w:shd w:val="clear" w:color="auto" w:fill="auto"/>
          <w:lang w:val="en-US" w:eastAsia="zh-CN" w:bidi="ar-SA"/>
        </w:rPr>
      </w:pPr>
      <w:r>
        <w:rPr>
          <w:rFonts w:hint="eastAsia" w:ascii="仿宋_GB2312" w:hAnsi="仿宋_GB2312" w:eastAsia="仿宋_GB2312" w:cs="仿宋_GB2312"/>
          <w:color w:val="auto"/>
          <w:sz w:val="32"/>
          <w:szCs w:val="32"/>
          <w:highlight w:val="none"/>
          <w:lang w:val="en-US" w:eastAsia="zh-CN"/>
        </w:rPr>
        <w:t xml:space="preserve">  该项目由阜康市滋泥泉子镇中心卫生院负责实施，本中心承担疫情防控、居民健康档案管理、健康教育、预防接种、慢病管理、孕产妇管理、0-6岁儿童健康管理、精神疾病管</w:t>
      </w:r>
      <w:r>
        <w:rPr>
          <w:rFonts w:hint="eastAsia" w:ascii="仿宋_GB2312" w:hAnsi="仿宋_GB2312" w:eastAsia="仿宋_GB2312" w:cs="仿宋_GB2312"/>
          <w:b w:val="0"/>
          <w:bCs w:val="0"/>
          <w:color w:val="auto"/>
          <w:kern w:val="2"/>
          <w:sz w:val="32"/>
          <w:szCs w:val="32"/>
          <w:highlight w:val="none"/>
          <w:shd w:val="clear" w:color="auto" w:fill="auto"/>
          <w:lang w:val="en-US" w:eastAsia="zh-CN" w:bidi="ar-SA"/>
        </w:rPr>
        <w:t>理、老年人健康管理、卫生监督协管、中医药服务、传染病及突发公共卫生事件报告和处理等基本公共卫生服务</w:t>
      </w:r>
      <w:r>
        <w:rPr>
          <w:rFonts w:hint="default" w:ascii="仿宋_GB2312" w:hAnsi="仿宋_GB2312" w:eastAsia="仿宋_GB2312" w:cs="仿宋_GB2312"/>
          <w:b w:val="0"/>
          <w:bCs w:val="0"/>
          <w:color w:val="auto"/>
          <w:kern w:val="2"/>
          <w:sz w:val="32"/>
          <w:szCs w:val="32"/>
          <w:highlight w:val="none"/>
          <w:shd w:val="clear" w:color="auto" w:fill="auto"/>
          <w:lang w:val="en-US" w:eastAsia="zh-CN" w:bidi="ar-SA"/>
        </w:rPr>
        <w:t>和家庭医生签约式服务工作。2024年</w:t>
      </w:r>
      <w:r>
        <w:rPr>
          <w:rFonts w:hint="eastAsia" w:ascii="仿宋_GB2312" w:hAnsi="仿宋_GB2312" w:eastAsia="仿宋_GB2312" w:cs="仿宋_GB2312"/>
          <w:b w:val="0"/>
          <w:bCs w:val="0"/>
          <w:color w:val="auto"/>
          <w:kern w:val="2"/>
          <w:sz w:val="32"/>
          <w:szCs w:val="32"/>
          <w:highlight w:val="none"/>
          <w:shd w:val="clear" w:color="auto" w:fill="auto"/>
          <w:lang w:val="en-US" w:eastAsia="zh-CN" w:bidi="ar-SA"/>
        </w:rPr>
        <w:t>基本公共卫生服务</w:t>
      </w:r>
      <w:r>
        <w:rPr>
          <w:rFonts w:hint="default" w:ascii="仿宋_GB2312" w:hAnsi="仿宋_GB2312" w:eastAsia="仿宋_GB2312" w:cs="仿宋_GB2312"/>
          <w:b w:val="0"/>
          <w:bCs w:val="0"/>
          <w:color w:val="auto"/>
          <w:kern w:val="2"/>
          <w:sz w:val="32"/>
          <w:szCs w:val="32"/>
          <w:highlight w:val="none"/>
          <w:shd w:val="clear" w:color="auto" w:fill="auto"/>
          <w:lang w:val="en-US" w:eastAsia="zh-CN" w:bidi="ar-SA"/>
        </w:rPr>
        <w:t>完成率达到90%、电子档案录入合格率达到90%、老年人健康管理率达到</w:t>
      </w:r>
      <w:r>
        <w:rPr>
          <w:rFonts w:hint="eastAsia" w:ascii="仿宋_GB2312" w:hAnsi="仿宋_GB2312" w:eastAsia="仿宋_GB2312" w:cs="仿宋_GB2312"/>
          <w:b w:val="0"/>
          <w:bCs w:val="0"/>
          <w:color w:val="auto"/>
          <w:kern w:val="2"/>
          <w:sz w:val="32"/>
          <w:szCs w:val="32"/>
          <w:highlight w:val="none"/>
          <w:shd w:val="clear" w:color="auto" w:fill="auto"/>
          <w:lang w:val="en-US" w:eastAsia="zh-CN" w:bidi="ar-SA"/>
        </w:rPr>
        <w:t>79</w:t>
      </w:r>
      <w:r>
        <w:rPr>
          <w:rFonts w:hint="default" w:ascii="仿宋_GB2312" w:hAnsi="仿宋_GB2312" w:eastAsia="仿宋_GB2312" w:cs="仿宋_GB2312"/>
          <w:b w:val="0"/>
          <w:bCs w:val="0"/>
          <w:color w:val="auto"/>
          <w:kern w:val="2"/>
          <w:sz w:val="32"/>
          <w:szCs w:val="32"/>
          <w:highlight w:val="none"/>
          <w:shd w:val="clear" w:color="auto" w:fill="auto"/>
          <w:lang w:val="en-US" w:eastAsia="zh-CN" w:bidi="ar-SA"/>
        </w:rPr>
        <w:t>%、全民健康体检工作完成及时率100%，截止2024年12月31日，我院共计完成65岁以上老人健康管理1683人，高血压服务1937人，糖尿病人服务544人，高血压患者基层规范管理服务合格率91%，糖尿病人服务率90%，65岁以上老人健康管理服务合格率79%，通过项目的实施，提高了高血压、糖尿病及老年人群的服务水平。项目预算涵盖从</w:t>
      </w:r>
      <w:r>
        <w:rPr>
          <w:rFonts w:hint="eastAsia" w:ascii="仿宋_GB2312" w:hAnsi="仿宋_GB2312" w:eastAsia="仿宋_GB2312" w:cs="仿宋_GB2312"/>
          <w:b w:val="0"/>
          <w:bCs w:val="0"/>
          <w:color w:val="auto"/>
          <w:kern w:val="2"/>
          <w:sz w:val="32"/>
          <w:szCs w:val="32"/>
          <w:highlight w:val="none"/>
          <w:shd w:val="clear" w:color="auto" w:fill="auto"/>
          <w:lang w:val="en-US" w:eastAsia="zh-CN" w:bidi="ar-SA"/>
        </w:rPr>
        <w:t>2024年1月1日</w:t>
      </w:r>
      <w:r>
        <w:rPr>
          <w:rFonts w:hint="default" w:ascii="仿宋_GB2312" w:hAnsi="仿宋_GB2312" w:eastAsia="仿宋_GB2312" w:cs="仿宋_GB2312"/>
          <w:b w:val="0"/>
          <w:bCs w:val="0"/>
          <w:color w:val="auto"/>
          <w:kern w:val="2"/>
          <w:sz w:val="32"/>
          <w:szCs w:val="32"/>
          <w:highlight w:val="none"/>
          <w:shd w:val="clear" w:color="auto" w:fill="auto"/>
          <w:lang w:val="en-US" w:eastAsia="zh-CN" w:bidi="ar-SA"/>
        </w:rPr>
        <w:t>至</w:t>
      </w:r>
      <w:r>
        <w:rPr>
          <w:rFonts w:hint="eastAsia" w:ascii="仿宋_GB2312" w:hAnsi="仿宋_GB2312" w:eastAsia="仿宋_GB2312" w:cs="仿宋_GB2312"/>
          <w:b w:val="0"/>
          <w:bCs w:val="0"/>
          <w:color w:val="auto"/>
          <w:kern w:val="2"/>
          <w:sz w:val="32"/>
          <w:szCs w:val="32"/>
          <w:highlight w:val="none"/>
          <w:shd w:val="clear" w:color="auto" w:fill="auto"/>
          <w:lang w:val="en-US" w:eastAsia="zh-CN" w:bidi="ar-SA"/>
        </w:rPr>
        <w:t>2024年12月31日</w:t>
      </w:r>
      <w:r>
        <w:rPr>
          <w:rFonts w:hint="default" w:ascii="仿宋_GB2312" w:hAnsi="仿宋_GB2312" w:eastAsia="仿宋_GB2312" w:cs="仿宋_GB2312"/>
          <w:b w:val="0"/>
          <w:bCs w:val="0"/>
          <w:color w:val="auto"/>
          <w:kern w:val="2"/>
          <w:sz w:val="32"/>
          <w:szCs w:val="32"/>
          <w:highlight w:val="none"/>
          <w:shd w:val="clear" w:color="auto" w:fill="auto"/>
          <w:lang w:val="en-US" w:eastAsia="zh-CN" w:bidi="ar-SA"/>
        </w:rPr>
        <w:t>的全部资金投入与支出，涉及资金总额为</w:t>
      </w:r>
      <w:r>
        <w:rPr>
          <w:rFonts w:hint="eastAsia" w:ascii="仿宋_GB2312" w:hAnsi="仿宋_GB2312" w:eastAsia="仿宋_GB2312" w:cs="仿宋_GB2312"/>
          <w:b w:val="0"/>
          <w:bCs w:val="0"/>
          <w:color w:val="auto"/>
          <w:kern w:val="2"/>
          <w:sz w:val="32"/>
          <w:szCs w:val="32"/>
          <w:highlight w:val="none"/>
          <w:shd w:val="clear" w:color="auto" w:fill="auto"/>
          <w:lang w:val="en-US" w:eastAsia="zh-CN" w:bidi="ar-SA"/>
        </w:rPr>
        <w:t>66.73</w:t>
      </w:r>
      <w:r>
        <w:rPr>
          <w:rFonts w:hint="default" w:ascii="仿宋_GB2312" w:hAnsi="仿宋_GB2312" w:eastAsia="仿宋_GB2312" w:cs="仿宋_GB2312"/>
          <w:b w:val="0"/>
          <w:bCs w:val="0"/>
          <w:color w:val="auto"/>
          <w:kern w:val="2"/>
          <w:sz w:val="32"/>
          <w:szCs w:val="32"/>
          <w:highlight w:val="none"/>
          <w:shd w:val="clear" w:color="auto" w:fill="auto"/>
          <w:lang w:val="en-US" w:eastAsia="zh-CN" w:bidi="ar-SA"/>
        </w:rPr>
        <w:t>万元。</w:t>
      </w:r>
    </w:p>
    <w:p w14:paraId="676D4AC0">
      <w:pPr>
        <w:pStyle w:val="14"/>
        <w:keepNext w:val="0"/>
        <w:keepLines w:val="0"/>
        <w:pageBreakBefore w:val="0"/>
        <w:widowControl/>
        <w:numPr>
          <w:ilvl w:val="0"/>
          <w:numId w:val="0"/>
        </w:numPr>
        <w:kinsoku/>
        <w:wordWrap/>
        <w:overflowPunct/>
        <w:topLinePunct w:val="0"/>
        <w:autoSpaceDE/>
        <w:autoSpaceDN/>
        <w:bidi w:val="0"/>
        <w:adjustRightInd/>
        <w:snapToGrid/>
        <w:spacing w:before="0" w:beforeLines="-2147483648" w:after="0" w:afterLines="-2147483648" w:line="560" w:lineRule="exact"/>
        <w:jc w:val="both"/>
        <w:textAlignment w:val="auto"/>
        <w:rPr>
          <w:rFonts w:hint="default" w:ascii="仿宋_GB2312" w:hAnsi="仿宋_GB2312" w:eastAsia="仿宋_GB2312" w:cs="仿宋_GB2312"/>
          <w:b/>
          <w:bCs/>
          <w:color w:val="auto"/>
          <w:kern w:val="0"/>
          <w:sz w:val="32"/>
          <w:szCs w:val="32"/>
          <w:highlight w:val="none"/>
          <w:shd w:val="clear" w:color="auto" w:fill="auto"/>
          <w:lang w:val="en-US" w:eastAsia="zh-CN" w:bidi="ar-SA"/>
        </w:rPr>
      </w:pPr>
      <w:bookmarkStart w:id="63" w:name="_Toc29785"/>
      <w:bookmarkStart w:id="64" w:name="_Toc1286"/>
      <w:r>
        <w:rPr>
          <w:rFonts w:hint="eastAsia" w:cs="仿宋_GB2312"/>
          <w:color w:val="auto"/>
          <w:sz w:val="32"/>
          <w:szCs w:val="32"/>
          <w:highlight w:val="none"/>
          <w:shd w:val="clear" w:color="auto" w:fill="auto"/>
          <w:lang w:val="en-US" w:eastAsia="zh-CN"/>
        </w:rPr>
        <w:t xml:space="preserve">   </w:t>
      </w:r>
      <w:r>
        <w:rPr>
          <w:rFonts w:hint="eastAsia" w:ascii="仿宋_GB2312" w:hAnsi="仿宋_GB2312" w:eastAsia="仿宋_GB2312" w:cs="仿宋_GB2312"/>
          <w:b/>
          <w:bCs/>
          <w:color w:val="auto"/>
          <w:kern w:val="0"/>
          <w:sz w:val="32"/>
          <w:szCs w:val="32"/>
          <w:highlight w:val="none"/>
          <w:shd w:val="clear" w:color="auto" w:fill="auto"/>
          <w:lang w:val="en-US" w:eastAsia="zh-CN" w:bidi="ar-SA"/>
        </w:rPr>
        <w:t>4.</w:t>
      </w:r>
      <w:r>
        <w:rPr>
          <w:rFonts w:hint="default" w:ascii="仿宋_GB2312" w:hAnsi="仿宋_GB2312" w:eastAsia="仿宋_GB2312" w:cs="仿宋_GB2312"/>
          <w:b/>
          <w:bCs/>
          <w:color w:val="auto"/>
          <w:kern w:val="0"/>
          <w:sz w:val="32"/>
          <w:szCs w:val="32"/>
          <w:highlight w:val="none"/>
          <w:shd w:val="clear" w:color="auto" w:fill="auto"/>
          <w:lang w:val="en-US" w:eastAsia="zh-CN" w:bidi="ar-SA"/>
        </w:rPr>
        <w:t>绩效评价的范围</w:t>
      </w:r>
    </w:p>
    <w:p w14:paraId="2933D919">
      <w:pPr>
        <w:pStyle w:val="14"/>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z w:val="32"/>
          <w:szCs w:val="32"/>
          <w:highlight w:val="none"/>
        </w:rPr>
        <w:t>本项目预算绩效评价报告的评价范围广泛而全面，涵盖了从项目立项至评价时点期间的所有关键预算活动和财务流程。具体而言，评价范围包括以下几个方面：</w:t>
      </w:r>
    </w:p>
    <w:p w14:paraId="5435BDEA">
      <w:pPr>
        <w:pStyle w:val="1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z w:val="32"/>
          <w:szCs w:val="32"/>
          <w:highlight w:val="none"/>
        </w:rPr>
        <w:t>项目预算编制与执行：全面审视项目预算的编制依据、合理性、科学性以及实际执行情况。</w:t>
      </w:r>
    </w:p>
    <w:p w14:paraId="3B6529B8">
      <w:pPr>
        <w:pStyle w:val="1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eastAsia" w:ascii="仿宋_GB2312" w:hAnsi="仿宋_GB2312" w:eastAsia="仿宋_GB2312" w:cs="仿宋_GB2312"/>
          <w:b w:val="0"/>
          <w:bCs w:val="0"/>
          <w:color w:val="auto"/>
          <w:sz w:val="32"/>
          <w:szCs w:val="32"/>
          <w:highlight w:val="none"/>
          <w:lang w:eastAsia="zh-CN"/>
        </w:rPr>
      </w:pPr>
      <w:r>
        <w:rPr>
          <w:rFonts w:hint="eastAsia" w:ascii="仿宋_GB2312" w:hAnsi="仿宋_GB2312" w:eastAsia="仿宋_GB2312" w:cs="仿宋_GB2312"/>
          <w:b w:val="0"/>
          <w:bCs w:val="0"/>
          <w:color w:val="auto"/>
          <w:sz w:val="32"/>
          <w:szCs w:val="32"/>
          <w:highlight w:val="none"/>
        </w:rPr>
        <w:t>资金管理：深入分析项目资金的分配、使用和监管情况，确保资金使用的合规性、高效性和透明度。</w:t>
      </w:r>
    </w:p>
    <w:p w14:paraId="1831D8EB">
      <w:pPr>
        <w:pStyle w:val="14"/>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lang w:val="en-US" w:eastAsia="zh-CN"/>
        </w:rPr>
        <w:t>3）</w:t>
      </w:r>
      <w:r>
        <w:rPr>
          <w:rFonts w:hint="eastAsia" w:ascii="仿宋_GB2312" w:hAnsi="仿宋_GB2312" w:eastAsia="仿宋_GB2312" w:cs="仿宋_GB2312"/>
          <w:b w:val="0"/>
          <w:bCs w:val="0"/>
          <w:color w:val="auto"/>
          <w:sz w:val="32"/>
          <w:szCs w:val="32"/>
          <w:highlight w:val="none"/>
        </w:rPr>
        <w:t>项目实施进度与产出：本项目按照既定计划顺利推进，各项任务按时完成，项目产出的数量、质量和时效性符合预期。</w:t>
      </w:r>
    </w:p>
    <w:p w14:paraId="00D5FAD3">
      <w:pPr>
        <w:pStyle w:val="14"/>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default" w:ascii="Times New Roman" w:hAnsi="Times New Roman" w:eastAsia="仿宋_GB2312" w:cs="Times New Roman"/>
          <w:b w:val="0"/>
          <w:bCs w:val="0"/>
          <w:color w:val="auto"/>
          <w:highlight w:val="none"/>
          <w:lang w:eastAsia="zh-CN"/>
        </w:rPr>
      </w:pP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lang w:val="en-US" w:eastAsia="zh-CN"/>
        </w:rPr>
        <w:t>4</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社会</w:t>
      </w:r>
      <w:r>
        <w:rPr>
          <w:rFonts w:hint="eastAsia" w:ascii="仿宋_GB2312" w:hAnsi="仿宋_GB2312" w:eastAsia="仿宋_GB2312" w:cs="仿宋_GB2312"/>
          <w:b w:val="0"/>
          <w:bCs w:val="0"/>
          <w:color w:val="auto"/>
          <w:sz w:val="32"/>
          <w:szCs w:val="32"/>
          <w:highlight w:val="none"/>
          <w:lang w:val="en-US" w:eastAsia="zh-CN"/>
        </w:rPr>
        <w:t>等</w:t>
      </w:r>
      <w:r>
        <w:rPr>
          <w:rFonts w:hint="eastAsia" w:ascii="仿宋_GB2312" w:hAnsi="仿宋_GB2312" w:eastAsia="仿宋_GB2312" w:cs="仿宋_GB2312"/>
          <w:b w:val="0"/>
          <w:bCs w:val="0"/>
          <w:color w:val="auto"/>
          <w:sz w:val="32"/>
          <w:szCs w:val="32"/>
          <w:highlight w:val="none"/>
        </w:rPr>
        <w:t>影响：</w:t>
      </w:r>
      <w:r>
        <w:rPr>
          <w:rFonts w:hint="eastAsia" w:ascii="仿宋_GB2312" w:hAnsi="仿宋_GB2312" w:eastAsia="仿宋_GB2312" w:cs="仿宋_GB2312"/>
          <w:b w:val="0"/>
          <w:bCs w:val="0"/>
          <w:sz w:val="32"/>
          <w:szCs w:val="32"/>
          <w:highlight w:val="none"/>
        </w:rPr>
        <w:t>考察项目对社会、</w:t>
      </w:r>
      <w:r>
        <w:rPr>
          <w:rFonts w:hint="eastAsia" w:ascii="仿宋_GB2312" w:hAnsi="仿宋_GB2312" w:eastAsia="仿宋_GB2312" w:cs="仿宋_GB2312"/>
          <w:b w:val="0"/>
          <w:bCs w:val="0"/>
          <w:sz w:val="32"/>
          <w:szCs w:val="32"/>
          <w:highlight w:val="none"/>
          <w:lang w:val="en-US" w:eastAsia="zh-CN"/>
        </w:rPr>
        <w:t>生态</w:t>
      </w:r>
      <w:r>
        <w:rPr>
          <w:rFonts w:hint="eastAsia" w:ascii="仿宋_GB2312" w:hAnsi="仿宋_GB2312" w:eastAsia="仿宋_GB2312" w:cs="仿宋_GB2312"/>
          <w:b w:val="0"/>
          <w:bCs w:val="0"/>
          <w:sz w:val="32"/>
          <w:szCs w:val="32"/>
          <w:highlight w:val="none"/>
        </w:rPr>
        <w:t>、经济等方面的综合影响</w:t>
      </w:r>
      <w:r>
        <w:rPr>
          <w:rFonts w:hint="eastAsia" w:ascii="仿宋_GB2312" w:hAnsi="仿宋_GB2312" w:eastAsia="仿宋_GB2312" w:cs="仿宋_GB2312"/>
          <w:b w:val="0"/>
          <w:bCs w:val="0"/>
          <w:color w:val="auto"/>
          <w:sz w:val="32"/>
          <w:szCs w:val="32"/>
          <w:highlight w:val="none"/>
        </w:rPr>
        <w:t>。</w:t>
      </w:r>
    </w:p>
    <w:p w14:paraId="09903D70">
      <w:pPr>
        <w:pStyle w:val="14"/>
        <w:keepNext w:val="0"/>
        <w:keepLines w:val="0"/>
        <w:pageBreakBefore w:val="0"/>
        <w:widowControl/>
        <w:numPr>
          <w:ilvl w:val="0"/>
          <w:numId w:val="0"/>
        </w:numPr>
        <w:kinsoku/>
        <w:wordWrap/>
        <w:overflowPunct/>
        <w:topLinePunct w:val="0"/>
        <w:autoSpaceDE/>
        <w:autoSpaceDN/>
        <w:bidi w:val="0"/>
        <w:adjustRightInd/>
        <w:snapToGrid/>
        <w:spacing w:before="0" w:beforeLines="-2147483648" w:after="0" w:afterLines="-2147483648" w:line="560" w:lineRule="exact"/>
        <w:jc w:val="both"/>
        <w:textAlignment w:val="auto"/>
        <w:rPr>
          <w:rFonts w:hint="eastAsia" w:ascii="Times New Roman" w:hAnsi="Times New Roman" w:eastAsia="楷体_GB2312" w:cs="Times New Roman"/>
          <w:kern w:val="28"/>
          <w:sz w:val="32"/>
          <w:lang w:val="en-US" w:eastAsia="zh-CN"/>
        </w:rPr>
      </w:pPr>
      <w:r>
        <w:rPr>
          <w:rFonts w:hint="eastAsia" w:ascii="Times New Roman" w:hAnsi="Times New Roman" w:eastAsia="楷体_GB2312" w:cs="Times New Roman"/>
          <w:color w:val="auto"/>
          <w:kern w:val="28"/>
          <w:sz w:val="32"/>
          <w:highlight w:val="none"/>
          <w:lang w:val="en-US" w:eastAsia="zh-CN"/>
        </w:rPr>
        <w:t xml:space="preserve">  </w:t>
      </w:r>
      <w:r>
        <w:rPr>
          <w:rFonts w:hint="eastAsia" w:ascii="Times New Roman" w:hAnsi="Times New Roman" w:eastAsia="楷体_GB2312" w:cs="Times New Roman"/>
          <w:kern w:val="28"/>
          <w:sz w:val="32"/>
          <w:lang w:val="en-US" w:eastAsia="zh-CN"/>
        </w:rPr>
        <w:t>（二）绩效评价原则、评价指标体系（</w:t>
      </w:r>
      <w:r>
        <w:rPr>
          <w:rFonts w:hint="default" w:ascii="Times New Roman" w:hAnsi="Times New Roman" w:eastAsia="楷体_GB2312" w:cs="Times New Roman"/>
          <w:kern w:val="28"/>
          <w:sz w:val="32"/>
          <w:lang w:val="en-US" w:eastAsia="zh-CN"/>
        </w:rPr>
        <w:t>详情见</w:t>
      </w:r>
      <w:r>
        <w:rPr>
          <w:rFonts w:hint="eastAsia" w:ascii="Times New Roman" w:hAnsi="Times New Roman" w:eastAsia="楷体_GB2312" w:cs="Times New Roman"/>
          <w:kern w:val="28"/>
          <w:sz w:val="32"/>
          <w:lang w:val="en-US" w:eastAsia="zh-CN"/>
        </w:rPr>
        <w:t>附件二）、评价方法、评价标准</w:t>
      </w:r>
      <w:bookmarkEnd w:id="63"/>
      <w:bookmarkEnd w:id="64"/>
    </w:p>
    <w:p w14:paraId="18EA3E45">
      <w:pPr>
        <w:pStyle w:val="5"/>
        <w:pageBreakBefore w:val="0"/>
        <w:kinsoku/>
        <w:wordWrap/>
        <w:overflowPunct/>
        <w:topLinePunct w:val="0"/>
        <w:autoSpaceDE/>
        <w:autoSpaceDN/>
        <w:bidi w:val="0"/>
        <w:adjustRightInd/>
        <w:spacing w:line="560" w:lineRule="exact"/>
        <w:textAlignment w:val="auto"/>
        <w:rPr>
          <w:rFonts w:hint="eastAsia" w:ascii="Times New Roman" w:hAnsi="Times New Roman" w:eastAsia="仿宋_GB2312" w:cs="Times New Roman"/>
          <w:b/>
          <w:bCs/>
          <w:color w:val="auto"/>
          <w:kern w:val="2"/>
          <w:sz w:val="32"/>
          <w:szCs w:val="32"/>
          <w:highlight w:val="none"/>
          <w:lang w:val="en-US" w:eastAsia="zh-CN" w:bidi="ar-SA"/>
        </w:rPr>
      </w:pPr>
      <w:bookmarkStart w:id="65" w:name="_Toc13694"/>
      <w:bookmarkStart w:id="66" w:name="_Toc24506"/>
      <w:bookmarkStart w:id="67" w:name="_Toc5354"/>
      <w:r>
        <w:rPr>
          <w:rFonts w:hint="eastAsia" w:ascii="Times New Roman" w:hAnsi="Times New Roman" w:eastAsia="仿宋_GB2312" w:cs="Times New Roman"/>
          <w:b/>
          <w:bCs/>
          <w:color w:val="auto"/>
          <w:kern w:val="2"/>
          <w:sz w:val="32"/>
          <w:szCs w:val="32"/>
          <w:highlight w:val="none"/>
          <w:lang w:val="en-US" w:eastAsia="zh-CN" w:bidi="ar-SA"/>
        </w:rPr>
        <w:t>1.绩效评价原则</w:t>
      </w:r>
      <w:bookmarkEnd w:id="65"/>
      <w:bookmarkEnd w:id="66"/>
      <w:bookmarkEnd w:id="67"/>
    </w:p>
    <w:p w14:paraId="5FEE548E">
      <w:pPr>
        <w:pageBreakBefore w:val="0"/>
        <w:kinsoku/>
        <w:wordWrap/>
        <w:overflowPunct/>
        <w:topLinePunct w:val="0"/>
        <w:autoSpaceDE/>
        <w:autoSpaceDN/>
        <w:bidi w:val="0"/>
        <w:adjustRightInd/>
        <w:spacing w:line="560" w:lineRule="exact"/>
        <w:ind w:firstLine="640" w:firstLineChars="200"/>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依据《财政支出绩效评价管理暂行办法》（财预〔20</w:t>
      </w:r>
      <w:r>
        <w:rPr>
          <w:rFonts w:hint="eastAsia" w:ascii="仿宋_GB2312" w:hAnsi="仿宋_GB2312" w:eastAsia="仿宋_GB2312" w:cs="仿宋_GB2312"/>
          <w:color w:val="auto"/>
          <w:sz w:val="32"/>
          <w:szCs w:val="32"/>
          <w:highlight w:val="none"/>
          <w:lang w:val="en-US" w:eastAsia="zh-CN"/>
        </w:rPr>
        <w:t>20</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10</w:t>
      </w:r>
      <w:r>
        <w:rPr>
          <w:rFonts w:hint="eastAsia" w:ascii="仿宋_GB2312" w:hAnsi="仿宋_GB2312" w:eastAsia="仿宋_GB2312" w:cs="仿宋_GB2312"/>
          <w:color w:val="auto"/>
          <w:sz w:val="32"/>
          <w:szCs w:val="32"/>
          <w:highlight w:val="none"/>
          <w:lang w:eastAsia="zh-CN"/>
        </w:rPr>
        <w:t>号）本次绩效评价秉承科学规范、公正公开、分级分类、绩效相关等原则，按照从投入、过程到产出效果和影响的绩效逻辑路径，结合</w:t>
      </w:r>
      <w:r>
        <w:rPr>
          <w:rFonts w:hint="eastAsia" w:ascii="仿宋_GB2312" w:hAnsi="仿宋_GB2312" w:eastAsia="仿宋_GB2312" w:cs="仿宋_GB2312"/>
          <w:color w:val="auto"/>
          <w:sz w:val="32"/>
          <w:szCs w:val="32"/>
          <w:highlight w:val="none"/>
          <w:lang w:val="en-US" w:eastAsia="zh-CN"/>
        </w:rPr>
        <w:t>基本公共卫生服务</w:t>
      </w:r>
      <w:r>
        <w:rPr>
          <w:rFonts w:hint="eastAsia" w:ascii="仿宋_GB2312" w:hAnsi="仿宋_GB2312" w:eastAsia="仿宋_GB2312" w:cs="仿宋_GB2312"/>
          <w:color w:val="auto"/>
          <w:sz w:val="32"/>
          <w:szCs w:val="32"/>
          <w:highlight w:val="none"/>
          <w:lang w:eastAsia="zh-CN"/>
        </w:rPr>
        <w:t>项目实际开展情况，运用定量和定性分析相结合的方法，总结经验做法，反思项目实施和管理中的问题，以切实提升财政资金管理的科学化、规范化和精细化水平。</w:t>
      </w:r>
    </w:p>
    <w:p w14:paraId="235443A2">
      <w:pPr>
        <w:pageBreakBefore w:val="0"/>
        <w:kinsoku/>
        <w:wordWrap/>
        <w:overflowPunct/>
        <w:topLinePunct w:val="0"/>
        <w:autoSpaceDE/>
        <w:autoSpaceDN/>
        <w:bidi w:val="0"/>
        <w:adjustRightInd/>
        <w:spacing w:line="560" w:lineRule="exact"/>
        <w:ind w:firstLine="640" w:firstLineChars="200"/>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根据以上原则，绩效评价应遵循如下要求：</w:t>
      </w:r>
    </w:p>
    <w:p w14:paraId="0CD01F5D">
      <w:pPr>
        <w:pageBreakBefore w:val="0"/>
        <w:kinsoku/>
        <w:wordWrap/>
        <w:overflowPunct/>
        <w:topLinePunct w:val="0"/>
        <w:autoSpaceDE/>
        <w:autoSpaceDN/>
        <w:bidi w:val="0"/>
        <w:adjustRightInd/>
        <w:spacing w:line="560" w:lineRule="exact"/>
        <w:ind w:firstLine="640" w:firstLineChars="200"/>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1</w:t>
      </w:r>
      <w:r>
        <w:rPr>
          <w:rFonts w:hint="eastAsia" w:ascii="仿宋_GB2312" w:hAnsi="仿宋_GB2312" w:eastAsia="仿宋_GB2312" w:cs="仿宋_GB2312"/>
          <w:color w:val="auto"/>
          <w:sz w:val="32"/>
          <w:szCs w:val="32"/>
          <w:highlight w:val="none"/>
          <w:lang w:eastAsia="zh-CN"/>
        </w:rPr>
        <w:t>）科学公正。绩效评价应当运用科学合理的方法，按照规范的程序，对项目绩效进行客观、公正的反映。</w:t>
      </w:r>
    </w:p>
    <w:p w14:paraId="53F9A05F">
      <w:pPr>
        <w:pageBreakBefore w:val="0"/>
        <w:kinsoku/>
        <w:wordWrap/>
        <w:overflowPunct/>
        <w:topLinePunct w:val="0"/>
        <w:autoSpaceDE/>
        <w:autoSpaceDN/>
        <w:bidi w:val="0"/>
        <w:adjustRightInd/>
        <w:spacing w:line="560" w:lineRule="exact"/>
        <w:ind w:firstLine="640" w:firstLineChars="200"/>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2</w:t>
      </w:r>
      <w:r>
        <w:rPr>
          <w:rFonts w:hint="eastAsia" w:ascii="仿宋_GB2312" w:hAnsi="仿宋_GB2312" w:eastAsia="仿宋_GB2312" w:cs="仿宋_GB2312"/>
          <w:color w:val="auto"/>
          <w:sz w:val="32"/>
          <w:szCs w:val="32"/>
          <w:highlight w:val="none"/>
          <w:lang w:eastAsia="zh-CN"/>
        </w:rPr>
        <w:t>）统筹兼顾。单位自评、部门评价和财政评价应职责明确，各有侧重，相互衔接。单位自评应由项目单位自主实施，即“谁支出、谁自评”。</w:t>
      </w:r>
    </w:p>
    <w:p w14:paraId="450CF0A3">
      <w:pPr>
        <w:pageBreakBefore w:val="0"/>
        <w:kinsoku/>
        <w:wordWrap/>
        <w:overflowPunct/>
        <w:topLinePunct w:val="0"/>
        <w:autoSpaceDE/>
        <w:autoSpaceDN/>
        <w:bidi w:val="0"/>
        <w:adjustRightInd/>
        <w:spacing w:line="560" w:lineRule="exact"/>
        <w:ind w:firstLine="640" w:firstLineChars="200"/>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3</w:t>
      </w:r>
      <w:r>
        <w:rPr>
          <w:rFonts w:hint="eastAsia" w:ascii="仿宋_GB2312" w:hAnsi="仿宋_GB2312" w:eastAsia="仿宋_GB2312" w:cs="仿宋_GB2312"/>
          <w:color w:val="auto"/>
          <w:sz w:val="32"/>
          <w:szCs w:val="32"/>
          <w:highlight w:val="none"/>
          <w:lang w:eastAsia="zh-CN"/>
        </w:rPr>
        <w:t>）激励约束。绩效评价结果应与预算安排、政策调整、改进管理实质性挂钩，体现奖优罚劣和激励相容导向，有效要安排、低效要压减、无效要问责。</w:t>
      </w:r>
    </w:p>
    <w:p w14:paraId="519C222A">
      <w:pPr>
        <w:pageBreakBefore w:val="0"/>
        <w:kinsoku/>
        <w:wordWrap/>
        <w:overflowPunct/>
        <w:topLinePunct w:val="0"/>
        <w:autoSpaceDE/>
        <w:autoSpaceDN/>
        <w:bidi w:val="0"/>
        <w:adjustRightInd/>
        <w:spacing w:line="560" w:lineRule="exact"/>
        <w:ind w:firstLine="640" w:firstLineChars="200"/>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4</w:t>
      </w:r>
      <w:r>
        <w:rPr>
          <w:rFonts w:hint="eastAsia" w:ascii="仿宋_GB2312" w:hAnsi="仿宋_GB2312" w:eastAsia="仿宋_GB2312" w:cs="仿宋_GB2312"/>
          <w:color w:val="auto"/>
          <w:sz w:val="32"/>
          <w:szCs w:val="32"/>
          <w:highlight w:val="none"/>
          <w:lang w:eastAsia="zh-CN"/>
        </w:rPr>
        <w:t>）公开透明。绩效评价结果应依法依规公开，并自觉接受社会监督。</w:t>
      </w:r>
    </w:p>
    <w:p w14:paraId="364F0E3C">
      <w:pPr>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bCs/>
          <w:color w:val="auto"/>
          <w:sz w:val="32"/>
          <w:szCs w:val="32"/>
          <w:highlight w:val="none"/>
          <w:lang w:eastAsia="zh-CN"/>
        </w:rPr>
      </w:pPr>
      <w:bookmarkStart w:id="68" w:name="_Toc419984722"/>
      <w:bookmarkStart w:id="69" w:name="_Toc24396"/>
      <w:bookmarkStart w:id="70" w:name="_Toc26131"/>
      <w:bookmarkStart w:id="71" w:name="_Toc428278230"/>
      <w:bookmarkStart w:id="72" w:name="_Toc1913"/>
      <w:r>
        <w:rPr>
          <w:rFonts w:hint="eastAsia" w:ascii="仿宋_GB2312" w:hAnsi="仿宋_GB2312" w:eastAsia="仿宋_GB2312" w:cs="仿宋_GB2312"/>
          <w:b/>
          <w:bCs/>
          <w:color w:val="auto"/>
          <w:sz w:val="32"/>
          <w:szCs w:val="32"/>
          <w:highlight w:val="none"/>
          <w:lang w:val="en-US" w:eastAsia="zh-CN"/>
        </w:rPr>
        <w:t>2.</w:t>
      </w:r>
      <w:r>
        <w:rPr>
          <w:rFonts w:hint="eastAsia" w:ascii="仿宋_GB2312" w:hAnsi="仿宋_GB2312" w:eastAsia="仿宋_GB2312" w:cs="仿宋_GB2312"/>
          <w:b/>
          <w:bCs/>
          <w:color w:val="auto"/>
          <w:sz w:val="32"/>
          <w:szCs w:val="32"/>
          <w:highlight w:val="none"/>
          <w:lang w:eastAsia="zh-CN"/>
        </w:rPr>
        <w:t>绩效评价指标体系</w:t>
      </w:r>
      <w:bookmarkEnd w:id="68"/>
      <w:bookmarkEnd w:id="69"/>
      <w:bookmarkEnd w:id="70"/>
      <w:bookmarkEnd w:id="71"/>
      <w:bookmarkEnd w:id="72"/>
    </w:p>
    <w:p w14:paraId="5E669594">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auto"/>
          <w:spacing w:val="17"/>
          <w:sz w:val="32"/>
          <w:szCs w:val="32"/>
          <w:highlight w:val="none"/>
        </w:rPr>
      </w:pPr>
      <w:bookmarkStart w:id="73" w:name="_Toc9941"/>
      <w:r>
        <w:rPr>
          <w:rFonts w:hint="eastAsia" w:ascii="仿宋_GB2312" w:hAnsi="仿宋_GB2312" w:eastAsia="仿宋_GB2312" w:cs="仿宋_GB2312"/>
          <w:color w:val="auto"/>
          <w:spacing w:val="17"/>
          <w:sz w:val="32"/>
          <w:szCs w:val="32"/>
          <w:highlight w:val="none"/>
        </w:rPr>
        <w:t>绩效评价框架是开展绩效评价的核心。绩效评价框架包括评价准则、关键评价问题、评价指标、数据来源、数据收集方法等。指标体系建立过程如下：</w:t>
      </w:r>
    </w:p>
    <w:p w14:paraId="30E056EB">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auto"/>
          <w:spacing w:val="17"/>
          <w:sz w:val="32"/>
          <w:szCs w:val="32"/>
          <w:highlight w:val="none"/>
        </w:rPr>
      </w:pPr>
      <w:r>
        <w:rPr>
          <w:rFonts w:hint="eastAsia" w:ascii="仿宋_GB2312" w:hAnsi="仿宋_GB2312" w:eastAsia="仿宋_GB2312" w:cs="仿宋_GB2312"/>
          <w:color w:val="auto"/>
          <w:spacing w:val="17"/>
          <w:sz w:val="32"/>
          <w:szCs w:val="32"/>
          <w:highlight w:val="none"/>
        </w:rPr>
        <w:t>（1）确定评价指标</w:t>
      </w:r>
    </w:p>
    <w:p w14:paraId="7405E639">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auto"/>
          <w:spacing w:val="17"/>
          <w:sz w:val="32"/>
          <w:szCs w:val="32"/>
          <w:highlight w:val="none"/>
        </w:rPr>
      </w:pPr>
      <w:r>
        <w:rPr>
          <w:rFonts w:hint="eastAsia" w:ascii="仿宋_GB2312" w:hAnsi="仿宋_GB2312" w:eastAsia="仿宋_GB2312" w:cs="仿宋_GB2312"/>
          <w:color w:val="auto"/>
          <w:spacing w:val="17"/>
          <w:sz w:val="32"/>
          <w:szCs w:val="32"/>
          <w:highlight w:val="none"/>
        </w:rPr>
        <w:t>采用层次分析法，建立评价指标体系。绩效评价将指标分为项目决策指标、项目过程指标、项目产出指标、项目效益指标四个维度，最终形成一个由多个相互联系的指标组成的多层次指标体系。</w:t>
      </w:r>
    </w:p>
    <w:p w14:paraId="68C56106">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auto"/>
          <w:spacing w:val="17"/>
          <w:sz w:val="32"/>
          <w:szCs w:val="32"/>
          <w:highlight w:val="none"/>
        </w:rPr>
      </w:pPr>
      <w:r>
        <w:rPr>
          <w:rFonts w:hint="eastAsia" w:ascii="仿宋_GB2312" w:hAnsi="仿宋_GB2312" w:eastAsia="仿宋_GB2312" w:cs="仿宋_GB2312"/>
          <w:color w:val="auto"/>
          <w:spacing w:val="17"/>
          <w:sz w:val="32"/>
          <w:szCs w:val="32"/>
          <w:highlight w:val="none"/>
        </w:rPr>
        <w:t>（2）确定权重</w:t>
      </w:r>
    </w:p>
    <w:p w14:paraId="1869F038">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auto"/>
          <w:spacing w:val="17"/>
          <w:sz w:val="32"/>
          <w:szCs w:val="32"/>
          <w:highlight w:val="none"/>
          <w:lang w:eastAsia="zh-CN"/>
        </w:rPr>
      </w:pPr>
      <w:r>
        <w:rPr>
          <w:rFonts w:hint="eastAsia" w:ascii="仿宋_GB2312" w:hAnsi="仿宋_GB2312" w:eastAsia="仿宋_GB2312" w:cs="仿宋_GB2312"/>
          <w:color w:val="auto"/>
          <w:spacing w:val="17"/>
          <w:sz w:val="32"/>
          <w:szCs w:val="32"/>
          <w:highlight w:val="none"/>
        </w:rPr>
        <w:t>确定各个指标相对于项目总体绩效的权重分值。在绩效评价指标体系中，项目决策权重为20分，项目过程权重为20分，项目产出权重为40分，项目效益权重为20分。</w:t>
      </w:r>
    </w:p>
    <w:p w14:paraId="0077DB2A">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auto"/>
          <w:spacing w:val="17"/>
          <w:sz w:val="32"/>
          <w:szCs w:val="32"/>
          <w:highlight w:val="none"/>
        </w:rPr>
      </w:pPr>
      <w:r>
        <w:rPr>
          <w:rFonts w:hint="eastAsia" w:ascii="仿宋_GB2312" w:hAnsi="仿宋_GB2312" w:eastAsia="仿宋_GB2312" w:cs="仿宋_GB2312"/>
          <w:color w:val="auto"/>
          <w:spacing w:val="17"/>
          <w:sz w:val="32"/>
          <w:szCs w:val="32"/>
          <w:highlight w:val="none"/>
        </w:rPr>
        <w:t>（3）确定指标标准值</w:t>
      </w:r>
    </w:p>
    <w:p w14:paraId="2E144E01">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auto"/>
          <w:spacing w:val="17"/>
          <w:sz w:val="32"/>
          <w:szCs w:val="32"/>
          <w:highlight w:val="none"/>
        </w:rPr>
      </w:pPr>
      <w:r>
        <w:rPr>
          <w:rFonts w:hint="eastAsia" w:ascii="仿宋_GB2312" w:hAnsi="仿宋_GB2312" w:eastAsia="仿宋_GB2312" w:cs="仿宋_GB2312"/>
          <w:color w:val="auto"/>
          <w:spacing w:val="17"/>
          <w:sz w:val="32"/>
          <w:szCs w:val="32"/>
          <w:highlight w:val="none"/>
        </w:rPr>
        <w:t>指标标准值是绩效评价指标的尺度，既要反映同类项目的先进水平，又要符合项目的实际绩效水平。具体采用计划标准等确定此次绩效评价指标标准值。</w:t>
      </w:r>
    </w:p>
    <w:p w14:paraId="51E7128F">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auto"/>
          <w:spacing w:val="17"/>
          <w:sz w:val="32"/>
          <w:szCs w:val="32"/>
          <w:highlight w:val="none"/>
        </w:rPr>
      </w:pPr>
      <w:r>
        <w:rPr>
          <w:rFonts w:hint="eastAsia" w:ascii="仿宋_GB2312" w:hAnsi="仿宋_GB2312" w:eastAsia="仿宋_GB2312" w:cs="仿宋_GB2312"/>
          <w:color w:val="auto"/>
          <w:spacing w:val="17"/>
          <w:sz w:val="32"/>
          <w:szCs w:val="32"/>
          <w:highlight w:val="none"/>
        </w:rPr>
        <w:t>绩效评价总分值100分，根据综合评分结果，90（含）-100分为优、80（含）-90分为良、60（含）-80分为中、60分以下为差。</w:t>
      </w:r>
    </w:p>
    <w:p w14:paraId="0843A5F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我单位</w:t>
      </w:r>
      <w:r>
        <w:rPr>
          <w:rFonts w:hint="eastAsia" w:ascii="仿宋_GB2312" w:hAnsi="仿宋_GB2312" w:eastAsia="仿宋_GB2312" w:cs="仿宋_GB2312"/>
          <w:color w:val="auto"/>
          <w:sz w:val="32"/>
          <w:szCs w:val="32"/>
          <w:highlight w:val="none"/>
          <w:lang w:val="zh-TW" w:eastAsia="zh-TW"/>
        </w:rPr>
        <w:t>根据项目的</w:t>
      </w:r>
      <w:r>
        <w:rPr>
          <w:rFonts w:hint="eastAsia" w:ascii="仿宋_GB2312" w:hAnsi="仿宋_GB2312" w:eastAsia="仿宋_GB2312" w:cs="仿宋_GB2312"/>
          <w:color w:val="auto"/>
          <w:sz w:val="32"/>
          <w:szCs w:val="32"/>
          <w:highlight w:val="none"/>
          <w:lang w:val="en-US" w:eastAsia="zh-CN"/>
        </w:rPr>
        <w:t>实施</w:t>
      </w:r>
      <w:r>
        <w:rPr>
          <w:rFonts w:hint="eastAsia" w:ascii="仿宋_GB2312" w:hAnsi="仿宋_GB2312" w:eastAsia="仿宋_GB2312" w:cs="仿宋_GB2312"/>
          <w:color w:val="auto"/>
          <w:sz w:val="32"/>
          <w:szCs w:val="32"/>
          <w:highlight w:val="none"/>
          <w:lang w:val="zh-TW" w:eastAsia="zh-TW"/>
        </w:rPr>
        <w:t>资料研读及前期调研，结合项目的实际开展情况，最终形成了项目绩效评价指标体系</w:t>
      </w:r>
      <w:r>
        <w:rPr>
          <w:rFonts w:hint="eastAsia" w:ascii="仿宋_GB2312" w:hAnsi="仿宋_GB2312" w:eastAsia="仿宋_GB2312" w:cs="仿宋_GB2312"/>
          <w:color w:val="auto"/>
          <w:sz w:val="32"/>
          <w:szCs w:val="32"/>
          <w:highlight w:val="none"/>
          <w:lang w:val="zh-TW" w:eastAsia="zh-CN"/>
        </w:rPr>
        <w:t>，</w:t>
      </w:r>
      <w:r>
        <w:rPr>
          <w:rFonts w:hint="eastAsia" w:ascii="仿宋_GB2312" w:hAnsi="仿宋_GB2312" w:eastAsia="仿宋_GB2312" w:cs="仿宋_GB2312"/>
          <w:color w:val="auto"/>
          <w:sz w:val="32"/>
          <w:szCs w:val="32"/>
          <w:highlight w:val="none"/>
          <w:lang w:val="en-US" w:eastAsia="zh-CN"/>
        </w:rPr>
        <w:t>详见上传的附件二。</w:t>
      </w:r>
    </w:p>
    <w:p w14:paraId="581F917E">
      <w:pPr>
        <w:pStyle w:val="5"/>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bookmarkStart w:id="74" w:name="_Toc5690"/>
      <w:bookmarkStart w:id="75" w:name="_Toc30114"/>
      <w:r>
        <w:rPr>
          <w:rFonts w:hint="eastAsia" w:ascii="仿宋_GB2312" w:hAnsi="仿宋_GB2312" w:eastAsia="仿宋_GB2312" w:cs="仿宋_GB2312"/>
          <w:color w:val="auto"/>
          <w:sz w:val="32"/>
          <w:szCs w:val="32"/>
          <w:highlight w:val="none"/>
          <w:shd w:val="clear" w:color="auto" w:fill="auto"/>
          <w:lang w:val="en-US" w:eastAsia="zh-CN"/>
        </w:rPr>
        <w:t>3.</w:t>
      </w:r>
      <w:r>
        <w:rPr>
          <w:rFonts w:hint="eastAsia" w:ascii="仿宋_GB2312" w:hAnsi="仿宋_GB2312" w:eastAsia="仿宋_GB2312" w:cs="仿宋_GB2312"/>
          <w:color w:val="auto"/>
          <w:sz w:val="32"/>
          <w:szCs w:val="32"/>
          <w:highlight w:val="none"/>
          <w:shd w:val="clear" w:color="auto" w:fill="auto"/>
        </w:rPr>
        <w:t>评价</w:t>
      </w:r>
      <w:r>
        <w:rPr>
          <w:rFonts w:hint="eastAsia" w:ascii="仿宋_GB2312" w:hAnsi="仿宋_GB2312" w:eastAsia="仿宋_GB2312" w:cs="仿宋_GB2312"/>
          <w:color w:val="auto"/>
          <w:sz w:val="32"/>
          <w:szCs w:val="32"/>
          <w:highlight w:val="none"/>
          <w:shd w:val="clear" w:color="auto" w:fill="auto"/>
          <w:lang w:val="en-US" w:eastAsia="zh-CN"/>
        </w:rPr>
        <w:t>方法</w:t>
      </w:r>
      <w:bookmarkEnd w:id="73"/>
      <w:bookmarkEnd w:id="74"/>
      <w:bookmarkEnd w:id="75"/>
    </w:p>
    <w:p w14:paraId="594AD993">
      <w:pPr>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auto"/>
          <w:spacing w:val="17"/>
          <w:sz w:val="32"/>
          <w:szCs w:val="32"/>
          <w:highlight w:val="none"/>
        </w:rPr>
      </w:pPr>
      <w:bookmarkStart w:id="76" w:name="_Toc25651"/>
      <w:bookmarkStart w:id="77" w:name="_Toc6081"/>
      <w:bookmarkStart w:id="78" w:name="_Toc25391"/>
      <w:r>
        <w:rPr>
          <w:rFonts w:hint="eastAsia" w:ascii="仿宋_GB2312" w:hAnsi="仿宋_GB2312" w:eastAsia="仿宋_GB2312" w:cs="仿宋_GB2312"/>
          <w:color w:val="auto"/>
          <w:spacing w:val="17"/>
          <w:sz w:val="32"/>
          <w:szCs w:val="32"/>
          <w:highlight w:val="none"/>
        </w:rPr>
        <w:t>绩效评价从项目决策、项目过程、项目产出、项目效益四个维度进行评价。评价对象为项目目标实施情况</w:t>
      </w:r>
      <w:r>
        <w:rPr>
          <w:rFonts w:hint="eastAsia" w:ascii="仿宋_GB2312" w:hAnsi="仿宋_GB2312" w:eastAsia="仿宋_GB2312" w:cs="仿宋_GB2312"/>
          <w:color w:val="auto"/>
          <w:spacing w:val="17"/>
          <w:sz w:val="32"/>
          <w:szCs w:val="32"/>
          <w:highlight w:val="none"/>
          <w:lang w:eastAsia="zh-CN"/>
        </w:rPr>
        <w:t>，</w:t>
      </w:r>
      <w:r>
        <w:rPr>
          <w:rFonts w:hint="eastAsia" w:ascii="仿宋_GB2312" w:hAnsi="仿宋_GB2312" w:eastAsia="仿宋_GB2312" w:cs="仿宋_GB2312"/>
          <w:color w:val="auto"/>
          <w:spacing w:val="17"/>
          <w:sz w:val="32"/>
          <w:szCs w:val="32"/>
          <w:highlight w:val="none"/>
        </w:rPr>
        <w:t>评价核心为资金的支出完成情况和项目的产出效益。</w:t>
      </w:r>
    </w:p>
    <w:p w14:paraId="47D4C894">
      <w:pPr>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auto"/>
          <w:spacing w:val="17"/>
          <w:sz w:val="32"/>
          <w:szCs w:val="32"/>
          <w:highlight w:val="none"/>
          <w:lang w:val="en-US" w:eastAsia="zh-CN"/>
        </w:rPr>
      </w:pPr>
      <w:r>
        <w:rPr>
          <w:rFonts w:hint="eastAsia" w:ascii="仿宋_GB2312" w:hAnsi="仿宋_GB2312" w:eastAsia="仿宋_GB2312" w:cs="仿宋_GB2312"/>
          <w:color w:val="auto"/>
          <w:spacing w:val="17"/>
          <w:sz w:val="32"/>
          <w:szCs w:val="32"/>
          <w:highlight w:val="none"/>
        </w:rPr>
        <w:t>本次评价指标中，既有定性指标又有定量指标，各类指标因考核内容不同和客观标准不同存在较大差异，因此核定具体指标时采用了不同方法，具体评价方法如下：</w:t>
      </w:r>
    </w:p>
    <w:p w14:paraId="35B7EF98">
      <w:pPr>
        <w:pageBreakBefore w:val="0"/>
        <w:numPr>
          <w:ilvl w:val="0"/>
          <w:numId w:val="2"/>
        </w:numPr>
        <w:kinsoku/>
        <w:wordWrap/>
        <w:overflowPunct/>
        <w:topLinePunct w:val="0"/>
        <w:autoSpaceDE/>
        <w:autoSpaceDN/>
        <w:bidi w:val="0"/>
        <w:adjustRightInd/>
        <w:spacing w:line="560" w:lineRule="exact"/>
        <w:ind w:firstLine="708" w:firstLineChars="200"/>
        <w:rPr>
          <w:rFonts w:hint="default" w:ascii="Times New Roman" w:hAnsi="Times New Roman" w:eastAsia="仿宋_GB2312" w:cs="Times New Roman"/>
          <w:color w:val="auto"/>
          <w:spacing w:val="17"/>
          <w:sz w:val="32"/>
          <w:szCs w:val="32"/>
          <w:highlight w:val="none"/>
        </w:rPr>
      </w:pPr>
      <w:r>
        <w:rPr>
          <w:rFonts w:hint="default" w:ascii="Times New Roman" w:hAnsi="Times New Roman" w:eastAsia="仿宋_GB2312" w:cs="Times New Roman"/>
          <w:color w:val="auto"/>
          <w:spacing w:val="17"/>
          <w:sz w:val="32"/>
          <w:szCs w:val="32"/>
          <w:highlight w:val="none"/>
        </w:rPr>
        <w:t>比较法。是指将实施情况与绩效目标、历史情况、不同部门和地区同类支出情况进行比较的方法。</w:t>
      </w:r>
    </w:p>
    <w:p w14:paraId="2815EE50">
      <w:pPr>
        <w:pageBreakBefore w:val="0"/>
        <w:kinsoku/>
        <w:wordWrap/>
        <w:overflowPunct/>
        <w:topLinePunct w:val="0"/>
        <w:autoSpaceDE/>
        <w:autoSpaceDN/>
        <w:bidi w:val="0"/>
        <w:adjustRightInd/>
        <w:spacing w:line="560" w:lineRule="exact"/>
        <w:rPr>
          <w:rFonts w:hint="default" w:ascii="Times New Roman" w:hAnsi="Times New Roman" w:eastAsia="仿宋_GB2312" w:cs="Times New Roman"/>
          <w:color w:val="auto"/>
          <w:spacing w:val="17"/>
          <w:sz w:val="32"/>
          <w:szCs w:val="32"/>
          <w:highlight w:val="none"/>
        </w:rPr>
      </w:pPr>
      <w:r>
        <w:rPr>
          <w:rFonts w:hint="default" w:ascii="Times New Roman" w:hAnsi="Times New Roman" w:eastAsia="仿宋_GB2312" w:cs="Times New Roman"/>
          <w:color w:val="auto"/>
          <w:spacing w:val="17"/>
          <w:sz w:val="32"/>
          <w:szCs w:val="32"/>
          <w:highlight w:val="none"/>
        </w:rPr>
        <w:t>（</w:t>
      </w:r>
      <w:r>
        <w:rPr>
          <w:rFonts w:hint="eastAsia" w:ascii="Times New Roman" w:hAnsi="Times New Roman" w:eastAsia="仿宋_GB2312" w:cs="Times New Roman"/>
          <w:color w:val="auto"/>
          <w:spacing w:val="17"/>
          <w:sz w:val="32"/>
          <w:szCs w:val="32"/>
          <w:highlight w:val="none"/>
          <w:lang w:val="en-US" w:eastAsia="zh-CN"/>
        </w:rPr>
        <w:t>2</w:t>
      </w:r>
      <w:r>
        <w:rPr>
          <w:rFonts w:hint="default" w:ascii="Times New Roman" w:hAnsi="Times New Roman" w:eastAsia="仿宋_GB2312" w:cs="Times New Roman"/>
          <w:color w:val="auto"/>
          <w:spacing w:val="17"/>
          <w:sz w:val="32"/>
          <w:szCs w:val="32"/>
          <w:highlight w:val="none"/>
        </w:rPr>
        <w:t>）公众评判法。是指通过专家评估、公众问卷及抽样调查等方式进行评判的方法。</w:t>
      </w:r>
    </w:p>
    <w:p w14:paraId="69700AF4">
      <w:pPr>
        <w:pStyle w:val="5"/>
        <w:pageBreakBefore w:val="0"/>
        <w:kinsoku/>
        <w:wordWrap/>
        <w:overflowPunct/>
        <w:topLinePunct w:val="0"/>
        <w:autoSpaceDE/>
        <w:autoSpaceDN/>
        <w:bidi w:val="0"/>
        <w:adjustRightInd/>
        <w:spacing w:line="560" w:lineRule="exact"/>
        <w:ind w:left="0" w:leftChars="0" w:firstLine="643" w:firstLineChars="200"/>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4.评价标准</w:t>
      </w:r>
      <w:bookmarkEnd w:id="76"/>
      <w:bookmarkEnd w:id="77"/>
      <w:bookmarkEnd w:id="78"/>
    </w:p>
    <w:p w14:paraId="66746DF8">
      <w:pPr>
        <w:pageBreakBefore w:val="0"/>
        <w:kinsoku/>
        <w:wordWrap/>
        <w:overflowPunct/>
        <w:topLinePunct w:val="0"/>
        <w:autoSpaceDE/>
        <w:autoSpaceDN/>
        <w:bidi w:val="0"/>
        <w:adjustRightInd/>
        <w:spacing w:line="560" w:lineRule="exact"/>
        <w:ind w:firstLine="708" w:firstLineChars="200"/>
        <w:rPr>
          <w:rFonts w:hint="eastAsia" w:ascii="仿宋_GB2312" w:hAnsi="仿宋_GB2312" w:eastAsia="仿宋_GB2312" w:cs="仿宋_GB2312"/>
          <w:color w:val="auto"/>
          <w:spacing w:val="17"/>
          <w:sz w:val="32"/>
          <w:szCs w:val="32"/>
          <w:highlight w:val="none"/>
          <w:lang w:eastAsia="zh-CN"/>
        </w:rPr>
      </w:pPr>
      <w:bookmarkStart w:id="79" w:name="_Toc21435"/>
      <w:r>
        <w:rPr>
          <w:rFonts w:hint="eastAsia" w:ascii="仿宋_GB2312" w:hAnsi="仿宋_GB2312" w:eastAsia="仿宋_GB2312" w:cs="仿宋_GB2312"/>
          <w:color w:val="auto"/>
          <w:spacing w:val="17"/>
          <w:sz w:val="32"/>
          <w:szCs w:val="32"/>
          <w:highlight w:val="none"/>
        </w:rPr>
        <w:t>绩效评价标准通常包括计划标准、行业标准、历史标准等，用于对绩效指标完成情况进行比较、分析、评价。本次评价主要采用了计划标准</w:t>
      </w:r>
      <w:r>
        <w:rPr>
          <w:rFonts w:hint="eastAsia" w:ascii="仿宋_GB2312" w:hAnsi="仿宋_GB2312" w:eastAsia="仿宋_GB2312" w:cs="仿宋_GB2312"/>
          <w:color w:val="auto"/>
          <w:spacing w:val="17"/>
          <w:sz w:val="32"/>
          <w:szCs w:val="32"/>
          <w:highlight w:val="none"/>
          <w:lang w:eastAsia="zh-CN"/>
        </w:rPr>
        <w:t>、</w:t>
      </w:r>
      <w:r>
        <w:rPr>
          <w:rFonts w:hint="eastAsia" w:ascii="仿宋_GB2312" w:hAnsi="仿宋_GB2312" w:eastAsia="仿宋_GB2312" w:cs="仿宋_GB2312"/>
          <w:color w:val="auto"/>
          <w:spacing w:val="17"/>
          <w:sz w:val="32"/>
          <w:szCs w:val="32"/>
          <w:highlight w:val="none"/>
        </w:rPr>
        <w:t>行业标准。</w:t>
      </w:r>
    </w:p>
    <w:p w14:paraId="075F4842">
      <w:pPr>
        <w:pageBreakBefore w:val="0"/>
        <w:kinsoku/>
        <w:wordWrap/>
        <w:overflowPunct/>
        <w:topLinePunct w:val="0"/>
        <w:autoSpaceDE/>
        <w:autoSpaceDN/>
        <w:bidi w:val="0"/>
        <w:adjustRightInd/>
        <w:spacing w:line="560" w:lineRule="exact"/>
        <w:ind w:firstLine="708" w:firstLineChars="200"/>
        <w:rPr>
          <w:rFonts w:hint="eastAsia" w:ascii="仿宋_GB2312" w:hAnsi="仿宋_GB2312" w:eastAsia="仿宋_GB2312" w:cs="仿宋_GB2312"/>
          <w:color w:val="auto"/>
          <w:spacing w:val="17"/>
          <w:sz w:val="32"/>
          <w:szCs w:val="32"/>
          <w:highlight w:val="none"/>
        </w:rPr>
      </w:pPr>
      <w:r>
        <w:rPr>
          <w:rFonts w:hint="eastAsia" w:ascii="仿宋_GB2312" w:hAnsi="仿宋_GB2312" w:eastAsia="仿宋_GB2312" w:cs="仿宋_GB2312"/>
          <w:color w:val="auto"/>
          <w:spacing w:val="17"/>
          <w:sz w:val="32"/>
          <w:szCs w:val="32"/>
          <w:highlight w:val="none"/>
          <w:lang w:eastAsia="zh-CN"/>
        </w:rPr>
        <w:t>（</w:t>
      </w:r>
      <w:r>
        <w:rPr>
          <w:rFonts w:hint="eastAsia" w:ascii="仿宋_GB2312" w:hAnsi="仿宋_GB2312" w:eastAsia="仿宋_GB2312" w:cs="仿宋_GB2312"/>
          <w:color w:val="auto"/>
          <w:spacing w:val="17"/>
          <w:sz w:val="32"/>
          <w:szCs w:val="32"/>
          <w:highlight w:val="none"/>
          <w:lang w:val="en-US" w:eastAsia="zh-CN"/>
        </w:rPr>
        <w:t>1</w:t>
      </w:r>
      <w:r>
        <w:rPr>
          <w:rFonts w:hint="eastAsia" w:ascii="仿宋_GB2312" w:hAnsi="仿宋_GB2312" w:eastAsia="仿宋_GB2312" w:cs="仿宋_GB2312"/>
          <w:color w:val="auto"/>
          <w:spacing w:val="17"/>
          <w:sz w:val="32"/>
          <w:szCs w:val="32"/>
          <w:highlight w:val="none"/>
          <w:lang w:eastAsia="zh-CN"/>
        </w:rPr>
        <w:t>）</w:t>
      </w:r>
      <w:r>
        <w:rPr>
          <w:rFonts w:hint="eastAsia" w:ascii="仿宋_GB2312" w:hAnsi="仿宋_GB2312" w:eastAsia="仿宋_GB2312" w:cs="仿宋_GB2312"/>
          <w:color w:val="auto"/>
          <w:spacing w:val="17"/>
          <w:sz w:val="32"/>
          <w:szCs w:val="32"/>
          <w:highlight w:val="none"/>
        </w:rPr>
        <w:t>计划标准。指以预先制定的目标、计划、预算、定额等作为评价标准。</w:t>
      </w:r>
    </w:p>
    <w:p w14:paraId="1334A28D">
      <w:pPr>
        <w:pageBreakBefore w:val="0"/>
        <w:kinsoku/>
        <w:wordWrap/>
        <w:overflowPunct/>
        <w:topLinePunct w:val="0"/>
        <w:autoSpaceDE/>
        <w:autoSpaceDN/>
        <w:bidi w:val="0"/>
        <w:adjustRightInd/>
        <w:spacing w:line="560" w:lineRule="exact"/>
        <w:ind w:firstLine="708" w:firstLineChars="200"/>
        <w:rPr>
          <w:rFonts w:hint="eastAsia" w:ascii="仿宋_GB2312" w:hAnsi="仿宋_GB2312" w:eastAsia="仿宋_GB2312" w:cs="仿宋_GB2312"/>
          <w:color w:val="auto"/>
          <w:spacing w:val="17"/>
          <w:sz w:val="32"/>
          <w:szCs w:val="32"/>
          <w:highlight w:val="none"/>
        </w:rPr>
      </w:pPr>
      <w:r>
        <w:rPr>
          <w:rFonts w:hint="eastAsia" w:ascii="仿宋_GB2312" w:hAnsi="仿宋_GB2312" w:eastAsia="仿宋_GB2312" w:cs="仿宋_GB2312"/>
          <w:color w:val="auto"/>
          <w:spacing w:val="17"/>
          <w:sz w:val="32"/>
          <w:szCs w:val="32"/>
          <w:highlight w:val="none"/>
          <w:lang w:eastAsia="zh-CN"/>
        </w:rPr>
        <w:t>（</w:t>
      </w:r>
      <w:r>
        <w:rPr>
          <w:rFonts w:hint="eastAsia" w:ascii="仿宋_GB2312" w:hAnsi="仿宋_GB2312" w:eastAsia="仿宋_GB2312" w:cs="仿宋_GB2312"/>
          <w:color w:val="auto"/>
          <w:spacing w:val="17"/>
          <w:sz w:val="32"/>
          <w:szCs w:val="32"/>
          <w:highlight w:val="none"/>
          <w:lang w:val="en-US" w:eastAsia="zh-CN"/>
        </w:rPr>
        <w:t>2</w:t>
      </w:r>
      <w:r>
        <w:rPr>
          <w:rFonts w:hint="eastAsia" w:ascii="仿宋_GB2312" w:hAnsi="仿宋_GB2312" w:eastAsia="仿宋_GB2312" w:cs="仿宋_GB2312"/>
          <w:color w:val="auto"/>
          <w:spacing w:val="17"/>
          <w:sz w:val="32"/>
          <w:szCs w:val="32"/>
          <w:highlight w:val="none"/>
          <w:lang w:eastAsia="zh-CN"/>
        </w:rPr>
        <w:t>）</w:t>
      </w:r>
      <w:r>
        <w:rPr>
          <w:rFonts w:hint="eastAsia" w:ascii="仿宋_GB2312" w:hAnsi="仿宋_GB2312" w:eastAsia="仿宋_GB2312" w:cs="仿宋_GB2312"/>
          <w:color w:val="auto"/>
          <w:spacing w:val="17"/>
          <w:sz w:val="32"/>
          <w:szCs w:val="32"/>
          <w:highlight w:val="none"/>
        </w:rPr>
        <w:t>行业标准。指参照国家公布的行业指标数据制定的评价标准。</w:t>
      </w:r>
    </w:p>
    <w:p w14:paraId="0BB1DCCF">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color w:val="auto"/>
          <w:kern w:val="28"/>
          <w:sz w:val="32"/>
          <w:highlight w:val="none"/>
          <w:lang w:val="en-US" w:eastAsia="zh-CN"/>
        </w:rPr>
      </w:pPr>
      <w:r>
        <w:rPr>
          <w:rFonts w:hint="eastAsia" w:ascii="Times New Roman" w:hAnsi="Times New Roman" w:eastAsia="楷体_GB2312" w:cs="Times New Roman"/>
          <w:color w:val="auto"/>
          <w:kern w:val="28"/>
          <w:sz w:val="32"/>
          <w:highlight w:val="none"/>
          <w:lang w:val="en-US" w:eastAsia="zh-CN"/>
        </w:rPr>
        <w:t>（三）绩效评价工作过程</w:t>
      </w:r>
      <w:bookmarkEnd w:id="79"/>
    </w:p>
    <w:p w14:paraId="2F5F1BE1">
      <w:pPr>
        <w:pStyle w:val="5"/>
        <w:pageBreakBefore w:val="0"/>
        <w:kinsoku/>
        <w:wordWrap/>
        <w:overflowPunct/>
        <w:topLinePunct w:val="0"/>
        <w:autoSpaceDE/>
        <w:autoSpaceDN/>
        <w:bidi w:val="0"/>
        <w:adjustRightInd/>
        <w:spacing w:line="560" w:lineRule="exact"/>
        <w:ind w:left="0" w:leftChars="0" w:firstLine="643" w:firstLineChars="200"/>
        <w:textAlignment w:val="auto"/>
        <w:rPr>
          <w:rFonts w:hint="eastAsia" w:ascii="仿宋_GB2312" w:hAnsi="仿宋_GB2312" w:eastAsia="仿宋_GB2312" w:cs="仿宋_GB2312"/>
          <w:color w:val="auto"/>
          <w:sz w:val="32"/>
          <w:szCs w:val="32"/>
          <w:highlight w:val="none"/>
          <w:shd w:val="clear" w:color="auto" w:fill="auto"/>
          <w:lang w:val="en-US" w:eastAsia="zh-CN"/>
        </w:rPr>
      </w:pPr>
      <w:bookmarkStart w:id="80" w:name="_Toc12862"/>
      <w:r>
        <w:rPr>
          <w:rFonts w:hint="eastAsia" w:ascii="仿宋_GB2312" w:hAnsi="仿宋_GB2312" w:eastAsia="仿宋_GB2312" w:cs="仿宋_GB2312"/>
          <w:color w:val="auto"/>
          <w:sz w:val="32"/>
          <w:szCs w:val="32"/>
          <w:highlight w:val="none"/>
          <w:shd w:val="clear" w:color="auto" w:fill="auto"/>
          <w:lang w:val="en-US" w:eastAsia="zh-CN"/>
        </w:rPr>
        <w:t>1.前期准备</w:t>
      </w:r>
      <w:bookmarkEnd w:id="80"/>
    </w:p>
    <w:p w14:paraId="32BDA6AD">
      <w:pPr>
        <w:pageBreakBefore w:val="0"/>
        <w:kinsoku/>
        <w:wordWrap/>
        <w:overflowPunct/>
        <w:topLinePunct w:val="0"/>
        <w:autoSpaceDE/>
        <w:autoSpaceDN/>
        <w:bidi w:val="0"/>
        <w:adjustRightInd/>
        <w:spacing w:line="560" w:lineRule="exact"/>
        <w:ind w:firstLine="708" w:firstLineChars="200"/>
        <w:rPr>
          <w:rFonts w:hint="eastAsia" w:ascii="仿宋_GB2312" w:hAnsi="仿宋_GB2312" w:eastAsia="仿宋_GB2312" w:cs="仿宋_GB2312"/>
          <w:color w:val="auto"/>
          <w:spacing w:val="17"/>
          <w:sz w:val="32"/>
          <w:szCs w:val="32"/>
          <w:highlight w:val="none"/>
          <w:lang w:val="en-US" w:eastAsia="zh-CN"/>
        </w:rPr>
      </w:pPr>
      <w:r>
        <w:rPr>
          <w:rFonts w:hint="eastAsia" w:ascii="仿宋_GB2312" w:hAnsi="仿宋_GB2312" w:eastAsia="仿宋_GB2312" w:cs="仿宋_GB2312"/>
          <w:color w:val="auto"/>
          <w:spacing w:val="17"/>
          <w:sz w:val="32"/>
          <w:szCs w:val="32"/>
          <w:highlight w:val="none"/>
          <w:lang w:val="en-US" w:eastAsia="zh-CN"/>
        </w:rPr>
        <w:t>（1）成立绩效评价项目小组</w:t>
      </w:r>
    </w:p>
    <w:p w14:paraId="37401F9B">
      <w:pPr>
        <w:pageBreakBefore w:val="0"/>
        <w:kinsoku/>
        <w:wordWrap/>
        <w:overflowPunct/>
        <w:topLinePunct w:val="0"/>
        <w:autoSpaceDE/>
        <w:autoSpaceDN/>
        <w:bidi w:val="0"/>
        <w:adjustRightInd/>
        <w:spacing w:line="560" w:lineRule="exact"/>
        <w:ind w:firstLine="708" w:firstLineChars="200"/>
        <w:rPr>
          <w:rFonts w:hint="eastAsia" w:ascii="仿宋_GB2312" w:hAnsi="仿宋_GB2312" w:eastAsia="仿宋_GB2312" w:cs="仿宋_GB2312"/>
          <w:color w:val="auto"/>
          <w:spacing w:val="17"/>
          <w:sz w:val="32"/>
          <w:szCs w:val="32"/>
          <w:highlight w:val="none"/>
          <w:lang w:val="en-US" w:eastAsia="zh-CN"/>
        </w:rPr>
      </w:pPr>
      <w:r>
        <w:rPr>
          <w:rFonts w:hint="eastAsia" w:ascii="仿宋_GB2312" w:hAnsi="仿宋_GB2312" w:eastAsia="仿宋_GB2312" w:cs="仿宋_GB2312"/>
          <w:color w:val="auto"/>
          <w:spacing w:val="17"/>
          <w:sz w:val="32"/>
          <w:szCs w:val="32"/>
          <w:highlight w:val="none"/>
          <w:lang w:val="en-US" w:eastAsia="zh-CN"/>
        </w:rPr>
        <w:t>为确保该项目绩效评价的顺利实施，评价机构组建了绩效评价项目小组。项目小组负责建立联络制度、明确评价责任人、制定评价方案、实施具体评价等工作。</w:t>
      </w:r>
    </w:p>
    <w:p w14:paraId="3A851ED8">
      <w:pPr>
        <w:pageBreakBefore w:val="0"/>
        <w:kinsoku/>
        <w:wordWrap/>
        <w:overflowPunct/>
        <w:topLinePunct w:val="0"/>
        <w:autoSpaceDE/>
        <w:autoSpaceDN/>
        <w:bidi w:val="0"/>
        <w:adjustRightInd/>
        <w:spacing w:line="560" w:lineRule="exact"/>
        <w:ind w:firstLine="708" w:firstLineChars="200"/>
        <w:rPr>
          <w:rFonts w:hint="eastAsia" w:ascii="仿宋_GB2312" w:hAnsi="仿宋_GB2312" w:eastAsia="仿宋_GB2312" w:cs="仿宋_GB2312"/>
          <w:color w:val="auto"/>
          <w:spacing w:val="17"/>
          <w:sz w:val="32"/>
          <w:szCs w:val="32"/>
          <w:highlight w:val="none"/>
          <w:lang w:val="en-US" w:eastAsia="zh-CN"/>
        </w:rPr>
      </w:pPr>
      <w:bookmarkStart w:id="81" w:name="_Toc31571"/>
      <w:r>
        <w:rPr>
          <w:rFonts w:hint="eastAsia" w:ascii="仿宋_GB2312" w:hAnsi="仿宋_GB2312" w:eastAsia="仿宋_GB2312" w:cs="仿宋_GB2312"/>
          <w:color w:val="auto"/>
          <w:spacing w:val="17"/>
          <w:sz w:val="32"/>
          <w:szCs w:val="32"/>
          <w:highlight w:val="none"/>
          <w:lang w:val="en-US" w:eastAsia="zh-CN"/>
        </w:rPr>
        <w:t>（2）开展前期调研</w:t>
      </w:r>
      <w:bookmarkEnd w:id="81"/>
    </w:p>
    <w:p w14:paraId="5ECCDF8B">
      <w:pPr>
        <w:pageBreakBefore w:val="0"/>
        <w:kinsoku/>
        <w:wordWrap/>
        <w:overflowPunct/>
        <w:topLinePunct w:val="0"/>
        <w:autoSpaceDE/>
        <w:autoSpaceDN/>
        <w:bidi w:val="0"/>
        <w:adjustRightInd/>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82" w:name="_Toc21240"/>
      <w:r>
        <w:rPr>
          <w:rFonts w:hint="eastAsia" w:ascii="仿宋_GB2312" w:hAnsi="仿宋_GB2312" w:eastAsia="仿宋_GB2312" w:cs="仿宋_GB2312"/>
          <w:color w:val="auto"/>
          <w:spacing w:val="17"/>
          <w:sz w:val="32"/>
          <w:szCs w:val="32"/>
          <w:highlight w:val="none"/>
          <w:lang w:val="en-US" w:eastAsia="zh-CN"/>
        </w:rPr>
        <w:t>绩效评价项目小组依据此次绩效评价受委托内容，对拟评价的项目实施前期调研。通过调研对基本公共卫生</w:t>
      </w:r>
      <w:r>
        <w:rPr>
          <w:rFonts w:hint="eastAsia" w:ascii="Times New Roman" w:hAnsi="Times New Roman" w:eastAsia="仿宋_GB2312" w:cs="Times New Roman"/>
          <w:color w:val="auto"/>
          <w:spacing w:val="17"/>
          <w:sz w:val="32"/>
          <w:szCs w:val="32"/>
          <w:highlight w:val="none"/>
          <w:lang w:val="en-US" w:eastAsia="zh-CN"/>
        </w:rPr>
        <w:t>项目实施内容、目标信息、预算信息以及其他的一些项目基本信息，有了初步了解，为制定绩效评价工作方案做好准备。</w:t>
      </w:r>
      <w:bookmarkEnd w:id="82"/>
    </w:p>
    <w:p w14:paraId="1FA747E6">
      <w:pPr>
        <w:pageBreakBefore w:val="0"/>
        <w:kinsoku/>
        <w:wordWrap/>
        <w:overflowPunct/>
        <w:topLinePunct w:val="0"/>
        <w:autoSpaceDE/>
        <w:autoSpaceDN/>
        <w:bidi w:val="0"/>
        <w:adjustRightInd/>
        <w:spacing w:line="560" w:lineRule="exact"/>
        <w:ind w:firstLine="708" w:firstLineChars="200"/>
        <w:rPr>
          <w:rFonts w:hint="eastAsia" w:ascii="仿宋_GB2312" w:hAnsi="仿宋_GB2312" w:eastAsia="仿宋_GB2312" w:cs="仿宋_GB2312"/>
          <w:color w:val="auto"/>
          <w:spacing w:val="17"/>
          <w:sz w:val="32"/>
          <w:szCs w:val="32"/>
          <w:highlight w:val="none"/>
          <w:lang w:val="en-US" w:eastAsia="zh-CN"/>
        </w:rPr>
      </w:pPr>
      <w:bookmarkStart w:id="83" w:name="_Toc27977"/>
      <w:r>
        <w:rPr>
          <w:rFonts w:hint="eastAsia" w:ascii="仿宋_GB2312" w:hAnsi="仿宋_GB2312" w:eastAsia="仿宋_GB2312" w:cs="仿宋_GB2312"/>
          <w:color w:val="auto"/>
          <w:spacing w:val="17"/>
          <w:sz w:val="32"/>
          <w:szCs w:val="32"/>
          <w:highlight w:val="none"/>
          <w:lang w:val="en-US" w:eastAsia="zh-CN"/>
        </w:rPr>
        <w:t>（3）制订绩效评价工作方案</w:t>
      </w:r>
      <w:bookmarkEnd w:id="83"/>
    </w:p>
    <w:p w14:paraId="21E256C7">
      <w:pPr>
        <w:pageBreakBefore w:val="0"/>
        <w:kinsoku/>
        <w:wordWrap/>
        <w:overflowPunct/>
        <w:topLinePunct w:val="0"/>
        <w:autoSpaceDE/>
        <w:autoSpaceDN/>
        <w:bidi w:val="0"/>
        <w:adjustRightInd/>
        <w:spacing w:line="560" w:lineRule="exact"/>
        <w:ind w:firstLine="708" w:firstLineChars="200"/>
        <w:rPr>
          <w:rFonts w:hint="eastAsia" w:ascii="仿宋_GB2312" w:hAnsi="仿宋_GB2312" w:eastAsia="仿宋_GB2312" w:cs="仿宋_GB2312"/>
          <w:color w:val="auto"/>
          <w:spacing w:val="17"/>
          <w:sz w:val="32"/>
          <w:szCs w:val="32"/>
          <w:highlight w:val="none"/>
          <w:lang w:val="en-US" w:eastAsia="zh-CN"/>
        </w:rPr>
      </w:pPr>
      <w:bookmarkStart w:id="84" w:name="_Toc19659"/>
      <w:r>
        <w:rPr>
          <w:rFonts w:hint="eastAsia" w:ascii="仿宋_GB2312" w:hAnsi="仿宋_GB2312" w:eastAsia="仿宋_GB2312" w:cs="仿宋_GB2312"/>
          <w:color w:val="auto"/>
          <w:spacing w:val="17"/>
          <w:sz w:val="32"/>
          <w:szCs w:val="32"/>
          <w:highlight w:val="none"/>
          <w:lang w:val="en-US" w:eastAsia="zh-CN"/>
        </w:rPr>
        <w:t>绩效评价项目小组根据有关规定和评价对象的特点以及前期调研收集的一些信息，拟定详细的绩效评价工作方案。</w:t>
      </w:r>
      <w:bookmarkEnd w:id="84"/>
    </w:p>
    <w:p w14:paraId="6DAA82DB">
      <w:pPr>
        <w:pageBreakBefore w:val="0"/>
        <w:kinsoku/>
        <w:wordWrap/>
        <w:overflowPunct/>
        <w:topLinePunct w:val="0"/>
        <w:autoSpaceDE/>
        <w:autoSpaceDN/>
        <w:bidi w:val="0"/>
        <w:adjustRightInd/>
        <w:spacing w:line="560" w:lineRule="exact"/>
        <w:ind w:firstLine="711" w:firstLineChars="200"/>
        <w:rPr>
          <w:rFonts w:hint="eastAsia" w:ascii="仿宋_GB2312" w:hAnsi="仿宋_GB2312" w:eastAsia="仿宋_GB2312" w:cs="仿宋_GB2312"/>
          <w:color w:val="auto"/>
          <w:spacing w:val="17"/>
          <w:sz w:val="32"/>
          <w:szCs w:val="32"/>
          <w:highlight w:val="none"/>
          <w:lang w:val="en-US" w:eastAsia="zh-CN"/>
        </w:rPr>
      </w:pPr>
      <w:bookmarkStart w:id="85" w:name="_Toc11353"/>
      <w:r>
        <w:rPr>
          <w:rFonts w:hint="eastAsia" w:ascii="Times New Roman" w:hAnsi="Times New Roman" w:eastAsia="仿宋_GB2312" w:cs="Times New Roman"/>
          <w:b/>
          <w:bCs/>
          <w:color w:val="auto"/>
          <w:spacing w:val="17"/>
          <w:sz w:val="32"/>
          <w:szCs w:val="32"/>
          <w:highlight w:val="none"/>
          <w:lang w:val="en-US" w:eastAsia="zh-CN"/>
        </w:rPr>
        <w:t>2</w:t>
      </w:r>
      <w:r>
        <w:rPr>
          <w:rFonts w:hint="eastAsia" w:ascii="仿宋_GB2312" w:hAnsi="仿宋_GB2312" w:eastAsia="仿宋_GB2312" w:cs="仿宋_GB2312"/>
          <w:color w:val="auto"/>
          <w:spacing w:val="17"/>
          <w:sz w:val="32"/>
          <w:szCs w:val="32"/>
          <w:highlight w:val="none"/>
          <w:lang w:val="en-US" w:eastAsia="zh-CN"/>
        </w:rPr>
        <w:t>.</w:t>
      </w:r>
      <w:r>
        <w:rPr>
          <w:rFonts w:hint="eastAsia" w:ascii="仿宋_GB2312" w:hAnsi="仿宋_GB2312" w:eastAsia="仿宋_GB2312" w:cs="仿宋_GB2312"/>
          <w:b/>
          <w:bCs/>
          <w:color w:val="auto"/>
          <w:spacing w:val="17"/>
          <w:sz w:val="32"/>
          <w:szCs w:val="32"/>
          <w:highlight w:val="none"/>
          <w:lang w:val="en-US" w:eastAsia="zh-CN"/>
        </w:rPr>
        <w:t>具体实施</w:t>
      </w:r>
      <w:bookmarkEnd w:id="85"/>
    </w:p>
    <w:p w14:paraId="665D90F7">
      <w:pPr>
        <w:pageBreakBefore w:val="0"/>
        <w:kinsoku/>
        <w:wordWrap/>
        <w:overflowPunct/>
        <w:topLinePunct w:val="0"/>
        <w:autoSpaceDE/>
        <w:autoSpaceDN/>
        <w:bidi w:val="0"/>
        <w:adjustRightInd/>
        <w:spacing w:line="560" w:lineRule="exact"/>
        <w:ind w:firstLine="708" w:firstLineChars="200"/>
        <w:rPr>
          <w:rFonts w:hint="eastAsia" w:ascii="仿宋_GB2312" w:hAnsi="仿宋_GB2312" w:eastAsia="仿宋_GB2312" w:cs="仿宋_GB2312"/>
          <w:color w:val="auto"/>
          <w:spacing w:val="17"/>
          <w:sz w:val="32"/>
          <w:szCs w:val="32"/>
          <w:highlight w:val="none"/>
          <w:lang w:val="en-US" w:eastAsia="zh-CN"/>
        </w:rPr>
      </w:pPr>
      <w:bookmarkStart w:id="86" w:name="_Toc14111"/>
      <w:r>
        <w:rPr>
          <w:rFonts w:hint="eastAsia" w:ascii="仿宋_GB2312" w:hAnsi="仿宋_GB2312" w:eastAsia="仿宋_GB2312" w:cs="仿宋_GB2312"/>
          <w:color w:val="auto"/>
          <w:spacing w:val="17"/>
          <w:sz w:val="32"/>
          <w:szCs w:val="32"/>
          <w:highlight w:val="none"/>
          <w:lang w:val="en-US" w:eastAsia="zh-CN"/>
        </w:rPr>
        <w:t>（1）收集基础资料</w:t>
      </w:r>
      <w:bookmarkEnd w:id="86"/>
    </w:p>
    <w:p w14:paraId="698B7858">
      <w:pPr>
        <w:pageBreakBefore w:val="0"/>
        <w:kinsoku/>
        <w:wordWrap/>
        <w:overflowPunct/>
        <w:topLinePunct w:val="0"/>
        <w:autoSpaceDE/>
        <w:autoSpaceDN/>
        <w:bidi w:val="0"/>
        <w:adjustRightInd/>
        <w:spacing w:line="560" w:lineRule="exact"/>
        <w:ind w:firstLine="708" w:firstLineChars="200"/>
        <w:rPr>
          <w:rFonts w:hint="eastAsia" w:ascii="仿宋_GB2312" w:hAnsi="仿宋_GB2312" w:eastAsia="仿宋_GB2312" w:cs="仿宋_GB2312"/>
          <w:color w:val="auto"/>
          <w:spacing w:val="17"/>
          <w:sz w:val="32"/>
          <w:szCs w:val="32"/>
          <w:highlight w:val="none"/>
          <w:lang w:val="en-US" w:eastAsia="zh-CN"/>
        </w:rPr>
      </w:pPr>
      <w:bookmarkStart w:id="87" w:name="_Toc28524"/>
      <w:r>
        <w:rPr>
          <w:rFonts w:hint="eastAsia" w:ascii="仿宋_GB2312" w:hAnsi="仿宋_GB2312" w:eastAsia="仿宋_GB2312" w:cs="仿宋_GB2312"/>
          <w:color w:val="auto"/>
          <w:spacing w:val="17"/>
          <w:sz w:val="32"/>
          <w:szCs w:val="32"/>
          <w:highlight w:val="none"/>
          <w:lang w:val="en-US" w:eastAsia="zh-CN"/>
        </w:rPr>
        <w:t>根据评价工作的需要和要求，在前期调研的基础上，通过多种渠道全面收集项目基础信息资料，主要包括：</w:t>
      </w:r>
      <w:bookmarkEnd w:id="87"/>
    </w:p>
    <w:p w14:paraId="0295AC20">
      <w:pPr>
        <w:pageBreakBefore w:val="0"/>
        <w:kinsoku/>
        <w:wordWrap/>
        <w:overflowPunct/>
        <w:topLinePunct w:val="0"/>
        <w:autoSpaceDE/>
        <w:autoSpaceDN/>
        <w:bidi w:val="0"/>
        <w:adjustRightInd/>
        <w:spacing w:line="560" w:lineRule="exact"/>
        <w:ind w:firstLine="708" w:firstLineChars="200"/>
        <w:rPr>
          <w:rFonts w:hint="eastAsia" w:ascii="仿宋_GB2312" w:hAnsi="仿宋_GB2312" w:eastAsia="仿宋_GB2312" w:cs="仿宋_GB2312"/>
          <w:color w:val="auto"/>
          <w:spacing w:val="17"/>
          <w:sz w:val="32"/>
          <w:szCs w:val="32"/>
          <w:highlight w:val="none"/>
          <w:lang w:val="en-US" w:eastAsia="zh-CN"/>
        </w:rPr>
      </w:pPr>
      <w:bookmarkStart w:id="88" w:name="_Toc32216"/>
      <w:r>
        <w:rPr>
          <w:rFonts w:hint="eastAsia" w:ascii="仿宋_GB2312" w:hAnsi="仿宋_GB2312" w:eastAsia="仿宋_GB2312" w:cs="仿宋_GB2312"/>
          <w:color w:val="auto"/>
          <w:spacing w:val="17"/>
          <w:sz w:val="32"/>
          <w:szCs w:val="32"/>
          <w:highlight w:val="none"/>
          <w:lang w:val="en-US" w:eastAsia="zh-CN"/>
        </w:rPr>
        <w:t>①被评价单位基本概况，如单位职能、事业发展规划、预决算情况、项目立项依据等；</w:t>
      </w:r>
      <w:bookmarkEnd w:id="88"/>
    </w:p>
    <w:p w14:paraId="563768B4">
      <w:pPr>
        <w:pageBreakBefore w:val="0"/>
        <w:kinsoku/>
        <w:wordWrap/>
        <w:overflowPunct/>
        <w:topLinePunct w:val="0"/>
        <w:autoSpaceDE/>
        <w:autoSpaceDN/>
        <w:bidi w:val="0"/>
        <w:adjustRightInd/>
        <w:spacing w:line="560" w:lineRule="exact"/>
        <w:ind w:firstLine="708" w:firstLineChars="200"/>
        <w:rPr>
          <w:rFonts w:hint="eastAsia" w:ascii="仿宋_GB2312" w:hAnsi="仿宋_GB2312" w:eastAsia="仿宋_GB2312" w:cs="仿宋_GB2312"/>
          <w:color w:val="auto"/>
          <w:spacing w:val="17"/>
          <w:sz w:val="32"/>
          <w:szCs w:val="32"/>
          <w:highlight w:val="none"/>
          <w:lang w:val="en-US" w:eastAsia="zh-CN"/>
        </w:rPr>
      </w:pPr>
      <w:bookmarkStart w:id="89" w:name="_Toc10505"/>
      <w:r>
        <w:rPr>
          <w:rFonts w:hint="eastAsia" w:ascii="仿宋_GB2312" w:hAnsi="仿宋_GB2312" w:eastAsia="仿宋_GB2312" w:cs="仿宋_GB2312"/>
          <w:color w:val="auto"/>
          <w:spacing w:val="17"/>
          <w:sz w:val="32"/>
          <w:szCs w:val="32"/>
          <w:highlight w:val="none"/>
          <w:lang w:val="en-US" w:eastAsia="zh-CN"/>
        </w:rPr>
        <w:t>②绩效目标及其设立依据和调整情况；</w:t>
      </w:r>
      <w:bookmarkEnd w:id="89"/>
    </w:p>
    <w:p w14:paraId="3DA5DC80">
      <w:pPr>
        <w:pageBreakBefore w:val="0"/>
        <w:kinsoku/>
        <w:wordWrap/>
        <w:overflowPunct/>
        <w:topLinePunct w:val="0"/>
        <w:autoSpaceDE/>
        <w:autoSpaceDN/>
        <w:bidi w:val="0"/>
        <w:adjustRightInd/>
        <w:spacing w:line="560" w:lineRule="exact"/>
        <w:ind w:firstLine="708" w:firstLineChars="200"/>
        <w:rPr>
          <w:rFonts w:hint="eastAsia" w:ascii="仿宋_GB2312" w:hAnsi="仿宋_GB2312" w:eastAsia="仿宋_GB2312" w:cs="仿宋_GB2312"/>
          <w:color w:val="auto"/>
          <w:spacing w:val="17"/>
          <w:sz w:val="32"/>
          <w:szCs w:val="32"/>
          <w:highlight w:val="none"/>
          <w:lang w:val="en-US" w:eastAsia="zh-CN"/>
        </w:rPr>
      </w:pPr>
      <w:bookmarkStart w:id="90" w:name="_Toc28365"/>
      <w:r>
        <w:rPr>
          <w:rFonts w:hint="eastAsia" w:ascii="仿宋_GB2312" w:hAnsi="仿宋_GB2312" w:eastAsia="仿宋_GB2312" w:cs="仿宋_GB2312"/>
          <w:color w:val="auto"/>
          <w:spacing w:val="17"/>
          <w:sz w:val="32"/>
          <w:szCs w:val="32"/>
          <w:highlight w:val="none"/>
          <w:lang w:val="en-US" w:eastAsia="zh-CN"/>
        </w:rPr>
        <w:t>③管理措施及组织实施情况；</w:t>
      </w:r>
      <w:bookmarkEnd w:id="90"/>
    </w:p>
    <w:p w14:paraId="6EB932CA">
      <w:pPr>
        <w:pageBreakBefore w:val="0"/>
        <w:kinsoku/>
        <w:wordWrap/>
        <w:overflowPunct/>
        <w:topLinePunct w:val="0"/>
        <w:autoSpaceDE/>
        <w:autoSpaceDN/>
        <w:bidi w:val="0"/>
        <w:adjustRightInd/>
        <w:spacing w:line="560" w:lineRule="exact"/>
        <w:ind w:firstLine="708" w:firstLineChars="200"/>
        <w:rPr>
          <w:rFonts w:hint="eastAsia" w:ascii="仿宋_GB2312" w:hAnsi="仿宋_GB2312" w:eastAsia="仿宋_GB2312" w:cs="仿宋_GB2312"/>
          <w:color w:val="auto"/>
          <w:spacing w:val="17"/>
          <w:sz w:val="32"/>
          <w:szCs w:val="32"/>
          <w:highlight w:val="none"/>
          <w:lang w:val="en-US" w:eastAsia="zh-CN"/>
        </w:rPr>
      </w:pPr>
      <w:bookmarkStart w:id="91" w:name="_Toc10091"/>
      <w:r>
        <w:rPr>
          <w:rFonts w:hint="eastAsia" w:ascii="仿宋_GB2312" w:hAnsi="仿宋_GB2312" w:eastAsia="仿宋_GB2312" w:cs="仿宋_GB2312"/>
          <w:color w:val="auto"/>
          <w:spacing w:val="17"/>
          <w:sz w:val="32"/>
          <w:szCs w:val="32"/>
          <w:highlight w:val="none"/>
          <w:lang w:val="en-US" w:eastAsia="zh-CN"/>
        </w:rPr>
        <w:t>④被评价单位总结分析的绩效目标完成情况及绩效报告；</w:t>
      </w:r>
      <w:bookmarkEnd w:id="91"/>
    </w:p>
    <w:p w14:paraId="517F265F">
      <w:pPr>
        <w:pageBreakBefore w:val="0"/>
        <w:kinsoku/>
        <w:wordWrap/>
        <w:overflowPunct/>
        <w:topLinePunct w:val="0"/>
        <w:autoSpaceDE/>
        <w:autoSpaceDN/>
        <w:bidi w:val="0"/>
        <w:adjustRightInd/>
        <w:spacing w:line="560" w:lineRule="exact"/>
        <w:ind w:firstLine="708" w:firstLineChars="200"/>
        <w:rPr>
          <w:rFonts w:hint="eastAsia" w:ascii="仿宋_GB2312" w:hAnsi="仿宋_GB2312" w:eastAsia="仿宋_GB2312" w:cs="仿宋_GB2312"/>
          <w:color w:val="auto"/>
          <w:spacing w:val="17"/>
          <w:sz w:val="32"/>
          <w:szCs w:val="32"/>
          <w:highlight w:val="none"/>
          <w:lang w:val="en-US" w:eastAsia="zh-CN"/>
        </w:rPr>
      </w:pPr>
      <w:bookmarkStart w:id="92" w:name="_Toc1"/>
      <w:r>
        <w:rPr>
          <w:rFonts w:hint="eastAsia" w:ascii="仿宋_GB2312" w:hAnsi="仿宋_GB2312" w:eastAsia="仿宋_GB2312" w:cs="仿宋_GB2312"/>
          <w:color w:val="auto"/>
          <w:spacing w:val="17"/>
          <w:sz w:val="32"/>
          <w:szCs w:val="32"/>
          <w:highlight w:val="none"/>
          <w:lang w:val="en-US" w:eastAsia="zh-CN"/>
        </w:rPr>
        <w:t>⑤与绩效评价相关的计划标准、行业标准、历史标准等；</w:t>
      </w:r>
      <w:bookmarkEnd w:id="92"/>
    </w:p>
    <w:p w14:paraId="77B2C2F9">
      <w:pPr>
        <w:pageBreakBefore w:val="0"/>
        <w:kinsoku/>
        <w:wordWrap/>
        <w:overflowPunct/>
        <w:topLinePunct w:val="0"/>
        <w:autoSpaceDE/>
        <w:autoSpaceDN/>
        <w:bidi w:val="0"/>
        <w:adjustRightInd/>
        <w:spacing w:line="560" w:lineRule="exact"/>
        <w:ind w:firstLine="708" w:firstLineChars="200"/>
        <w:rPr>
          <w:rFonts w:hint="eastAsia" w:ascii="仿宋_GB2312" w:hAnsi="仿宋_GB2312" w:eastAsia="仿宋_GB2312" w:cs="仿宋_GB2312"/>
          <w:color w:val="auto"/>
          <w:spacing w:val="17"/>
          <w:sz w:val="32"/>
          <w:szCs w:val="32"/>
          <w:highlight w:val="none"/>
          <w:lang w:val="en-US" w:eastAsia="zh-CN"/>
        </w:rPr>
      </w:pPr>
      <w:bookmarkStart w:id="93" w:name="_Toc20059"/>
      <w:r>
        <w:rPr>
          <w:rFonts w:hint="eastAsia" w:ascii="仿宋_GB2312" w:hAnsi="仿宋_GB2312" w:eastAsia="仿宋_GB2312" w:cs="仿宋_GB2312"/>
          <w:color w:val="auto"/>
          <w:spacing w:val="17"/>
          <w:sz w:val="32"/>
          <w:szCs w:val="32"/>
          <w:highlight w:val="none"/>
          <w:lang w:val="en-US" w:eastAsia="zh-CN"/>
        </w:rPr>
        <w:t>⑥其他必要的相关资料等。</w:t>
      </w:r>
      <w:bookmarkEnd w:id="93"/>
    </w:p>
    <w:p w14:paraId="388353E4">
      <w:pPr>
        <w:pageBreakBefore w:val="0"/>
        <w:kinsoku/>
        <w:wordWrap/>
        <w:overflowPunct/>
        <w:topLinePunct w:val="0"/>
        <w:autoSpaceDE/>
        <w:autoSpaceDN/>
        <w:bidi w:val="0"/>
        <w:adjustRightInd/>
        <w:spacing w:line="560" w:lineRule="exact"/>
        <w:ind w:firstLine="708" w:firstLineChars="200"/>
        <w:rPr>
          <w:rFonts w:hint="eastAsia" w:ascii="仿宋_GB2312" w:hAnsi="仿宋_GB2312" w:eastAsia="仿宋_GB2312" w:cs="仿宋_GB2312"/>
          <w:color w:val="auto"/>
          <w:spacing w:val="17"/>
          <w:sz w:val="32"/>
          <w:szCs w:val="32"/>
          <w:highlight w:val="none"/>
          <w:lang w:val="en-US" w:eastAsia="zh-CN"/>
        </w:rPr>
      </w:pPr>
      <w:bookmarkStart w:id="94" w:name="_Toc31911"/>
      <w:r>
        <w:rPr>
          <w:rFonts w:hint="eastAsia" w:ascii="仿宋_GB2312" w:hAnsi="仿宋_GB2312" w:eastAsia="仿宋_GB2312" w:cs="仿宋_GB2312"/>
          <w:color w:val="auto"/>
          <w:spacing w:val="17"/>
          <w:sz w:val="32"/>
          <w:szCs w:val="32"/>
          <w:highlight w:val="none"/>
          <w:lang w:val="en-US" w:eastAsia="zh-CN"/>
        </w:rPr>
        <w:t>（2）整理、研读基础资料</w:t>
      </w:r>
      <w:bookmarkEnd w:id="94"/>
    </w:p>
    <w:p w14:paraId="697E1812">
      <w:pPr>
        <w:pageBreakBefore w:val="0"/>
        <w:kinsoku/>
        <w:wordWrap/>
        <w:overflowPunct/>
        <w:topLinePunct w:val="0"/>
        <w:autoSpaceDE/>
        <w:autoSpaceDN/>
        <w:bidi w:val="0"/>
        <w:adjustRightInd/>
        <w:spacing w:line="560" w:lineRule="exact"/>
        <w:ind w:firstLine="708" w:firstLineChars="200"/>
        <w:rPr>
          <w:rFonts w:hint="eastAsia" w:ascii="仿宋_GB2312" w:hAnsi="仿宋_GB2312" w:eastAsia="仿宋_GB2312" w:cs="仿宋_GB2312"/>
          <w:color w:val="auto"/>
          <w:spacing w:val="17"/>
          <w:sz w:val="32"/>
          <w:szCs w:val="32"/>
          <w:highlight w:val="none"/>
          <w:lang w:val="en-US" w:eastAsia="zh-CN"/>
        </w:rPr>
      </w:pPr>
      <w:bookmarkStart w:id="95" w:name="_Toc167"/>
      <w:r>
        <w:rPr>
          <w:rFonts w:hint="eastAsia" w:ascii="仿宋_GB2312" w:hAnsi="仿宋_GB2312" w:eastAsia="仿宋_GB2312" w:cs="仿宋_GB2312"/>
          <w:color w:val="auto"/>
          <w:spacing w:val="17"/>
          <w:sz w:val="32"/>
          <w:szCs w:val="32"/>
          <w:highlight w:val="none"/>
          <w:lang w:val="en-US" w:eastAsia="zh-CN"/>
        </w:rPr>
        <w:t>对收集的基础资料进行分类整理、研读，并对所收集的资料进行核实和全面分析。通过基础资料的整理、研读，了解被评价对象的具体情况，分析被评价对象可能存在的问题，根据工作需要确定实地核查的内容，为现场核查做好准备。</w:t>
      </w:r>
      <w:bookmarkEnd w:id="95"/>
    </w:p>
    <w:p w14:paraId="244A1684">
      <w:pPr>
        <w:pageBreakBefore w:val="0"/>
        <w:kinsoku/>
        <w:wordWrap/>
        <w:overflowPunct/>
        <w:topLinePunct w:val="0"/>
        <w:autoSpaceDE/>
        <w:autoSpaceDN/>
        <w:bidi w:val="0"/>
        <w:adjustRightInd/>
        <w:spacing w:line="560" w:lineRule="exact"/>
        <w:ind w:firstLine="711" w:firstLineChars="200"/>
        <w:rPr>
          <w:rFonts w:hint="default" w:ascii="仿宋_GB2312" w:hAnsi="仿宋_GB2312" w:eastAsia="仿宋_GB2312" w:cs="仿宋_GB2312"/>
          <w:b/>
          <w:bCs/>
          <w:color w:val="auto"/>
          <w:spacing w:val="17"/>
          <w:sz w:val="32"/>
          <w:szCs w:val="32"/>
          <w:highlight w:val="none"/>
          <w:lang w:val="en-US" w:eastAsia="zh-CN"/>
        </w:rPr>
      </w:pPr>
      <w:bookmarkStart w:id="96" w:name="_Toc30513"/>
      <w:r>
        <w:rPr>
          <w:rFonts w:hint="eastAsia" w:ascii="仿宋_GB2312" w:hAnsi="仿宋_GB2312" w:eastAsia="仿宋_GB2312" w:cs="仿宋_GB2312"/>
          <w:b/>
          <w:bCs/>
          <w:color w:val="auto"/>
          <w:spacing w:val="17"/>
          <w:sz w:val="32"/>
          <w:szCs w:val="32"/>
          <w:highlight w:val="none"/>
          <w:lang w:val="en-US" w:eastAsia="zh-CN"/>
        </w:rPr>
        <w:t>3.分析评价和撰写报告</w:t>
      </w:r>
      <w:bookmarkEnd w:id="96"/>
    </w:p>
    <w:p w14:paraId="393A7925">
      <w:pPr>
        <w:pageBreakBefore w:val="0"/>
        <w:kinsoku/>
        <w:wordWrap/>
        <w:overflowPunct/>
        <w:topLinePunct w:val="0"/>
        <w:autoSpaceDE/>
        <w:autoSpaceDN/>
        <w:bidi w:val="0"/>
        <w:adjustRightInd/>
        <w:spacing w:line="560" w:lineRule="exact"/>
        <w:ind w:firstLine="708" w:firstLineChars="200"/>
        <w:rPr>
          <w:rFonts w:hint="eastAsia" w:ascii="仿宋_GB2312" w:hAnsi="仿宋_GB2312" w:eastAsia="仿宋_GB2312" w:cs="仿宋_GB2312"/>
          <w:color w:val="auto"/>
          <w:spacing w:val="17"/>
          <w:sz w:val="32"/>
          <w:szCs w:val="32"/>
          <w:highlight w:val="none"/>
          <w:lang w:val="en-US" w:eastAsia="zh-CN"/>
        </w:rPr>
      </w:pPr>
      <w:bookmarkStart w:id="97" w:name="_Toc15974"/>
      <w:r>
        <w:rPr>
          <w:rFonts w:hint="eastAsia" w:ascii="仿宋_GB2312" w:hAnsi="仿宋_GB2312" w:eastAsia="仿宋_GB2312" w:cs="仿宋_GB2312"/>
          <w:color w:val="auto"/>
          <w:spacing w:val="17"/>
          <w:sz w:val="32"/>
          <w:szCs w:val="32"/>
          <w:highlight w:val="none"/>
          <w:lang w:eastAsia="zh-CN"/>
        </w:rPr>
        <w:t>（</w:t>
      </w:r>
      <w:r>
        <w:rPr>
          <w:rFonts w:hint="eastAsia" w:ascii="仿宋_GB2312" w:hAnsi="仿宋_GB2312" w:eastAsia="仿宋_GB2312" w:cs="仿宋_GB2312"/>
          <w:color w:val="auto"/>
          <w:spacing w:val="17"/>
          <w:sz w:val="32"/>
          <w:szCs w:val="32"/>
          <w:highlight w:val="none"/>
          <w:lang w:val="en-US" w:eastAsia="zh-CN"/>
        </w:rPr>
        <w:t>1）综合分析评价</w:t>
      </w:r>
      <w:bookmarkEnd w:id="97"/>
    </w:p>
    <w:p w14:paraId="3DF12851">
      <w:pPr>
        <w:pageBreakBefore w:val="0"/>
        <w:kinsoku/>
        <w:wordWrap/>
        <w:overflowPunct/>
        <w:topLinePunct w:val="0"/>
        <w:autoSpaceDE/>
        <w:autoSpaceDN/>
        <w:bidi w:val="0"/>
        <w:adjustRightInd/>
        <w:spacing w:line="560" w:lineRule="exact"/>
        <w:ind w:firstLine="708" w:firstLineChars="200"/>
        <w:rPr>
          <w:rFonts w:hint="eastAsia" w:ascii="仿宋_GB2312" w:hAnsi="仿宋_GB2312" w:eastAsia="仿宋_GB2312" w:cs="仿宋_GB2312"/>
          <w:color w:val="auto"/>
          <w:spacing w:val="17"/>
          <w:sz w:val="32"/>
          <w:szCs w:val="32"/>
          <w:highlight w:val="none"/>
          <w:lang w:val="en-US" w:eastAsia="zh-CN"/>
        </w:rPr>
      </w:pPr>
      <w:bookmarkStart w:id="98" w:name="_Toc4352"/>
      <w:r>
        <w:rPr>
          <w:rFonts w:hint="eastAsia" w:ascii="仿宋_GB2312" w:hAnsi="仿宋_GB2312" w:eastAsia="仿宋_GB2312" w:cs="仿宋_GB2312"/>
          <w:color w:val="auto"/>
          <w:spacing w:val="17"/>
          <w:sz w:val="32"/>
          <w:szCs w:val="32"/>
          <w:highlight w:val="none"/>
          <w:lang w:val="en-US" w:eastAsia="zh-CN"/>
        </w:rPr>
        <w:t>①根据所收集的基础资料，结合现场核查的有关情况，整理出绩效评价所需的项目材料和基础数据。</w:t>
      </w:r>
      <w:bookmarkEnd w:id="98"/>
    </w:p>
    <w:p w14:paraId="199484DD">
      <w:pPr>
        <w:pageBreakBefore w:val="0"/>
        <w:kinsoku/>
        <w:wordWrap/>
        <w:overflowPunct/>
        <w:topLinePunct w:val="0"/>
        <w:autoSpaceDE/>
        <w:autoSpaceDN/>
        <w:bidi w:val="0"/>
        <w:adjustRightInd/>
        <w:spacing w:line="560" w:lineRule="exact"/>
        <w:ind w:firstLine="708" w:firstLineChars="200"/>
        <w:rPr>
          <w:rFonts w:hint="eastAsia" w:ascii="仿宋_GB2312" w:hAnsi="仿宋_GB2312" w:eastAsia="仿宋_GB2312" w:cs="仿宋_GB2312"/>
          <w:color w:val="auto"/>
          <w:spacing w:val="17"/>
          <w:sz w:val="32"/>
          <w:szCs w:val="32"/>
          <w:highlight w:val="none"/>
          <w:lang w:val="en-US" w:eastAsia="zh-CN"/>
        </w:rPr>
      </w:pPr>
      <w:bookmarkStart w:id="99" w:name="_Toc26231"/>
      <w:r>
        <w:rPr>
          <w:rFonts w:hint="eastAsia" w:ascii="仿宋_GB2312" w:hAnsi="仿宋_GB2312" w:eastAsia="仿宋_GB2312" w:cs="仿宋_GB2312"/>
          <w:color w:val="auto"/>
          <w:spacing w:val="17"/>
          <w:sz w:val="32"/>
          <w:szCs w:val="32"/>
          <w:highlight w:val="none"/>
          <w:lang w:val="en-US" w:eastAsia="zh-CN"/>
        </w:rPr>
        <w:t>②将初步评价结论、调整事项、专家咨询意见和有关说明等提交单位内部讨论并征求意见。之后，对所征求的意见及时地进行收集和整理。</w:t>
      </w:r>
      <w:bookmarkEnd w:id="99"/>
    </w:p>
    <w:p w14:paraId="1CB4F025">
      <w:pPr>
        <w:pageBreakBefore w:val="0"/>
        <w:kinsoku/>
        <w:wordWrap/>
        <w:overflowPunct/>
        <w:topLinePunct w:val="0"/>
        <w:autoSpaceDE/>
        <w:autoSpaceDN/>
        <w:bidi w:val="0"/>
        <w:adjustRightInd/>
        <w:spacing w:line="560" w:lineRule="exact"/>
        <w:ind w:firstLine="708" w:firstLineChars="200"/>
        <w:rPr>
          <w:rFonts w:hint="eastAsia" w:ascii="仿宋_GB2312" w:hAnsi="仿宋_GB2312" w:eastAsia="仿宋_GB2312" w:cs="仿宋_GB2312"/>
          <w:color w:val="auto"/>
          <w:spacing w:val="17"/>
          <w:sz w:val="32"/>
          <w:szCs w:val="32"/>
          <w:highlight w:val="none"/>
          <w:lang w:val="en-US" w:eastAsia="zh-CN"/>
        </w:rPr>
      </w:pPr>
      <w:bookmarkStart w:id="100" w:name="_Toc27759"/>
      <w:r>
        <w:rPr>
          <w:rFonts w:hint="eastAsia" w:ascii="Times New Roman" w:hAnsi="Times New Roman" w:eastAsia="仿宋_GB2312" w:cs="Times New Roman"/>
          <w:color w:val="auto"/>
          <w:spacing w:val="17"/>
          <w:sz w:val="32"/>
          <w:szCs w:val="32"/>
          <w:highlight w:val="none"/>
          <w:lang w:val="en-US" w:eastAsia="zh-CN"/>
        </w:rPr>
        <w:t>（</w:t>
      </w:r>
      <w:r>
        <w:rPr>
          <w:rFonts w:hint="eastAsia" w:ascii="仿宋_GB2312" w:hAnsi="仿宋_GB2312" w:eastAsia="仿宋_GB2312" w:cs="仿宋_GB2312"/>
          <w:color w:val="auto"/>
          <w:spacing w:val="17"/>
          <w:sz w:val="32"/>
          <w:szCs w:val="32"/>
          <w:highlight w:val="none"/>
          <w:lang w:val="en-US" w:eastAsia="zh-CN"/>
        </w:rPr>
        <w:t>2）撰写报告</w:t>
      </w:r>
      <w:bookmarkEnd w:id="100"/>
    </w:p>
    <w:p w14:paraId="3F6AA9E6">
      <w:pPr>
        <w:pageBreakBefore w:val="0"/>
        <w:kinsoku/>
        <w:wordWrap/>
        <w:overflowPunct/>
        <w:topLinePunct w:val="0"/>
        <w:autoSpaceDE/>
        <w:autoSpaceDN/>
        <w:bidi w:val="0"/>
        <w:adjustRightInd/>
        <w:spacing w:line="560" w:lineRule="exact"/>
        <w:ind w:firstLine="708" w:firstLineChars="200"/>
        <w:rPr>
          <w:rFonts w:hint="eastAsia" w:ascii="仿宋_GB2312" w:hAnsi="仿宋_GB2312" w:eastAsia="仿宋_GB2312" w:cs="仿宋_GB2312"/>
          <w:color w:val="auto"/>
          <w:spacing w:val="17"/>
          <w:sz w:val="32"/>
          <w:szCs w:val="32"/>
          <w:highlight w:val="none"/>
          <w:lang w:val="en-US" w:eastAsia="zh-CN"/>
        </w:rPr>
      </w:pPr>
      <w:bookmarkStart w:id="101" w:name="_Toc15579"/>
      <w:r>
        <w:rPr>
          <w:rFonts w:hint="eastAsia" w:ascii="仿宋_GB2312" w:hAnsi="仿宋_GB2312" w:eastAsia="仿宋_GB2312" w:cs="仿宋_GB2312"/>
          <w:color w:val="auto"/>
          <w:spacing w:val="17"/>
          <w:sz w:val="32"/>
          <w:szCs w:val="32"/>
          <w:highlight w:val="none"/>
          <w:lang w:val="en-US" w:eastAsia="zh-CN"/>
        </w:rPr>
        <w:t>绩效评价项目小组依照整理、分析后的项目材料、数据资料，依据评价形成的初步结论，按照既定的格式和内容要求撰写绩效评价初步报告，最终形成评价结果。</w:t>
      </w:r>
      <w:bookmarkEnd w:id="101"/>
    </w:p>
    <w:p w14:paraId="730C31CC">
      <w:pPr>
        <w:pStyle w:val="3"/>
        <w:pageBreakBefore w:val="0"/>
        <w:kinsoku/>
        <w:wordWrap/>
        <w:overflowPunct/>
        <w:topLinePunct w:val="0"/>
        <w:autoSpaceDE/>
        <w:autoSpaceDN/>
        <w:bidi w:val="0"/>
        <w:adjustRightInd/>
        <w:spacing w:beforeLines="0" w:afterLines="0" w:line="560" w:lineRule="exact"/>
        <w:textAlignment w:val="auto"/>
        <w:rPr>
          <w:rFonts w:hint="eastAsia" w:ascii="黑体" w:hAnsi="黑体" w:eastAsia="黑体" w:cs="黑体"/>
          <w:b w:val="0"/>
          <w:bCs w:val="0"/>
          <w:color w:val="auto"/>
          <w:highlight w:val="none"/>
          <w:shd w:val="clear" w:color="auto" w:fill="auto"/>
        </w:rPr>
      </w:pPr>
      <w:bookmarkStart w:id="102" w:name="_Toc19261"/>
      <w:r>
        <w:rPr>
          <w:rFonts w:hint="eastAsia" w:ascii="黑体" w:hAnsi="黑体" w:eastAsia="黑体" w:cs="黑体"/>
          <w:b w:val="0"/>
          <w:bCs w:val="0"/>
          <w:color w:val="auto"/>
          <w:highlight w:val="none"/>
          <w:shd w:val="clear" w:color="auto" w:fill="auto"/>
          <w:lang w:val="en-US" w:eastAsia="zh-CN"/>
        </w:rPr>
        <w:t>三、</w:t>
      </w:r>
      <w:r>
        <w:rPr>
          <w:rFonts w:hint="eastAsia" w:ascii="黑体" w:hAnsi="黑体" w:eastAsia="黑体" w:cs="黑体"/>
          <w:b w:val="0"/>
          <w:bCs w:val="0"/>
          <w:color w:val="auto"/>
          <w:highlight w:val="none"/>
          <w:shd w:val="clear" w:color="auto" w:fill="auto"/>
        </w:rPr>
        <w:t>综合评价情况及评价结论</w:t>
      </w:r>
      <w:bookmarkEnd w:id="102"/>
    </w:p>
    <w:p w14:paraId="0D30C0E1">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color w:val="auto"/>
          <w:kern w:val="28"/>
          <w:sz w:val="32"/>
          <w:highlight w:val="none"/>
          <w:lang w:val="en-US" w:eastAsia="zh-CN"/>
        </w:rPr>
      </w:pPr>
      <w:bookmarkStart w:id="103" w:name="_Toc23319"/>
      <w:r>
        <w:rPr>
          <w:rFonts w:hint="eastAsia" w:ascii="Times New Roman" w:hAnsi="Times New Roman" w:eastAsia="楷体_GB2312" w:cs="Times New Roman"/>
          <w:color w:val="auto"/>
          <w:kern w:val="28"/>
          <w:sz w:val="32"/>
          <w:highlight w:val="none"/>
          <w:lang w:val="en-US" w:eastAsia="zh-CN"/>
        </w:rPr>
        <w:t>（一）综合评价情况及评价结论</w:t>
      </w:r>
      <w:bookmarkEnd w:id="103"/>
    </w:p>
    <w:p w14:paraId="0E057378">
      <w:pPr>
        <w:pageBreakBefore w:val="0"/>
        <w:kinsoku/>
        <w:wordWrap/>
        <w:overflowPunct/>
        <w:topLinePunct w:val="0"/>
        <w:autoSpaceDE/>
        <w:autoSpaceDN/>
        <w:bidi w:val="0"/>
        <w:adjustRightInd/>
        <w:spacing w:line="560" w:lineRule="exact"/>
        <w:ind w:firstLine="708" w:firstLineChars="200"/>
        <w:rPr>
          <w:rFonts w:hint="default" w:ascii="仿宋_GB2312" w:hAnsi="仿宋_GB2312" w:eastAsia="仿宋_GB2312" w:cs="仿宋_GB2312"/>
          <w:color w:val="auto"/>
          <w:spacing w:val="17"/>
          <w:sz w:val="32"/>
          <w:szCs w:val="32"/>
          <w:highlight w:val="none"/>
          <w:lang w:val="en-US" w:eastAsia="zh-CN"/>
        </w:rPr>
      </w:pPr>
      <w:r>
        <w:rPr>
          <w:rFonts w:hint="default" w:ascii="仿宋_GB2312" w:hAnsi="仿宋_GB2312" w:eastAsia="仿宋_GB2312" w:cs="仿宋_GB2312"/>
          <w:color w:val="auto"/>
          <w:spacing w:val="17"/>
          <w:sz w:val="32"/>
          <w:szCs w:val="32"/>
          <w:highlight w:val="none"/>
          <w:lang w:val="en-US" w:eastAsia="zh-CN"/>
        </w:rPr>
        <w:t>本项目的综合评价基于对项目各方面绩效的深入分析与评估。从项目目标的达成情况来看，</w:t>
      </w:r>
      <w:r>
        <w:rPr>
          <w:rFonts w:hint="eastAsia" w:ascii="仿宋_GB2312" w:hAnsi="仿宋_GB2312" w:eastAsia="仿宋_GB2312" w:cs="仿宋_GB2312"/>
          <w:color w:val="auto"/>
          <w:spacing w:val="17"/>
          <w:sz w:val="32"/>
          <w:szCs w:val="32"/>
          <w:highlight w:val="none"/>
          <w:lang w:val="en-US" w:eastAsia="zh-CN"/>
        </w:rPr>
        <w:t>基本公共卫生服务项目</w:t>
      </w:r>
      <w:r>
        <w:rPr>
          <w:rFonts w:hint="default" w:ascii="仿宋_GB2312" w:hAnsi="仿宋_GB2312" w:eastAsia="仿宋_GB2312" w:cs="仿宋_GB2312"/>
          <w:color w:val="auto"/>
          <w:spacing w:val="17"/>
          <w:sz w:val="32"/>
          <w:szCs w:val="32"/>
          <w:highlight w:val="none"/>
          <w:lang w:val="en-US" w:eastAsia="zh-CN"/>
        </w:rPr>
        <w:t>在</w:t>
      </w:r>
      <w:r>
        <w:rPr>
          <w:rFonts w:hint="eastAsia" w:ascii="仿宋_GB2312" w:hAnsi="仿宋_GB2312" w:eastAsia="仿宋_GB2312" w:cs="仿宋_GB2312"/>
          <w:color w:val="auto"/>
          <w:spacing w:val="17"/>
          <w:sz w:val="32"/>
          <w:szCs w:val="32"/>
          <w:highlight w:val="none"/>
          <w:lang w:val="en-US" w:eastAsia="zh-CN"/>
        </w:rPr>
        <w:t>项目产出方面完成较好</w:t>
      </w:r>
      <w:r>
        <w:rPr>
          <w:rFonts w:hint="default" w:ascii="仿宋_GB2312" w:hAnsi="仿宋_GB2312" w:eastAsia="仿宋_GB2312" w:cs="仿宋_GB2312"/>
          <w:color w:val="auto"/>
          <w:spacing w:val="17"/>
          <w:sz w:val="32"/>
          <w:szCs w:val="32"/>
          <w:highlight w:val="none"/>
          <w:lang w:val="en-US" w:eastAsia="zh-CN"/>
        </w:rPr>
        <w:t>，达到了预期的标准与要求。</w:t>
      </w:r>
    </w:p>
    <w:p w14:paraId="2E9C79A9">
      <w:pPr>
        <w:pageBreakBefore w:val="0"/>
        <w:kinsoku/>
        <w:wordWrap/>
        <w:overflowPunct/>
        <w:topLinePunct w:val="0"/>
        <w:autoSpaceDE/>
        <w:autoSpaceDN/>
        <w:bidi w:val="0"/>
        <w:adjustRightInd/>
        <w:spacing w:line="560" w:lineRule="exact"/>
        <w:ind w:firstLine="708" w:firstLineChars="200"/>
        <w:rPr>
          <w:rFonts w:hint="default" w:ascii="仿宋_GB2312" w:hAnsi="仿宋_GB2312" w:eastAsia="仿宋_GB2312" w:cs="仿宋_GB2312"/>
          <w:color w:val="auto"/>
          <w:spacing w:val="17"/>
          <w:sz w:val="32"/>
          <w:szCs w:val="32"/>
          <w:highlight w:val="none"/>
          <w:lang w:val="en-US" w:eastAsia="zh-CN"/>
        </w:rPr>
      </w:pPr>
      <w:r>
        <w:rPr>
          <w:rFonts w:hint="default" w:ascii="仿宋_GB2312" w:hAnsi="仿宋_GB2312" w:eastAsia="仿宋_GB2312" w:cs="仿宋_GB2312"/>
          <w:color w:val="auto"/>
          <w:spacing w:val="17"/>
          <w:sz w:val="32"/>
          <w:szCs w:val="32"/>
          <w:highlight w:val="none"/>
          <w:lang w:val="en-US" w:eastAsia="zh-CN"/>
        </w:rPr>
        <w:t>在项目管理方面，</w:t>
      </w:r>
      <w:r>
        <w:rPr>
          <w:rFonts w:hint="eastAsia" w:ascii="仿宋_GB2312" w:hAnsi="仿宋_GB2312" w:eastAsia="仿宋_GB2312" w:cs="仿宋_GB2312"/>
          <w:color w:val="auto"/>
          <w:spacing w:val="17"/>
          <w:sz w:val="32"/>
          <w:szCs w:val="32"/>
          <w:highlight w:val="none"/>
          <w:lang w:val="en-US" w:eastAsia="zh-CN"/>
        </w:rPr>
        <w:t>阜康市滋泥泉子镇中心卫生院</w:t>
      </w:r>
      <w:r>
        <w:rPr>
          <w:rFonts w:hint="default" w:ascii="仿宋_GB2312" w:hAnsi="仿宋_GB2312" w:eastAsia="仿宋_GB2312" w:cs="仿宋_GB2312"/>
          <w:color w:val="auto"/>
          <w:spacing w:val="17"/>
          <w:sz w:val="32"/>
          <w:szCs w:val="32"/>
          <w:highlight w:val="none"/>
          <w:lang w:val="en-US" w:eastAsia="zh-CN"/>
        </w:rPr>
        <w:t>通过有效的规划、组织与协调，项目得以顺利实施，并在预算与时间上保持了良好的控制。</w:t>
      </w:r>
    </w:p>
    <w:p w14:paraId="4848F2C9">
      <w:pPr>
        <w:pageBreakBefore w:val="0"/>
        <w:kinsoku/>
        <w:wordWrap/>
        <w:overflowPunct/>
        <w:topLinePunct w:val="0"/>
        <w:autoSpaceDE/>
        <w:autoSpaceDN/>
        <w:bidi w:val="0"/>
        <w:adjustRightInd/>
        <w:spacing w:line="560" w:lineRule="exact"/>
        <w:ind w:firstLine="708" w:firstLineChars="200"/>
        <w:rPr>
          <w:rFonts w:hint="default" w:ascii="仿宋_GB2312" w:hAnsi="仿宋_GB2312" w:eastAsia="仿宋_GB2312" w:cs="仿宋_GB2312"/>
          <w:color w:val="auto"/>
          <w:spacing w:val="17"/>
          <w:sz w:val="32"/>
          <w:szCs w:val="32"/>
          <w:highlight w:val="none"/>
          <w:lang w:val="en-US" w:eastAsia="zh-CN"/>
        </w:rPr>
      </w:pPr>
      <w:r>
        <w:rPr>
          <w:rFonts w:hint="default" w:ascii="仿宋_GB2312" w:hAnsi="仿宋_GB2312" w:eastAsia="仿宋_GB2312" w:cs="仿宋_GB2312"/>
          <w:color w:val="auto"/>
          <w:spacing w:val="17"/>
          <w:sz w:val="32"/>
          <w:szCs w:val="32"/>
          <w:highlight w:val="none"/>
          <w:lang w:val="en-US" w:eastAsia="zh-CN"/>
        </w:rPr>
        <w:t>从项目效益的角度来看，本项目不仅实现了预期的社会效益、产生了积极的影响。具体而言，</w:t>
      </w:r>
      <w:r>
        <w:rPr>
          <w:rFonts w:hint="eastAsia" w:ascii="仿宋_GB2312" w:hAnsi="仿宋_GB2312" w:eastAsia="仿宋_GB2312" w:cs="仿宋_GB2312"/>
          <w:color w:val="auto"/>
          <w:spacing w:val="17"/>
          <w:sz w:val="32"/>
          <w:szCs w:val="32"/>
          <w:highlight w:val="none"/>
          <w:lang w:val="en-US" w:eastAsia="zh-CN"/>
        </w:rPr>
        <w:t>不断提高基本公共卫生服务水平、居民满意度</w:t>
      </w:r>
      <w:r>
        <w:rPr>
          <w:rFonts w:hint="default" w:ascii="仿宋_GB2312" w:hAnsi="仿宋_GB2312" w:eastAsia="仿宋_GB2312" w:cs="仿宋_GB2312"/>
          <w:color w:val="auto"/>
          <w:spacing w:val="17"/>
          <w:sz w:val="32"/>
          <w:szCs w:val="32"/>
          <w:highlight w:val="none"/>
          <w:lang w:val="en-US" w:eastAsia="zh-CN"/>
        </w:rPr>
        <w:t>提升，为项目的利益相关者带来了实实在在的利益。</w:t>
      </w:r>
    </w:p>
    <w:p w14:paraId="597DFF9F">
      <w:pPr>
        <w:pageBreakBefore w:val="0"/>
        <w:kinsoku/>
        <w:wordWrap/>
        <w:overflowPunct/>
        <w:topLinePunct w:val="0"/>
        <w:autoSpaceDE/>
        <w:autoSpaceDN/>
        <w:bidi w:val="0"/>
        <w:adjustRightInd/>
        <w:spacing w:line="560" w:lineRule="exact"/>
        <w:ind w:firstLine="708" w:firstLineChars="200"/>
        <w:rPr>
          <w:rFonts w:hint="default" w:ascii="仿宋_GB2312" w:hAnsi="仿宋_GB2312" w:eastAsia="仿宋_GB2312" w:cs="仿宋_GB2312"/>
          <w:color w:val="auto"/>
          <w:spacing w:val="17"/>
          <w:sz w:val="32"/>
          <w:szCs w:val="32"/>
          <w:highlight w:val="none"/>
          <w:lang w:val="en-US" w:eastAsia="zh-CN"/>
        </w:rPr>
      </w:pPr>
      <w:r>
        <w:rPr>
          <w:rFonts w:hint="default" w:ascii="仿宋_GB2312" w:hAnsi="仿宋_GB2312" w:eastAsia="仿宋_GB2312" w:cs="仿宋_GB2312"/>
          <w:color w:val="auto"/>
          <w:spacing w:val="17"/>
          <w:sz w:val="32"/>
          <w:szCs w:val="32"/>
          <w:highlight w:val="none"/>
          <w:lang w:val="en-US" w:eastAsia="zh-CN"/>
        </w:rPr>
        <w:t>综上所述，</w:t>
      </w:r>
      <w:r>
        <w:rPr>
          <w:rFonts w:hint="eastAsia" w:ascii="仿宋_GB2312" w:hAnsi="仿宋_GB2312" w:eastAsia="仿宋_GB2312" w:cs="仿宋_GB2312"/>
          <w:color w:val="auto"/>
          <w:spacing w:val="17"/>
          <w:sz w:val="32"/>
          <w:szCs w:val="32"/>
          <w:highlight w:val="none"/>
          <w:lang w:val="en-US" w:eastAsia="zh-CN"/>
        </w:rPr>
        <w:t>基本公共卫生服务项目</w:t>
      </w:r>
      <w:r>
        <w:rPr>
          <w:rFonts w:hint="default" w:ascii="仿宋_GB2312" w:hAnsi="仿宋_GB2312" w:eastAsia="仿宋_GB2312" w:cs="仿宋_GB2312"/>
          <w:color w:val="auto"/>
          <w:spacing w:val="17"/>
          <w:sz w:val="32"/>
          <w:szCs w:val="32"/>
          <w:highlight w:val="none"/>
          <w:lang w:val="en-US" w:eastAsia="zh-CN"/>
        </w:rPr>
        <w:t>在绩效评价中表现出色，达到了项目的预期目标，并在多个方面取得了显著的成效</w:t>
      </w:r>
      <w:r>
        <w:rPr>
          <w:rFonts w:hint="eastAsia" w:ascii="仿宋_GB2312" w:hAnsi="仿宋_GB2312" w:eastAsia="仿宋_GB2312" w:cs="仿宋_GB2312"/>
          <w:color w:val="auto"/>
          <w:spacing w:val="17"/>
          <w:sz w:val="32"/>
          <w:szCs w:val="32"/>
          <w:highlight w:val="none"/>
          <w:lang w:val="en-US" w:eastAsia="zh-CN"/>
        </w:rPr>
        <w:t>，评价等级为优</w:t>
      </w:r>
      <w:r>
        <w:rPr>
          <w:rFonts w:hint="default" w:ascii="仿宋_GB2312" w:hAnsi="仿宋_GB2312" w:eastAsia="仿宋_GB2312" w:cs="仿宋_GB2312"/>
          <w:color w:val="auto"/>
          <w:spacing w:val="17"/>
          <w:sz w:val="32"/>
          <w:szCs w:val="32"/>
          <w:highlight w:val="none"/>
          <w:lang w:val="en-US" w:eastAsia="zh-CN"/>
        </w:rPr>
        <w:t>。</w:t>
      </w:r>
    </w:p>
    <w:p w14:paraId="36278D52">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color w:val="auto"/>
          <w:kern w:val="28"/>
          <w:sz w:val="32"/>
          <w:highlight w:val="none"/>
          <w:lang w:val="en-US" w:eastAsia="zh-CN"/>
        </w:rPr>
      </w:pPr>
      <w:bookmarkStart w:id="104" w:name="_Toc11863"/>
      <w:r>
        <w:rPr>
          <w:rFonts w:hint="eastAsia" w:ascii="Times New Roman" w:hAnsi="Times New Roman" w:eastAsia="楷体_GB2312" w:cs="Times New Roman"/>
          <w:color w:val="auto"/>
          <w:kern w:val="28"/>
          <w:sz w:val="32"/>
          <w:highlight w:val="none"/>
          <w:lang w:val="en-US" w:eastAsia="zh-CN"/>
        </w:rPr>
        <w:t>（二）相关评分表</w:t>
      </w:r>
      <w:bookmarkEnd w:id="104"/>
    </w:p>
    <w:p w14:paraId="381DF586">
      <w:pPr>
        <w:pageBreakBefore w:val="0"/>
        <w:kinsoku/>
        <w:wordWrap/>
        <w:overflowPunct/>
        <w:topLinePunct w:val="0"/>
        <w:autoSpaceDE/>
        <w:autoSpaceDN/>
        <w:bidi w:val="0"/>
        <w:adjustRightInd/>
        <w:spacing w:line="560" w:lineRule="exact"/>
        <w:ind w:firstLine="708" w:firstLineChars="200"/>
        <w:rPr>
          <w:rFonts w:hint="eastAsia" w:ascii="仿宋_GB2312" w:hAnsi="仿宋_GB2312" w:eastAsia="仿宋_GB2312" w:cs="仿宋_GB2312"/>
          <w:color w:val="auto"/>
          <w:spacing w:val="17"/>
          <w:sz w:val="32"/>
          <w:szCs w:val="32"/>
          <w:highlight w:val="none"/>
          <w:lang w:val="zh-TW" w:eastAsia="zh-TW"/>
        </w:rPr>
      </w:pPr>
      <w:r>
        <w:rPr>
          <w:rFonts w:hint="eastAsia" w:ascii="仿宋_GB2312" w:hAnsi="仿宋_GB2312" w:eastAsia="仿宋_GB2312" w:cs="仿宋_GB2312"/>
          <w:color w:val="auto"/>
          <w:spacing w:val="17"/>
          <w:sz w:val="32"/>
          <w:szCs w:val="32"/>
          <w:highlight w:val="none"/>
          <w:lang w:val="en-US" w:eastAsia="zh-CN"/>
        </w:rPr>
        <w:t>此次绩效评价</w:t>
      </w:r>
      <w:r>
        <w:rPr>
          <w:rFonts w:hint="eastAsia" w:ascii="仿宋_GB2312" w:hAnsi="仿宋_GB2312" w:eastAsia="仿宋_GB2312" w:cs="仿宋_GB2312"/>
          <w:color w:val="auto"/>
          <w:spacing w:val="17"/>
          <w:sz w:val="32"/>
          <w:szCs w:val="32"/>
          <w:highlight w:val="none"/>
          <w:lang w:val="zh-TW" w:eastAsia="zh-TW"/>
        </w:rPr>
        <w:t>通过组论证的评价指标体系及评分标准，</w:t>
      </w:r>
      <w:r>
        <w:rPr>
          <w:rFonts w:hint="eastAsia" w:ascii="仿宋_GB2312" w:hAnsi="仿宋_GB2312" w:eastAsia="仿宋_GB2312" w:cs="仿宋_GB2312"/>
          <w:color w:val="auto"/>
          <w:spacing w:val="17"/>
          <w:sz w:val="32"/>
          <w:szCs w:val="32"/>
          <w:highlight w:val="none"/>
          <w:lang w:val="en-US" w:eastAsia="zh-CN"/>
        </w:rPr>
        <w:t>采用的方法比较法、因素分析法、公众评判法，</w:t>
      </w:r>
      <w:r>
        <w:rPr>
          <w:rFonts w:hint="eastAsia" w:ascii="仿宋_GB2312" w:hAnsi="仿宋_GB2312" w:eastAsia="仿宋_GB2312" w:cs="仿宋_GB2312"/>
          <w:color w:val="auto"/>
          <w:spacing w:val="17"/>
          <w:sz w:val="32"/>
          <w:szCs w:val="32"/>
          <w:highlight w:val="none"/>
          <w:lang w:val="zh-TW" w:eastAsia="zh-TW"/>
        </w:rPr>
        <w:t>对</w:t>
      </w:r>
      <w:r>
        <w:rPr>
          <w:rFonts w:hint="eastAsia" w:ascii="仿宋_GB2312" w:hAnsi="仿宋_GB2312" w:eastAsia="仿宋_GB2312" w:cs="仿宋_GB2312"/>
          <w:color w:val="auto"/>
          <w:sz w:val="32"/>
          <w:szCs w:val="32"/>
          <w:highlight w:val="none"/>
          <w:lang w:val="en-US" w:eastAsia="zh-CN"/>
        </w:rPr>
        <w:t>基本公共卫生服务</w:t>
      </w:r>
      <w:r>
        <w:rPr>
          <w:rFonts w:hint="eastAsia" w:ascii="仿宋_GB2312" w:hAnsi="仿宋_GB2312" w:eastAsia="仿宋_GB2312" w:cs="仿宋_GB2312"/>
          <w:color w:val="auto"/>
          <w:spacing w:val="17"/>
          <w:sz w:val="32"/>
          <w:szCs w:val="32"/>
          <w:highlight w:val="none"/>
          <w:lang w:val="en-US" w:eastAsia="zh-CN"/>
        </w:rPr>
        <w:t>项目</w:t>
      </w:r>
      <w:r>
        <w:rPr>
          <w:rFonts w:hint="eastAsia" w:ascii="仿宋_GB2312" w:hAnsi="仿宋_GB2312" w:eastAsia="仿宋_GB2312" w:cs="仿宋_GB2312"/>
          <w:color w:val="auto"/>
          <w:spacing w:val="17"/>
          <w:sz w:val="32"/>
          <w:szCs w:val="32"/>
          <w:highlight w:val="none"/>
          <w:lang w:val="zh-TW" w:eastAsia="zh-TW"/>
        </w:rPr>
        <w:t>绩效进行客观评价，最终评分结果：</w:t>
      </w:r>
      <w:r>
        <w:rPr>
          <w:rFonts w:hint="eastAsia" w:ascii="仿宋_GB2312" w:hAnsi="仿宋_GB2312" w:eastAsia="仿宋_GB2312" w:cs="仿宋_GB2312"/>
          <w:color w:val="auto"/>
          <w:spacing w:val="17"/>
          <w:sz w:val="32"/>
          <w:szCs w:val="32"/>
          <w:highlight w:val="none"/>
          <w:lang w:val="en-US" w:eastAsia="zh-CN"/>
        </w:rPr>
        <w:t>总得分为97.81分，属于优。其中，项目决策类指标权重为20分，得分为19.2分，得分率为96%。项目过程类指标权重为20分，得分为20分，得分率为100%。项目产出类指标权重为40分，得分为38.76分，得分率为96.6%。项目效益类指标权重为20分，得分为</w:t>
      </w:r>
      <w:r>
        <w:rPr>
          <w:rFonts w:hint="eastAsia" w:ascii="仿宋_GB2312" w:hAnsi="仿宋_GB2312" w:eastAsia="仿宋_GB2312" w:cs="仿宋_GB2312"/>
          <w:color w:val="auto"/>
          <w:spacing w:val="17"/>
          <w:sz w:val="32"/>
          <w:szCs w:val="32"/>
          <w:highlight w:val="none"/>
          <w:shd w:val="clear"/>
          <w:lang w:val="en-US" w:eastAsia="zh-CN"/>
        </w:rPr>
        <w:t>20分，</w:t>
      </w:r>
      <w:r>
        <w:rPr>
          <w:rFonts w:hint="eastAsia" w:ascii="仿宋_GB2312" w:hAnsi="仿宋_GB2312" w:eastAsia="仿宋_GB2312" w:cs="仿宋_GB2312"/>
          <w:color w:val="auto"/>
          <w:spacing w:val="17"/>
          <w:sz w:val="32"/>
          <w:szCs w:val="32"/>
          <w:highlight w:val="none"/>
          <w:lang w:val="en-US" w:eastAsia="zh-CN"/>
        </w:rPr>
        <w:t>得分率为100%。</w:t>
      </w:r>
      <w:r>
        <w:rPr>
          <w:rFonts w:hint="eastAsia" w:ascii="仿宋_GB2312" w:hAnsi="仿宋_GB2312" w:eastAsia="仿宋_GB2312" w:cs="仿宋_GB2312"/>
          <w:color w:val="auto"/>
          <w:spacing w:val="17"/>
          <w:sz w:val="32"/>
          <w:szCs w:val="32"/>
          <w:highlight w:val="none"/>
          <w:lang w:val="zh-TW" w:eastAsia="zh-TW"/>
        </w:rPr>
        <w:t>各部分权重和绩效</w:t>
      </w:r>
      <w:r>
        <w:rPr>
          <w:rFonts w:hint="eastAsia" w:ascii="仿宋_GB2312" w:hAnsi="仿宋_GB2312" w:eastAsia="仿宋_GB2312" w:cs="仿宋_GB2312"/>
          <w:color w:val="auto"/>
          <w:spacing w:val="17"/>
          <w:sz w:val="32"/>
          <w:szCs w:val="32"/>
          <w:highlight w:val="none"/>
          <w:lang w:val="en-US" w:eastAsia="zh-CN"/>
        </w:rPr>
        <w:t>汇总</w:t>
      </w:r>
      <w:r>
        <w:rPr>
          <w:rFonts w:hint="eastAsia" w:ascii="仿宋_GB2312" w:hAnsi="仿宋_GB2312" w:eastAsia="仿宋_GB2312" w:cs="仿宋_GB2312"/>
          <w:color w:val="auto"/>
          <w:spacing w:val="17"/>
          <w:sz w:val="32"/>
          <w:szCs w:val="32"/>
          <w:highlight w:val="none"/>
          <w:lang w:val="zh-TW" w:eastAsia="zh-TW"/>
        </w:rPr>
        <w:t>分值如下表</w:t>
      </w:r>
      <w:r>
        <w:rPr>
          <w:rFonts w:hint="eastAsia" w:ascii="仿宋_GB2312" w:hAnsi="仿宋_GB2312" w:eastAsia="仿宋_GB2312" w:cs="仿宋_GB2312"/>
          <w:color w:val="auto"/>
          <w:spacing w:val="17"/>
          <w:sz w:val="32"/>
          <w:szCs w:val="32"/>
          <w:highlight w:val="none"/>
          <w:lang w:val="en-US" w:eastAsia="zh-CN"/>
        </w:rPr>
        <w:t>3-1</w:t>
      </w:r>
      <w:r>
        <w:rPr>
          <w:rFonts w:hint="eastAsia" w:ascii="仿宋_GB2312" w:hAnsi="仿宋_GB2312" w:eastAsia="仿宋_GB2312" w:cs="仿宋_GB2312"/>
          <w:color w:val="auto"/>
          <w:spacing w:val="17"/>
          <w:sz w:val="32"/>
          <w:szCs w:val="32"/>
          <w:highlight w:val="none"/>
          <w:lang w:val="zh-TW" w:eastAsia="zh-TW"/>
        </w:rPr>
        <w:t>所示</w:t>
      </w:r>
      <w:r>
        <w:rPr>
          <w:rFonts w:hint="eastAsia" w:ascii="仿宋_GB2312" w:hAnsi="仿宋_GB2312" w:eastAsia="仿宋_GB2312" w:cs="仿宋_GB2312"/>
          <w:color w:val="auto"/>
          <w:spacing w:val="17"/>
          <w:sz w:val="32"/>
          <w:szCs w:val="32"/>
          <w:highlight w:val="none"/>
          <w:lang w:val="zh-TW" w:eastAsia="zh-CN"/>
        </w:rPr>
        <w:t>（</w:t>
      </w:r>
      <w:r>
        <w:rPr>
          <w:rFonts w:hint="eastAsia" w:ascii="仿宋_GB2312" w:hAnsi="仿宋_GB2312" w:eastAsia="仿宋_GB2312" w:cs="仿宋_GB2312"/>
          <w:color w:val="auto"/>
          <w:spacing w:val="17"/>
          <w:sz w:val="32"/>
          <w:szCs w:val="32"/>
          <w:highlight w:val="none"/>
          <w:lang w:val="en-US" w:eastAsia="zh-CN"/>
        </w:rPr>
        <w:t>详见上传的附件</w:t>
      </w:r>
      <w:r>
        <w:rPr>
          <w:rFonts w:hint="eastAsia" w:ascii="仿宋_GB2312" w:hAnsi="仿宋_GB2312" w:eastAsia="仿宋_GB2312" w:cs="仿宋_GB2312"/>
          <w:color w:val="auto"/>
          <w:spacing w:val="17"/>
          <w:sz w:val="32"/>
          <w:szCs w:val="32"/>
          <w:highlight w:val="none"/>
          <w:lang w:val="zh-TW" w:eastAsia="zh-CN"/>
        </w:rPr>
        <w:t>）</w:t>
      </w:r>
      <w:r>
        <w:rPr>
          <w:rFonts w:hint="eastAsia" w:ascii="仿宋_GB2312" w:hAnsi="仿宋_GB2312" w:eastAsia="仿宋_GB2312" w:cs="仿宋_GB2312"/>
          <w:color w:val="auto"/>
          <w:spacing w:val="17"/>
          <w:sz w:val="32"/>
          <w:szCs w:val="32"/>
          <w:highlight w:val="none"/>
          <w:lang w:val="zh-TW" w:eastAsia="zh-TW"/>
        </w:rPr>
        <w:t>：</w:t>
      </w:r>
    </w:p>
    <w:tbl>
      <w:tblPr>
        <w:tblStyle w:val="16"/>
        <w:tblW w:w="8289" w:type="dxa"/>
        <w:jc w:val="center"/>
        <w:shd w:val="clear" w:color="auto" w:fill="auto"/>
        <w:tblLayout w:type="fixed"/>
        <w:tblCellMar>
          <w:top w:w="0" w:type="dxa"/>
          <w:left w:w="0" w:type="dxa"/>
          <w:bottom w:w="0" w:type="dxa"/>
          <w:right w:w="0" w:type="dxa"/>
        </w:tblCellMar>
      </w:tblPr>
      <w:tblGrid>
        <w:gridCol w:w="1094"/>
        <w:gridCol w:w="1361"/>
        <w:gridCol w:w="1361"/>
        <w:gridCol w:w="1361"/>
        <w:gridCol w:w="1623"/>
        <w:gridCol w:w="1489"/>
      </w:tblGrid>
      <w:tr w14:paraId="6927E036">
        <w:tblPrEx>
          <w:shd w:val="clear" w:color="auto" w:fill="auto"/>
        </w:tblPrEx>
        <w:trPr>
          <w:trHeight w:val="665" w:hRule="atLeast"/>
          <w:jc w:val="center"/>
        </w:trPr>
        <w:tc>
          <w:tcPr>
            <w:tcW w:w="8289" w:type="dxa"/>
            <w:gridSpan w:val="6"/>
            <w:tcBorders>
              <w:top w:val="nil"/>
              <w:left w:val="nil"/>
              <w:bottom w:val="nil"/>
              <w:right w:val="nil"/>
            </w:tcBorders>
            <w:shd w:val="clear" w:color="auto" w:fill="auto"/>
            <w:tcMar>
              <w:top w:w="15" w:type="dxa"/>
              <w:left w:w="15" w:type="dxa"/>
              <w:right w:w="15" w:type="dxa"/>
            </w:tcMar>
            <w:vAlign w:val="center"/>
          </w:tcPr>
          <w:p w14:paraId="55402A8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4"/>
                <w:szCs w:val="24"/>
                <w:highlight w:val="none"/>
                <w:shd w:val="clear" w:color="auto" w:fill="auto"/>
              </w:rPr>
            </w:pPr>
            <w:r>
              <w:rPr>
                <w:rFonts w:hint="eastAsia" w:ascii="宋体" w:hAnsi="宋体" w:eastAsia="宋体" w:cs="宋体"/>
                <w:b/>
                <w:bCs/>
                <w:color w:val="auto"/>
                <w:kern w:val="0"/>
                <w:sz w:val="28"/>
                <w:szCs w:val="28"/>
                <w:highlight w:val="none"/>
                <w:shd w:val="clear" w:color="auto" w:fill="auto"/>
                <w:lang w:val="en-US" w:eastAsia="zh-CN"/>
              </w:rPr>
              <w:t>表3-1：</w:t>
            </w:r>
            <w:r>
              <w:rPr>
                <w:rFonts w:hint="eastAsia" w:ascii="宋体" w:hAnsi="宋体" w:eastAsia="宋体" w:cs="宋体"/>
                <w:b/>
                <w:bCs/>
                <w:color w:val="auto"/>
                <w:highlight w:val="none"/>
                <w:shd w:val="clear" w:color="auto" w:fill="auto"/>
                <w:lang w:val="en-US" w:eastAsia="zh-CN"/>
              </w:rPr>
              <w:t>202</w:t>
            </w:r>
            <w:r>
              <w:rPr>
                <w:rFonts w:hint="eastAsia" w:cs="宋体"/>
                <w:b/>
                <w:bCs/>
                <w:color w:val="auto"/>
                <w:highlight w:val="none"/>
                <w:shd w:val="clear" w:color="auto" w:fill="auto"/>
                <w:lang w:val="en-US" w:eastAsia="zh-CN"/>
              </w:rPr>
              <w:t>4公共卫生服务</w:t>
            </w:r>
            <w:r>
              <w:rPr>
                <w:rFonts w:hint="eastAsia" w:ascii="宋体" w:hAnsi="宋体" w:eastAsia="宋体" w:cs="宋体"/>
                <w:b/>
                <w:bCs/>
                <w:color w:val="auto"/>
                <w:highlight w:val="none"/>
                <w:shd w:val="clear" w:color="auto" w:fill="auto"/>
                <w:lang w:val="en-US" w:eastAsia="zh-CN"/>
              </w:rPr>
              <w:t>项目</w:t>
            </w:r>
            <w:r>
              <w:rPr>
                <w:rFonts w:hint="eastAsia" w:ascii="宋体" w:hAnsi="宋体" w:eastAsia="宋体" w:cs="宋体"/>
                <w:b/>
                <w:bCs/>
                <w:color w:val="auto"/>
                <w:kern w:val="0"/>
                <w:sz w:val="28"/>
                <w:szCs w:val="28"/>
                <w:highlight w:val="none"/>
                <w:shd w:val="clear" w:color="auto" w:fill="auto"/>
                <w:lang w:val="en-US" w:eastAsia="zh-CN"/>
              </w:rPr>
              <w:t>得分表</w:t>
            </w:r>
          </w:p>
        </w:tc>
      </w:tr>
      <w:tr w14:paraId="5A52BEEE">
        <w:tblPrEx>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A9C0D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指标类别</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7C33A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1.项目决策</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39C12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2.过程管理</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2886B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3.项目产出</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61845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4.项目效益</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1B831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合计</w:t>
            </w:r>
          </w:p>
        </w:tc>
      </w:tr>
      <w:tr w14:paraId="45AF0FBE">
        <w:tblPrEx>
          <w:shd w:val="clear" w:color="auto" w:fill="auto"/>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FA0CD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val="0"/>
                <w:bCs w:val="0"/>
                <w:color w:val="auto"/>
                <w:kern w:val="0"/>
                <w:sz w:val="21"/>
                <w:szCs w:val="21"/>
                <w:highlight w:val="none"/>
                <w:shd w:val="clear" w:color="auto" w:fill="auto"/>
                <w:lang w:val="en-US" w:eastAsia="zh-CN"/>
              </w:rPr>
            </w:pPr>
            <w:r>
              <w:rPr>
                <w:rFonts w:hint="eastAsia" w:ascii="宋体" w:hAnsi="宋体" w:eastAsia="宋体" w:cs="宋体"/>
                <w:b w:val="0"/>
                <w:bCs w:val="0"/>
                <w:color w:val="auto"/>
                <w:kern w:val="0"/>
                <w:sz w:val="21"/>
                <w:szCs w:val="21"/>
                <w:highlight w:val="none"/>
                <w:shd w:val="clear" w:color="auto" w:fill="auto"/>
                <w:lang w:val="en-US" w:eastAsia="zh-CN"/>
              </w:rPr>
              <w:t>权重</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34310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20</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E2B03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20</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46342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40</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DC90A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20</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EBD35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100</w:t>
            </w:r>
          </w:p>
        </w:tc>
      </w:tr>
      <w:tr w14:paraId="0E16739B">
        <w:tblPrEx>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55EBF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val="0"/>
                <w:bCs w:val="0"/>
                <w:color w:val="auto"/>
                <w:kern w:val="0"/>
                <w:sz w:val="21"/>
                <w:szCs w:val="21"/>
                <w:highlight w:val="none"/>
                <w:shd w:val="clear" w:color="auto" w:fill="auto"/>
                <w:lang w:val="en-US" w:eastAsia="zh-CN"/>
              </w:rPr>
            </w:pPr>
            <w:r>
              <w:rPr>
                <w:rFonts w:hint="eastAsia" w:ascii="宋体" w:hAnsi="宋体" w:eastAsia="宋体" w:cs="宋体"/>
                <w:b w:val="0"/>
                <w:bCs w:val="0"/>
                <w:color w:val="auto"/>
                <w:kern w:val="0"/>
                <w:sz w:val="21"/>
                <w:szCs w:val="21"/>
                <w:highlight w:val="none"/>
                <w:shd w:val="clear" w:color="auto" w:fill="auto"/>
                <w:lang w:val="en-US" w:eastAsia="zh-CN"/>
              </w:rPr>
              <w:t>分值</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13B37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19.2</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769E7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20</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663E3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38.76</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93EE5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20</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3B7AD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97.96</w:t>
            </w:r>
          </w:p>
        </w:tc>
      </w:tr>
      <w:tr w14:paraId="37F7BF72">
        <w:tblPrEx>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16132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val="0"/>
                <w:bCs w:val="0"/>
                <w:color w:val="auto"/>
                <w:kern w:val="0"/>
                <w:sz w:val="21"/>
                <w:szCs w:val="21"/>
                <w:highlight w:val="none"/>
                <w:shd w:val="clear" w:color="auto" w:fill="auto"/>
                <w:lang w:val="en-US" w:eastAsia="zh-CN"/>
              </w:rPr>
            </w:pPr>
            <w:r>
              <w:rPr>
                <w:rFonts w:hint="eastAsia" w:ascii="宋体" w:hAnsi="宋体" w:eastAsia="宋体" w:cs="宋体"/>
                <w:b w:val="0"/>
                <w:bCs w:val="0"/>
                <w:color w:val="auto"/>
                <w:kern w:val="0"/>
                <w:sz w:val="21"/>
                <w:szCs w:val="21"/>
                <w:highlight w:val="none"/>
                <w:shd w:val="clear" w:color="auto" w:fill="auto"/>
                <w:lang w:val="en-US" w:eastAsia="zh-CN"/>
              </w:rPr>
              <w:t>得分率</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25115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96</w:t>
            </w:r>
            <w:r>
              <w:rPr>
                <w:rFonts w:hint="eastAsia" w:ascii="宋体" w:hAnsi="宋体" w:eastAsia="宋体" w:cs="宋体"/>
                <w:color w:val="auto"/>
                <w:kern w:val="0"/>
                <w:sz w:val="21"/>
                <w:szCs w:val="21"/>
                <w:highlight w:val="none"/>
                <w:shd w:val="clear" w:color="auto" w:fill="auto"/>
                <w:lang w:val="en-US" w:eastAsia="zh-CN"/>
              </w:rPr>
              <w:t>%</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DF055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100</w:t>
            </w:r>
            <w:r>
              <w:rPr>
                <w:rFonts w:hint="eastAsia" w:ascii="宋体" w:hAnsi="宋体" w:eastAsia="宋体" w:cs="宋体"/>
                <w:color w:val="auto"/>
                <w:kern w:val="0"/>
                <w:sz w:val="21"/>
                <w:szCs w:val="21"/>
                <w:highlight w:val="none"/>
                <w:shd w:val="clear" w:color="auto" w:fill="auto"/>
                <w:lang w:val="en-US" w:eastAsia="zh-CN"/>
              </w:rPr>
              <w:t>%</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FDF4C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96.6</w:t>
            </w:r>
            <w:r>
              <w:rPr>
                <w:rFonts w:hint="eastAsia" w:ascii="宋体" w:hAnsi="宋体" w:eastAsia="宋体" w:cs="宋体"/>
                <w:color w:val="auto"/>
                <w:kern w:val="0"/>
                <w:sz w:val="21"/>
                <w:szCs w:val="21"/>
                <w:highlight w:val="none"/>
                <w:shd w:val="clear" w:color="auto" w:fill="auto"/>
                <w:lang w:val="en-US" w:eastAsia="zh-CN"/>
              </w:rPr>
              <w:t>%</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41FFD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100</w:t>
            </w:r>
            <w:r>
              <w:rPr>
                <w:rFonts w:hint="eastAsia" w:ascii="宋体" w:hAnsi="宋体" w:eastAsia="宋体" w:cs="宋体"/>
                <w:color w:val="auto"/>
                <w:kern w:val="0"/>
                <w:sz w:val="21"/>
                <w:szCs w:val="21"/>
                <w:highlight w:val="none"/>
                <w:shd w:val="clear" w:color="auto" w:fill="auto"/>
                <w:lang w:val="en-US" w:eastAsia="zh-CN"/>
              </w:rPr>
              <w:t>%</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9C230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97.96%</w:t>
            </w:r>
          </w:p>
        </w:tc>
      </w:tr>
    </w:tbl>
    <w:p w14:paraId="69920340">
      <w:pPr>
        <w:pStyle w:val="3"/>
        <w:pageBreakBefore w:val="0"/>
        <w:kinsoku/>
        <w:wordWrap/>
        <w:overflowPunct/>
        <w:topLinePunct w:val="0"/>
        <w:autoSpaceDE/>
        <w:autoSpaceDN/>
        <w:bidi w:val="0"/>
        <w:adjustRightInd/>
        <w:spacing w:beforeLines="0" w:afterLines="0" w:line="560" w:lineRule="exact"/>
        <w:textAlignment w:val="auto"/>
        <w:rPr>
          <w:rFonts w:hint="eastAsia" w:ascii="黑体" w:hAnsi="黑体" w:eastAsia="黑体" w:cs="黑体"/>
          <w:b w:val="0"/>
          <w:bCs w:val="0"/>
          <w:color w:val="auto"/>
          <w:highlight w:val="none"/>
          <w:shd w:val="clear" w:color="auto" w:fill="auto"/>
          <w:lang w:val="en-US" w:eastAsia="zh-CN"/>
        </w:rPr>
      </w:pPr>
      <w:bookmarkStart w:id="105" w:name="_Toc14941"/>
      <w:r>
        <w:rPr>
          <w:rFonts w:hint="eastAsia" w:ascii="黑体" w:hAnsi="黑体" w:eastAsia="黑体" w:cs="黑体"/>
          <w:b w:val="0"/>
          <w:bCs w:val="0"/>
          <w:color w:val="auto"/>
          <w:highlight w:val="none"/>
          <w:shd w:val="clear" w:color="auto" w:fill="auto"/>
          <w:lang w:val="en-US" w:eastAsia="zh-CN"/>
        </w:rPr>
        <w:t>四、绩效评价指标分析</w:t>
      </w:r>
      <w:bookmarkEnd w:id="105"/>
    </w:p>
    <w:p w14:paraId="19C49EF1">
      <w:pPr>
        <w:pStyle w:val="14"/>
        <w:pageBreakBefore w:val="0"/>
        <w:widowControl/>
        <w:kinsoku/>
        <w:wordWrap/>
        <w:overflowPunct/>
        <w:topLinePunct w:val="0"/>
        <w:autoSpaceDE/>
        <w:autoSpaceDN/>
        <w:bidi w:val="0"/>
        <w:adjustRightInd/>
        <w:spacing w:before="0" w:beforeLines="-2147483648" w:after="0" w:afterLines="-2147483648" w:line="560" w:lineRule="exact"/>
        <w:ind w:firstLine="643" w:firstLineChars="200"/>
        <w:jc w:val="both"/>
        <w:rPr>
          <w:rFonts w:hint="eastAsia" w:ascii="Times New Roman" w:hAnsi="Times New Roman" w:eastAsia="楷体_GB2312" w:cs="Times New Roman"/>
          <w:color w:val="auto"/>
          <w:kern w:val="28"/>
          <w:sz w:val="32"/>
          <w:highlight w:val="none"/>
        </w:rPr>
      </w:pPr>
      <w:bookmarkStart w:id="106" w:name="_Toc6759"/>
      <w:r>
        <w:rPr>
          <w:rFonts w:hint="eastAsia" w:ascii="Times New Roman" w:hAnsi="Times New Roman" w:eastAsia="楷体_GB2312" w:cs="Times New Roman"/>
          <w:color w:val="auto"/>
          <w:kern w:val="28"/>
          <w:sz w:val="32"/>
          <w:highlight w:val="none"/>
        </w:rPr>
        <w:t>（一）项目决策情况</w:t>
      </w:r>
      <w:bookmarkEnd w:id="106"/>
    </w:p>
    <w:p w14:paraId="666EE9F0">
      <w:pPr>
        <w:keepNext w:val="0"/>
        <w:keepLines w:val="0"/>
        <w:pageBreakBefore w:val="0"/>
        <w:widowControl w:val="0"/>
        <w:kinsoku/>
        <w:wordWrap/>
        <w:overflowPunct/>
        <w:topLinePunct w:val="0"/>
        <w:autoSpaceDE/>
        <w:autoSpaceDN/>
        <w:bidi w:val="0"/>
        <w:adjustRightInd/>
        <w:snapToGrid/>
        <w:spacing w:line="560" w:lineRule="exact"/>
        <w:ind w:firstLine="723"/>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项目决策由3个二级指标和6个三级指标构成，权重分20分，实际得分19.2分，</w:t>
      </w:r>
      <w:r>
        <w:rPr>
          <w:rFonts w:hint="eastAsia" w:ascii="仿宋_GB2312" w:hAnsi="仿宋_GB2312" w:eastAsia="仿宋_GB2312" w:cs="仿宋_GB2312"/>
          <w:color w:val="auto"/>
          <w:kern w:val="2"/>
          <w:sz w:val="32"/>
          <w:szCs w:val="32"/>
          <w:highlight w:val="none"/>
          <w:u w:color="000000"/>
          <w:shd w:val="clear" w:color="auto" w:fill="auto"/>
          <w:lang w:val="zh-TW" w:eastAsia="zh-TW"/>
        </w:rPr>
        <w:t>各指标业绩值和绩效分值如表</w:t>
      </w:r>
      <w:r>
        <w:rPr>
          <w:rFonts w:hint="eastAsia" w:ascii="仿宋_GB2312" w:hAnsi="仿宋_GB2312" w:eastAsia="仿宋_GB2312" w:cs="仿宋_GB2312"/>
          <w:b/>
          <w:bCs/>
          <w:color w:val="auto"/>
          <w:kern w:val="2"/>
          <w:sz w:val="32"/>
          <w:szCs w:val="32"/>
          <w:highlight w:val="none"/>
          <w:u w:color="000000"/>
          <w:shd w:val="clear" w:color="auto" w:fill="auto"/>
          <w:lang w:val="en-US" w:eastAsia="zh-CN"/>
        </w:rPr>
        <w:t>4</w:t>
      </w:r>
      <w:r>
        <w:rPr>
          <w:rFonts w:hint="eastAsia" w:ascii="仿宋_GB2312" w:hAnsi="仿宋_GB2312" w:eastAsia="仿宋_GB2312" w:cs="仿宋_GB2312"/>
          <w:b/>
          <w:bCs/>
          <w:color w:val="auto"/>
          <w:kern w:val="2"/>
          <w:sz w:val="32"/>
          <w:szCs w:val="32"/>
          <w:highlight w:val="none"/>
          <w:u w:color="000000"/>
          <w:shd w:val="clear" w:color="auto" w:fill="auto"/>
          <w:lang w:eastAsia="zh-CN"/>
        </w:rPr>
        <w:t>-1</w:t>
      </w:r>
      <w:r>
        <w:rPr>
          <w:rFonts w:hint="eastAsia" w:ascii="仿宋_GB2312" w:hAnsi="仿宋_GB2312" w:eastAsia="仿宋_GB2312" w:cs="仿宋_GB2312"/>
          <w:color w:val="auto"/>
          <w:kern w:val="2"/>
          <w:sz w:val="32"/>
          <w:szCs w:val="32"/>
          <w:highlight w:val="none"/>
          <w:u w:color="000000"/>
          <w:shd w:val="clear" w:color="auto" w:fill="auto"/>
          <w:lang w:val="zh-TW" w:eastAsia="zh-TW"/>
        </w:rPr>
        <w:t>所示</w:t>
      </w:r>
      <w:r>
        <w:rPr>
          <w:rFonts w:hint="eastAsia" w:ascii="仿宋_GB2312" w:hAnsi="仿宋_GB2312" w:eastAsia="仿宋_GB2312" w:cs="仿宋_GB2312"/>
          <w:b/>
          <w:bCs/>
          <w:color w:val="auto"/>
          <w:sz w:val="32"/>
          <w:szCs w:val="32"/>
          <w:highlight w:val="none"/>
          <w:shd w:val="clear" w:color="auto" w:fill="auto"/>
          <w:lang w:val="zh-TW" w:eastAsia="zh-CN"/>
        </w:rPr>
        <w:t>（</w:t>
      </w:r>
      <w:r>
        <w:rPr>
          <w:rFonts w:hint="eastAsia" w:ascii="仿宋_GB2312" w:hAnsi="仿宋_GB2312" w:eastAsia="仿宋_GB2312" w:cs="仿宋_GB2312"/>
          <w:b/>
          <w:bCs/>
          <w:color w:val="auto"/>
          <w:sz w:val="32"/>
          <w:szCs w:val="32"/>
          <w:highlight w:val="none"/>
          <w:shd w:val="clear" w:color="auto" w:fill="auto"/>
          <w:lang w:val="en-US" w:eastAsia="zh-CN"/>
        </w:rPr>
        <w:t>详见上传的附件二</w:t>
      </w:r>
      <w:r>
        <w:rPr>
          <w:rFonts w:hint="eastAsia" w:ascii="仿宋_GB2312" w:hAnsi="仿宋_GB2312" w:eastAsia="仿宋_GB2312" w:cs="仿宋_GB2312"/>
          <w:b/>
          <w:bCs/>
          <w:color w:val="auto"/>
          <w:sz w:val="32"/>
          <w:szCs w:val="32"/>
          <w:highlight w:val="none"/>
          <w:shd w:val="clear" w:color="auto" w:fill="auto"/>
          <w:lang w:val="zh-TW" w:eastAsia="zh-CN"/>
        </w:rPr>
        <w:t>）</w:t>
      </w:r>
      <w:r>
        <w:rPr>
          <w:rFonts w:hint="eastAsia" w:ascii="仿宋_GB2312" w:hAnsi="仿宋_GB2312" w:eastAsia="仿宋_GB2312" w:cs="仿宋_GB2312"/>
          <w:color w:val="auto"/>
          <w:sz w:val="32"/>
          <w:szCs w:val="32"/>
          <w:highlight w:val="none"/>
          <w:shd w:val="clear" w:color="auto" w:fill="auto"/>
          <w:lang w:val="en-US" w:eastAsia="zh-CN"/>
        </w:rPr>
        <w:t>：</w:t>
      </w:r>
    </w:p>
    <w:p w14:paraId="021C4CD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仿宋_GB2312" w:hAnsi="仿宋_GB2312" w:eastAsia="仿宋_GB2312" w:cs="仿宋_GB2312"/>
          <w:b/>
          <w:bCs/>
          <w:color w:val="auto"/>
          <w:kern w:val="0"/>
          <w:sz w:val="32"/>
          <w:szCs w:val="32"/>
          <w:highlight w:val="none"/>
          <w:shd w:val="clear" w:color="auto" w:fill="auto"/>
          <w:lang w:val="en-US" w:eastAsia="zh-CN"/>
        </w:rPr>
      </w:pPr>
      <w:r>
        <w:rPr>
          <w:rFonts w:hint="eastAsia" w:ascii="仿宋_GB2312" w:hAnsi="仿宋_GB2312" w:eastAsia="仿宋_GB2312" w:cs="仿宋_GB2312"/>
          <w:b/>
          <w:bCs/>
          <w:color w:val="auto"/>
          <w:kern w:val="0"/>
          <w:sz w:val="32"/>
          <w:szCs w:val="32"/>
          <w:highlight w:val="none"/>
          <w:shd w:val="clear" w:color="auto" w:fill="auto"/>
          <w:lang w:val="zh-TW" w:eastAsia="zh-TW"/>
        </w:rPr>
        <w:t>表</w:t>
      </w:r>
      <w:r>
        <w:rPr>
          <w:rFonts w:hint="eastAsia" w:ascii="仿宋_GB2312" w:hAnsi="仿宋_GB2312" w:eastAsia="仿宋_GB2312" w:cs="仿宋_GB2312"/>
          <w:b/>
          <w:bCs/>
          <w:color w:val="auto"/>
          <w:kern w:val="0"/>
          <w:sz w:val="32"/>
          <w:szCs w:val="32"/>
          <w:highlight w:val="none"/>
          <w:shd w:val="clear" w:color="auto" w:fill="auto"/>
          <w:lang w:val="en-US" w:eastAsia="zh-CN"/>
        </w:rPr>
        <w:t>4-1</w:t>
      </w:r>
      <w:r>
        <w:rPr>
          <w:rFonts w:hint="eastAsia" w:ascii="仿宋_GB2312" w:hAnsi="仿宋_GB2312" w:eastAsia="仿宋_GB2312" w:cs="仿宋_GB2312"/>
          <w:b/>
          <w:bCs/>
          <w:color w:val="auto"/>
          <w:kern w:val="0"/>
          <w:sz w:val="32"/>
          <w:szCs w:val="32"/>
          <w:highlight w:val="none"/>
          <w:shd w:val="clear" w:color="auto" w:fill="auto"/>
          <w:lang w:val="zh-TW" w:eastAsia="zh-TW"/>
        </w:rPr>
        <w:t>项目决策指标及分值</w:t>
      </w:r>
    </w:p>
    <w:tbl>
      <w:tblPr>
        <w:tblStyle w:val="16"/>
        <w:tblW w:w="8447" w:type="dxa"/>
        <w:jc w:val="center"/>
        <w:tblLayout w:type="fixed"/>
        <w:tblCellMar>
          <w:top w:w="0" w:type="dxa"/>
          <w:left w:w="0" w:type="dxa"/>
          <w:bottom w:w="0" w:type="dxa"/>
          <w:right w:w="0" w:type="dxa"/>
        </w:tblCellMar>
      </w:tblPr>
      <w:tblGrid>
        <w:gridCol w:w="1077"/>
        <w:gridCol w:w="960"/>
        <w:gridCol w:w="1248"/>
        <w:gridCol w:w="794"/>
        <w:gridCol w:w="3"/>
        <w:gridCol w:w="1868"/>
        <w:gridCol w:w="3"/>
        <w:gridCol w:w="1414"/>
        <w:gridCol w:w="3"/>
        <w:gridCol w:w="1074"/>
        <w:gridCol w:w="3"/>
      </w:tblGrid>
      <w:tr w14:paraId="1480CB88">
        <w:tblPrEx>
          <w:tblCellMar>
            <w:top w:w="0" w:type="dxa"/>
            <w:left w:w="0" w:type="dxa"/>
            <w:bottom w:w="0" w:type="dxa"/>
            <w:right w:w="0" w:type="dxa"/>
          </w:tblCellMar>
        </w:tblPrEx>
        <w:trPr>
          <w:gridAfter w:val="1"/>
          <w:wAfter w:w="3" w:type="dxa"/>
          <w:trHeight w:val="522" w:hRule="atLeast"/>
          <w:tblHeader/>
          <w:jc w:val="center"/>
        </w:trPr>
        <w:tc>
          <w:tcPr>
            <w:tcW w:w="107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3E465F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一级指标</w:t>
            </w:r>
          </w:p>
        </w:tc>
        <w:tc>
          <w:tcPr>
            <w:tcW w:w="96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FF063C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分值</w:t>
            </w:r>
          </w:p>
        </w:tc>
        <w:tc>
          <w:tcPr>
            <w:tcW w:w="12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BC1026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二级指标</w:t>
            </w:r>
          </w:p>
        </w:tc>
        <w:tc>
          <w:tcPr>
            <w:tcW w:w="79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A1E656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分值</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17AA41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三级指标</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FBD4BE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分值</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184CC9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得分</w:t>
            </w:r>
          </w:p>
        </w:tc>
      </w:tr>
      <w:tr w14:paraId="6315A437">
        <w:tblPrEx>
          <w:tblCellMar>
            <w:top w:w="0" w:type="dxa"/>
            <w:left w:w="0" w:type="dxa"/>
            <w:bottom w:w="0" w:type="dxa"/>
            <w:right w:w="0" w:type="dxa"/>
          </w:tblCellMar>
        </w:tblPrEx>
        <w:trPr>
          <w:gridAfter w:val="1"/>
          <w:wAfter w:w="3" w:type="dxa"/>
          <w:trHeight w:val="334" w:hRule="atLeast"/>
          <w:tblHeader/>
          <w:jc w:val="center"/>
        </w:trPr>
        <w:tc>
          <w:tcPr>
            <w:tcW w:w="1077"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14:paraId="3C7B509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项目决策</w:t>
            </w:r>
          </w:p>
        </w:tc>
        <w:tc>
          <w:tcPr>
            <w:tcW w:w="960"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14:paraId="2928D66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w:t>
            </w:r>
          </w:p>
        </w:tc>
        <w:tc>
          <w:tcPr>
            <w:tcW w:w="1248"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14:paraId="5D8BD9B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项目立项</w:t>
            </w:r>
          </w:p>
        </w:tc>
        <w:tc>
          <w:tcPr>
            <w:tcW w:w="794"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14:paraId="3705D07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5</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285CF7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立项依据充分性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C97F16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303F1C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w:t>
            </w:r>
          </w:p>
        </w:tc>
      </w:tr>
      <w:tr w14:paraId="3CC8459A">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3495851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6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5E1D62A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262B27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794"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005F91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CFCDF6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立项程序规范性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EDACC9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3</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E134AE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2.2</w:t>
            </w:r>
          </w:p>
        </w:tc>
      </w:tr>
      <w:tr w14:paraId="136E7691">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57211B7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6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7947EC2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09A1C7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绩效目标</w:t>
            </w:r>
          </w:p>
        </w:tc>
        <w:tc>
          <w:tcPr>
            <w:tcW w:w="794"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7AF8F0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10</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128FD2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绩效目标合理性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61F439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5</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6C0A74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r>
      <w:tr w14:paraId="0ED40DB9">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23A4985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6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35A8EFA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63AB46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794"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F32377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752727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绩效指标明确性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36F636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5</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6F1BBC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r>
      <w:tr w14:paraId="3A823E98">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5EDD939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6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5388930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14:paraId="6DD49A8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资金投入</w:t>
            </w:r>
          </w:p>
        </w:tc>
        <w:tc>
          <w:tcPr>
            <w:tcW w:w="794"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14:paraId="30FB36A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5</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68934B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预算编制科学性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F2A05C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A0664E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w:t>
            </w:r>
          </w:p>
        </w:tc>
      </w:tr>
      <w:tr w14:paraId="48054F93">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3F47B1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60"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8793E5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D0CA65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794"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01482C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2C2AA3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资金分配合理性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2528DC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3</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A30DAA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3</w:t>
            </w:r>
          </w:p>
        </w:tc>
      </w:tr>
      <w:tr w14:paraId="7D01DF24">
        <w:tblPrEx>
          <w:tblCellMar>
            <w:top w:w="0" w:type="dxa"/>
            <w:left w:w="0" w:type="dxa"/>
            <w:bottom w:w="0" w:type="dxa"/>
            <w:right w:w="0" w:type="dxa"/>
          </w:tblCellMar>
        </w:tblPrEx>
        <w:trPr>
          <w:trHeight w:val="334" w:hRule="atLeast"/>
          <w:tblHeader/>
          <w:jc w:val="center"/>
        </w:trPr>
        <w:tc>
          <w:tcPr>
            <w:tcW w:w="3285"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713A8F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合计</w:t>
            </w:r>
          </w:p>
        </w:tc>
        <w:tc>
          <w:tcPr>
            <w:tcW w:w="79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60072D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D16C40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1016E9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9A2B35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19.2</w:t>
            </w:r>
          </w:p>
        </w:tc>
      </w:tr>
    </w:tbl>
    <w:p w14:paraId="4450CA42">
      <w:pPr>
        <w:pageBreakBefore w:val="0"/>
        <w:kinsoku/>
        <w:wordWrap/>
        <w:overflowPunct/>
        <w:topLinePunct w:val="0"/>
        <w:autoSpaceDE/>
        <w:autoSpaceDN/>
        <w:bidi w:val="0"/>
        <w:adjustRightInd/>
        <w:spacing w:line="560" w:lineRule="exact"/>
        <w:textAlignment w:val="auto"/>
        <w:outlineLvl w:val="2"/>
        <w:rPr>
          <w:rFonts w:hint="eastAsia" w:ascii="仿宋_GB2312" w:hAnsi="仿宋_GB2312" w:eastAsia="仿宋_GB2312" w:cs="仿宋_GB2312"/>
          <w:b/>
          <w:bCs/>
          <w:color w:val="auto"/>
          <w:sz w:val="32"/>
          <w:szCs w:val="32"/>
          <w:highlight w:val="none"/>
          <w:lang w:val="en-US" w:eastAsia="zh-CN"/>
        </w:rPr>
      </w:pPr>
      <w:bookmarkStart w:id="107" w:name="_Toc13522"/>
      <w:bookmarkStart w:id="108" w:name="_Toc28069"/>
      <w:bookmarkStart w:id="109" w:name="_Toc10564"/>
      <w:r>
        <w:rPr>
          <w:rFonts w:hint="eastAsia" w:ascii="仿宋_GB2312" w:hAnsi="仿宋_GB2312" w:eastAsia="仿宋_GB2312" w:cs="仿宋_GB2312"/>
          <w:b/>
          <w:bCs/>
          <w:color w:val="auto"/>
          <w:sz w:val="32"/>
          <w:szCs w:val="32"/>
          <w:highlight w:val="none"/>
          <w:lang w:val="en-US" w:eastAsia="zh-CN"/>
        </w:rPr>
        <w:t>1.立项依据充分性</w:t>
      </w:r>
      <w:bookmarkEnd w:id="107"/>
      <w:bookmarkEnd w:id="108"/>
    </w:p>
    <w:p w14:paraId="32F3AD17">
      <w:pPr>
        <w:pageBreakBefore w:val="0"/>
        <w:kinsoku/>
        <w:wordWrap/>
        <w:overflowPunct/>
        <w:topLinePunct w:val="0"/>
        <w:autoSpaceDE/>
        <w:autoSpaceDN/>
        <w:bidi w:val="0"/>
        <w:adjustRightInd/>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①项目立项符合</w:t>
      </w:r>
      <w:r>
        <w:rPr>
          <w:rFonts w:hint="eastAsia" w:ascii="仿宋_GB2312" w:hAnsi="仿宋_GB2312" w:eastAsia="仿宋_GB2312" w:cs="仿宋_GB2312"/>
          <w:color w:val="auto"/>
          <w:sz w:val="32"/>
          <w:szCs w:val="32"/>
          <w:highlight w:val="none"/>
          <w:lang w:val="en-US" w:eastAsia="zh-CN"/>
        </w:rPr>
        <w:t>《国家基本公共卫生服务规范（第三版）》</w:t>
      </w:r>
      <w:r>
        <w:rPr>
          <w:rFonts w:hint="eastAsia" w:ascii="仿宋_GB2312" w:hAnsi="仿宋_GB2312" w:eastAsia="仿宋_GB2312" w:cs="仿宋_GB2312"/>
          <w:color w:val="auto"/>
          <w:sz w:val="32"/>
          <w:szCs w:val="32"/>
          <w:highlight w:val="none"/>
          <w:lang w:eastAsia="zh-CN"/>
        </w:rPr>
        <w:t>相关政策；</w:t>
      </w:r>
    </w:p>
    <w:p w14:paraId="4F221CA1">
      <w:pPr>
        <w:pageBreakBefore w:val="0"/>
        <w:kinsoku/>
        <w:wordWrap/>
        <w:overflowPunct/>
        <w:topLinePunct w:val="0"/>
        <w:autoSpaceDE/>
        <w:autoSpaceDN/>
        <w:bidi w:val="0"/>
        <w:adjustRightInd/>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②项目立项符合</w:t>
      </w:r>
      <w:r>
        <w:rPr>
          <w:rFonts w:hint="eastAsia" w:ascii="仿宋_GB2312" w:hAnsi="仿宋_GB2312" w:eastAsia="仿宋_GB2312" w:cs="仿宋_GB2312"/>
          <w:color w:val="auto"/>
          <w:sz w:val="32"/>
          <w:szCs w:val="32"/>
          <w:highlight w:val="none"/>
          <w:lang w:val="en-US" w:eastAsia="zh-CN"/>
        </w:rPr>
        <w:t>辖区内居民免费享受国家基本公共卫生服务</w:t>
      </w:r>
      <w:r>
        <w:rPr>
          <w:rFonts w:hint="eastAsia" w:ascii="仿宋_GB2312" w:hAnsi="仿宋_GB2312" w:eastAsia="仿宋_GB2312" w:cs="仿宋_GB2312"/>
          <w:color w:val="auto"/>
          <w:sz w:val="32"/>
          <w:szCs w:val="32"/>
          <w:highlight w:val="none"/>
          <w:lang w:eastAsia="zh-CN"/>
        </w:rPr>
        <w:t>发展规划和政策要求；</w:t>
      </w:r>
    </w:p>
    <w:p w14:paraId="668D1BDE">
      <w:pPr>
        <w:pageBreakBefore w:val="0"/>
        <w:kinsoku/>
        <w:wordWrap/>
        <w:overflowPunct/>
        <w:topLinePunct w:val="0"/>
        <w:autoSpaceDE/>
        <w:autoSpaceDN/>
        <w:bidi w:val="0"/>
        <w:adjustRightInd/>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③项目立项与</w:t>
      </w:r>
      <w:r>
        <w:rPr>
          <w:rFonts w:hint="eastAsia" w:ascii="仿宋_GB2312" w:hAnsi="仿宋_GB2312" w:eastAsia="仿宋_GB2312" w:cs="仿宋_GB2312"/>
          <w:color w:val="auto"/>
          <w:sz w:val="32"/>
          <w:szCs w:val="32"/>
          <w:highlight w:val="none"/>
          <w:lang w:val="en-US" w:eastAsia="zh-CN"/>
        </w:rPr>
        <w:t>切实保障辖区内居民免费享受国家基本公共卫生服务、提升居民健康意识的部</w:t>
      </w:r>
      <w:r>
        <w:rPr>
          <w:rFonts w:hint="eastAsia" w:ascii="仿宋_GB2312" w:hAnsi="仿宋_GB2312" w:eastAsia="仿宋_GB2312" w:cs="仿宋_GB2312"/>
          <w:color w:val="auto"/>
          <w:sz w:val="32"/>
          <w:szCs w:val="32"/>
          <w:highlight w:val="none"/>
          <w:lang w:eastAsia="zh-CN"/>
        </w:rPr>
        <w:t>门职责范围相符，属于部门履职所需；</w:t>
      </w:r>
    </w:p>
    <w:p w14:paraId="392F3F05">
      <w:pPr>
        <w:pageBreakBefore w:val="0"/>
        <w:kinsoku/>
        <w:wordWrap/>
        <w:overflowPunct/>
        <w:topLinePunct w:val="0"/>
        <w:autoSpaceDE/>
        <w:autoSpaceDN/>
        <w:bidi w:val="0"/>
        <w:adjustRightInd/>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highlight w:val="none"/>
          <w:lang w:eastAsia="zh-CN"/>
        </w:rPr>
        <w:t>④</w:t>
      </w:r>
      <w:r>
        <w:rPr>
          <w:rFonts w:hint="eastAsia" w:ascii="仿宋_GB2312" w:hAnsi="仿宋_GB2312" w:eastAsia="仿宋_GB2312" w:cs="仿宋_GB2312"/>
          <w:color w:val="auto"/>
          <w:sz w:val="32"/>
          <w:szCs w:val="32"/>
          <w:highlight w:val="none"/>
          <w:lang w:eastAsia="zh-CN"/>
        </w:rPr>
        <w:t>项目属于公共财政支持范围，符合中央、地方事权支出责任划分原则；</w:t>
      </w:r>
    </w:p>
    <w:p w14:paraId="66D6B3E1">
      <w:pPr>
        <w:pageBreakBefore w:val="0"/>
        <w:kinsoku/>
        <w:wordWrap/>
        <w:overflowPunct/>
        <w:topLinePunct w:val="0"/>
        <w:autoSpaceDE/>
        <w:autoSpaceDN/>
        <w:bidi w:val="0"/>
        <w:adjustRightInd/>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⑤项目与相关部门同类项目或部门内部相关项目</w:t>
      </w:r>
      <w:r>
        <w:rPr>
          <w:rFonts w:hint="eastAsia" w:ascii="仿宋_GB2312" w:hAnsi="仿宋_GB2312" w:eastAsia="仿宋_GB2312" w:cs="仿宋_GB2312"/>
          <w:color w:val="auto"/>
          <w:sz w:val="32"/>
          <w:szCs w:val="32"/>
          <w:highlight w:val="none"/>
          <w:lang w:val="en-US" w:eastAsia="zh-CN"/>
        </w:rPr>
        <w:t>不</w:t>
      </w:r>
      <w:r>
        <w:rPr>
          <w:rFonts w:hint="eastAsia" w:ascii="仿宋_GB2312" w:hAnsi="仿宋_GB2312" w:eastAsia="仿宋_GB2312" w:cs="仿宋_GB2312"/>
          <w:color w:val="auto"/>
          <w:sz w:val="32"/>
          <w:szCs w:val="32"/>
          <w:highlight w:val="none"/>
          <w:lang w:eastAsia="zh-CN"/>
        </w:rPr>
        <w:t>重复。</w:t>
      </w:r>
    </w:p>
    <w:p w14:paraId="675FEA42">
      <w:pPr>
        <w:pageBreakBefore w:val="0"/>
        <w:kinsoku/>
        <w:wordWrap/>
        <w:overflowPunct/>
        <w:topLinePunct w:val="0"/>
        <w:autoSpaceDE/>
        <w:autoSpaceDN/>
        <w:bidi w:val="0"/>
        <w:adjustRightInd/>
        <w:spacing w:line="560" w:lineRule="exact"/>
        <w:rPr>
          <w:rFonts w:hint="default"/>
          <w:color w:val="auto"/>
          <w:highlight w:val="none"/>
          <w:lang w:val="en-US" w:eastAsia="zh-CN"/>
        </w:rPr>
      </w:pPr>
      <w:r>
        <w:rPr>
          <w:rFonts w:hint="eastAsia"/>
          <w:b/>
          <w:bCs/>
          <w:color w:val="auto"/>
          <w:highlight w:val="none"/>
          <w:lang w:val="en-US" w:eastAsia="zh-CN"/>
        </w:rPr>
        <w:t>综上，该项指标满分2分，得分2分。</w:t>
      </w:r>
    </w:p>
    <w:p w14:paraId="040F362B">
      <w:pPr>
        <w:pageBreakBefore w:val="0"/>
        <w:kinsoku/>
        <w:wordWrap/>
        <w:overflowPunct/>
        <w:topLinePunct w:val="0"/>
        <w:autoSpaceDE/>
        <w:autoSpaceDN/>
        <w:bidi w:val="0"/>
        <w:adjustRightInd/>
        <w:spacing w:line="560" w:lineRule="exact"/>
        <w:textAlignment w:val="auto"/>
        <w:outlineLvl w:val="2"/>
        <w:rPr>
          <w:rFonts w:hint="default" w:ascii="仿宋_GB2312" w:hAnsi="仿宋_GB2312" w:eastAsia="仿宋_GB2312" w:cs="仿宋_GB2312"/>
          <w:b/>
          <w:bCs/>
          <w:color w:val="auto"/>
          <w:sz w:val="32"/>
          <w:szCs w:val="32"/>
          <w:highlight w:val="none"/>
          <w:lang w:val="en-US" w:eastAsia="zh-CN"/>
        </w:rPr>
      </w:pPr>
      <w:bookmarkStart w:id="110" w:name="_Toc21976"/>
      <w:r>
        <w:rPr>
          <w:rFonts w:hint="eastAsia" w:ascii="仿宋_GB2312" w:hAnsi="仿宋_GB2312" w:eastAsia="仿宋_GB2312" w:cs="仿宋_GB2312"/>
          <w:b/>
          <w:bCs/>
          <w:color w:val="auto"/>
          <w:sz w:val="32"/>
          <w:szCs w:val="32"/>
          <w:highlight w:val="none"/>
          <w:lang w:val="en-US" w:eastAsia="zh-CN"/>
        </w:rPr>
        <w:t>2.立项程序规范性</w:t>
      </w:r>
      <w:bookmarkEnd w:id="110"/>
    </w:p>
    <w:p w14:paraId="122AC25F">
      <w:pPr>
        <w:pageBreakBefore w:val="0"/>
        <w:kinsoku/>
        <w:wordWrap/>
        <w:overflowPunct/>
        <w:topLinePunct w:val="0"/>
        <w:autoSpaceDE/>
        <w:autoSpaceDN/>
        <w:bidi w:val="0"/>
        <w:adjustRightInd/>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①项目按照规定的程序申请设立；</w:t>
      </w:r>
    </w:p>
    <w:p w14:paraId="0C2D6591">
      <w:pPr>
        <w:pageBreakBefore w:val="0"/>
        <w:kinsoku/>
        <w:wordWrap/>
        <w:overflowPunct/>
        <w:topLinePunct w:val="0"/>
        <w:autoSpaceDE/>
        <w:autoSpaceDN/>
        <w:bidi w:val="0"/>
        <w:adjustRightInd/>
        <w:spacing w:line="560" w:lineRule="exact"/>
        <w:ind w:left="0" w:leftChars="0" w:firstLine="0" w:firstLineChars="0"/>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val="en-US" w:eastAsia="zh-CN"/>
        </w:rPr>
        <w:t xml:space="preserve">    </w:t>
      </w:r>
      <w:r>
        <w:rPr>
          <w:rFonts w:hint="eastAsia" w:ascii="仿宋_GB2312" w:hAnsi="仿宋_GB2312" w:eastAsia="仿宋_GB2312" w:cs="仿宋_GB2312"/>
          <w:color w:val="auto"/>
          <w:sz w:val="32"/>
          <w:szCs w:val="32"/>
          <w:highlight w:val="none"/>
          <w:lang w:eastAsia="zh-CN"/>
        </w:rPr>
        <w:t>②审批文件、材料符合相关要求；</w:t>
      </w:r>
    </w:p>
    <w:p w14:paraId="1105C94A">
      <w:pPr>
        <w:pageBreakBefore w:val="0"/>
        <w:kinsoku/>
        <w:wordWrap/>
        <w:overflowPunct/>
        <w:topLinePunct w:val="0"/>
        <w:autoSpaceDE/>
        <w:autoSpaceDN/>
        <w:bidi w:val="0"/>
        <w:adjustRightInd/>
        <w:spacing w:line="560" w:lineRule="exact"/>
        <w:ind w:left="0" w:leftChars="0" w:firstLine="0" w:firstLineChars="0"/>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 xml:space="preserve">    </w:t>
      </w:r>
      <w:r>
        <w:rPr>
          <w:rFonts w:hint="eastAsia" w:ascii="仿宋_GB2312" w:hAnsi="仿宋_GB2312" w:eastAsia="仿宋_GB2312" w:cs="仿宋_GB2312"/>
          <w:color w:val="auto"/>
          <w:sz w:val="32"/>
          <w:szCs w:val="32"/>
          <w:highlight w:val="none"/>
          <w:lang w:eastAsia="zh-CN"/>
        </w:rPr>
        <w:t>③事前</w:t>
      </w:r>
      <w:r>
        <w:rPr>
          <w:rFonts w:hint="eastAsia" w:ascii="仿宋_GB2312" w:hAnsi="仿宋_GB2312" w:eastAsia="仿宋_GB2312" w:cs="仿宋_GB2312"/>
          <w:color w:val="auto"/>
          <w:sz w:val="32"/>
          <w:szCs w:val="32"/>
          <w:highlight w:val="none"/>
          <w:lang w:val="en-US" w:eastAsia="zh-CN"/>
        </w:rPr>
        <w:t>经过</w:t>
      </w:r>
      <w:r>
        <w:rPr>
          <w:rFonts w:hint="eastAsia" w:ascii="仿宋_GB2312" w:hAnsi="仿宋_GB2312" w:eastAsia="仿宋_GB2312" w:cs="仿宋_GB2312"/>
          <w:color w:val="auto"/>
          <w:sz w:val="32"/>
          <w:szCs w:val="32"/>
          <w:highlight w:val="none"/>
          <w:lang w:eastAsia="zh-CN"/>
        </w:rPr>
        <w:t>集体决策，</w:t>
      </w:r>
      <w:r>
        <w:rPr>
          <w:rFonts w:hint="eastAsia" w:ascii="仿宋_GB2312" w:hAnsi="仿宋_GB2312" w:eastAsia="仿宋_GB2312" w:cs="仿宋_GB2312"/>
          <w:color w:val="auto"/>
          <w:sz w:val="32"/>
          <w:szCs w:val="32"/>
          <w:highlight w:val="none"/>
          <w:lang w:val="en-US" w:eastAsia="zh-CN"/>
        </w:rPr>
        <w:t>未</w:t>
      </w:r>
      <w:r>
        <w:rPr>
          <w:rFonts w:hint="eastAsia" w:ascii="仿宋_GB2312" w:hAnsi="仿宋_GB2312" w:eastAsia="仿宋_GB2312" w:cs="仿宋_GB2312"/>
          <w:color w:val="auto"/>
          <w:sz w:val="32"/>
          <w:szCs w:val="32"/>
          <w:highlight w:val="none"/>
          <w:lang w:eastAsia="zh-CN"/>
        </w:rPr>
        <w:t>经过必要的可行性研究、专家论证、风险评估、绩效评估。</w:t>
      </w:r>
      <w:r>
        <w:rPr>
          <w:rFonts w:hint="eastAsia" w:ascii="仿宋_GB2312" w:hAnsi="仿宋_GB2312" w:eastAsia="仿宋_GB2312" w:cs="仿宋_GB2312"/>
          <w:color w:val="auto"/>
          <w:sz w:val="32"/>
          <w:szCs w:val="32"/>
          <w:highlight w:val="none"/>
          <w:lang w:val="en-US" w:eastAsia="zh-CN"/>
        </w:rPr>
        <w:t>扣0.8分。</w:t>
      </w:r>
    </w:p>
    <w:p w14:paraId="28A22AF5">
      <w:pPr>
        <w:pageBreakBefore w:val="0"/>
        <w:kinsoku/>
        <w:wordWrap/>
        <w:overflowPunct/>
        <w:topLinePunct w:val="0"/>
        <w:autoSpaceDE/>
        <w:autoSpaceDN/>
        <w:bidi w:val="0"/>
        <w:adjustRightInd/>
        <w:spacing w:line="560" w:lineRule="exact"/>
        <w:rPr>
          <w:rFonts w:hint="eastAsia"/>
          <w:color w:val="auto"/>
          <w:highlight w:val="none"/>
          <w:lang w:eastAsia="zh-CN"/>
        </w:rPr>
      </w:pPr>
      <w:r>
        <w:rPr>
          <w:rFonts w:hint="eastAsia"/>
          <w:b/>
          <w:bCs/>
          <w:color w:val="auto"/>
          <w:highlight w:val="none"/>
          <w:lang w:val="en-US" w:eastAsia="zh-CN"/>
        </w:rPr>
        <w:t>综上，该项指标满分3分，得分2.2分。</w:t>
      </w:r>
    </w:p>
    <w:bookmarkEnd w:id="109"/>
    <w:p w14:paraId="0377C596">
      <w:pPr>
        <w:pageBreakBefore w:val="0"/>
        <w:kinsoku/>
        <w:wordWrap/>
        <w:overflowPunct/>
        <w:topLinePunct w:val="0"/>
        <w:autoSpaceDE/>
        <w:autoSpaceDN/>
        <w:bidi w:val="0"/>
        <w:adjustRightInd/>
        <w:spacing w:line="560" w:lineRule="exact"/>
        <w:outlineLvl w:val="2"/>
        <w:rPr>
          <w:rFonts w:hint="default" w:ascii="仿宋_GB2312" w:hAnsi="仿宋_GB2312" w:eastAsia="仿宋_GB2312" w:cs="仿宋_GB2312"/>
          <w:b/>
          <w:bCs/>
          <w:color w:val="auto"/>
          <w:sz w:val="32"/>
          <w:szCs w:val="32"/>
          <w:highlight w:val="none"/>
          <w:lang w:val="en-US" w:eastAsia="zh-CN"/>
        </w:rPr>
      </w:pPr>
      <w:bookmarkStart w:id="111" w:name="_Toc15382"/>
      <w:bookmarkStart w:id="112" w:name="_Toc11349"/>
      <w:bookmarkStart w:id="113" w:name="_Toc28971"/>
      <w:r>
        <w:rPr>
          <w:rFonts w:hint="eastAsia" w:ascii="仿宋_GB2312" w:hAnsi="仿宋_GB2312" w:eastAsia="仿宋_GB2312" w:cs="仿宋_GB2312"/>
          <w:b/>
          <w:bCs/>
          <w:color w:val="auto"/>
          <w:sz w:val="32"/>
          <w:szCs w:val="32"/>
          <w:highlight w:val="none"/>
          <w:lang w:val="en-US" w:eastAsia="zh-CN"/>
        </w:rPr>
        <w:t>3.绩效目标合理性</w:t>
      </w:r>
      <w:bookmarkEnd w:id="111"/>
    </w:p>
    <w:p w14:paraId="5FB3A51A">
      <w:pPr>
        <w:pageBreakBefore w:val="0"/>
        <w:kinsoku/>
        <w:wordWrap/>
        <w:overflowPunct/>
        <w:topLinePunct w:val="0"/>
        <w:autoSpaceDE/>
        <w:autoSpaceDN/>
        <w:bidi w:val="0"/>
        <w:adjustRightInd/>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①该项目已设置年度绩效目标。</w:t>
      </w:r>
    </w:p>
    <w:p w14:paraId="4541A0FE">
      <w:pPr>
        <w:pageBreakBefore w:val="0"/>
        <w:kinsoku/>
        <w:wordWrap/>
        <w:overflowPunct/>
        <w:topLinePunct w:val="0"/>
        <w:autoSpaceDE/>
        <w:autoSpaceDN/>
        <w:bidi w:val="0"/>
        <w:adjustRightInd/>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②该项目实际工作内容为：居民健康档案管理、健康教育、预防接种、慢病管理、孕产妇管理、0-6岁儿童健康管理、精神疾病管理、老年人健康管理、卫生监督协管、中医药服务、传染病及突发公共卫生事件报告和处理等基本公共卫生服务和家庭医生签约式服务工作，绩效目标与实际工作内容一致，两者具有相关性。</w:t>
      </w:r>
    </w:p>
    <w:p w14:paraId="29C9C13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③该项目按照绩效目标完成数量指标、质量指标、时效指标、成本指标，65岁以上老人健康管理1683人，高血压服务1937人，糖尿病人服务544人，高血压患者基层规范管理服务合格率91%，糖尿病人服务率90%，65岁以上老人健康管理服务合格率79%，通过项目的实施，提高了高血压、糖尿病及老年人群的服务水平。</w:t>
      </w:r>
      <w:r>
        <w:rPr>
          <w:rFonts w:hint="eastAsia" w:ascii="仿宋_GB2312" w:hAnsi="仿宋_GB2312" w:eastAsia="仿宋_GB2312" w:cs="仿宋_GB2312"/>
          <w:color w:val="auto"/>
          <w:sz w:val="32"/>
          <w:szCs w:val="32"/>
          <w:highlight w:val="none"/>
          <w:lang w:val="en-US" w:eastAsia="zh-CN"/>
        </w:rPr>
        <w:t>达到了提高居民健康水平，</w:t>
      </w:r>
      <w:r>
        <w:rPr>
          <w:rFonts w:hint="eastAsia" w:ascii="仿宋_GB2312" w:hAnsi="仿宋_GB2312" w:eastAsia="仿宋_GB2312" w:cs="仿宋_GB2312"/>
          <w:color w:val="auto"/>
          <w:sz w:val="32"/>
          <w:szCs w:val="32"/>
          <w:highlight w:val="none"/>
          <w:lang w:eastAsia="zh-CN"/>
        </w:rPr>
        <w:t>预期产出效益和效果符合正常的业绩水平。</w:t>
      </w:r>
    </w:p>
    <w:p w14:paraId="18CA87E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④《项目支出绩效目标表》中预算金额为</w:t>
      </w:r>
      <w:r>
        <w:rPr>
          <w:rFonts w:hint="eastAsia" w:ascii="仿宋_GB2312" w:hAnsi="仿宋_GB2312" w:eastAsia="仿宋_GB2312" w:cs="仿宋_GB2312"/>
          <w:color w:val="auto"/>
          <w:sz w:val="32"/>
          <w:szCs w:val="32"/>
          <w:highlight w:val="none"/>
          <w:lang w:val="en-US" w:eastAsia="zh-CN"/>
        </w:rPr>
        <w:t>66.73</w:t>
      </w:r>
      <w:r>
        <w:rPr>
          <w:rFonts w:hint="eastAsia" w:ascii="仿宋_GB2312" w:hAnsi="仿宋_GB2312" w:eastAsia="仿宋_GB2312" w:cs="仿宋_GB2312"/>
          <w:color w:val="auto"/>
          <w:sz w:val="32"/>
          <w:szCs w:val="32"/>
          <w:highlight w:val="none"/>
          <w:lang w:eastAsia="zh-CN"/>
        </w:rPr>
        <w:t>万元，预算确定的项目资金</w:t>
      </w:r>
      <w:r>
        <w:rPr>
          <w:rFonts w:hint="eastAsia" w:ascii="仿宋_GB2312" w:hAnsi="仿宋_GB2312" w:eastAsia="仿宋_GB2312" w:cs="仿宋_GB2312"/>
          <w:color w:val="auto"/>
          <w:sz w:val="32"/>
          <w:szCs w:val="32"/>
          <w:highlight w:val="none"/>
          <w:lang w:val="en-US" w:eastAsia="zh-CN"/>
        </w:rPr>
        <w:t>66.73万元，</w:t>
      </w:r>
      <w:r>
        <w:rPr>
          <w:rFonts w:hint="eastAsia" w:ascii="仿宋_GB2312" w:hAnsi="仿宋_GB2312" w:eastAsia="仿宋_GB2312" w:cs="仿宋_GB2312"/>
          <w:color w:val="auto"/>
          <w:sz w:val="32"/>
          <w:szCs w:val="32"/>
          <w:highlight w:val="none"/>
          <w:lang w:eastAsia="zh-CN"/>
        </w:rPr>
        <w:t>与预算确定的项目投资额相匹配。</w:t>
      </w:r>
    </w:p>
    <w:p w14:paraId="3AC1DE3A">
      <w:pPr>
        <w:pageBreakBefore w:val="0"/>
        <w:kinsoku/>
        <w:wordWrap/>
        <w:overflowPunct/>
        <w:topLinePunct w:val="0"/>
        <w:autoSpaceDE/>
        <w:autoSpaceDN/>
        <w:bidi w:val="0"/>
        <w:adjustRightInd/>
        <w:spacing w:line="560" w:lineRule="exact"/>
        <w:rPr>
          <w:rFonts w:hint="eastAsia"/>
          <w:color w:val="auto"/>
          <w:highlight w:val="none"/>
          <w:lang w:eastAsia="zh-CN"/>
        </w:rPr>
      </w:pPr>
      <w:r>
        <w:rPr>
          <w:rFonts w:hint="eastAsia"/>
          <w:b/>
          <w:bCs/>
          <w:color w:val="auto"/>
          <w:highlight w:val="none"/>
          <w:lang w:val="en-US" w:eastAsia="zh-CN"/>
        </w:rPr>
        <w:t>综上，该项指标满分5分，得分5分。</w:t>
      </w:r>
    </w:p>
    <w:p w14:paraId="04A64852">
      <w:pPr>
        <w:pageBreakBefore w:val="0"/>
        <w:kinsoku/>
        <w:wordWrap/>
        <w:overflowPunct/>
        <w:topLinePunct w:val="0"/>
        <w:autoSpaceDE/>
        <w:autoSpaceDN/>
        <w:bidi w:val="0"/>
        <w:adjustRightInd/>
        <w:spacing w:line="560" w:lineRule="exact"/>
        <w:textAlignment w:val="auto"/>
        <w:outlineLvl w:val="2"/>
        <w:rPr>
          <w:rFonts w:hint="default" w:ascii="仿宋_GB2312" w:hAnsi="仿宋_GB2312" w:eastAsia="仿宋_GB2312" w:cs="仿宋_GB2312"/>
          <w:b/>
          <w:bCs/>
          <w:sz w:val="32"/>
          <w:szCs w:val="32"/>
          <w:lang w:val="en-US" w:eastAsia="zh-CN"/>
        </w:rPr>
      </w:pPr>
      <w:bookmarkStart w:id="114" w:name="_Toc10650"/>
      <w:r>
        <w:rPr>
          <w:rFonts w:hint="eastAsia" w:ascii="仿宋_GB2312" w:hAnsi="仿宋_GB2312" w:eastAsia="仿宋_GB2312" w:cs="仿宋_GB2312"/>
          <w:b/>
          <w:bCs/>
          <w:sz w:val="32"/>
          <w:szCs w:val="32"/>
          <w:lang w:val="en-US" w:eastAsia="zh-CN"/>
        </w:rPr>
        <w:t>4.绩效指标明确性</w:t>
      </w:r>
      <w:bookmarkEnd w:id="114"/>
    </w:p>
    <w:p w14:paraId="5273A93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①将项目绩效目标细化分解为</w:t>
      </w:r>
      <w:r>
        <w:rPr>
          <w:rFonts w:hint="eastAsia" w:ascii="仿宋_GB2312" w:hAnsi="仿宋_GB2312" w:eastAsia="仿宋_GB2312" w:cs="仿宋_GB2312"/>
          <w:color w:val="auto"/>
          <w:sz w:val="32"/>
          <w:szCs w:val="32"/>
          <w:highlight w:val="none"/>
          <w:lang w:val="en-US" w:eastAsia="zh-CN"/>
        </w:rPr>
        <w:t>4个二级</w:t>
      </w:r>
      <w:r>
        <w:rPr>
          <w:rFonts w:hint="eastAsia" w:ascii="仿宋_GB2312" w:hAnsi="仿宋_GB2312" w:eastAsia="仿宋_GB2312" w:cs="仿宋_GB2312"/>
          <w:color w:val="auto"/>
          <w:sz w:val="32"/>
          <w:szCs w:val="32"/>
          <w:highlight w:val="none"/>
          <w:lang w:eastAsia="zh-CN"/>
        </w:rPr>
        <w:t>效指标，</w:t>
      </w:r>
      <w:r>
        <w:rPr>
          <w:rFonts w:hint="eastAsia" w:ascii="仿宋_GB2312" w:hAnsi="仿宋_GB2312" w:eastAsia="仿宋_GB2312" w:cs="仿宋_GB2312"/>
          <w:color w:val="auto"/>
          <w:sz w:val="32"/>
          <w:szCs w:val="32"/>
          <w:highlight w:val="none"/>
          <w:lang w:val="en-US" w:eastAsia="zh-CN"/>
        </w:rPr>
        <w:t>其中三级指标共计9个</w:t>
      </w:r>
      <w:r>
        <w:rPr>
          <w:rFonts w:hint="eastAsia" w:ascii="仿宋_GB2312" w:hAnsi="仿宋_GB2312" w:eastAsia="仿宋_GB2312" w:cs="仿宋_GB2312"/>
          <w:color w:val="auto"/>
          <w:sz w:val="32"/>
          <w:szCs w:val="32"/>
          <w:highlight w:val="none"/>
          <w:lang w:eastAsia="zh-CN"/>
        </w:rPr>
        <w:t>；</w:t>
      </w:r>
    </w:p>
    <w:p w14:paraId="3498553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②通过清晰、可衡量的指标值予以体现，</w:t>
      </w:r>
      <w:r>
        <w:rPr>
          <w:rFonts w:hint="eastAsia" w:ascii="仿宋_GB2312" w:hAnsi="仿宋_GB2312" w:eastAsia="仿宋_GB2312" w:cs="仿宋_GB2312"/>
          <w:color w:val="auto"/>
          <w:sz w:val="32"/>
          <w:szCs w:val="32"/>
          <w:highlight w:val="none"/>
          <w:lang w:val="en-US" w:eastAsia="zh-CN"/>
        </w:rPr>
        <w:t>量化率达到77.78%</w:t>
      </w:r>
      <w:r>
        <w:rPr>
          <w:rFonts w:hint="eastAsia" w:ascii="仿宋_GB2312" w:hAnsi="仿宋_GB2312" w:eastAsia="仿宋_GB2312" w:cs="仿宋_GB2312"/>
          <w:color w:val="auto"/>
          <w:sz w:val="32"/>
          <w:szCs w:val="32"/>
          <w:highlight w:val="none"/>
          <w:lang w:eastAsia="zh-CN"/>
        </w:rPr>
        <w:t>；</w:t>
      </w:r>
    </w:p>
    <w:p w14:paraId="2CBDA71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③《项目绩效目标申报表》中，三级指标的年度指标值与年度绩效目标中任务数一致。</w:t>
      </w:r>
    </w:p>
    <w:p w14:paraId="0C6881E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已设置的绩效目标具备明确性、可衡量性、可实现性、相关性、时限性。</w:t>
      </w:r>
    </w:p>
    <w:p w14:paraId="752DDF90">
      <w:pPr>
        <w:pageBreakBefore w:val="0"/>
        <w:kinsoku/>
        <w:wordWrap/>
        <w:overflowPunct/>
        <w:topLinePunct w:val="0"/>
        <w:autoSpaceDE/>
        <w:autoSpaceDN/>
        <w:bidi w:val="0"/>
        <w:adjustRightInd/>
        <w:spacing w:line="560" w:lineRule="exact"/>
        <w:ind w:left="0" w:leftChars="0" w:firstLine="0" w:firstLineChars="0"/>
        <w:rPr>
          <w:rFonts w:hint="eastAsia"/>
          <w:color w:val="auto"/>
          <w:highlight w:val="none"/>
          <w:lang w:eastAsia="zh-CN"/>
        </w:rPr>
      </w:pPr>
      <w:r>
        <w:rPr>
          <w:rFonts w:hint="eastAsia"/>
          <w:b/>
          <w:bCs/>
          <w:color w:val="auto"/>
          <w:highlight w:val="none"/>
          <w:lang w:val="en-US" w:eastAsia="zh-CN"/>
        </w:rPr>
        <w:t xml:space="preserve">    综上，该项指标满分5分，得分5分。</w:t>
      </w:r>
    </w:p>
    <w:p w14:paraId="65E23385">
      <w:pPr>
        <w:pageBreakBefore w:val="0"/>
        <w:kinsoku/>
        <w:wordWrap/>
        <w:overflowPunct/>
        <w:topLinePunct w:val="0"/>
        <w:autoSpaceDE/>
        <w:autoSpaceDN/>
        <w:bidi w:val="0"/>
        <w:adjustRightInd/>
        <w:spacing w:line="560" w:lineRule="exact"/>
        <w:textAlignment w:val="auto"/>
        <w:outlineLvl w:val="2"/>
        <w:rPr>
          <w:rFonts w:hint="default" w:ascii="仿宋_GB2312" w:hAnsi="仿宋_GB2312" w:eastAsia="仿宋_GB2312" w:cs="仿宋_GB2312"/>
          <w:b/>
          <w:bCs/>
          <w:sz w:val="32"/>
          <w:szCs w:val="32"/>
          <w:lang w:val="en-US" w:eastAsia="zh-CN"/>
        </w:rPr>
      </w:pPr>
      <w:bookmarkStart w:id="115" w:name="_Toc19401"/>
      <w:r>
        <w:rPr>
          <w:rFonts w:hint="eastAsia" w:ascii="仿宋_GB2312" w:hAnsi="仿宋_GB2312" w:eastAsia="仿宋_GB2312" w:cs="仿宋_GB2312"/>
          <w:b/>
          <w:bCs/>
          <w:sz w:val="32"/>
          <w:szCs w:val="32"/>
          <w:lang w:val="en-US" w:eastAsia="zh-CN"/>
        </w:rPr>
        <w:t>5.预算编制科学性</w:t>
      </w:r>
      <w:bookmarkEnd w:id="115"/>
    </w:p>
    <w:p w14:paraId="7D2D84F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lang w:eastAsia="zh-CN"/>
        </w:rPr>
        <w:t>①</w:t>
      </w:r>
      <w:r>
        <w:rPr>
          <w:rFonts w:hint="eastAsia" w:ascii="仿宋_GB2312" w:hAnsi="仿宋_GB2312" w:eastAsia="仿宋_GB2312" w:cs="仿宋_GB2312"/>
          <w:color w:val="auto"/>
          <w:sz w:val="32"/>
          <w:szCs w:val="32"/>
          <w:highlight w:val="none"/>
          <w:lang w:val="en-US" w:eastAsia="zh-CN"/>
        </w:rPr>
        <w:t>根据项目预算批复，项目的</w:t>
      </w:r>
      <w:r>
        <w:rPr>
          <w:rFonts w:hint="eastAsia" w:ascii="仿宋_GB2312" w:hAnsi="仿宋_GB2312" w:eastAsia="仿宋_GB2312" w:cs="仿宋_GB2312"/>
          <w:color w:val="auto"/>
          <w:sz w:val="32"/>
          <w:szCs w:val="32"/>
          <w:highlight w:val="none"/>
          <w:lang w:eastAsia="zh-CN"/>
        </w:rPr>
        <w:t>预算编制经过科学论证；</w:t>
      </w:r>
    </w:p>
    <w:p w14:paraId="0DEE23C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val="en-US" w:eastAsia="zh-CN"/>
        </w:rPr>
        <w:t>②</w:t>
      </w:r>
      <w:r>
        <w:rPr>
          <w:rFonts w:hint="eastAsia" w:ascii="仿宋_GB2312" w:hAnsi="仿宋_GB2312" w:eastAsia="仿宋_GB2312" w:cs="仿宋_GB2312"/>
          <w:color w:val="auto"/>
          <w:sz w:val="32"/>
          <w:szCs w:val="32"/>
          <w:highlight w:val="none"/>
          <w:lang w:eastAsia="zh-CN"/>
        </w:rPr>
        <w:t>预算申请内容为</w:t>
      </w:r>
      <w:r>
        <w:rPr>
          <w:rFonts w:hint="eastAsia" w:ascii="仿宋_GB2312" w:hAnsi="仿宋_GB2312" w:eastAsia="仿宋_GB2312" w:cs="仿宋_GB2312"/>
          <w:color w:val="auto"/>
          <w:sz w:val="32"/>
          <w:szCs w:val="32"/>
          <w:highlight w:val="none"/>
          <w:lang w:val="en-US" w:eastAsia="zh-CN"/>
        </w:rPr>
        <w:t>基本公共卫生服务项目</w:t>
      </w:r>
      <w:r>
        <w:rPr>
          <w:rFonts w:hint="eastAsia" w:ascii="仿宋_GB2312" w:hAnsi="仿宋_GB2312" w:eastAsia="仿宋_GB2312" w:cs="仿宋_GB2312"/>
          <w:color w:val="auto"/>
          <w:sz w:val="32"/>
          <w:szCs w:val="32"/>
          <w:highlight w:val="none"/>
          <w:lang w:eastAsia="zh-CN"/>
        </w:rPr>
        <w:t>，项目实际内容为</w:t>
      </w:r>
      <w:r>
        <w:rPr>
          <w:rFonts w:hint="eastAsia" w:ascii="仿宋_GB2312" w:hAnsi="仿宋_GB2312" w:eastAsia="仿宋_GB2312" w:cs="仿宋_GB2312"/>
          <w:color w:val="auto"/>
          <w:sz w:val="32"/>
          <w:szCs w:val="32"/>
          <w:highlight w:val="none"/>
          <w:lang w:val="en-US" w:eastAsia="zh-CN"/>
        </w:rPr>
        <w:t>基本公共卫生服务项目</w:t>
      </w:r>
      <w:r>
        <w:rPr>
          <w:rFonts w:hint="eastAsia" w:ascii="仿宋_GB2312" w:hAnsi="仿宋_GB2312" w:eastAsia="仿宋_GB2312" w:cs="仿宋_GB2312"/>
          <w:color w:val="auto"/>
          <w:sz w:val="32"/>
          <w:szCs w:val="32"/>
          <w:highlight w:val="none"/>
          <w:lang w:eastAsia="zh-CN"/>
        </w:rPr>
        <w:t>，预算申请与项目内容匹配；</w:t>
      </w:r>
    </w:p>
    <w:p w14:paraId="4A91335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③项目预算申请资金66.73万元，我单位在预算申请中严格按照项目实施内容及测算标准进行核算。</w:t>
      </w:r>
    </w:p>
    <w:p w14:paraId="0855ACF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④预算确定资金量与实际工作任务相匹配。项目预算额度测算依据充分，严格按照标准编制，项目资金量与项目实施内容相匹配。</w:t>
      </w:r>
    </w:p>
    <w:p w14:paraId="0DC21B93">
      <w:pPr>
        <w:pageBreakBefore w:val="0"/>
        <w:kinsoku/>
        <w:wordWrap/>
        <w:overflowPunct/>
        <w:topLinePunct w:val="0"/>
        <w:autoSpaceDE/>
        <w:autoSpaceDN/>
        <w:bidi w:val="0"/>
        <w:adjustRightInd/>
        <w:spacing w:line="560" w:lineRule="exact"/>
        <w:ind w:left="0" w:leftChars="0" w:firstLine="0" w:firstLineChars="0"/>
        <w:rPr>
          <w:rFonts w:hint="eastAsia"/>
          <w:color w:val="auto"/>
          <w:highlight w:val="none"/>
          <w:lang w:eastAsia="zh-CN"/>
        </w:rPr>
      </w:pPr>
      <w:r>
        <w:rPr>
          <w:rFonts w:hint="eastAsia"/>
          <w:b/>
          <w:bCs/>
          <w:color w:val="FF0000"/>
          <w:highlight w:val="none"/>
          <w:lang w:val="en-US" w:eastAsia="zh-CN"/>
        </w:rPr>
        <w:t xml:space="preserve">    </w:t>
      </w:r>
      <w:r>
        <w:rPr>
          <w:rFonts w:hint="eastAsia"/>
          <w:b/>
          <w:bCs/>
          <w:color w:val="auto"/>
          <w:highlight w:val="none"/>
          <w:lang w:val="en-US" w:eastAsia="zh-CN"/>
        </w:rPr>
        <w:t>综上，该项指标满分2分，得分2分。</w:t>
      </w:r>
    </w:p>
    <w:p w14:paraId="28B4B3B3">
      <w:pPr>
        <w:pageBreakBefore w:val="0"/>
        <w:kinsoku/>
        <w:wordWrap/>
        <w:overflowPunct/>
        <w:topLinePunct w:val="0"/>
        <w:autoSpaceDE/>
        <w:autoSpaceDN/>
        <w:bidi w:val="0"/>
        <w:adjustRightInd/>
        <w:spacing w:line="560" w:lineRule="exact"/>
        <w:textAlignment w:val="auto"/>
        <w:outlineLvl w:val="2"/>
        <w:rPr>
          <w:rFonts w:hint="default" w:ascii="仿宋_GB2312" w:hAnsi="仿宋_GB2312" w:eastAsia="仿宋_GB2312" w:cs="仿宋_GB2312"/>
          <w:b/>
          <w:bCs/>
          <w:sz w:val="32"/>
          <w:szCs w:val="32"/>
          <w:lang w:val="en-US" w:eastAsia="zh-CN"/>
        </w:rPr>
      </w:pPr>
      <w:bookmarkStart w:id="116" w:name="_Toc697"/>
      <w:r>
        <w:rPr>
          <w:rFonts w:hint="eastAsia" w:ascii="仿宋_GB2312" w:hAnsi="仿宋_GB2312" w:eastAsia="仿宋_GB2312" w:cs="仿宋_GB2312"/>
          <w:b/>
          <w:bCs/>
          <w:sz w:val="32"/>
          <w:szCs w:val="32"/>
          <w:lang w:val="en-US" w:eastAsia="zh-CN"/>
        </w:rPr>
        <w:t>6.资金分配合理性</w:t>
      </w:r>
      <w:bookmarkEnd w:id="116"/>
    </w:p>
    <w:p w14:paraId="256C45E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①项目实际分配资金以</w:t>
      </w:r>
      <w:r>
        <w:rPr>
          <w:rFonts w:hint="eastAsia" w:ascii="仿宋_GB2312" w:hAnsi="仿宋_GB2312" w:eastAsia="仿宋_GB2312" w:cs="仿宋_GB2312"/>
          <w:color w:val="auto"/>
          <w:sz w:val="32"/>
          <w:szCs w:val="32"/>
          <w:highlight w:val="none"/>
          <w:lang w:val="en-US" w:eastAsia="zh-Hans"/>
        </w:rPr>
        <w:t>《关于</w:t>
      </w:r>
      <w:r>
        <w:rPr>
          <w:rFonts w:hint="eastAsia" w:ascii="仿宋_GB2312" w:hAnsi="仿宋_GB2312" w:eastAsia="仿宋_GB2312" w:cs="仿宋_GB2312"/>
          <w:color w:val="auto"/>
          <w:sz w:val="32"/>
          <w:szCs w:val="32"/>
          <w:highlight w:val="none"/>
          <w:lang w:val="en-US" w:eastAsia="zh-CN"/>
        </w:rPr>
        <w:t>申请基本公共卫生服务项目资金的请示</w:t>
      </w:r>
      <w:r>
        <w:rPr>
          <w:rFonts w:hint="eastAsia" w:ascii="仿宋_GB2312" w:hAnsi="仿宋_GB2312" w:eastAsia="仿宋_GB2312" w:cs="仿宋_GB2312"/>
          <w:color w:val="auto"/>
          <w:sz w:val="32"/>
          <w:szCs w:val="32"/>
          <w:highlight w:val="none"/>
          <w:lang w:val="en-US" w:eastAsia="zh-Hans"/>
        </w:rPr>
        <w:t>》为依据进行资金分配，预算资金分配依据充分</w:t>
      </w:r>
      <w:r>
        <w:rPr>
          <w:rFonts w:hint="eastAsia" w:ascii="仿宋_GB2312" w:hAnsi="仿宋_GB2312" w:eastAsia="仿宋_GB2312" w:cs="仿宋_GB2312"/>
          <w:color w:val="auto"/>
          <w:sz w:val="32"/>
          <w:szCs w:val="32"/>
          <w:highlight w:val="none"/>
          <w:lang w:val="en-US" w:eastAsia="zh-CN"/>
        </w:rPr>
        <w:t>。</w:t>
      </w:r>
    </w:p>
    <w:p w14:paraId="476BD20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②项目实际到位资金66.73万元，资金分配额度合理，与项目单位及项目实际实施情况相适应。</w:t>
      </w:r>
    </w:p>
    <w:p w14:paraId="6B5E36A0">
      <w:pPr>
        <w:pageBreakBefore w:val="0"/>
        <w:kinsoku/>
        <w:wordWrap/>
        <w:overflowPunct/>
        <w:topLinePunct w:val="0"/>
        <w:autoSpaceDE/>
        <w:autoSpaceDN/>
        <w:bidi w:val="0"/>
        <w:adjustRightInd/>
        <w:spacing w:line="560" w:lineRule="exact"/>
        <w:ind w:left="0" w:leftChars="0" w:firstLine="0" w:firstLineChars="0"/>
        <w:rPr>
          <w:rFonts w:hint="eastAsia"/>
          <w:color w:val="auto"/>
          <w:highlight w:val="none"/>
          <w:lang w:eastAsia="zh-CN"/>
        </w:rPr>
      </w:pPr>
      <w:r>
        <w:rPr>
          <w:rFonts w:hint="eastAsia"/>
          <w:b/>
          <w:bCs/>
          <w:color w:val="auto"/>
          <w:highlight w:val="none"/>
          <w:lang w:val="en-US" w:eastAsia="zh-CN"/>
        </w:rPr>
        <w:t xml:space="preserve">     综上，该项指标满分3分，得分3分。</w:t>
      </w:r>
    </w:p>
    <w:p w14:paraId="4B6250AD">
      <w:pPr>
        <w:pStyle w:val="14"/>
        <w:pageBreakBefore w:val="0"/>
        <w:widowControl/>
        <w:numPr>
          <w:ilvl w:val="0"/>
          <w:numId w:val="0"/>
        </w:numPr>
        <w:kinsoku/>
        <w:wordWrap/>
        <w:overflowPunct/>
        <w:topLinePunct w:val="0"/>
        <w:autoSpaceDE/>
        <w:autoSpaceDN/>
        <w:bidi w:val="0"/>
        <w:adjustRightInd/>
        <w:spacing w:before="0" w:beforeLines="-2147483648" w:after="0" w:afterLines="-2147483648" w:line="560" w:lineRule="exact"/>
        <w:ind w:firstLine="643" w:firstLineChars="200"/>
        <w:jc w:val="both"/>
        <w:rPr>
          <w:rFonts w:hint="eastAsia" w:ascii="Times New Roman" w:hAnsi="Times New Roman" w:eastAsia="楷体" w:cs="Times New Roman"/>
          <w:color w:val="auto"/>
          <w:kern w:val="28"/>
          <w:sz w:val="32"/>
          <w:highlight w:val="none"/>
        </w:rPr>
      </w:pPr>
      <w:r>
        <w:rPr>
          <w:rFonts w:hint="eastAsia" w:ascii="Times New Roman" w:hAnsi="Times New Roman" w:eastAsia="楷体" w:cs="Times New Roman"/>
          <w:color w:val="auto"/>
          <w:kern w:val="28"/>
          <w:sz w:val="32"/>
          <w:highlight w:val="none"/>
          <w:lang w:eastAsia="zh-CN"/>
        </w:rPr>
        <w:t>（</w:t>
      </w:r>
      <w:r>
        <w:rPr>
          <w:rFonts w:hint="eastAsia" w:ascii="Times New Roman" w:hAnsi="Times New Roman" w:eastAsia="楷体" w:cs="Times New Roman"/>
          <w:color w:val="auto"/>
          <w:kern w:val="28"/>
          <w:sz w:val="32"/>
          <w:highlight w:val="none"/>
          <w:lang w:val="en-US" w:eastAsia="zh-CN"/>
        </w:rPr>
        <w:t>二</w:t>
      </w:r>
      <w:r>
        <w:rPr>
          <w:rFonts w:hint="eastAsia" w:ascii="Times New Roman" w:hAnsi="Times New Roman" w:eastAsia="楷体" w:cs="Times New Roman"/>
          <w:color w:val="auto"/>
          <w:kern w:val="28"/>
          <w:sz w:val="32"/>
          <w:highlight w:val="none"/>
          <w:lang w:eastAsia="zh-CN"/>
        </w:rPr>
        <w:t>）</w:t>
      </w:r>
      <w:r>
        <w:rPr>
          <w:rFonts w:hint="eastAsia" w:ascii="Times New Roman" w:hAnsi="Times New Roman" w:eastAsia="楷体" w:cs="Times New Roman"/>
          <w:color w:val="auto"/>
          <w:kern w:val="28"/>
          <w:sz w:val="32"/>
          <w:highlight w:val="none"/>
        </w:rPr>
        <w:t>项目过程情况</w:t>
      </w:r>
    </w:p>
    <w:p w14:paraId="29B82125">
      <w:pPr>
        <w:pageBreakBefore w:val="0"/>
        <w:widowControl w:val="0"/>
        <w:kinsoku/>
        <w:wordWrap/>
        <w:overflowPunct/>
        <w:topLinePunct w:val="0"/>
        <w:autoSpaceDE/>
        <w:autoSpaceDN/>
        <w:bidi w:val="0"/>
        <w:adjustRightInd/>
        <w:spacing w:line="560" w:lineRule="exact"/>
        <w:ind w:firstLine="560"/>
        <w:textAlignment w:val="auto"/>
        <w:rPr>
          <w:rFonts w:hint="eastAsia" w:ascii="仿宋_GB2312" w:hAnsi="仿宋_GB2312" w:eastAsia="仿宋_GB2312" w:cs="仿宋_GB2312"/>
          <w:color w:val="auto"/>
          <w:kern w:val="2"/>
          <w:sz w:val="32"/>
          <w:szCs w:val="32"/>
          <w:highlight w:val="none"/>
          <w:u w:color="000000"/>
          <w:shd w:val="clear" w:color="auto" w:fill="auto"/>
          <w:lang w:val="zh-TW" w:eastAsia="zh-TW"/>
        </w:rPr>
      </w:pPr>
      <w:r>
        <w:rPr>
          <w:rFonts w:hint="eastAsia" w:ascii="仿宋_GB2312" w:hAnsi="仿宋_GB2312" w:eastAsia="仿宋_GB2312" w:cs="仿宋_GB2312"/>
          <w:color w:val="auto"/>
          <w:sz w:val="32"/>
          <w:szCs w:val="32"/>
          <w:highlight w:val="none"/>
          <w:lang w:val="zh-TW" w:eastAsia="zh-TW"/>
        </w:rPr>
        <w:t>项目</w:t>
      </w:r>
      <w:r>
        <w:rPr>
          <w:rFonts w:hint="eastAsia" w:ascii="仿宋_GB2312" w:hAnsi="仿宋_GB2312" w:eastAsia="仿宋_GB2312" w:cs="仿宋_GB2312"/>
          <w:color w:val="auto"/>
          <w:sz w:val="32"/>
          <w:szCs w:val="32"/>
          <w:highlight w:val="none"/>
          <w:lang w:val="en-US" w:eastAsia="zh-CN"/>
        </w:rPr>
        <w:t>过程管理</w:t>
      </w:r>
      <w:r>
        <w:rPr>
          <w:rFonts w:hint="eastAsia" w:ascii="仿宋_GB2312" w:hAnsi="仿宋_GB2312" w:eastAsia="仿宋_GB2312" w:cs="仿宋_GB2312"/>
          <w:color w:val="auto"/>
          <w:sz w:val="32"/>
          <w:szCs w:val="32"/>
          <w:highlight w:val="none"/>
          <w:lang w:val="zh-TW" w:eastAsia="zh-TW"/>
        </w:rPr>
        <w:t>类指标由</w:t>
      </w:r>
      <w:r>
        <w:rPr>
          <w:rFonts w:hint="eastAsia" w:ascii="仿宋_GB2312" w:hAnsi="仿宋_GB2312" w:eastAsia="仿宋_GB2312" w:cs="仿宋_GB2312"/>
          <w:color w:val="auto"/>
          <w:sz w:val="32"/>
          <w:szCs w:val="32"/>
          <w:highlight w:val="none"/>
          <w:lang w:val="en-US" w:eastAsia="zh-CN"/>
        </w:rPr>
        <w:t>2</w:t>
      </w:r>
      <w:r>
        <w:rPr>
          <w:rFonts w:hint="eastAsia" w:ascii="仿宋_GB2312" w:hAnsi="仿宋_GB2312" w:eastAsia="仿宋_GB2312" w:cs="仿宋_GB2312"/>
          <w:color w:val="auto"/>
          <w:sz w:val="32"/>
          <w:szCs w:val="32"/>
          <w:highlight w:val="none"/>
          <w:lang w:val="zh-TW" w:eastAsia="zh-TW"/>
        </w:rPr>
        <w:t>个</w:t>
      </w:r>
      <w:r>
        <w:rPr>
          <w:rFonts w:hint="eastAsia" w:ascii="仿宋_GB2312" w:hAnsi="仿宋_GB2312" w:eastAsia="仿宋_GB2312" w:cs="仿宋_GB2312"/>
          <w:color w:val="auto"/>
          <w:sz w:val="32"/>
          <w:szCs w:val="32"/>
          <w:highlight w:val="none"/>
          <w:lang w:val="zh-TW" w:eastAsia="zh-CN"/>
        </w:rPr>
        <w:t>二</w:t>
      </w:r>
      <w:r>
        <w:rPr>
          <w:rFonts w:hint="eastAsia" w:ascii="仿宋_GB2312" w:hAnsi="仿宋_GB2312" w:eastAsia="仿宋_GB2312" w:cs="仿宋_GB2312"/>
          <w:color w:val="auto"/>
          <w:sz w:val="32"/>
          <w:szCs w:val="32"/>
          <w:highlight w:val="none"/>
          <w:lang w:val="zh-TW" w:eastAsia="zh-TW"/>
        </w:rPr>
        <w:t>级指标和</w:t>
      </w:r>
      <w:r>
        <w:rPr>
          <w:rFonts w:hint="eastAsia" w:ascii="仿宋_GB2312" w:hAnsi="仿宋_GB2312" w:eastAsia="仿宋_GB2312" w:cs="仿宋_GB2312"/>
          <w:color w:val="auto"/>
          <w:sz w:val="32"/>
          <w:szCs w:val="32"/>
          <w:highlight w:val="none"/>
          <w:lang w:val="en-US" w:eastAsia="zh-CN"/>
        </w:rPr>
        <w:t>5</w:t>
      </w:r>
      <w:r>
        <w:rPr>
          <w:rFonts w:hint="eastAsia" w:ascii="仿宋_GB2312" w:hAnsi="仿宋_GB2312" w:eastAsia="仿宋_GB2312" w:cs="仿宋_GB2312"/>
          <w:color w:val="auto"/>
          <w:sz w:val="32"/>
          <w:szCs w:val="32"/>
          <w:highlight w:val="none"/>
          <w:lang w:val="zh-TW" w:eastAsia="zh-TW"/>
        </w:rPr>
        <w:t>个</w:t>
      </w:r>
      <w:r>
        <w:rPr>
          <w:rFonts w:hint="eastAsia" w:ascii="仿宋_GB2312" w:hAnsi="仿宋_GB2312" w:eastAsia="仿宋_GB2312" w:cs="仿宋_GB2312"/>
          <w:color w:val="auto"/>
          <w:sz w:val="32"/>
          <w:szCs w:val="32"/>
          <w:highlight w:val="none"/>
          <w:lang w:val="en-US" w:eastAsia="zh-CN"/>
        </w:rPr>
        <w:t>三</w:t>
      </w:r>
      <w:r>
        <w:rPr>
          <w:rFonts w:hint="eastAsia" w:ascii="仿宋_GB2312" w:hAnsi="仿宋_GB2312" w:eastAsia="仿宋_GB2312" w:cs="仿宋_GB2312"/>
          <w:color w:val="auto"/>
          <w:sz w:val="32"/>
          <w:szCs w:val="32"/>
          <w:highlight w:val="none"/>
          <w:lang w:val="zh-TW" w:eastAsia="zh-TW"/>
        </w:rPr>
        <w:t>级指标构成，权重分</w:t>
      </w:r>
      <w:r>
        <w:rPr>
          <w:rFonts w:hint="eastAsia" w:ascii="仿宋_GB2312" w:hAnsi="仿宋_GB2312" w:eastAsia="仿宋_GB2312" w:cs="仿宋_GB2312"/>
          <w:color w:val="auto"/>
          <w:sz w:val="32"/>
          <w:szCs w:val="32"/>
          <w:highlight w:val="none"/>
          <w:lang w:val="en-US" w:eastAsia="zh-CN"/>
        </w:rPr>
        <w:t>20</w:t>
      </w:r>
      <w:r>
        <w:rPr>
          <w:rFonts w:hint="eastAsia" w:ascii="仿宋_GB2312" w:hAnsi="仿宋_GB2312" w:eastAsia="仿宋_GB2312" w:cs="仿宋_GB2312"/>
          <w:color w:val="auto"/>
          <w:sz w:val="32"/>
          <w:szCs w:val="32"/>
          <w:highlight w:val="none"/>
          <w:lang w:val="zh-TW" w:eastAsia="zh-TW"/>
        </w:rPr>
        <w:t>分，实际得分</w:t>
      </w:r>
      <w:r>
        <w:rPr>
          <w:rFonts w:hint="eastAsia" w:ascii="仿宋_GB2312" w:hAnsi="仿宋_GB2312" w:eastAsia="仿宋_GB2312" w:cs="仿宋_GB2312"/>
          <w:color w:val="auto"/>
          <w:sz w:val="32"/>
          <w:szCs w:val="32"/>
          <w:highlight w:val="none"/>
          <w:lang w:val="en-US" w:eastAsia="zh-CN"/>
        </w:rPr>
        <w:t>20</w:t>
      </w:r>
      <w:r>
        <w:rPr>
          <w:rFonts w:hint="eastAsia" w:ascii="仿宋_GB2312" w:hAnsi="仿宋_GB2312" w:eastAsia="仿宋_GB2312" w:cs="仿宋_GB2312"/>
          <w:color w:val="auto"/>
          <w:sz w:val="32"/>
          <w:szCs w:val="32"/>
          <w:highlight w:val="none"/>
          <w:lang w:val="zh-TW" w:eastAsia="zh-TW"/>
        </w:rPr>
        <w:t>分</w:t>
      </w:r>
      <w:r>
        <w:rPr>
          <w:rFonts w:hint="eastAsia" w:ascii="仿宋_GB2312" w:hAnsi="仿宋_GB2312" w:eastAsia="仿宋_GB2312" w:cs="仿宋_GB2312"/>
          <w:color w:val="auto"/>
          <w:sz w:val="32"/>
          <w:szCs w:val="32"/>
          <w:highlight w:val="none"/>
          <w:lang w:val="zh-TW" w:eastAsia="zh-CN"/>
        </w:rPr>
        <w:t>，</w:t>
      </w:r>
      <w:r>
        <w:rPr>
          <w:rFonts w:hint="eastAsia" w:ascii="仿宋_GB2312" w:hAnsi="仿宋_GB2312" w:eastAsia="仿宋_GB2312" w:cs="仿宋_GB2312"/>
          <w:color w:val="auto"/>
          <w:sz w:val="32"/>
          <w:szCs w:val="32"/>
          <w:highlight w:val="none"/>
          <w:lang w:val="zh-TW" w:eastAsia="zh-TW"/>
        </w:rPr>
        <w:t>各指标业绩值和绩效分值如表</w:t>
      </w:r>
      <w:r>
        <w:rPr>
          <w:rFonts w:hint="eastAsia" w:ascii="仿宋_GB2312" w:hAnsi="仿宋_GB2312" w:eastAsia="仿宋_GB2312" w:cs="仿宋_GB2312"/>
          <w:color w:val="auto"/>
          <w:sz w:val="32"/>
          <w:szCs w:val="32"/>
          <w:highlight w:val="none"/>
          <w:lang w:val="en-US" w:eastAsia="zh-CN"/>
        </w:rPr>
        <w:t>4-2</w:t>
      </w:r>
      <w:r>
        <w:rPr>
          <w:rFonts w:hint="eastAsia" w:ascii="仿宋_GB2312" w:hAnsi="仿宋_GB2312" w:eastAsia="仿宋_GB2312" w:cs="仿宋_GB2312"/>
          <w:color w:val="auto"/>
          <w:sz w:val="32"/>
          <w:szCs w:val="32"/>
          <w:highlight w:val="none"/>
          <w:lang w:val="zh-TW" w:eastAsia="zh-TW"/>
        </w:rPr>
        <w:t>所示</w:t>
      </w:r>
      <w:r>
        <w:rPr>
          <w:rFonts w:hint="eastAsia" w:ascii="仿宋_GB2312" w:hAnsi="仿宋_GB2312" w:eastAsia="仿宋_GB2312" w:cs="仿宋_GB2312"/>
          <w:b/>
          <w:bCs/>
          <w:color w:val="auto"/>
          <w:kern w:val="2"/>
          <w:sz w:val="32"/>
          <w:szCs w:val="32"/>
          <w:highlight w:val="none"/>
          <w:u w:color="000000"/>
          <w:shd w:val="clear" w:color="auto" w:fill="auto"/>
          <w:lang w:val="zh-TW" w:eastAsia="zh-CN"/>
        </w:rPr>
        <w:t>（</w:t>
      </w:r>
      <w:r>
        <w:rPr>
          <w:rFonts w:hint="eastAsia" w:ascii="仿宋_GB2312" w:hAnsi="仿宋_GB2312" w:eastAsia="仿宋_GB2312" w:cs="仿宋_GB2312"/>
          <w:b/>
          <w:bCs/>
          <w:color w:val="auto"/>
          <w:kern w:val="2"/>
          <w:sz w:val="32"/>
          <w:szCs w:val="32"/>
          <w:highlight w:val="none"/>
          <w:u w:color="000000"/>
          <w:shd w:val="clear" w:color="auto" w:fill="auto"/>
          <w:lang w:val="en-US" w:eastAsia="zh-CN"/>
        </w:rPr>
        <w:t>详见上传的附件二</w:t>
      </w:r>
      <w:r>
        <w:rPr>
          <w:rFonts w:hint="eastAsia" w:ascii="仿宋_GB2312" w:hAnsi="仿宋_GB2312" w:eastAsia="仿宋_GB2312" w:cs="仿宋_GB2312"/>
          <w:b/>
          <w:bCs/>
          <w:color w:val="auto"/>
          <w:kern w:val="2"/>
          <w:sz w:val="32"/>
          <w:szCs w:val="32"/>
          <w:highlight w:val="none"/>
          <w:u w:color="000000"/>
          <w:shd w:val="clear" w:color="auto" w:fill="auto"/>
          <w:lang w:val="zh-TW" w:eastAsia="zh-CN"/>
        </w:rPr>
        <w:t>）</w:t>
      </w:r>
      <w:r>
        <w:rPr>
          <w:rFonts w:hint="eastAsia" w:ascii="仿宋_GB2312" w:hAnsi="仿宋_GB2312" w:eastAsia="仿宋_GB2312" w:cs="仿宋_GB2312"/>
          <w:color w:val="auto"/>
          <w:kern w:val="2"/>
          <w:sz w:val="32"/>
          <w:szCs w:val="32"/>
          <w:highlight w:val="none"/>
          <w:u w:color="000000"/>
          <w:shd w:val="clear" w:color="auto" w:fill="auto"/>
          <w:lang w:val="zh-TW" w:eastAsia="zh-TW"/>
        </w:rPr>
        <w:t>：</w:t>
      </w:r>
    </w:p>
    <w:p w14:paraId="1E0E953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8"/>
          <w:szCs w:val="28"/>
          <w:highlight w:val="none"/>
          <w:shd w:val="clear" w:color="auto" w:fill="auto"/>
          <w:lang w:val="en-US" w:eastAsia="zh-CN"/>
        </w:rPr>
      </w:pPr>
      <w:r>
        <w:rPr>
          <w:rFonts w:hint="eastAsia" w:ascii="宋体" w:hAnsi="宋体" w:eastAsia="宋体" w:cs="宋体"/>
          <w:b/>
          <w:bCs/>
          <w:color w:val="auto"/>
          <w:kern w:val="0"/>
          <w:sz w:val="28"/>
          <w:szCs w:val="28"/>
          <w:highlight w:val="none"/>
          <w:shd w:val="clear" w:color="auto" w:fill="auto"/>
          <w:lang w:val="zh-TW" w:eastAsia="zh-TW"/>
        </w:rPr>
        <w:t>表</w:t>
      </w:r>
      <w:r>
        <w:rPr>
          <w:rFonts w:hint="eastAsia" w:ascii="宋体" w:hAnsi="宋体" w:eastAsia="宋体" w:cs="宋体"/>
          <w:b/>
          <w:bCs/>
          <w:color w:val="auto"/>
          <w:kern w:val="0"/>
          <w:sz w:val="28"/>
          <w:szCs w:val="28"/>
          <w:highlight w:val="none"/>
          <w:shd w:val="clear" w:color="auto" w:fill="auto"/>
          <w:lang w:val="en-US" w:eastAsia="zh-CN"/>
        </w:rPr>
        <w:t>4-2</w:t>
      </w:r>
      <w:r>
        <w:rPr>
          <w:rFonts w:hint="eastAsia" w:ascii="宋体" w:hAnsi="宋体" w:eastAsia="宋体" w:cs="宋体"/>
          <w:b/>
          <w:bCs/>
          <w:color w:val="auto"/>
          <w:kern w:val="0"/>
          <w:sz w:val="28"/>
          <w:szCs w:val="28"/>
          <w:highlight w:val="none"/>
          <w:shd w:val="clear" w:color="auto" w:fill="auto"/>
          <w:lang w:val="zh-TW" w:eastAsia="zh-TW"/>
        </w:rPr>
        <w:t>项目</w:t>
      </w:r>
      <w:r>
        <w:rPr>
          <w:rFonts w:hint="eastAsia" w:cs="宋体"/>
          <w:b/>
          <w:bCs/>
          <w:color w:val="auto"/>
          <w:kern w:val="0"/>
          <w:sz w:val="28"/>
          <w:szCs w:val="28"/>
          <w:highlight w:val="none"/>
          <w:shd w:val="clear" w:color="auto" w:fill="auto"/>
          <w:lang w:val="en-US" w:eastAsia="zh-CN"/>
        </w:rPr>
        <w:t>过程</w:t>
      </w:r>
      <w:r>
        <w:rPr>
          <w:rFonts w:hint="eastAsia" w:ascii="宋体" w:hAnsi="宋体" w:eastAsia="宋体" w:cs="宋体"/>
          <w:b/>
          <w:bCs/>
          <w:color w:val="auto"/>
          <w:kern w:val="0"/>
          <w:sz w:val="28"/>
          <w:szCs w:val="28"/>
          <w:highlight w:val="none"/>
          <w:shd w:val="clear" w:color="auto" w:fill="auto"/>
          <w:lang w:val="zh-TW" w:eastAsia="zh-TW"/>
        </w:rPr>
        <w:t>指标及分值</w:t>
      </w:r>
      <w:r>
        <w:rPr>
          <w:rFonts w:hint="eastAsia" w:ascii="宋体" w:hAnsi="宋体" w:eastAsia="宋体" w:cs="宋体"/>
          <w:b/>
          <w:bCs/>
          <w:color w:val="auto"/>
          <w:kern w:val="0"/>
          <w:sz w:val="28"/>
          <w:szCs w:val="28"/>
          <w:highlight w:val="none"/>
          <w:shd w:val="clear" w:color="auto" w:fill="auto"/>
          <w:lang w:val="en-US" w:eastAsia="zh-CN"/>
        </w:rPr>
        <w:t>情况</w:t>
      </w:r>
    </w:p>
    <w:tbl>
      <w:tblPr>
        <w:tblStyle w:val="16"/>
        <w:tblW w:w="8317" w:type="dxa"/>
        <w:jc w:val="center"/>
        <w:tblLayout w:type="fixed"/>
        <w:tblCellMar>
          <w:top w:w="0" w:type="dxa"/>
          <w:left w:w="0" w:type="dxa"/>
          <w:bottom w:w="0" w:type="dxa"/>
          <w:right w:w="0" w:type="dxa"/>
        </w:tblCellMar>
      </w:tblPr>
      <w:tblGrid>
        <w:gridCol w:w="1182"/>
        <w:gridCol w:w="738"/>
        <w:gridCol w:w="1248"/>
        <w:gridCol w:w="1176"/>
        <w:gridCol w:w="1833"/>
        <w:gridCol w:w="987"/>
        <w:gridCol w:w="1153"/>
      </w:tblGrid>
      <w:tr w14:paraId="5535B48F">
        <w:tblPrEx>
          <w:tblCellMar>
            <w:top w:w="0" w:type="dxa"/>
            <w:left w:w="0" w:type="dxa"/>
            <w:bottom w:w="0" w:type="dxa"/>
            <w:right w:w="0" w:type="dxa"/>
          </w:tblCellMar>
        </w:tblPrEx>
        <w:trPr>
          <w:trHeight w:val="272" w:hRule="atLeast"/>
          <w:tblHeader/>
          <w:jc w:val="center"/>
        </w:trPr>
        <w:tc>
          <w:tcPr>
            <w:tcW w:w="118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58192C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一级指标</w:t>
            </w:r>
          </w:p>
        </w:tc>
        <w:tc>
          <w:tcPr>
            <w:tcW w:w="73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E0BF7A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分值</w:t>
            </w:r>
          </w:p>
        </w:tc>
        <w:tc>
          <w:tcPr>
            <w:tcW w:w="12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83C6AC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二级指标</w:t>
            </w:r>
          </w:p>
        </w:tc>
        <w:tc>
          <w:tcPr>
            <w:tcW w:w="117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906002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分值</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249070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三级指标</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88931A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分值</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0CDE4E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得分</w:t>
            </w:r>
          </w:p>
        </w:tc>
      </w:tr>
      <w:tr w14:paraId="71FF0FCA">
        <w:tblPrEx>
          <w:tblCellMar>
            <w:top w:w="0" w:type="dxa"/>
            <w:left w:w="0" w:type="dxa"/>
            <w:bottom w:w="0" w:type="dxa"/>
            <w:right w:w="0" w:type="dxa"/>
          </w:tblCellMar>
        </w:tblPrEx>
        <w:trPr>
          <w:trHeight w:val="23" w:hRule="atLeast"/>
          <w:jc w:val="center"/>
        </w:trPr>
        <w:tc>
          <w:tcPr>
            <w:tcW w:w="1182"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731D6A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过程管理</w:t>
            </w:r>
          </w:p>
        </w:tc>
        <w:tc>
          <w:tcPr>
            <w:tcW w:w="73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10DD81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w:t>
            </w:r>
          </w:p>
        </w:tc>
        <w:tc>
          <w:tcPr>
            <w:tcW w:w="124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A88AF7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资金管理</w:t>
            </w:r>
          </w:p>
        </w:tc>
        <w:tc>
          <w:tcPr>
            <w:tcW w:w="1176"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06F427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12</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261264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资金到位率</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72428B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5BFA58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r>
      <w:tr w14:paraId="2568104B">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75D694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7350B3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D45700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1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9F9001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43552E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预算执行率</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C3BA21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8C8A1B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r>
      <w:tr w14:paraId="574317A7">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2AA5C6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8DC667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112880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1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4D1E5C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3839E3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资金使用合规性</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CBFC70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072EC3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r>
      <w:tr w14:paraId="0E70B55D">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8B24AE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A6129B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63EB2A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组织实施</w:t>
            </w:r>
          </w:p>
        </w:tc>
        <w:tc>
          <w:tcPr>
            <w:tcW w:w="1176"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383CA9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8</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1F2CF6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管理制度健全性</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204805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A63DF7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r>
      <w:tr w14:paraId="6A0665AE">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2C1055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25A5B3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2380C5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1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9C8BDB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247BA8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制度执行有效性</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56F7B6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91D65A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r>
      <w:tr w14:paraId="34C71028">
        <w:tblPrEx>
          <w:tblCellMar>
            <w:top w:w="0" w:type="dxa"/>
            <w:left w:w="0" w:type="dxa"/>
            <w:bottom w:w="0" w:type="dxa"/>
            <w:right w:w="0" w:type="dxa"/>
          </w:tblCellMar>
        </w:tblPrEx>
        <w:trPr>
          <w:trHeight w:val="23" w:hRule="atLeast"/>
          <w:jc w:val="center"/>
        </w:trPr>
        <w:tc>
          <w:tcPr>
            <w:tcW w:w="3168"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6E5967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合计</w:t>
            </w:r>
          </w:p>
        </w:tc>
        <w:tc>
          <w:tcPr>
            <w:tcW w:w="117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7E0221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D4F666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B126C5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46049D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20</w:t>
            </w:r>
          </w:p>
        </w:tc>
      </w:tr>
    </w:tbl>
    <w:p w14:paraId="286ECA02">
      <w:pPr>
        <w:pageBreakBefore w:val="0"/>
        <w:kinsoku/>
        <w:wordWrap/>
        <w:overflowPunct/>
        <w:topLinePunct w:val="0"/>
        <w:autoSpaceDE/>
        <w:autoSpaceDN/>
        <w:bidi w:val="0"/>
        <w:adjustRightInd/>
        <w:spacing w:line="560" w:lineRule="exact"/>
        <w:textAlignment w:val="auto"/>
        <w:outlineLvl w:val="2"/>
        <w:rPr>
          <w:rFonts w:hint="eastAsia" w:ascii="仿宋_GB2312" w:hAnsi="仿宋_GB2312" w:eastAsia="仿宋_GB2312" w:cs="仿宋_GB2312"/>
          <w:b/>
          <w:bCs/>
          <w:color w:val="auto"/>
          <w:sz w:val="32"/>
          <w:szCs w:val="32"/>
          <w:highlight w:val="none"/>
          <w:lang w:val="en-US" w:eastAsia="zh-CN"/>
        </w:rPr>
      </w:pPr>
      <w:bookmarkStart w:id="117" w:name="_Toc3886"/>
      <w:bookmarkStart w:id="118" w:name="_Toc20449"/>
      <w:r>
        <w:rPr>
          <w:rFonts w:hint="eastAsia" w:ascii="仿宋_GB2312" w:hAnsi="仿宋_GB2312" w:eastAsia="仿宋_GB2312" w:cs="仿宋_GB2312"/>
          <w:b/>
          <w:bCs/>
          <w:color w:val="auto"/>
          <w:sz w:val="32"/>
          <w:szCs w:val="32"/>
          <w:highlight w:val="none"/>
          <w:lang w:val="en-US" w:eastAsia="zh-CN"/>
        </w:rPr>
        <w:t>1.资金到位率</w:t>
      </w:r>
      <w:bookmarkEnd w:id="117"/>
      <w:bookmarkEnd w:id="118"/>
    </w:p>
    <w:p w14:paraId="7362CF79">
      <w:pPr>
        <w:pageBreakBefore w:val="0"/>
        <w:kinsoku/>
        <w:wordWrap/>
        <w:overflowPunct/>
        <w:topLinePunct w:val="0"/>
        <w:autoSpaceDE/>
        <w:autoSpaceDN/>
        <w:bidi w:val="0"/>
        <w:adjustRightInd/>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val="0"/>
          <w:bCs w:val="0"/>
          <w:color w:val="auto"/>
          <w:sz w:val="32"/>
          <w:szCs w:val="32"/>
          <w:highlight w:val="none"/>
        </w:rPr>
        <w:t>项目预算资金为</w:t>
      </w:r>
      <w:r>
        <w:rPr>
          <w:rFonts w:hint="eastAsia" w:ascii="仿宋_GB2312" w:hAnsi="仿宋_GB2312" w:eastAsia="仿宋_GB2312" w:cs="仿宋_GB2312"/>
          <w:b w:val="0"/>
          <w:bCs w:val="0"/>
          <w:color w:val="auto"/>
          <w:sz w:val="32"/>
          <w:szCs w:val="32"/>
          <w:highlight w:val="none"/>
          <w:lang w:val="en-US" w:eastAsia="zh-CN"/>
        </w:rPr>
        <w:t>66.73</w:t>
      </w:r>
      <w:r>
        <w:rPr>
          <w:rFonts w:hint="eastAsia" w:ascii="仿宋_GB2312" w:hAnsi="仿宋_GB2312" w:eastAsia="仿宋_GB2312" w:cs="仿宋_GB2312"/>
          <w:b w:val="0"/>
          <w:bCs w:val="0"/>
          <w:color w:val="auto"/>
          <w:sz w:val="32"/>
          <w:szCs w:val="32"/>
          <w:highlight w:val="none"/>
        </w:rPr>
        <w:t>万元，其中：财政安排资金</w:t>
      </w:r>
      <w:r>
        <w:rPr>
          <w:rFonts w:hint="eastAsia" w:ascii="仿宋_GB2312" w:hAnsi="仿宋_GB2312" w:eastAsia="仿宋_GB2312" w:cs="仿宋_GB2312"/>
          <w:b w:val="0"/>
          <w:bCs w:val="0"/>
          <w:color w:val="auto"/>
          <w:sz w:val="32"/>
          <w:szCs w:val="32"/>
          <w:highlight w:val="none"/>
          <w:lang w:val="en-US" w:eastAsia="zh-CN"/>
        </w:rPr>
        <w:t>66.73</w:t>
      </w:r>
      <w:r>
        <w:rPr>
          <w:rFonts w:hint="eastAsia" w:ascii="仿宋_GB2312" w:hAnsi="仿宋_GB2312" w:eastAsia="仿宋_GB2312" w:cs="仿宋_GB2312"/>
          <w:b w:val="0"/>
          <w:bCs w:val="0"/>
          <w:color w:val="auto"/>
          <w:sz w:val="32"/>
          <w:szCs w:val="32"/>
          <w:highlight w:val="none"/>
        </w:rPr>
        <w:t>万元，其他资金</w:t>
      </w:r>
      <w:r>
        <w:rPr>
          <w:rFonts w:hint="eastAsia" w:ascii="仿宋_GB2312" w:hAnsi="仿宋_GB2312" w:eastAsia="仿宋_GB2312" w:cs="仿宋_GB2312"/>
          <w:b w:val="0"/>
          <w:bCs w:val="0"/>
          <w:color w:val="auto"/>
          <w:sz w:val="32"/>
          <w:szCs w:val="32"/>
          <w:highlight w:val="none"/>
          <w:lang w:val="en-US" w:eastAsia="zh-CN"/>
        </w:rPr>
        <w:t>0</w:t>
      </w:r>
      <w:r>
        <w:rPr>
          <w:rFonts w:hint="eastAsia" w:ascii="仿宋_GB2312" w:hAnsi="仿宋_GB2312" w:eastAsia="仿宋_GB2312" w:cs="仿宋_GB2312"/>
          <w:b w:val="0"/>
          <w:bCs w:val="0"/>
          <w:color w:val="auto"/>
          <w:sz w:val="32"/>
          <w:szCs w:val="32"/>
          <w:highlight w:val="none"/>
        </w:rPr>
        <w:t>万元</w:t>
      </w:r>
      <w:r>
        <w:rPr>
          <w:rFonts w:hint="eastAsia" w:ascii="仿宋_GB2312" w:hAnsi="仿宋_GB2312" w:eastAsia="仿宋_GB2312" w:cs="仿宋_GB2312"/>
          <w:b w:val="0"/>
          <w:bCs w:val="0"/>
          <w:color w:val="auto"/>
          <w:sz w:val="32"/>
          <w:szCs w:val="32"/>
          <w:highlight w:val="none"/>
          <w:lang w:eastAsia="zh-CN"/>
        </w:rPr>
        <w:t>。</w:t>
      </w:r>
    </w:p>
    <w:p w14:paraId="5849BE6F">
      <w:pPr>
        <w:pageBreakBefore w:val="0"/>
        <w:kinsoku/>
        <w:wordWrap/>
        <w:overflowPunct/>
        <w:topLinePunct w:val="0"/>
        <w:autoSpaceDE/>
        <w:autoSpaceDN/>
        <w:bidi w:val="0"/>
        <w:adjustRightInd/>
        <w:spacing w:line="560" w:lineRule="exact"/>
        <w:textAlignment w:val="auto"/>
        <w:rPr>
          <w:rFonts w:hint="default"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资金到位率=（</w:t>
      </w:r>
      <w:r>
        <w:rPr>
          <w:rFonts w:hint="eastAsia" w:ascii="仿宋_GB2312" w:hAnsi="仿宋_GB2312" w:eastAsia="仿宋_GB2312" w:cs="仿宋_GB2312"/>
          <w:b w:val="0"/>
          <w:bCs w:val="0"/>
          <w:color w:val="auto"/>
          <w:sz w:val="32"/>
          <w:szCs w:val="32"/>
          <w:highlight w:val="none"/>
          <w:lang w:val="en-US" w:eastAsia="zh-CN"/>
        </w:rPr>
        <w:t>66.73</w:t>
      </w:r>
      <w:r>
        <w:rPr>
          <w:rFonts w:hint="eastAsia" w:ascii="仿宋_GB2312" w:hAnsi="仿宋_GB2312" w:eastAsia="仿宋_GB2312" w:cs="仿宋_GB2312"/>
          <w:b w:val="0"/>
          <w:bCs w:val="0"/>
          <w:color w:val="auto"/>
          <w:sz w:val="32"/>
          <w:szCs w:val="32"/>
          <w:highlight w:val="none"/>
        </w:rPr>
        <w:t>万元</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lang w:val="en-US" w:eastAsia="zh-CN"/>
        </w:rPr>
        <w:t>66.73</w:t>
      </w:r>
      <w:r>
        <w:rPr>
          <w:rFonts w:hint="eastAsia" w:ascii="仿宋_GB2312" w:hAnsi="仿宋_GB2312" w:eastAsia="仿宋_GB2312" w:cs="仿宋_GB2312"/>
          <w:b w:val="0"/>
          <w:bCs w:val="0"/>
          <w:color w:val="auto"/>
          <w:sz w:val="32"/>
          <w:szCs w:val="32"/>
          <w:highlight w:val="none"/>
        </w:rPr>
        <w:t>万元</w:t>
      </w:r>
      <w:r>
        <w:rPr>
          <w:rFonts w:hint="eastAsia" w:ascii="仿宋_GB2312" w:hAnsi="仿宋_GB2312" w:eastAsia="仿宋_GB2312" w:cs="仿宋_GB2312"/>
          <w:color w:val="auto"/>
          <w:sz w:val="32"/>
          <w:szCs w:val="32"/>
          <w:highlight w:val="none"/>
          <w:lang w:eastAsia="zh-CN"/>
        </w:rPr>
        <w:t>）×100%</w:t>
      </w:r>
      <w:r>
        <w:rPr>
          <w:rFonts w:hint="eastAsia" w:ascii="仿宋_GB2312" w:hAnsi="仿宋_GB2312" w:eastAsia="仿宋_GB2312" w:cs="仿宋_GB2312"/>
          <w:b w:val="0"/>
          <w:bCs w:val="0"/>
          <w:color w:val="auto"/>
          <w:sz w:val="32"/>
          <w:szCs w:val="32"/>
          <w:highlight w:val="none"/>
          <w:lang w:val="en-US" w:eastAsia="zh-CN"/>
        </w:rPr>
        <w:t>=100%。</w:t>
      </w:r>
    </w:p>
    <w:p w14:paraId="57CF55B7">
      <w:pPr>
        <w:pageBreakBefore w:val="0"/>
        <w:kinsoku/>
        <w:wordWrap/>
        <w:overflowPunct/>
        <w:topLinePunct w:val="0"/>
        <w:autoSpaceDE/>
        <w:autoSpaceDN/>
        <w:bidi w:val="0"/>
        <w:adjustRightInd/>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综上，该项指标满分4分，得分4分。</w:t>
      </w:r>
    </w:p>
    <w:p w14:paraId="496A081F">
      <w:pPr>
        <w:pageBreakBefore w:val="0"/>
        <w:kinsoku/>
        <w:wordWrap/>
        <w:overflowPunct/>
        <w:topLinePunct w:val="0"/>
        <w:autoSpaceDE/>
        <w:autoSpaceDN/>
        <w:bidi w:val="0"/>
        <w:adjustRightInd/>
        <w:spacing w:line="560" w:lineRule="exact"/>
        <w:textAlignment w:val="auto"/>
        <w:outlineLvl w:val="2"/>
        <w:rPr>
          <w:rFonts w:hint="eastAsia" w:ascii="仿宋_GB2312" w:hAnsi="仿宋_GB2312" w:eastAsia="仿宋_GB2312" w:cs="仿宋_GB2312"/>
          <w:b/>
          <w:bCs/>
          <w:color w:val="auto"/>
          <w:sz w:val="32"/>
          <w:szCs w:val="32"/>
          <w:highlight w:val="none"/>
          <w:lang w:val="en-US" w:eastAsia="zh-CN"/>
        </w:rPr>
      </w:pPr>
      <w:bookmarkStart w:id="119" w:name="_Toc9705"/>
      <w:bookmarkStart w:id="120" w:name="_Toc17709"/>
      <w:r>
        <w:rPr>
          <w:rFonts w:hint="eastAsia" w:ascii="仿宋_GB2312" w:hAnsi="仿宋_GB2312" w:eastAsia="仿宋_GB2312" w:cs="仿宋_GB2312"/>
          <w:b/>
          <w:bCs/>
          <w:color w:val="auto"/>
          <w:sz w:val="32"/>
          <w:szCs w:val="32"/>
          <w:highlight w:val="none"/>
          <w:lang w:val="en-US" w:eastAsia="zh-CN"/>
        </w:rPr>
        <w:t>2.预算执行率</w:t>
      </w:r>
      <w:bookmarkEnd w:id="119"/>
      <w:bookmarkEnd w:id="120"/>
    </w:p>
    <w:p w14:paraId="08B3E456">
      <w:pPr>
        <w:pageBreakBefore w:val="0"/>
        <w:kinsoku/>
        <w:wordWrap/>
        <w:overflowPunct/>
        <w:topLinePunct w:val="0"/>
        <w:autoSpaceDE/>
        <w:autoSpaceDN/>
        <w:bidi w:val="0"/>
        <w:adjustRightInd/>
        <w:spacing w:line="560" w:lineRule="exact"/>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截至2024年12月31日，项目实际支出</w:t>
      </w:r>
      <w:r>
        <w:rPr>
          <w:rFonts w:hint="eastAsia" w:ascii="仿宋_GB2312" w:hAnsi="仿宋_GB2312" w:eastAsia="仿宋_GB2312" w:cs="仿宋_GB2312"/>
          <w:b w:val="0"/>
          <w:bCs w:val="0"/>
          <w:color w:val="auto"/>
          <w:sz w:val="32"/>
          <w:szCs w:val="32"/>
          <w:highlight w:val="none"/>
          <w:lang w:val="en-US" w:eastAsia="zh-CN"/>
        </w:rPr>
        <w:t>66.73</w:t>
      </w:r>
      <w:r>
        <w:rPr>
          <w:rFonts w:hint="eastAsia" w:ascii="仿宋_GB2312" w:hAnsi="仿宋_GB2312" w:eastAsia="仿宋_GB2312" w:cs="仿宋_GB2312"/>
          <w:color w:val="auto"/>
          <w:sz w:val="32"/>
          <w:szCs w:val="32"/>
          <w:highlight w:val="none"/>
          <w:lang w:val="en-US" w:eastAsia="zh-CN"/>
        </w:rPr>
        <w:t>万元。</w:t>
      </w:r>
    </w:p>
    <w:p w14:paraId="45E90AB3">
      <w:pPr>
        <w:pageBreakBefore w:val="0"/>
        <w:kinsoku/>
        <w:wordWrap/>
        <w:overflowPunct/>
        <w:topLinePunct w:val="0"/>
        <w:autoSpaceDE/>
        <w:autoSpaceDN/>
        <w:bidi w:val="0"/>
        <w:adjustRightInd/>
        <w:spacing w:line="560" w:lineRule="exact"/>
        <w:textAlignment w:val="auto"/>
        <w:rPr>
          <w:rFonts w:hint="default"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预算执行率=（</w:t>
      </w:r>
      <w:r>
        <w:rPr>
          <w:rFonts w:hint="eastAsia" w:ascii="仿宋_GB2312" w:hAnsi="仿宋_GB2312" w:eastAsia="仿宋_GB2312" w:cs="仿宋_GB2312"/>
          <w:b w:val="0"/>
          <w:bCs w:val="0"/>
          <w:color w:val="auto"/>
          <w:sz w:val="32"/>
          <w:szCs w:val="32"/>
          <w:highlight w:val="none"/>
          <w:lang w:val="en-US" w:eastAsia="zh-CN"/>
        </w:rPr>
        <w:t>66.735</w:t>
      </w:r>
      <w:r>
        <w:rPr>
          <w:rFonts w:hint="eastAsia" w:ascii="仿宋_GB2312" w:hAnsi="仿宋_GB2312" w:eastAsia="仿宋_GB2312" w:cs="仿宋_GB2312"/>
          <w:b w:val="0"/>
          <w:bCs w:val="0"/>
          <w:color w:val="auto"/>
          <w:sz w:val="32"/>
          <w:szCs w:val="32"/>
          <w:highlight w:val="none"/>
        </w:rPr>
        <w:t>万元</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lang w:val="en-US" w:eastAsia="zh-CN"/>
        </w:rPr>
        <w:t>66.73</w:t>
      </w:r>
      <w:r>
        <w:rPr>
          <w:rFonts w:hint="eastAsia" w:ascii="仿宋_GB2312" w:hAnsi="仿宋_GB2312" w:eastAsia="仿宋_GB2312" w:cs="仿宋_GB2312"/>
          <w:b w:val="0"/>
          <w:bCs w:val="0"/>
          <w:color w:val="auto"/>
          <w:sz w:val="32"/>
          <w:szCs w:val="32"/>
          <w:highlight w:val="none"/>
        </w:rPr>
        <w:t>万元</w:t>
      </w:r>
      <w:r>
        <w:rPr>
          <w:rFonts w:hint="eastAsia" w:ascii="仿宋_GB2312" w:hAnsi="仿宋_GB2312" w:eastAsia="仿宋_GB2312" w:cs="仿宋_GB2312"/>
          <w:color w:val="auto"/>
          <w:sz w:val="32"/>
          <w:szCs w:val="32"/>
          <w:highlight w:val="none"/>
          <w:lang w:eastAsia="zh-CN"/>
        </w:rPr>
        <w:t>）×100%</w:t>
      </w:r>
      <w:r>
        <w:rPr>
          <w:rFonts w:hint="eastAsia" w:ascii="仿宋_GB2312" w:hAnsi="仿宋_GB2312" w:eastAsia="仿宋_GB2312" w:cs="仿宋_GB2312"/>
          <w:b/>
          <w:bCs/>
          <w:color w:val="auto"/>
          <w:sz w:val="32"/>
          <w:szCs w:val="32"/>
          <w:highlight w:val="none"/>
          <w:lang w:val="en-US" w:eastAsia="zh-CN"/>
        </w:rPr>
        <w:t>=</w:t>
      </w:r>
      <w:r>
        <w:rPr>
          <w:rFonts w:hint="eastAsia" w:ascii="仿宋_GB2312" w:hAnsi="仿宋_GB2312" w:eastAsia="仿宋_GB2312" w:cs="仿宋_GB2312"/>
          <w:b w:val="0"/>
          <w:bCs w:val="0"/>
          <w:color w:val="auto"/>
          <w:sz w:val="32"/>
          <w:szCs w:val="32"/>
          <w:highlight w:val="none"/>
          <w:lang w:val="en-US" w:eastAsia="zh-CN"/>
        </w:rPr>
        <w:t>100%。</w:t>
      </w:r>
    </w:p>
    <w:p w14:paraId="6C40E462">
      <w:pPr>
        <w:pageBreakBefore w:val="0"/>
        <w:kinsoku/>
        <w:wordWrap/>
        <w:overflowPunct/>
        <w:topLinePunct w:val="0"/>
        <w:autoSpaceDE/>
        <w:autoSpaceDN/>
        <w:bidi w:val="0"/>
        <w:adjustRightInd/>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综上，该项指标满分4分，得分4分。</w:t>
      </w:r>
    </w:p>
    <w:p w14:paraId="2E1F0CBD">
      <w:pPr>
        <w:pageBreakBefore w:val="0"/>
        <w:kinsoku/>
        <w:wordWrap/>
        <w:overflowPunct/>
        <w:topLinePunct w:val="0"/>
        <w:autoSpaceDE/>
        <w:autoSpaceDN/>
        <w:bidi w:val="0"/>
        <w:adjustRightInd/>
        <w:spacing w:line="560" w:lineRule="exact"/>
        <w:textAlignment w:val="auto"/>
        <w:outlineLvl w:val="2"/>
        <w:rPr>
          <w:rFonts w:hint="eastAsia" w:ascii="仿宋_GB2312" w:hAnsi="仿宋_GB2312" w:eastAsia="仿宋_GB2312" w:cs="仿宋_GB2312"/>
          <w:b/>
          <w:bCs/>
          <w:color w:val="auto"/>
          <w:sz w:val="32"/>
          <w:szCs w:val="32"/>
          <w:highlight w:val="none"/>
          <w:lang w:val="en-US" w:eastAsia="zh-CN"/>
        </w:rPr>
      </w:pPr>
      <w:bookmarkStart w:id="121" w:name="_Toc18691"/>
      <w:bookmarkStart w:id="122" w:name="_Toc28875"/>
      <w:r>
        <w:rPr>
          <w:rFonts w:hint="eastAsia" w:ascii="仿宋_GB2312" w:hAnsi="仿宋_GB2312" w:eastAsia="仿宋_GB2312" w:cs="仿宋_GB2312"/>
          <w:b/>
          <w:bCs/>
          <w:color w:val="auto"/>
          <w:sz w:val="32"/>
          <w:szCs w:val="32"/>
          <w:highlight w:val="none"/>
          <w:lang w:val="en-US" w:eastAsia="zh-CN"/>
        </w:rPr>
        <w:t>3.资金使用合规性</w:t>
      </w:r>
      <w:bookmarkEnd w:id="121"/>
      <w:bookmarkEnd w:id="122"/>
    </w:p>
    <w:p w14:paraId="25B74406">
      <w:pPr>
        <w:pageBreakBefore w:val="0"/>
        <w:kinsoku/>
        <w:wordWrap/>
        <w:overflowPunct/>
        <w:topLinePunct w:val="0"/>
        <w:autoSpaceDE/>
        <w:autoSpaceDN/>
        <w:bidi w:val="0"/>
        <w:adjustRightInd/>
        <w:spacing w:line="560" w:lineRule="exact"/>
        <w:textAlignment w:val="auto"/>
        <w:rPr>
          <w:rFonts w:hint="eastAsia" w:ascii="方正仿宋_GBK" w:hAnsi="方正仿宋_GBK" w:eastAsia="方正仿宋_GBK" w:cs="方正仿宋_GBK"/>
          <w:color w:val="auto"/>
          <w:sz w:val="32"/>
          <w:szCs w:val="32"/>
          <w:highlight w:val="none"/>
        </w:rPr>
      </w:pPr>
      <w:r>
        <w:rPr>
          <w:rFonts w:hint="eastAsia" w:ascii="仿宋_GB2312" w:hAnsi="仿宋_GB2312" w:eastAsia="仿宋_GB2312" w:cs="仿宋_GB2312"/>
          <w:color w:val="auto"/>
          <w:sz w:val="32"/>
          <w:szCs w:val="32"/>
          <w:highlight w:val="none"/>
          <w:lang w:eastAsia="zh-CN"/>
        </w:rPr>
        <w:t>①本项目资金支出符合国家财经法规、《政府会计制度》《</w:t>
      </w:r>
      <w:r>
        <w:rPr>
          <w:rFonts w:hint="eastAsia" w:ascii="仿宋_GB2312" w:hAnsi="仿宋_GB2312" w:eastAsia="仿宋_GB2312" w:cs="仿宋_GB2312"/>
          <w:color w:val="auto"/>
          <w:sz w:val="32"/>
          <w:szCs w:val="32"/>
          <w:highlight w:val="none"/>
          <w:lang w:val="en-US" w:eastAsia="zh-CN"/>
        </w:rPr>
        <w:t>阜康市滋泥泉子镇中心卫生院</w:t>
      </w:r>
      <w:r>
        <w:rPr>
          <w:rFonts w:hint="eastAsia" w:ascii="仿宋_GB2312" w:hAnsi="仿宋_GB2312" w:eastAsia="仿宋_GB2312" w:cs="仿宋_GB2312"/>
          <w:color w:val="auto"/>
          <w:sz w:val="32"/>
          <w:szCs w:val="32"/>
          <w:highlight w:val="none"/>
          <w:lang w:eastAsia="zh-CN"/>
        </w:rPr>
        <w:t>资金管理办法》《</w:t>
      </w:r>
      <w:r>
        <w:rPr>
          <w:rFonts w:hint="eastAsia" w:ascii="仿宋_GB2312" w:hAnsi="仿宋_GB2312" w:eastAsia="仿宋_GB2312" w:cs="仿宋_GB2312"/>
          <w:color w:val="auto"/>
          <w:sz w:val="32"/>
          <w:szCs w:val="32"/>
          <w:highlight w:val="none"/>
          <w:lang w:val="en-US" w:eastAsia="zh-CN"/>
        </w:rPr>
        <w:t>基本公共卫生</w:t>
      </w:r>
      <w:r>
        <w:rPr>
          <w:rFonts w:hint="eastAsia" w:ascii="仿宋_GB2312" w:hAnsi="仿宋_GB2312" w:eastAsia="仿宋_GB2312" w:cs="仿宋_GB2312"/>
          <w:color w:val="auto"/>
          <w:sz w:val="32"/>
          <w:szCs w:val="32"/>
          <w:highlight w:val="none"/>
          <w:lang w:eastAsia="zh-CN"/>
        </w:rPr>
        <w:t>专项资金管理办法》；</w:t>
      </w:r>
    </w:p>
    <w:p w14:paraId="5B66620F">
      <w:pPr>
        <w:pageBreakBefore w:val="0"/>
        <w:kinsoku/>
        <w:wordWrap/>
        <w:overflowPunct/>
        <w:topLinePunct w:val="0"/>
        <w:autoSpaceDE/>
        <w:autoSpaceDN/>
        <w:bidi w:val="0"/>
        <w:adjustRightInd/>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②资金的拨付有完整的审批程序和手续；</w:t>
      </w:r>
    </w:p>
    <w:p w14:paraId="1221808D">
      <w:pPr>
        <w:pageBreakBefore w:val="0"/>
        <w:kinsoku/>
        <w:wordWrap/>
        <w:overflowPunct/>
        <w:topLinePunct w:val="0"/>
        <w:autoSpaceDE/>
        <w:autoSpaceDN/>
        <w:bidi w:val="0"/>
        <w:adjustRightInd/>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③符合项目预算批复或合同规定的用途；</w:t>
      </w:r>
    </w:p>
    <w:p w14:paraId="294DA737">
      <w:pPr>
        <w:pageBreakBefore w:val="0"/>
        <w:kinsoku/>
        <w:wordWrap/>
        <w:overflowPunct/>
        <w:topLinePunct w:val="0"/>
        <w:autoSpaceDE/>
        <w:autoSpaceDN/>
        <w:bidi w:val="0"/>
        <w:adjustRightInd/>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④</w:t>
      </w:r>
      <w:r>
        <w:rPr>
          <w:rFonts w:hint="eastAsia" w:ascii="仿宋_GB2312" w:hAnsi="仿宋_GB2312" w:eastAsia="仿宋_GB2312" w:cs="仿宋_GB2312"/>
          <w:color w:val="auto"/>
          <w:sz w:val="32"/>
          <w:szCs w:val="32"/>
          <w:highlight w:val="none"/>
          <w:lang w:val="en-US" w:eastAsia="zh-CN"/>
        </w:rPr>
        <w:t>不</w:t>
      </w:r>
      <w:r>
        <w:rPr>
          <w:rFonts w:hint="eastAsia" w:ascii="仿宋_GB2312" w:hAnsi="仿宋_GB2312" w:eastAsia="仿宋_GB2312" w:cs="仿宋_GB2312"/>
          <w:color w:val="auto"/>
          <w:sz w:val="32"/>
          <w:szCs w:val="32"/>
          <w:highlight w:val="none"/>
          <w:lang w:eastAsia="zh-CN"/>
        </w:rPr>
        <w:t>存在截留、挤占、挪用、虚列支出等情况。</w:t>
      </w:r>
    </w:p>
    <w:p w14:paraId="1FB05114">
      <w:pPr>
        <w:pageBreakBefore w:val="0"/>
        <w:kinsoku/>
        <w:wordWrap/>
        <w:overflowPunct/>
        <w:topLinePunct w:val="0"/>
        <w:autoSpaceDE/>
        <w:autoSpaceDN/>
        <w:bidi w:val="0"/>
        <w:adjustRightInd/>
        <w:spacing w:line="560" w:lineRule="exact"/>
        <w:textAlignment w:val="auto"/>
        <w:rPr>
          <w:rFonts w:hint="eastAsia"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eastAsia="zh-CN"/>
        </w:rPr>
        <w:t>本项目的资金使用是合规的、安全的，既符合国家相关法律法规与财务制度的要求，又满足了项目实施的实际需要。资金使用的合规性为项目的成功实施提供了有力的保障，也为项目的绩效评价奠定了坚实的基础。</w:t>
      </w:r>
      <w:r>
        <w:rPr>
          <w:rFonts w:hint="eastAsia" w:ascii="Times New Roman" w:hAnsi="Times New Roman" w:eastAsia="仿宋_GB2312" w:cs="Times New Roman"/>
          <w:color w:val="auto"/>
          <w:sz w:val="32"/>
          <w:szCs w:val="32"/>
          <w:highlight w:val="none"/>
          <w:lang w:val="en-US" w:eastAsia="zh-CN"/>
        </w:rPr>
        <w:t xml:space="preserve"> </w:t>
      </w:r>
    </w:p>
    <w:p w14:paraId="1C14A96C">
      <w:pPr>
        <w:pageBreakBefore w:val="0"/>
        <w:kinsoku/>
        <w:wordWrap/>
        <w:overflowPunct/>
        <w:topLinePunct w:val="0"/>
        <w:autoSpaceDE/>
        <w:autoSpaceDN/>
        <w:bidi w:val="0"/>
        <w:adjustRightInd/>
        <w:spacing w:line="560" w:lineRule="exact"/>
        <w:ind w:left="0" w:leftChars="0" w:firstLine="0" w:firstLineChars="0"/>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FF0000"/>
          <w:sz w:val="32"/>
          <w:szCs w:val="32"/>
          <w:highlight w:val="none"/>
          <w:lang w:val="en-US" w:eastAsia="zh-CN"/>
        </w:rPr>
        <w:t xml:space="preserve">   </w:t>
      </w:r>
      <w:r>
        <w:rPr>
          <w:rFonts w:hint="eastAsia" w:ascii="仿宋_GB2312" w:hAnsi="仿宋_GB2312" w:eastAsia="仿宋_GB2312" w:cs="仿宋_GB2312"/>
          <w:b/>
          <w:bCs/>
          <w:color w:val="auto"/>
          <w:sz w:val="32"/>
          <w:szCs w:val="32"/>
          <w:highlight w:val="none"/>
          <w:lang w:val="en-US" w:eastAsia="zh-CN"/>
        </w:rPr>
        <w:t xml:space="preserve"> 综上，该项指标满分4分，得分4分。</w:t>
      </w:r>
    </w:p>
    <w:p w14:paraId="005E6D0F">
      <w:pPr>
        <w:pageBreakBefore w:val="0"/>
        <w:numPr>
          <w:ilvl w:val="0"/>
          <w:numId w:val="0"/>
        </w:numPr>
        <w:kinsoku/>
        <w:wordWrap/>
        <w:overflowPunct/>
        <w:topLinePunct w:val="0"/>
        <w:autoSpaceDE/>
        <w:autoSpaceDN/>
        <w:bidi w:val="0"/>
        <w:adjustRightInd/>
        <w:spacing w:line="560" w:lineRule="exact"/>
        <w:ind w:firstLine="643" w:firstLineChars="200"/>
        <w:textAlignment w:val="auto"/>
        <w:rPr>
          <w:rFonts w:hint="eastAsia" w:ascii="仿宋_GB2312" w:hAnsi="仿宋_GB2312" w:eastAsia="仿宋_GB2312" w:cs="仿宋_GB2312"/>
          <w:b/>
          <w:bCs/>
          <w:color w:val="auto"/>
          <w:sz w:val="32"/>
          <w:szCs w:val="32"/>
          <w:highlight w:val="none"/>
          <w:lang w:val="en-US" w:eastAsia="zh-CN"/>
        </w:rPr>
      </w:pPr>
      <w:r>
        <w:rPr>
          <w:rFonts w:hint="eastAsia" w:ascii="仿宋_GB2312" w:hAnsi="仿宋_GB2312" w:eastAsia="仿宋_GB2312" w:cs="仿宋_GB2312"/>
          <w:b/>
          <w:bCs/>
          <w:color w:val="auto"/>
          <w:kern w:val="2"/>
          <w:sz w:val="32"/>
          <w:szCs w:val="32"/>
          <w:highlight w:val="none"/>
          <w:lang w:val="en-US" w:eastAsia="zh-CN" w:bidi="ar-SA"/>
        </w:rPr>
        <w:t>4.</w:t>
      </w:r>
      <w:r>
        <w:rPr>
          <w:rFonts w:hint="eastAsia" w:ascii="仿宋_GB2312" w:hAnsi="仿宋_GB2312" w:eastAsia="仿宋_GB2312" w:cs="仿宋_GB2312"/>
          <w:b/>
          <w:bCs/>
          <w:color w:val="auto"/>
          <w:sz w:val="32"/>
          <w:szCs w:val="32"/>
          <w:highlight w:val="none"/>
          <w:lang w:val="en-US" w:eastAsia="zh-CN"/>
        </w:rPr>
        <w:t>管理制度健全性</w:t>
      </w:r>
    </w:p>
    <w:p w14:paraId="4D649EF3">
      <w:pPr>
        <w:pageBreakBefore w:val="0"/>
        <w:kinsoku/>
        <w:wordWrap/>
        <w:overflowPunct/>
        <w:topLinePunct w:val="0"/>
        <w:autoSpaceDE/>
        <w:autoSpaceDN/>
        <w:bidi w:val="0"/>
        <w:adjustRightInd/>
        <w:spacing w:line="560" w:lineRule="exact"/>
        <w:textAlignment w:val="auto"/>
        <w:rPr>
          <w:rFonts w:hint="eastAsia" w:ascii="仿宋_GB2312" w:hAnsi="仿宋_GB2312" w:eastAsia="仿宋_GB2312" w:cs="仿宋_GB2312"/>
          <w:color w:val="auto"/>
          <w:sz w:val="32"/>
          <w:szCs w:val="32"/>
          <w:lang w:eastAsia="zh-CN"/>
        </w:rPr>
      </w:pPr>
      <w:r>
        <w:rPr>
          <w:rFonts w:hint="eastAsia" w:ascii="Times New Roman" w:hAnsi="Times New Roman" w:eastAsia="仿宋_GB2312" w:cs="Times New Roman"/>
          <w:color w:val="auto"/>
          <w:sz w:val="32"/>
          <w:szCs w:val="32"/>
          <w:highlight w:val="none"/>
          <w:lang w:val="en-US" w:eastAsia="zh-CN"/>
        </w:rPr>
        <w:t>①</w:t>
      </w:r>
      <w:r>
        <w:rPr>
          <w:rFonts w:hint="eastAsia" w:ascii="Times New Roman" w:hAnsi="Times New Roman" w:eastAsia="仿宋_GB2312" w:cs="Times New Roman"/>
          <w:color w:val="auto"/>
          <w:sz w:val="32"/>
          <w:szCs w:val="32"/>
          <w:highlight w:val="none"/>
          <w:lang w:eastAsia="zh-CN"/>
        </w:rPr>
        <w:t>我单位已制定《</w:t>
      </w:r>
      <w:r>
        <w:rPr>
          <w:rFonts w:hint="eastAsia" w:ascii="Times New Roman" w:hAnsi="Times New Roman" w:eastAsia="仿宋_GB2312" w:cs="Times New Roman"/>
          <w:color w:val="auto"/>
          <w:sz w:val="32"/>
          <w:szCs w:val="32"/>
          <w:highlight w:val="none"/>
          <w:lang w:val="en-US" w:eastAsia="zh-CN"/>
        </w:rPr>
        <w:t>基本公共卫生服务项目</w:t>
      </w:r>
      <w:r>
        <w:rPr>
          <w:rFonts w:hint="eastAsia" w:ascii="Times New Roman" w:hAnsi="Times New Roman" w:eastAsia="仿宋_GB2312" w:cs="Times New Roman"/>
          <w:color w:val="auto"/>
          <w:sz w:val="32"/>
          <w:szCs w:val="32"/>
          <w:highlight w:val="none"/>
          <w:lang w:eastAsia="zh-CN"/>
        </w:rPr>
        <w:t>资金管理办法》《</w:t>
      </w:r>
      <w:bookmarkStart w:id="123" w:name="OLE_LINK6"/>
      <w:r>
        <w:rPr>
          <w:rFonts w:hint="eastAsia" w:ascii="Times New Roman" w:hAnsi="Times New Roman" w:eastAsia="仿宋_GB2312" w:cs="Times New Roman"/>
          <w:color w:val="auto"/>
          <w:sz w:val="32"/>
          <w:szCs w:val="32"/>
          <w:highlight w:val="none"/>
          <w:lang w:val="en-US" w:eastAsia="zh-CN"/>
        </w:rPr>
        <w:t>阜康市滋泥泉子镇在中心卫生院</w:t>
      </w:r>
      <w:bookmarkEnd w:id="123"/>
      <w:r>
        <w:rPr>
          <w:rFonts w:hint="eastAsia" w:ascii="Times New Roman" w:hAnsi="Times New Roman" w:eastAsia="仿宋_GB2312" w:cs="Times New Roman"/>
          <w:color w:val="auto"/>
          <w:sz w:val="32"/>
          <w:szCs w:val="32"/>
          <w:highlight w:val="none"/>
          <w:lang w:val="en-US" w:eastAsia="zh-CN"/>
        </w:rPr>
        <w:t>财务</w:t>
      </w:r>
      <w:r>
        <w:rPr>
          <w:rFonts w:hint="eastAsia" w:ascii="Times New Roman" w:hAnsi="Times New Roman" w:eastAsia="仿宋_GB2312" w:cs="Times New Roman"/>
          <w:color w:val="auto"/>
          <w:sz w:val="32"/>
          <w:szCs w:val="32"/>
          <w:highlight w:val="none"/>
          <w:lang w:eastAsia="zh-CN"/>
        </w:rPr>
        <w:t>收支业务管理制度》</w:t>
      </w:r>
      <w:r>
        <w:rPr>
          <w:rFonts w:hint="eastAsia" w:ascii="仿宋_GB2312" w:hAnsi="仿宋_GB2312" w:eastAsia="仿宋_GB2312" w:cs="仿宋_GB2312"/>
          <w:color w:val="auto"/>
          <w:sz w:val="32"/>
          <w:szCs w:val="32"/>
          <w:lang w:eastAsia="zh-CN"/>
        </w:rPr>
        <w:t>《</w:t>
      </w:r>
      <w:r>
        <w:rPr>
          <w:rFonts w:hint="eastAsia" w:ascii="Times New Roman" w:hAnsi="Times New Roman" w:eastAsia="仿宋_GB2312" w:cs="Times New Roman"/>
          <w:color w:val="auto"/>
          <w:sz w:val="32"/>
          <w:szCs w:val="32"/>
          <w:highlight w:val="none"/>
          <w:lang w:val="en-US" w:eastAsia="zh-CN"/>
        </w:rPr>
        <w:t>阜康市滋泥泉子镇在中心卫生院</w:t>
      </w:r>
      <w:r>
        <w:rPr>
          <w:rFonts w:hint="eastAsia" w:ascii="仿宋_GB2312" w:hAnsi="仿宋_GB2312" w:eastAsia="仿宋_GB2312" w:cs="仿宋_GB2312"/>
          <w:color w:val="auto"/>
          <w:sz w:val="32"/>
          <w:szCs w:val="32"/>
          <w:lang w:eastAsia="zh-CN"/>
        </w:rPr>
        <w:t>政府采购业务管理制度》《</w:t>
      </w:r>
      <w:r>
        <w:rPr>
          <w:rFonts w:hint="eastAsia" w:ascii="Times New Roman" w:hAnsi="Times New Roman" w:eastAsia="仿宋_GB2312" w:cs="Times New Roman"/>
          <w:color w:val="auto"/>
          <w:sz w:val="32"/>
          <w:szCs w:val="32"/>
          <w:highlight w:val="none"/>
          <w:lang w:val="en-US" w:eastAsia="zh-CN"/>
        </w:rPr>
        <w:t>阜康市滋泥泉子镇在中心卫生院</w:t>
      </w:r>
      <w:r>
        <w:rPr>
          <w:rFonts w:hint="eastAsia" w:ascii="仿宋_GB2312" w:hAnsi="仿宋_GB2312" w:eastAsia="仿宋_GB2312" w:cs="仿宋_GB2312"/>
          <w:color w:val="auto"/>
          <w:sz w:val="32"/>
          <w:szCs w:val="32"/>
          <w:lang w:eastAsia="zh-CN"/>
        </w:rPr>
        <w:t>合同管理制度》，</w:t>
      </w:r>
      <w:r>
        <w:rPr>
          <w:rFonts w:hint="eastAsia" w:ascii="仿宋_GB2312" w:hAnsi="仿宋_GB2312" w:eastAsia="仿宋_GB2312" w:cs="仿宋_GB2312"/>
          <w:color w:val="auto"/>
          <w:sz w:val="32"/>
          <w:szCs w:val="32"/>
          <w:lang w:val="en-US" w:eastAsia="zh-CN"/>
        </w:rPr>
        <w:t>相关</w:t>
      </w:r>
      <w:r>
        <w:rPr>
          <w:rFonts w:hint="eastAsia" w:ascii="仿宋_GB2312" w:hAnsi="仿宋_GB2312" w:eastAsia="仿宋_GB2312" w:cs="仿宋_GB2312"/>
          <w:color w:val="auto"/>
          <w:sz w:val="32"/>
          <w:szCs w:val="32"/>
          <w:lang w:eastAsia="zh-CN"/>
        </w:rPr>
        <w:t>制度均符合行政事业单位内控管理要求；</w:t>
      </w:r>
    </w:p>
    <w:p w14:paraId="6A21CA29">
      <w:pPr>
        <w:pageBreakBefore w:val="0"/>
        <w:kinsoku/>
        <w:wordWrap/>
        <w:overflowPunct/>
        <w:topLinePunct w:val="0"/>
        <w:autoSpaceDE/>
        <w:autoSpaceDN/>
        <w:bidi w:val="0"/>
        <w:adjustRightInd/>
        <w:spacing w:line="560" w:lineRule="exact"/>
        <w:ind w:left="0" w:leftChars="0" w:firstLine="0" w:firstLineChars="0"/>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FF0000"/>
          <w:sz w:val="32"/>
          <w:szCs w:val="32"/>
          <w:highlight w:val="none"/>
          <w:lang w:val="en-US" w:eastAsia="zh-CN"/>
        </w:rPr>
        <w:t xml:space="preserve">   </w:t>
      </w:r>
      <w:r>
        <w:rPr>
          <w:rFonts w:hint="eastAsia" w:ascii="仿宋_GB2312" w:hAnsi="仿宋_GB2312" w:eastAsia="仿宋_GB2312" w:cs="仿宋_GB2312"/>
          <w:color w:val="auto"/>
          <w:sz w:val="32"/>
          <w:szCs w:val="32"/>
          <w:highlight w:val="none"/>
          <w:lang w:val="en-US" w:eastAsia="zh-CN"/>
        </w:rPr>
        <w:t xml:space="preserve"> ②已制定的</w:t>
      </w:r>
      <w:r>
        <w:rPr>
          <w:rFonts w:hint="eastAsia" w:ascii="仿宋_GB2312" w:hAnsi="仿宋_GB2312" w:eastAsia="仿宋_GB2312" w:cs="仿宋_GB2312"/>
          <w:color w:val="auto"/>
          <w:sz w:val="32"/>
          <w:szCs w:val="32"/>
          <w:highlight w:val="none"/>
          <w:lang w:eastAsia="zh-CN"/>
        </w:rPr>
        <w:t>财务和业务管理制度合法、合规、完整，本项目执行符合上述制度规定。</w:t>
      </w:r>
    </w:p>
    <w:p w14:paraId="29BF2CBC">
      <w:pPr>
        <w:pageBreakBefore w:val="0"/>
        <w:kinsoku/>
        <w:wordWrap/>
        <w:overflowPunct/>
        <w:topLinePunct w:val="0"/>
        <w:autoSpaceDE/>
        <w:autoSpaceDN/>
        <w:bidi w:val="0"/>
        <w:adjustRightInd/>
        <w:spacing w:line="560" w:lineRule="exact"/>
        <w:ind w:left="0" w:leftChars="0" w:firstLine="0" w:firstLineChars="0"/>
        <w:textAlignment w:val="auto"/>
        <w:rPr>
          <w:rFonts w:hint="eastAsia" w:ascii="仿宋_GB2312" w:hAnsi="仿宋_GB2312" w:eastAsia="仿宋_GB2312" w:cs="仿宋_GB2312"/>
          <w:color w:val="FF0000"/>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 xml:space="preserve">    综上，该项指标满分4分，得分4分。</w:t>
      </w:r>
    </w:p>
    <w:p w14:paraId="04FDFA3E">
      <w:pPr>
        <w:pageBreakBefore w:val="0"/>
        <w:kinsoku/>
        <w:wordWrap/>
        <w:overflowPunct/>
        <w:topLinePunct w:val="0"/>
        <w:autoSpaceDE/>
        <w:autoSpaceDN/>
        <w:bidi w:val="0"/>
        <w:adjustRightInd/>
        <w:spacing w:line="560" w:lineRule="exact"/>
        <w:ind w:left="1524" w:leftChars="200" w:hanging="964" w:hangingChars="300"/>
        <w:textAlignment w:val="auto"/>
        <w:outlineLvl w:val="2"/>
        <w:rPr>
          <w:rFonts w:hint="eastAsia" w:ascii="仿宋_GB2312" w:hAnsi="仿宋_GB2312" w:eastAsia="仿宋_GB2312" w:cs="仿宋_GB2312"/>
          <w:b/>
          <w:bCs/>
          <w:color w:val="auto"/>
          <w:sz w:val="32"/>
          <w:szCs w:val="32"/>
          <w:highlight w:val="none"/>
          <w:lang w:val="en-US" w:eastAsia="zh-CN"/>
        </w:rPr>
      </w:pPr>
      <w:bookmarkStart w:id="124" w:name="_Toc13984"/>
      <w:bookmarkStart w:id="125" w:name="_Toc31684"/>
      <w:r>
        <w:rPr>
          <w:rFonts w:hint="eastAsia" w:ascii="仿宋_GB2312" w:hAnsi="仿宋_GB2312" w:eastAsia="仿宋_GB2312" w:cs="仿宋_GB2312"/>
          <w:b/>
          <w:bCs/>
          <w:color w:val="auto"/>
          <w:sz w:val="32"/>
          <w:szCs w:val="32"/>
          <w:highlight w:val="none"/>
          <w:lang w:val="en-US" w:eastAsia="zh-CN"/>
        </w:rPr>
        <w:t>5.制度执行有效性</w:t>
      </w:r>
      <w:bookmarkEnd w:id="124"/>
      <w:bookmarkEnd w:id="125"/>
    </w:p>
    <w:p w14:paraId="0940C4E0">
      <w:pPr>
        <w:pageBreakBefore w:val="0"/>
        <w:kinsoku/>
        <w:wordWrap/>
        <w:overflowPunct/>
        <w:topLinePunct w:val="0"/>
        <w:autoSpaceDE/>
        <w:autoSpaceDN/>
        <w:bidi w:val="0"/>
        <w:adjustRightInd/>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①</w:t>
      </w:r>
      <w:r>
        <w:rPr>
          <w:rFonts w:hint="eastAsia" w:ascii="仿宋_GB2312" w:hAnsi="仿宋_GB2312" w:eastAsia="仿宋_GB2312" w:cs="仿宋_GB2312"/>
          <w:color w:val="auto"/>
          <w:sz w:val="32"/>
          <w:szCs w:val="32"/>
          <w:highlight w:val="none"/>
        </w:rPr>
        <w:t>项目的实施</w:t>
      </w:r>
      <w:r>
        <w:rPr>
          <w:rFonts w:hint="eastAsia" w:ascii="仿宋_GB2312" w:hAnsi="仿宋_GB2312" w:eastAsia="仿宋_GB2312" w:cs="仿宋_GB2312"/>
          <w:color w:val="auto"/>
          <w:sz w:val="32"/>
          <w:szCs w:val="32"/>
          <w:highlight w:val="none"/>
          <w:lang w:eastAsia="zh-CN"/>
        </w:rPr>
        <w:t>遵守相关法律法规</w:t>
      </w:r>
      <w:r>
        <w:rPr>
          <w:rFonts w:hint="eastAsia" w:ascii="仿宋_GB2312" w:hAnsi="仿宋_GB2312" w:eastAsia="仿宋_GB2312" w:cs="仿宋_GB2312"/>
          <w:color w:val="auto"/>
          <w:sz w:val="32"/>
          <w:szCs w:val="32"/>
          <w:highlight w:val="none"/>
          <w:lang w:val="en-US" w:eastAsia="zh-CN"/>
        </w:rPr>
        <w:t>及</w:t>
      </w:r>
      <w:r>
        <w:rPr>
          <w:rFonts w:hint="eastAsia" w:ascii="仿宋_GB2312" w:hAnsi="仿宋_GB2312" w:eastAsia="仿宋_GB2312" w:cs="仿宋_GB2312"/>
          <w:color w:val="auto"/>
          <w:sz w:val="32"/>
          <w:szCs w:val="32"/>
          <w:highlight w:val="none"/>
          <w:lang w:eastAsia="zh-CN"/>
        </w:rPr>
        <w:t>相关管理规定，</w:t>
      </w:r>
      <w:r>
        <w:rPr>
          <w:rFonts w:hint="eastAsia" w:ascii="仿宋_GB2312" w:hAnsi="仿宋_GB2312" w:eastAsia="仿宋_GB2312" w:cs="仿宋_GB2312"/>
          <w:color w:val="auto"/>
          <w:sz w:val="32"/>
          <w:szCs w:val="32"/>
          <w:highlight w:val="none"/>
        </w:rPr>
        <w:t>符合《</w:t>
      </w:r>
      <w:r>
        <w:rPr>
          <w:rFonts w:hint="eastAsia" w:ascii="Times New Roman" w:hAnsi="Times New Roman" w:eastAsia="仿宋_GB2312" w:cs="Times New Roman"/>
          <w:color w:val="auto"/>
          <w:sz w:val="32"/>
          <w:szCs w:val="32"/>
          <w:highlight w:val="none"/>
          <w:lang w:val="en-US" w:eastAsia="zh-CN"/>
        </w:rPr>
        <w:t>基本公共卫生服务项</w:t>
      </w:r>
      <w:r>
        <w:rPr>
          <w:rFonts w:hint="eastAsia" w:ascii="Times New Roman" w:hAnsi="Times New Roman" w:eastAsia="仿宋_GB2312" w:cs="Times New Roman"/>
          <w:color w:val="auto"/>
          <w:sz w:val="32"/>
          <w:szCs w:val="32"/>
          <w:highlight w:val="none"/>
          <w:lang w:eastAsia="zh-CN"/>
        </w:rPr>
        <w:t>资金</w:t>
      </w:r>
      <w:r>
        <w:rPr>
          <w:rFonts w:hint="eastAsia" w:ascii="仿宋_GB2312" w:hAnsi="仿宋_GB2312" w:eastAsia="仿宋_GB2312" w:cs="仿宋_GB2312"/>
          <w:color w:val="auto"/>
          <w:sz w:val="32"/>
          <w:szCs w:val="32"/>
          <w:highlight w:val="none"/>
        </w:rPr>
        <w:t>办法》《</w:t>
      </w:r>
      <w:r>
        <w:rPr>
          <w:rFonts w:hint="eastAsia" w:ascii="Times New Roman" w:hAnsi="Times New Roman" w:eastAsia="仿宋_GB2312" w:cs="Times New Roman"/>
          <w:color w:val="auto"/>
          <w:sz w:val="32"/>
          <w:szCs w:val="32"/>
          <w:highlight w:val="none"/>
          <w:lang w:val="en-US" w:eastAsia="zh-CN"/>
        </w:rPr>
        <w:t>阜康市滋泥泉子镇在中心卫生院财务</w:t>
      </w:r>
      <w:r>
        <w:rPr>
          <w:rFonts w:hint="eastAsia" w:ascii="Times New Roman" w:hAnsi="Times New Roman" w:eastAsia="仿宋_GB2312" w:cs="Times New Roman"/>
          <w:color w:val="auto"/>
          <w:sz w:val="32"/>
          <w:szCs w:val="32"/>
          <w:highlight w:val="none"/>
          <w:lang w:eastAsia="zh-CN"/>
        </w:rPr>
        <w:t>收支业务</w:t>
      </w:r>
      <w:r>
        <w:rPr>
          <w:rFonts w:hint="eastAsia" w:ascii="仿宋_GB2312" w:hAnsi="仿宋_GB2312" w:eastAsia="仿宋_GB2312" w:cs="仿宋_GB2312"/>
          <w:color w:val="auto"/>
          <w:sz w:val="32"/>
          <w:szCs w:val="32"/>
          <w:highlight w:val="none"/>
        </w:rPr>
        <w:t>管理制度》《</w:t>
      </w:r>
      <w:r>
        <w:rPr>
          <w:rFonts w:hint="eastAsia" w:ascii="Times New Roman" w:hAnsi="Times New Roman" w:eastAsia="仿宋_GB2312" w:cs="Times New Roman"/>
          <w:color w:val="auto"/>
          <w:sz w:val="32"/>
          <w:szCs w:val="32"/>
          <w:highlight w:val="none"/>
          <w:lang w:val="en-US" w:eastAsia="zh-CN"/>
        </w:rPr>
        <w:t>阜康市滋泥泉子镇在中心卫生院</w:t>
      </w:r>
      <w:r>
        <w:rPr>
          <w:rFonts w:hint="eastAsia" w:ascii="仿宋_GB2312" w:hAnsi="仿宋_GB2312" w:eastAsia="仿宋_GB2312" w:cs="仿宋_GB2312"/>
          <w:color w:val="auto"/>
          <w:sz w:val="32"/>
          <w:szCs w:val="32"/>
          <w:highlight w:val="none"/>
        </w:rPr>
        <w:t>采购业务管理制度》《</w:t>
      </w:r>
      <w:r>
        <w:rPr>
          <w:rFonts w:hint="eastAsia" w:ascii="Times New Roman" w:hAnsi="Times New Roman" w:eastAsia="仿宋_GB2312" w:cs="Times New Roman"/>
          <w:color w:val="auto"/>
          <w:sz w:val="32"/>
          <w:szCs w:val="32"/>
          <w:highlight w:val="none"/>
          <w:lang w:val="en-US" w:eastAsia="zh-CN"/>
        </w:rPr>
        <w:t>阜康市滋泥泉子镇在中心卫生院</w:t>
      </w:r>
      <w:r>
        <w:rPr>
          <w:rFonts w:hint="eastAsia" w:ascii="仿宋_GB2312" w:hAnsi="仿宋_GB2312" w:eastAsia="仿宋_GB2312" w:cs="仿宋_GB2312"/>
          <w:color w:val="auto"/>
          <w:sz w:val="32"/>
          <w:szCs w:val="32"/>
          <w:highlight w:val="none"/>
        </w:rPr>
        <w:t>合同管理制度》等管理规定</w:t>
      </w:r>
      <w:r>
        <w:rPr>
          <w:rFonts w:hint="eastAsia" w:ascii="仿宋_GB2312" w:hAnsi="仿宋_GB2312" w:eastAsia="仿宋_GB2312" w:cs="仿宋_GB2312"/>
          <w:color w:val="auto"/>
          <w:sz w:val="32"/>
          <w:szCs w:val="32"/>
        </w:rPr>
        <w:t>。</w:t>
      </w:r>
    </w:p>
    <w:p w14:paraId="7E213AFD">
      <w:pPr>
        <w:pageBreakBefore w:val="0"/>
        <w:kinsoku/>
        <w:wordWrap/>
        <w:overflowPunct/>
        <w:topLinePunct w:val="0"/>
        <w:autoSpaceDE/>
        <w:autoSpaceDN/>
        <w:bidi w:val="0"/>
        <w:adjustRightInd/>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②</w:t>
      </w:r>
      <w:r>
        <w:rPr>
          <w:rFonts w:hint="eastAsia" w:ascii="仿宋_GB2312" w:hAnsi="仿宋_GB2312" w:eastAsia="仿宋_GB2312" w:cs="仿宋_GB2312"/>
          <w:color w:val="auto"/>
          <w:sz w:val="32"/>
          <w:szCs w:val="32"/>
          <w:highlight w:val="none"/>
        </w:rPr>
        <w:t>该项目实施过程中不存在调整事项</w:t>
      </w:r>
      <w:r>
        <w:rPr>
          <w:rFonts w:hint="eastAsia" w:ascii="仿宋_GB2312" w:hAnsi="仿宋_GB2312" w:eastAsia="仿宋_GB2312" w:cs="仿宋_GB2312"/>
          <w:color w:val="auto"/>
          <w:sz w:val="32"/>
          <w:szCs w:val="32"/>
          <w:highlight w:val="none"/>
          <w:lang w:eastAsia="zh-CN"/>
        </w:rPr>
        <w:t>。</w:t>
      </w:r>
    </w:p>
    <w:p w14:paraId="13B01BB1">
      <w:pPr>
        <w:pageBreakBefore w:val="0"/>
        <w:widowControl w:val="0"/>
        <w:kinsoku/>
        <w:wordWrap/>
        <w:overflowPunct/>
        <w:topLinePunct w:val="0"/>
        <w:autoSpaceDE/>
        <w:autoSpaceDN/>
        <w:bidi w:val="0"/>
        <w:adjustRightInd/>
        <w:spacing w:line="560" w:lineRule="exact"/>
        <w:ind w:left="0" w:leftChars="0" w:firstLine="643"/>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highlight w:val="none"/>
          <w:lang w:eastAsia="zh-CN"/>
        </w:rPr>
        <w:t>③</w:t>
      </w:r>
      <w:r>
        <w:rPr>
          <w:rFonts w:hint="eastAsia" w:ascii="仿宋_GB2312" w:hAnsi="仿宋_GB2312" w:eastAsia="仿宋_GB2312" w:cs="仿宋_GB2312"/>
          <w:color w:val="auto"/>
          <w:sz w:val="32"/>
          <w:szCs w:val="32"/>
          <w:highlight w:val="none"/>
        </w:rPr>
        <w:t>项目</w:t>
      </w:r>
      <w:r>
        <w:rPr>
          <w:rFonts w:hint="eastAsia" w:ascii="仿宋_GB2312" w:hAnsi="仿宋_GB2312" w:eastAsia="仿宋_GB2312" w:cs="仿宋_GB2312"/>
          <w:color w:val="auto"/>
          <w:sz w:val="32"/>
          <w:szCs w:val="32"/>
          <w:highlight w:val="none"/>
          <w:lang w:val="en-US" w:eastAsia="zh-CN"/>
        </w:rPr>
        <w:t>档案资料</w:t>
      </w:r>
      <w:r>
        <w:rPr>
          <w:rFonts w:hint="eastAsia" w:ascii="仿宋_GB2312" w:hAnsi="仿宋_GB2312" w:eastAsia="仿宋_GB2312" w:cs="仿宋_GB2312"/>
          <w:color w:val="auto"/>
          <w:sz w:val="32"/>
          <w:szCs w:val="32"/>
          <w:highlight w:val="none"/>
        </w:rPr>
        <w:t>、财务支付凭证等资料齐全</w:t>
      </w:r>
      <w:r>
        <w:rPr>
          <w:rFonts w:hint="eastAsia" w:ascii="仿宋_GB2312" w:hAnsi="仿宋_GB2312" w:eastAsia="仿宋_GB2312" w:cs="仿宋_GB2312"/>
          <w:color w:val="auto"/>
          <w:sz w:val="32"/>
          <w:szCs w:val="32"/>
        </w:rPr>
        <w:t>并及时归档。</w:t>
      </w:r>
    </w:p>
    <w:p w14:paraId="47012399">
      <w:pPr>
        <w:pageBreakBefore w:val="0"/>
        <w:kinsoku/>
        <w:wordWrap/>
        <w:overflowPunct/>
        <w:topLinePunct w:val="0"/>
        <w:autoSpaceDE/>
        <w:autoSpaceDN/>
        <w:bidi w:val="0"/>
        <w:adjustRightInd/>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④项目实施所需要的项目人员和场地设备均已落实到位，具体涉及内容包括：项目资金支出严格按照自治区、地区以及本单位资金管理办法执行，项目启动实施后，为了加快本项目的实施，成立了</w:t>
      </w:r>
      <w:r>
        <w:rPr>
          <w:rFonts w:hint="eastAsia" w:ascii="Times New Roman" w:hAnsi="Times New Roman" w:eastAsia="仿宋_GB2312" w:cs="Times New Roman"/>
          <w:color w:val="auto"/>
          <w:sz w:val="32"/>
          <w:szCs w:val="32"/>
          <w:highlight w:val="none"/>
          <w:lang w:val="en-US" w:eastAsia="zh-CN"/>
        </w:rPr>
        <w:t>基本公共卫生服务</w:t>
      </w:r>
      <w:r>
        <w:rPr>
          <w:rFonts w:hint="eastAsia" w:ascii="仿宋_GB2312" w:hAnsi="仿宋_GB2312" w:eastAsia="仿宋_GB2312" w:cs="仿宋_GB2312"/>
          <w:color w:val="auto"/>
          <w:sz w:val="32"/>
          <w:szCs w:val="32"/>
          <w:highlight w:val="none"/>
          <w:lang w:eastAsia="zh-CN"/>
        </w:rPr>
        <w:t>项目工作领导小组，由</w:t>
      </w:r>
      <w:r>
        <w:rPr>
          <w:rFonts w:hint="eastAsia" w:ascii="仿宋_GB2312" w:hAnsi="仿宋_GB2312" w:eastAsia="仿宋_GB2312" w:cs="仿宋_GB2312"/>
          <w:color w:val="auto"/>
          <w:sz w:val="32"/>
          <w:szCs w:val="32"/>
          <w:highlight w:val="none"/>
          <w:lang w:val="en-US" w:eastAsia="zh-CN"/>
        </w:rPr>
        <w:t>孙小凤</w:t>
      </w:r>
      <w:r>
        <w:rPr>
          <w:rFonts w:hint="eastAsia" w:ascii="仿宋_GB2312" w:hAnsi="仿宋_GB2312" w:eastAsia="仿宋_GB2312" w:cs="仿宋_GB2312"/>
          <w:color w:val="auto"/>
          <w:sz w:val="32"/>
          <w:szCs w:val="32"/>
          <w:highlight w:val="none"/>
          <w:lang w:eastAsia="zh-CN"/>
        </w:rPr>
        <w:t>任组长，负责项目的组织工作；</w:t>
      </w:r>
      <w:r>
        <w:rPr>
          <w:rFonts w:hint="eastAsia" w:ascii="仿宋_GB2312" w:hAnsi="仿宋_GB2312" w:eastAsia="仿宋_GB2312" w:cs="仿宋_GB2312"/>
          <w:color w:val="auto"/>
          <w:sz w:val="32"/>
          <w:szCs w:val="32"/>
          <w:highlight w:val="none"/>
          <w:lang w:val="en-US" w:eastAsia="zh-CN"/>
        </w:rPr>
        <w:t>袁建国</w:t>
      </w:r>
      <w:r>
        <w:rPr>
          <w:rFonts w:hint="eastAsia" w:ascii="仿宋_GB2312" w:hAnsi="仿宋_GB2312" w:eastAsia="仿宋_GB2312" w:cs="仿宋_GB2312"/>
          <w:color w:val="auto"/>
          <w:sz w:val="32"/>
          <w:szCs w:val="32"/>
          <w:highlight w:val="none"/>
          <w:lang w:eastAsia="zh-CN"/>
        </w:rPr>
        <w:t>任副组长，负责项目的实施工作；组员包括：</w:t>
      </w:r>
      <w:r>
        <w:rPr>
          <w:rFonts w:hint="eastAsia" w:ascii="仿宋_GB2312" w:hAnsi="仿宋_GB2312" w:eastAsia="仿宋_GB2312" w:cs="仿宋_GB2312"/>
          <w:color w:val="auto"/>
          <w:sz w:val="32"/>
          <w:szCs w:val="32"/>
          <w:highlight w:val="none"/>
          <w:lang w:val="en-US" w:eastAsia="zh-CN"/>
        </w:rPr>
        <w:t>陶楠和陆彦</w:t>
      </w:r>
      <w:r>
        <w:rPr>
          <w:rFonts w:hint="eastAsia" w:ascii="仿宋_GB2312" w:hAnsi="仿宋_GB2312" w:eastAsia="仿宋_GB2312" w:cs="仿宋_GB2312"/>
          <w:color w:val="auto"/>
          <w:sz w:val="32"/>
          <w:szCs w:val="32"/>
          <w:highlight w:val="none"/>
          <w:lang w:eastAsia="zh-CN"/>
        </w:rPr>
        <w:t>，主要负责项目监督管理、验收以及资金核拨等工作。</w:t>
      </w:r>
    </w:p>
    <w:p w14:paraId="09C15ACC">
      <w:pPr>
        <w:pageBreakBefore w:val="0"/>
        <w:kinsoku/>
        <w:wordWrap/>
        <w:overflowPunct/>
        <w:topLinePunct w:val="0"/>
        <w:autoSpaceDE/>
        <w:autoSpaceDN/>
        <w:bidi w:val="0"/>
        <w:adjustRightInd/>
        <w:spacing w:line="560" w:lineRule="exact"/>
        <w:ind w:left="0" w:leftChars="0" w:firstLine="0" w:firstLineChars="0"/>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FF0000"/>
          <w:sz w:val="32"/>
          <w:szCs w:val="32"/>
          <w:highlight w:val="none"/>
          <w:lang w:val="en-US" w:eastAsia="zh-CN"/>
        </w:rPr>
        <w:t xml:space="preserve">    </w:t>
      </w:r>
      <w:r>
        <w:rPr>
          <w:rFonts w:hint="eastAsia" w:ascii="仿宋_GB2312" w:hAnsi="仿宋_GB2312" w:eastAsia="仿宋_GB2312" w:cs="仿宋_GB2312"/>
          <w:b/>
          <w:bCs/>
          <w:color w:val="auto"/>
          <w:sz w:val="32"/>
          <w:szCs w:val="32"/>
          <w:highlight w:val="none"/>
          <w:lang w:val="en-US" w:eastAsia="zh-CN"/>
        </w:rPr>
        <w:t>综上，该项指标满分4分，得分4分。</w:t>
      </w:r>
    </w:p>
    <w:p w14:paraId="35C2B289">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color w:val="auto"/>
          <w:kern w:val="28"/>
          <w:sz w:val="32"/>
          <w:highlight w:val="none"/>
          <w:lang w:val="en-US" w:eastAsia="zh-CN"/>
        </w:rPr>
      </w:pPr>
      <w:bookmarkStart w:id="126" w:name="_Toc2441"/>
      <w:r>
        <w:rPr>
          <w:rFonts w:hint="eastAsia" w:ascii="Times New Roman" w:hAnsi="Times New Roman" w:eastAsia="楷体_GB2312" w:cs="Times New Roman"/>
          <w:color w:val="auto"/>
          <w:kern w:val="28"/>
          <w:sz w:val="32"/>
          <w:highlight w:val="none"/>
          <w:lang w:val="en-US" w:eastAsia="zh-CN"/>
        </w:rPr>
        <w:t>（三）项目产出情况</w:t>
      </w:r>
      <w:bookmarkEnd w:id="126"/>
    </w:p>
    <w:p w14:paraId="10D1BBD2">
      <w:pPr>
        <w:pageBreakBefore w:val="0"/>
        <w:widowControl w:val="0"/>
        <w:kinsoku/>
        <w:wordWrap/>
        <w:overflowPunct/>
        <w:topLinePunct w:val="0"/>
        <w:autoSpaceDE/>
        <w:autoSpaceDN/>
        <w:bidi w:val="0"/>
        <w:adjustRightInd/>
        <w:spacing w:line="560" w:lineRule="exact"/>
        <w:ind w:firstLine="560"/>
        <w:textAlignment w:val="auto"/>
        <w:rPr>
          <w:rFonts w:hint="eastAsia" w:ascii="仿宋_GB2312" w:hAnsi="仿宋_GB2312" w:eastAsia="仿宋_GB2312" w:cs="仿宋_GB2312"/>
          <w:color w:val="auto"/>
          <w:kern w:val="2"/>
          <w:sz w:val="32"/>
          <w:szCs w:val="32"/>
          <w:highlight w:val="none"/>
          <w:u w:color="000000"/>
          <w:shd w:val="clear" w:color="auto" w:fill="auto"/>
          <w:lang w:val="zh-TW" w:eastAsia="zh-TW"/>
        </w:rPr>
      </w:pPr>
      <w:r>
        <w:rPr>
          <w:rFonts w:hint="eastAsia" w:ascii="仿宋_GB2312" w:hAnsi="仿宋_GB2312" w:eastAsia="仿宋_GB2312" w:cs="仿宋_GB2312"/>
          <w:color w:val="auto"/>
          <w:kern w:val="2"/>
          <w:sz w:val="32"/>
          <w:szCs w:val="32"/>
          <w:highlight w:val="none"/>
          <w:u w:color="000000"/>
          <w:shd w:val="clear" w:color="auto" w:fill="auto"/>
          <w:lang w:val="zh-TW" w:eastAsia="zh-TW"/>
        </w:rPr>
        <w:t>项目</w:t>
      </w:r>
      <w:r>
        <w:rPr>
          <w:rFonts w:hint="eastAsia" w:ascii="仿宋_GB2312" w:hAnsi="仿宋_GB2312" w:eastAsia="仿宋_GB2312" w:cs="仿宋_GB2312"/>
          <w:color w:val="auto"/>
          <w:sz w:val="32"/>
          <w:szCs w:val="32"/>
          <w:highlight w:val="none"/>
          <w:shd w:val="clear" w:color="auto" w:fill="auto"/>
          <w:lang w:val="en-US" w:eastAsia="zh-CN"/>
        </w:rPr>
        <w:t>产出</w:t>
      </w:r>
      <w:r>
        <w:rPr>
          <w:rFonts w:hint="eastAsia" w:ascii="仿宋_GB2312" w:hAnsi="仿宋_GB2312" w:eastAsia="仿宋_GB2312" w:cs="仿宋_GB2312"/>
          <w:color w:val="auto"/>
          <w:kern w:val="2"/>
          <w:sz w:val="32"/>
          <w:szCs w:val="32"/>
          <w:highlight w:val="none"/>
          <w:u w:color="000000"/>
          <w:shd w:val="clear" w:color="auto" w:fill="auto"/>
          <w:lang w:val="zh-TW" w:eastAsia="zh-TW"/>
        </w:rPr>
        <w:t>类指标</w:t>
      </w:r>
      <w:r>
        <w:rPr>
          <w:rFonts w:hint="default" w:ascii="Times New Roman" w:hAnsi="Times New Roman" w:eastAsia="仿宋_GB2312" w:cs="Times New Roman"/>
          <w:color w:val="auto"/>
          <w:sz w:val="32"/>
          <w:szCs w:val="32"/>
          <w:highlight w:val="none"/>
          <w:lang w:val="en-US" w:eastAsia="zh-CN"/>
        </w:rPr>
        <w:t>包括产出数量、产出质量、产出时效、产出成本四方面的内容，</w:t>
      </w:r>
      <w:r>
        <w:rPr>
          <w:rFonts w:hint="eastAsia" w:ascii="Times New Roman" w:hAnsi="Times New Roman" w:eastAsia="仿宋_GB2312" w:cs="Times New Roman"/>
          <w:color w:val="auto"/>
          <w:sz w:val="32"/>
          <w:szCs w:val="32"/>
          <w:highlight w:val="none"/>
          <w:lang w:val="en-US" w:eastAsia="zh-CN"/>
        </w:rPr>
        <w:t>共</w:t>
      </w:r>
      <w:r>
        <w:rPr>
          <w:rFonts w:hint="eastAsia" w:ascii="仿宋_GB2312" w:hAnsi="仿宋_GB2312" w:eastAsia="仿宋_GB2312" w:cs="仿宋_GB2312"/>
          <w:color w:val="auto"/>
          <w:kern w:val="2"/>
          <w:sz w:val="32"/>
          <w:szCs w:val="32"/>
          <w:highlight w:val="none"/>
          <w:u w:color="000000"/>
          <w:shd w:val="clear" w:color="auto" w:fill="auto"/>
          <w:lang w:val="en-US" w:eastAsia="zh-CN"/>
        </w:rPr>
        <w:t>4</w:t>
      </w:r>
      <w:r>
        <w:rPr>
          <w:rFonts w:hint="eastAsia" w:ascii="仿宋_GB2312" w:hAnsi="仿宋_GB2312" w:eastAsia="仿宋_GB2312" w:cs="仿宋_GB2312"/>
          <w:color w:val="auto"/>
          <w:kern w:val="2"/>
          <w:sz w:val="32"/>
          <w:szCs w:val="32"/>
          <w:highlight w:val="none"/>
          <w:u w:color="000000"/>
          <w:shd w:val="clear" w:color="auto" w:fill="auto"/>
          <w:lang w:val="zh-TW" w:eastAsia="zh-TW"/>
        </w:rPr>
        <w:t>个</w:t>
      </w:r>
      <w:r>
        <w:rPr>
          <w:rFonts w:hint="eastAsia" w:ascii="仿宋_GB2312" w:hAnsi="仿宋_GB2312" w:eastAsia="仿宋_GB2312" w:cs="仿宋_GB2312"/>
          <w:color w:val="auto"/>
          <w:kern w:val="2"/>
          <w:sz w:val="32"/>
          <w:szCs w:val="32"/>
          <w:highlight w:val="none"/>
          <w:u w:color="000000"/>
          <w:shd w:val="clear" w:color="auto" w:fill="auto"/>
          <w:lang w:val="zh-TW" w:eastAsia="zh-CN"/>
        </w:rPr>
        <w:t>二</w:t>
      </w:r>
      <w:r>
        <w:rPr>
          <w:rFonts w:hint="eastAsia" w:ascii="仿宋_GB2312" w:hAnsi="仿宋_GB2312" w:eastAsia="仿宋_GB2312" w:cs="仿宋_GB2312"/>
          <w:color w:val="auto"/>
          <w:kern w:val="2"/>
          <w:sz w:val="32"/>
          <w:szCs w:val="32"/>
          <w:highlight w:val="none"/>
          <w:u w:color="000000"/>
          <w:shd w:val="clear" w:color="auto" w:fill="auto"/>
          <w:lang w:val="zh-TW" w:eastAsia="zh-TW"/>
        </w:rPr>
        <w:t>级指标和</w:t>
      </w:r>
      <w:r>
        <w:rPr>
          <w:rFonts w:hint="eastAsia" w:ascii="仿宋_GB2312" w:hAnsi="仿宋_GB2312" w:eastAsia="仿宋_GB2312" w:cs="仿宋_GB2312"/>
          <w:color w:val="auto"/>
          <w:kern w:val="2"/>
          <w:sz w:val="32"/>
          <w:szCs w:val="32"/>
          <w:highlight w:val="none"/>
          <w:u w:color="000000"/>
          <w:shd w:val="clear" w:color="auto" w:fill="auto"/>
          <w:lang w:val="en-US" w:eastAsia="zh-CN"/>
        </w:rPr>
        <w:t>7</w:t>
      </w:r>
      <w:r>
        <w:rPr>
          <w:rFonts w:hint="eastAsia" w:ascii="仿宋_GB2312" w:hAnsi="仿宋_GB2312" w:eastAsia="仿宋_GB2312" w:cs="仿宋_GB2312"/>
          <w:color w:val="auto"/>
          <w:kern w:val="2"/>
          <w:sz w:val="32"/>
          <w:szCs w:val="32"/>
          <w:highlight w:val="none"/>
          <w:u w:color="000000"/>
          <w:shd w:val="clear" w:color="auto" w:fill="auto"/>
          <w:lang w:val="zh-TW" w:eastAsia="zh-TW"/>
        </w:rPr>
        <w:t>个</w:t>
      </w:r>
      <w:r>
        <w:rPr>
          <w:rFonts w:hint="eastAsia" w:ascii="仿宋_GB2312" w:hAnsi="仿宋_GB2312" w:eastAsia="仿宋_GB2312" w:cs="仿宋_GB2312"/>
          <w:color w:val="auto"/>
          <w:kern w:val="2"/>
          <w:sz w:val="32"/>
          <w:szCs w:val="32"/>
          <w:highlight w:val="none"/>
          <w:u w:color="000000"/>
          <w:shd w:val="clear" w:color="auto" w:fill="auto"/>
          <w:lang w:eastAsia="zh-CN"/>
        </w:rPr>
        <w:t>三</w:t>
      </w:r>
      <w:r>
        <w:rPr>
          <w:rFonts w:hint="eastAsia" w:ascii="仿宋_GB2312" w:hAnsi="仿宋_GB2312" w:eastAsia="仿宋_GB2312" w:cs="仿宋_GB2312"/>
          <w:color w:val="auto"/>
          <w:kern w:val="2"/>
          <w:sz w:val="32"/>
          <w:szCs w:val="32"/>
          <w:highlight w:val="none"/>
          <w:u w:color="000000"/>
          <w:shd w:val="clear" w:color="auto" w:fill="auto"/>
          <w:lang w:val="zh-TW" w:eastAsia="zh-TW"/>
        </w:rPr>
        <w:t>级指标构成，权重分</w:t>
      </w:r>
      <w:r>
        <w:rPr>
          <w:rFonts w:hint="eastAsia" w:ascii="仿宋_GB2312" w:hAnsi="仿宋_GB2312" w:eastAsia="仿宋_GB2312" w:cs="仿宋_GB2312"/>
          <w:color w:val="auto"/>
          <w:kern w:val="2"/>
          <w:sz w:val="32"/>
          <w:szCs w:val="32"/>
          <w:highlight w:val="none"/>
          <w:u w:color="000000"/>
          <w:shd w:val="clear" w:color="auto" w:fill="auto"/>
          <w:lang w:val="en-US" w:eastAsia="zh-CN"/>
        </w:rPr>
        <w:t>40</w:t>
      </w:r>
      <w:r>
        <w:rPr>
          <w:rFonts w:hint="eastAsia" w:ascii="仿宋_GB2312" w:hAnsi="仿宋_GB2312" w:eastAsia="仿宋_GB2312" w:cs="仿宋_GB2312"/>
          <w:color w:val="auto"/>
          <w:kern w:val="2"/>
          <w:sz w:val="32"/>
          <w:szCs w:val="32"/>
          <w:highlight w:val="none"/>
          <w:u w:color="000000"/>
          <w:shd w:val="clear" w:color="auto" w:fill="auto"/>
          <w:lang w:val="zh-TW" w:eastAsia="zh-TW"/>
        </w:rPr>
        <w:t>分，实际得分</w:t>
      </w:r>
      <w:r>
        <w:rPr>
          <w:rFonts w:hint="eastAsia" w:ascii="仿宋_GB2312" w:hAnsi="仿宋_GB2312" w:eastAsia="仿宋_GB2312" w:cs="仿宋_GB2312"/>
          <w:color w:val="auto"/>
          <w:kern w:val="2"/>
          <w:sz w:val="32"/>
          <w:szCs w:val="32"/>
          <w:highlight w:val="none"/>
          <w:u w:color="000000"/>
          <w:shd w:val="clear" w:color="auto" w:fill="auto"/>
          <w:lang w:val="en-US" w:eastAsia="zh-CN"/>
        </w:rPr>
        <w:t>38.76</w:t>
      </w:r>
      <w:r>
        <w:rPr>
          <w:rFonts w:hint="eastAsia" w:ascii="仿宋_GB2312" w:hAnsi="仿宋_GB2312" w:eastAsia="仿宋_GB2312" w:cs="仿宋_GB2312"/>
          <w:color w:val="auto"/>
          <w:kern w:val="2"/>
          <w:sz w:val="32"/>
          <w:szCs w:val="32"/>
          <w:highlight w:val="none"/>
          <w:u w:color="000000"/>
          <w:shd w:val="clear" w:color="auto" w:fill="auto"/>
          <w:lang w:val="zh-TW" w:eastAsia="zh-TW"/>
        </w:rPr>
        <w:t>分</w:t>
      </w:r>
      <w:r>
        <w:rPr>
          <w:rFonts w:hint="eastAsia" w:ascii="仿宋_GB2312" w:hAnsi="仿宋_GB2312" w:eastAsia="仿宋_GB2312" w:cs="仿宋_GB2312"/>
          <w:color w:val="auto"/>
          <w:kern w:val="2"/>
          <w:sz w:val="32"/>
          <w:szCs w:val="32"/>
          <w:highlight w:val="none"/>
          <w:u w:color="000000"/>
          <w:shd w:val="clear" w:color="auto" w:fill="auto"/>
          <w:lang w:val="zh-TW" w:eastAsia="zh-CN"/>
        </w:rPr>
        <w:t>，</w:t>
      </w:r>
      <w:r>
        <w:rPr>
          <w:rFonts w:hint="eastAsia" w:ascii="仿宋_GB2312" w:hAnsi="仿宋_GB2312" w:eastAsia="仿宋_GB2312" w:cs="仿宋_GB2312"/>
          <w:color w:val="auto"/>
          <w:kern w:val="2"/>
          <w:sz w:val="32"/>
          <w:szCs w:val="32"/>
          <w:highlight w:val="none"/>
          <w:u w:color="000000"/>
          <w:shd w:val="clear" w:color="auto" w:fill="auto"/>
          <w:lang w:val="zh-TW" w:eastAsia="zh-TW"/>
        </w:rPr>
        <w:t>各指标业绩值和绩效分值如表</w:t>
      </w:r>
      <w:r>
        <w:rPr>
          <w:rFonts w:hint="eastAsia" w:ascii="仿宋_GB2312" w:hAnsi="仿宋_GB2312" w:eastAsia="仿宋_GB2312" w:cs="仿宋_GB2312"/>
          <w:color w:val="auto"/>
          <w:kern w:val="2"/>
          <w:sz w:val="32"/>
          <w:szCs w:val="32"/>
          <w:highlight w:val="none"/>
          <w:u w:color="000000"/>
          <w:shd w:val="clear" w:color="auto" w:fill="auto"/>
          <w:lang w:val="en-US" w:eastAsia="zh-CN"/>
        </w:rPr>
        <w:t>4</w:t>
      </w:r>
      <w:r>
        <w:rPr>
          <w:rFonts w:hint="eastAsia" w:ascii="仿宋_GB2312" w:hAnsi="仿宋_GB2312" w:eastAsia="仿宋_GB2312" w:cs="仿宋_GB2312"/>
          <w:color w:val="auto"/>
          <w:kern w:val="2"/>
          <w:sz w:val="32"/>
          <w:szCs w:val="32"/>
          <w:highlight w:val="none"/>
          <w:u w:color="000000"/>
          <w:shd w:val="clear" w:color="auto" w:fill="auto"/>
          <w:lang w:eastAsia="zh-CN"/>
        </w:rPr>
        <w:t>-</w:t>
      </w:r>
      <w:r>
        <w:rPr>
          <w:rFonts w:hint="eastAsia" w:ascii="仿宋_GB2312" w:hAnsi="仿宋_GB2312" w:eastAsia="仿宋_GB2312" w:cs="仿宋_GB2312"/>
          <w:color w:val="auto"/>
          <w:kern w:val="2"/>
          <w:sz w:val="32"/>
          <w:szCs w:val="32"/>
          <w:highlight w:val="none"/>
          <w:u w:color="000000"/>
          <w:shd w:val="clear" w:color="auto" w:fill="auto"/>
          <w:lang w:val="en-US" w:eastAsia="zh-CN"/>
        </w:rPr>
        <w:t>3</w:t>
      </w:r>
      <w:r>
        <w:rPr>
          <w:rFonts w:hint="eastAsia" w:ascii="仿宋_GB2312" w:hAnsi="仿宋_GB2312" w:eastAsia="仿宋_GB2312" w:cs="仿宋_GB2312"/>
          <w:color w:val="auto"/>
          <w:kern w:val="2"/>
          <w:sz w:val="32"/>
          <w:szCs w:val="32"/>
          <w:highlight w:val="none"/>
          <w:u w:color="000000"/>
          <w:shd w:val="clear" w:color="auto" w:fill="auto"/>
          <w:lang w:val="zh-TW" w:eastAsia="zh-TW"/>
        </w:rPr>
        <w:t>所示</w:t>
      </w:r>
      <w:r>
        <w:rPr>
          <w:rFonts w:hint="eastAsia" w:ascii="仿宋_GB2312" w:hAnsi="仿宋_GB2312" w:eastAsia="仿宋_GB2312" w:cs="仿宋_GB2312"/>
          <w:b/>
          <w:bCs/>
          <w:color w:val="auto"/>
          <w:kern w:val="2"/>
          <w:sz w:val="32"/>
          <w:szCs w:val="32"/>
          <w:highlight w:val="none"/>
          <w:u w:color="000000"/>
          <w:shd w:val="clear" w:color="auto" w:fill="auto"/>
          <w:lang w:val="zh-TW" w:eastAsia="zh-CN"/>
        </w:rPr>
        <w:t>（</w:t>
      </w:r>
      <w:r>
        <w:rPr>
          <w:rFonts w:hint="eastAsia" w:ascii="仿宋_GB2312" w:hAnsi="仿宋_GB2312" w:eastAsia="仿宋_GB2312" w:cs="仿宋_GB2312"/>
          <w:b/>
          <w:bCs/>
          <w:color w:val="auto"/>
          <w:kern w:val="2"/>
          <w:sz w:val="32"/>
          <w:szCs w:val="32"/>
          <w:highlight w:val="none"/>
          <w:u w:color="000000"/>
          <w:shd w:val="clear" w:color="auto" w:fill="auto"/>
          <w:lang w:val="en-US" w:eastAsia="zh-CN"/>
        </w:rPr>
        <w:t>详见上传的附件</w:t>
      </w:r>
      <w:r>
        <w:rPr>
          <w:rFonts w:hint="eastAsia" w:ascii="仿宋_GB2312" w:hAnsi="仿宋_GB2312" w:eastAsia="仿宋_GB2312" w:cs="仿宋_GB2312"/>
          <w:b/>
          <w:bCs/>
          <w:color w:val="auto"/>
          <w:kern w:val="2"/>
          <w:sz w:val="32"/>
          <w:szCs w:val="32"/>
          <w:highlight w:val="none"/>
          <w:u w:color="000000"/>
          <w:shd w:val="clear" w:color="auto" w:fill="auto"/>
          <w:lang w:val="zh-TW" w:eastAsia="zh-CN"/>
        </w:rPr>
        <w:t>）</w:t>
      </w:r>
      <w:r>
        <w:rPr>
          <w:rFonts w:hint="eastAsia" w:ascii="仿宋_GB2312" w:hAnsi="仿宋_GB2312" w:eastAsia="仿宋_GB2312" w:cs="仿宋_GB2312"/>
          <w:color w:val="auto"/>
          <w:kern w:val="2"/>
          <w:sz w:val="32"/>
          <w:szCs w:val="32"/>
          <w:highlight w:val="none"/>
          <w:u w:color="000000"/>
          <w:shd w:val="clear" w:color="auto" w:fill="auto"/>
          <w:lang w:val="zh-TW" w:eastAsia="zh-TW"/>
        </w:rPr>
        <w:t>：</w:t>
      </w:r>
    </w:p>
    <w:p w14:paraId="35B4C0A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8"/>
          <w:szCs w:val="28"/>
          <w:highlight w:val="none"/>
          <w:shd w:val="clear" w:color="auto" w:fill="auto"/>
          <w:lang w:val="en-US" w:eastAsia="zh-CN"/>
        </w:rPr>
      </w:pPr>
      <w:r>
        <w:rPr>
          <w:rFonts w:hint="eastAsia" w:ascii="宋体" w:hAnsi="宋体" w:eastAsia="宋体" w:cs="宋体"/>
          <w:b/>
          <w:bCs/>
          <w:color w:val="auto"/>
          <w:kern w:val="0"/>
          <w:sz w:val="28"/>
          <w:szCs w:val="28"/>
          <w:highlight w:val="none"/>
          <w:shd w:val="clear" w:color="auto" w:fill="auto"/>
          <w:lang w:val="zh-TW" w:eastAsia="zh-TW"/>
        </w:rPr>
        <w:t>表</w:t>
      </w:r>
      <w:r>
        <w:rPr>
          <w:rFonts w:hint="eastAsia" w:ascii="宋体" w:hAnsi="宋体" w:eastAsia="宋体" w:cs="宋体"/>
          <w:b/>
          <w:bCs/>
          <w:color w:val="auto"/>
          <w:kern w:val="0"/>
          <w:sz w:val="28"/>
          <w:szCs w:val="28"/>
          <w:highlight w:val="none"/>
          <w:shd w:val="clear" w:color="auto" w:fill="auto"/>
          <w:lang w:val="en-US" w:eastAsia="zh-CN"/>
        </w:rPr>
        <w:t>4-3项目产出</w:t>
      </w:r>
      <w:r>
        <w:rPr>
          <w:rFonts w:hint="eastAsia" w:ascii="宋体" w:hAnsi="宋体" w:eastAsia="宋体" w:cs="宋体"/>
          <w:b/>
          <w:bCs/>
          <w:color w:val="auto"/>
          <w:kern w:val="0"/>
          <w:sz w:val="28"/>
          <w:szCs w:val="28"/>
          <w:highlight w:val="none"/>
          <w:shd w:val="clear" w:color="auto" w:fill="auto"/>
          <w:lang w:val="zh-TW" w:eastAsia="zh-TW"/>
        </w:rPr>
        <w:t>指标及分值</w:t>
      </w:r>
      <w:r>
        <w:rPr>
          <w:rFonts w:hint="eastAsia" w:ascii="宋体" w:hAnsi="宋体" w:eastAsia="宋体" w:cs="宋体"/>
          <w:b/>
          <w:bCs/>
          <w:color w:val="auto"/>
          <w:kern w:val="0"/>
          <w:sz w:val="28"/>
          <w:szCs w:val="28"/>
          <w:highlight w:val="none"/>
          <w:shd w:val="clear" w:color="auto" w:fill="auto"/>
          <w:lang w:val="en-US" w:eastAsia="zh-CN"/>
        </w:rPr>
        <w:t>情况</w:t>
      </w:r>
    </w:p>
    <w:tbl>
      <w:tblPr>
        <w:tblStyle w:val="16"/>
        <w:tblW w:w="8197" w:type="dxa"/>
        <w:tblInd w:w="0" w:type="dxa"/>
        <w:shd w:val="clear" w:color="auto" w:fill="auto"/>
        <w:tblLayout w:type="fixed"/>
        <w:tblCellMar>
          <w:top w:w="0" w:type="dxa"/>
          <w:left w:w="0" w:type="dxa"/>
          <w:bottom w:w="0" w:type="dxa"/>
          <w:right w:w="0" w:type="dxa"/>
        </w:tblCellMar>
      </w:tblPr>
      <w:tblGrid>
        <w:gridCol w:w="634"/>
        <w:gridCol w:w="928"/>
        <w:gridCol w:w="2644"/>
        <w:gridCol w:w="1437"/>
        <w:gridCol w:w="558"/>
        <w:gridCol w:w="1365"/>
        <w:gridCol w:w="631"/>
      </w:tblGrid>
      <w:tr w14:paraId="26EA9C4F">
        <w:tblPrEx>
          <w:shd w:val="clear" w:color="auto" w:fill="auto"/>
          <w:tblCellMar>
            <w:top w:w="0" w:type="dxa"/>
            <w:left w:w="0" w:type="dxa"/>
            <w:bottom w:w="0" w:type="dxa"/>
            <w:right w:w="0" w:type="dxa"/>
          </w:tblCellMar>
        </w:tblPrEx>
        <w:trPr>
          <w:trHeight w:val="750" w:hRule="atLeast"/>
        </w:trPr>
        <w:tc>
          <w:tcPr>
            <w:tcW w:w="634" w:type="dxa"/>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14:paraId="5834D770">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bookmarkStart w:id="127" w:name="_Toc26689"/>
            <w:bookmarkStart w:id="128" w:name="_Toc11067"/>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一级指标</w:t>
            </w:r>
          </w:p>
        </w:tc>
        <w:tc>
          <w:tcPr>
            <w:tcW w:w="928" w:type="dxa"/>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14:paraId="106C03EA">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二级指标</w:t>
            </w:r>
          </w:p>
        </w:tc>
        <w:tc>
          <w:tcPr>
            <w:tcW w:w="2644" w:type="dxa"/>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14:paraId="701A07BE">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三级指标</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EF6450">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年度指标值</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D8F1A3">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标杆分值</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6671D1">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全年实际完成值</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82048A">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指标得分</w:t>
            </w:r>
          </w:p>
        </w:tc>
      </w:tr>
      <w:tr w14:paraId="25AF60E8">
        <w:tblPrEx>
          <w:shd w:val="clear" w:color="auto" w:fill="auto"/>
          <w:tblCellMar>
            <w:top w:w="0" w:type="dxa"/>
            <w:left w:w="0" w:type="dxa"/>
            <w:bottom w:w="0" w:type="dxa"/>
            <w:right w:w="0" w:type="dxa"/>
          </w:tblCellMar>
        </w:tblPrEx>
        <w:trPr>
          <w:trHeight w:val="415" w:hRule="atLeast"/>
        </w:trPr>
        <w:tc>
          <w:tcPr>
            <w:tcW w:w="634" w:type="dxa"/>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722A199">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产出</w:t>
            </w:r>
          </w:p>
        </w:tc>
        <w:tc>
          <w:tcPr>
            <w:tcW w:w="928" w:type="dxa"/>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0F6B3A5">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数量指标</w:t>
            </w:r>
          </w:p>
        </w:tc>
        <w:tc>
          <w:tcPr>
            <w:tcW w:w="264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0F73AB1">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65岁以上老人健康管理服务完成人数</w:t>
            </w:r>
          </w:p>
        </w:tc>
        <w:tc>
          <w:tcPr>
            <w:tcW w:w="1437"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14:paraId="555AC655">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w:t>
            </w:r>
            <w:r>
              <w:rPr>
                <w:rFonts w:hint="eastAsia" w:cs="宋体"/>
                <w:color w:val="000000" w:themeColor="text1"/>
                <w:kern w:val="0"/>
                <w:sz w:val="20"/>
                <w:szCs w:val="20"/>
                <w:highlight w:val="none"/>
                <w:shd w:val="clear" w:color="auto" w:fill="auto"/>
                <w:lang w:val="en-US" w:eastAsia="zh-CN"/>
                <w14:textFill>
                  <w14:solidFill>
                    <w14:schemeClr w14:val="tx1"/>
                  </w14:solidFill>
                </w14:textFill>
              </w:rPr>
              <w:t>1710人</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83C4A4">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cs="宋体"/>
                <w:color w:val="000000" w:themeColor="text1"/>
                <w:kern w:val="0"/>
                <w:sz w:val="20"/>
                <w:szCs w:val="20"/>
                <w:highlight w:val="none"/>
                <w:shd w:val="clear" w:color="auto" w:fill="auto"/>
                <w:lang w:val="en-US" w:eastAsia="zh-CN"/>
                <w14:textFill>
                  <w14:solidFill>
                    <w14:schemeClr w14:val="tx1"/>
                  </w14:solidFill>
                </w14:textFill>
              </w:rPr>
              <w:t>5</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B9E5EF">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1683人</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C4F1CB">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cs="宋体"/>
                <w:color w:val="000000" w:themeColor="text1"/>
                <w:kern w:val="0"/>
                <w:sz w:val="20"/>
                <w:szCs w:val="20"/>
                <w:highlight w:val="none"/>
                <w:shd w:val="clear" w:color="auto" w:fill="auto"/>
                <w:lang w:val="en-US" w:eastAsia="zh-CN"/>
                <w14:textFill>
                  <w14:solidFill>
                    <w14:schemeClr w14:val="tx1"/>
                  </w14:solidFill>
                </w14:textFill>
              </w:rPr>
              <w:t>4.80</w:t>
            </w:r>
          </w:p>
        </w:tc>
      </w:tr>
      <w:tr w14:paraId="5BA13B77">
        <w:tblPrEx>
          <w:shd w:val="clear" w:color="auto" w:fill="auto"/>
          <w:tblCellMar>
            <w:top w:w="0" w:type="dxa"/>
            <w:left w:w="0" w:type="dxa"/>
            <w:bottom w:w="0" w:type="dxa"/>
            <w:right w:w="0" w:type="dxa"/>
          </w:tblCellMar>
        </w:tblPrEx>
        <w:trPr>
          <w:trHeight w:val="415" w:hRule="atLeast"/>
        </w:trPr>
        <w:tc>
          <w:tcPr>
            <w:tcW w:w="634" w:type="dxa"/>
            <w:vMerge w:val="continue"/>
            <w:tcBorders>
              <w:top w:val="single" w:color="auto" w:sz="4" w:space="0"/>
              <w:left w:val="single" w:color="auto" w:sz="4" w:space="0"/>
              <w:right w:val="single" w:color="000000" w:sz="4" w:space="0"/>
            </w:tcBorders>
            <w:shd w:val="clear" w:color="auto" w:fill="auto"/>
            <w:tcMar>
              <w:top w:w="15" w:type="dxa"/>
              <w:left w:w="15" w:type="dxa"/>
              <w:right w:w="15" w:type="dxa"/>
            </w:tcMar>
            <w:vAlign w:val="center"/>
          </w:tcPr>
          <w:p w14:paraId="41F9A14D">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28" w:type="dxa"/>
            <w:vMerge w:val="continue"/>
            <w:tcBorders>
              <w:top w:val="single" w:color="auto" w:sz="4" w:space="0"/>
              <w:left w:val="single" w:color="000000" w:sz="4" w:space="0"/>
              <w:right w:val="single" w:color="000000" w:sz="4" w:space="0"/>
            </w:tcBorders>
            <w:shd w:val="clear" w:color="auto" w:fill="auto"/>
            <w:tcMar>
              <w:top w:w="15" w:type="dxa"/>
              <w:left w:w="15" w:type="dxa"/>
              <w:right w:w="15" w:type="dxa"/>
            </w:tcMar>
            <w:vAlign w:val="center"/>
          </w:tcPr>
          <w:p w14:paraId="64DC6DEB">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2644"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650DCE">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高血压服务人数</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35FD6F">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≥1942人</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6F3852">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cs="宋体"/>
                <w:color w:val="000000" w:themeColor="text1"/>
                <w:kern w:val="0"/>
                <w:sz w:val="20"/>
                <w:szCs w:val="20"/>
                <w:highlight w:val="none"/>
                <w:shd w:val="clear" w:color="auto" w:fill="auto"/>
                <w:lang w:val="en-US" w:eastAsia="zh-CN"/>
                <w14:textFill>
                  <w14:solidFill>
                    <w14:schemeClr w14:val="tx1"/>
                  </w14:solidFill>
                </w14:textFill>
              </w:rPr>
              <w:t>5</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8BD7F6">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1937人</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2A7160">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cs="宋体"/>
                <w:color w:val="000000" w:themeColor="text1"/>
                <w:kern w:val="0"/>
                <w:sz w:val="20"/>
                <w:szCs w:val="20"/>
                <w:highlight w:val="none"/>
                <w:shd w:val="clear" w:color="auto" w:fill="auto"/>
                <w:lang w:val="en-US" w:eastAsia="zh-CN"/>
                <w14:textFill>
                  <w14:solidFill>
                    <w14:schemeClr w14:val="tx1"/>
                  </w14:solidFill>
                </w14:textFill>
              </w:rPr>
              <w:t>4.97</w:t>
            </w:r>
          </w:p>
        </w:tc>
      </w:tr>
      <w:tr w14:paraId="0F8D7331">
        <w:tblPrEx>
          <w:tblCellMar>
            <w:top w:w="0" w:type="dxa"/>
            <w:left w:w="0" w:type="dxa"/>
            <w:bottom w:w="0" w:type="dxa"/>
            <w:right w:w="0" w:type="dxa"/>
          </w:tblCellMar>
        </w:tblPrEx>
        <w:trPr>
          <w:trHeight w:val="415" w:hRule="atLeast"/>
        </w:trPr>
        <w:tc>
          <w:tcPr>
            <w:tcW w:w="634" w:type="dxa"/>
            <w:vMerge w:val="continue"/>
            <w:tcBorders>
              <w:left w:val="single" w:color="auto" w:sz="4" w:space="0"/>
              <w:right w:val="single" w:color="000000" w:sz="4" w:space="0"/>
            </w:tcBorders>
            <w:shd w:val="clear" w:color="auto" w:fill="auto"/>
            <w:tcMar>
              <w:top w:w="15" w:type="dxa"/>
              <w:left w:w="15" w:type="dxa"/>
              <w:right w:w="15" w:type="dxa"/>
            </w:tcMar>
            <w:vAlign w:val="center"/>
          </w:tcPr>
          <w:p w14:paraId="4369D941">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28"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2506442A">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EAE9DD">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糖尿病服务人数</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08B5B0">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≥534人</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B217C0">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cs="宋体"/>
                <w:color w:val="000000" w:themeColor="text1"/>
                <w:kern w:val="0"/>
                <w:sz w:val="20"/>
                <w:szCs w:val="20"/>
                <w:highlight w:val="none"/>
                <w:shd w:val="clear" w:color="auto" w:fill="auto"/>
                <w:lang w:val="en-US" w:eastAsia="zh-CN"/>
                <w14:textFill>
                  <w14:solidFill>
                    <w14:schemeClr w14:val="tx1"/>
                  </w14:solidFill>
                </w14:textFill>
              </w:rPr>
              <w:t>5</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4F35F1">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544人</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7CEA89">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cs="宋体"/>
                <w:color w:val="000000" w:themeColor="text1"/>
                <w:kern w:val="0"/>
                <w:sz w:val="20"/>
                <w:szCs w:val="20"/>
                <w:highlight w:val="none"/>
                <w:shd w:val="clear" w:color="auto" w:fill="auto"/>
                <w:lang w:val="en-US" w:eastAsia="zh-CN"/>
                <w14:textFill>
                  <w14:solidFill>
                    <w14:schemeClr w14:val="tx1"/>
                  </w14:solidFill>
                </w14:textFill>
              </w:rPr>
              <w:t>4.91</w:t>
            </w:r>
          </w:p>
        </w:tc>
      </w:tr>
      <w:tr w14:paraId="16DCA933">
        <w:tblPrEx>
          <w:shd w:val="clear" w:color="auto" w:fill="auto"/>
          <w:tblCellMar>
            <w:top w:w="0" w:type="dxa"/>
            <w:left w:w="0" w:type="dxa"/>
            <w:bottom w:w="0" w:type="dxa"/>
            <w:right w:w="0" w:type="dxa"/>
          </w:tblCellMar>
        </w:tblPrEx>
        <w:trPr>
          <w:trHeight w:val="390" w:hRule="atLeast"/>
        </w:trPr>
        <w:tc>
          <w:tcPr>
            <w:tcW w:w="634" w:type="dxa"/>
            <w:vMerge w:val="continue"/>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14:paraId="4D7CA290">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28"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14:paraId="7F335B46">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质量指标</w:t>
            </w: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18B761">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65岁以上老人健康管理服务合格率</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6111D3">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bookmarkStart w:id="129" w:name="OLE_LINK8"/>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w:t>
            </w:r>
            <w:r>
              <w:rPr>
                <w:rFonts w:hint="eastAsia" w:cs="宋体"/>
                <w:color w:val="000000" w:themeColor="text1"/>
                <w:kern w:val="0"/>
                <w:sz w:val="20"/>
                <w:szCs w:val="20"/>
                <w:highlight w:val="none"/>
                <w:shd w:val="clear" w:color="auto" w:fill="auto"/>
                <w:lang w:val="en-US" w:eastAsia="zh-CN"/>
                <w14:textFill>
                  <w14:solidFill>
                    <w14:schemeClr w14:val="tx1"/>
                  </w14:solidFill>
                </w14:textFill>
              </w:rPr>
              <w:t>90</w:t>
            </w: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w:t>
            </w:r>
            <w:bookmarkEnd w:id="129"/>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4BE594">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cs="宋体"/>
                <w:color w:val="000000" w:themeColor="text1"/>
                <w:kern w:val="0"/>
                <w:sz w:val="20"/>
                <w:szCs w:val="20"/>
                <w:highlight w:val="none"/>
                <w:shd w:val="clear" w:color="auto" w:fill="auto"/>
                <w:lang w:val="en-US" w:eastAsia="zh-CN"/>
                <w14:textFill>
                  <w14:solidFill>
                    <w14:schemeClr w14:val="tx1"/>
                  </w14:solidFill>
                </w14:textFill>
              </w:rPr>
              <w:t>3</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896231">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cs="宋体"/>
                <w:color w:val="000000" w:themeColor="text1"/>
                <w:kern w:val="0"/>
                <w:sz w:val="20"/>
                <w:szCs w:val="20"/>
                <w:highlight w:val="none"/>
                <w:shd w:val="clear" w:color="auto" w:fill="auto"/>
                <w:lang w:val="en-US" w:eastAsia="zh-CN"/>
                <w14:textFill>
                  <w14:solidFill>
                    <w14:schemeClr w14:val="tx1"/>
                  </w14:solidFill>
                </w14:textFill>
              </w:rPr>
              <w:t>79</w:t>
            </w: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DA348D">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cs="宋体"/>
                <w:color w:val="000000" w:themeColor="text1"/>
                <w:kern w:val="0"/>
                <w:sz w:val="20"/>
                <w:szCs w:val="20"/>
                <w:highlight w:val="none"/>
                <w:shd w:val="clear" w:color="auto" w:fill="auto"/>
                <w:lang w:val="en-US" w:eastAsia="zh-CN"/>
                <w14:textFill>
                  <w14:solidFill>
                    <w14:schemeClr w14:val="tx1"/>
                  </w14:solidFill>
                </w14:textFill>
              </w:rPr>
              <w:t>2.08</w:t>
            </w:r>
          </w:p>
        </w:tc>
      </w:tr>
      <w:tr w14:paraId="777469A7">
        <w:tblPrEx>
          <w:shd w:val="clear" w:color="auto" w:fill="auto"/>
          <w:tblCellMar>
            <w:top w:w="0" w:type="dxa"/>
            <w:left w:w="0" w:type="dxa"/>
            <w:bottom w:w="0" w:type="dxa"/>
            <w:right w:w="0" w:type="dxa"/>
          </w:tblCellMar>
        </w:tblPrEx>
        <w:trPr>
          <w:trHeight w:val="390" w:hRule="atLeast"/>
        </w:trPr>
        <w:tc>
          <w:tcPr>
            <w:tcW w:w="634" w:type="dxa"/>
            <w:vMerge w:val="continue"/>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14:paraId="3535C598">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28"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5F179507">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E05A6F">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高血压服务合格率</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2AC0BB">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w:t>
            </w:r>
            <w:r>
              <w:rPr>
                <w:rFonts w:hint="eastAsia" w:cs="宋体"/>
                <w:color w:val="000000" w:themeColor="text1"/>
                <w:kern w:val="0"/>
                <w:sz w:val="20"/>
                <w:szCs w:val="20"/>
                <w:highlight w:val="none"/>
                <w:shd w:val="clear" w:color="auto" w:fill="auto"/>
                <w:lang w:val="en-US" w:eastAsia="zh-CN"/>
                <w14:textFill>
                  <w14:solidFill>
                    <w14:schemeClr w14:val="tx1"/>
                  </w14:solidFill>
                </w14:textFill>
              </w:rPr>
              <w:t>90</w:t>
            </w: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45D720">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cs="宋体"/>
                <w:color w:val="000000" w:themeColor="text1"/>
                <w:kern w:val="0"/>
                <w:sz w:val="20"/>
                <w:szCs w:val="20"/>
                <w:highlight w:val="none"/>
                <w:shd w:val="clear" w:color="auto" w:fill="auto"/>
                <w:lang w:val="en-US" w:eastAsia="zh-CN"/>
                <w14:textFill>
                  <w14:solidFill>
                    <w14:schemeClr w14:val="tx1"/>
                  </w14:solidFill>
                </w14:textFill>
              </w:rPr>
              <w:t>5</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E8F909">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cs="宋体"/>
                <w:color w:val="000000" w:themeColor="text1"/>
                <w:kern w:val="0"/>
                <w:sz w:val="20"/>
                <w:szCs w:val="20"/>
                <w:highlight w:val="none"/>
                <w:shd w:val="clear" w:color="auto" w:fill="auto"/>
                <w:lang w:val="en-US" w:eastAsia="zh-CN"/>
                <w14:textFill>
                  <w14:solidFill>
                    <w14:schemeClr w14:val="tx1"/>
                  </w14:solidFill>
                </w14:textFill>
              </w:rPr>
              <w:t>90</w:t>
            </w: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2DD4E5">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cs="宋体"/>
                <w:color w:val="000000" w:themeColor="text1"/>
                <w:kern w:val="0"/>
                <w:sz w:val="20"/>
                <w:szCs w:val="20"/>
                <w:highlight w:val="none"/>
                <w:shd w:val="clear" w:color="auto" w:fill="auto"/>
                <w:lang w:val="en-US" w:eastAsia="zh-CN"/>
                <w14:textFill>
                  <w14:solidFill>
                    <w14:schemeClr w14:val="tx1"/>
                  </w14:solidFill>
                </w14:textFill>
              </w:rPr>
              <w:t>5</w:t>
            </w:r>
          </w:p>
        </w:tc>
      </w:tr>
      <w:tr w14:paraId="47CAFE17">
        <w:tblPrEx>
          <w:shd w:val="clear" w:color="auto" w:fill="auto"/>
          <w:tblCellMar>
            <w:top w:w="0" w:type="dxa"/>
            <w:left w:w="0" w:type="dxa"/>
            <w:bottom w:w="0" w:type="dxa"/>
            <w:right w:w="0" w:type="dxa"/>
          </w:tblCellMar>
        </w:tblPrEx>
        <w:trPr>
          <w:trHeight w:val="390" w:hRule="atLeast"/>
        </w:trPr>
        <w:tc>
          <w:tcPr>
            <w:tcW w:w="634" w:type="dxa"/>
            <w:vMerge w:val="continue"/>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14:paraId="4D8A57CF">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28"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65C143B5">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50949A">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2型糖尿病服务</w:t>
            </w:r>
            <w:r>
              <w:rPr>
                <w:rFonts w:hint="eastAsia" w:cs="宋体"/>
                <w:color w:val="000000" w:themeColor="text1"/>
                <w:kern w:val="0"/>
                <w:sz w:val="20"/>
                <w:szCs w:val="20"/>
                <w:highlight w:val="none"/>
                <w:shd w:val="clear" w:color="auto" w:fill="auto"/>
                <w:lang w:val="en-US" w:eastAsia="zh-CN"/>
                <w14:textFill>
                  <w14:solidFill>
                    <w14:schemeClr w14:val="tx1"/>
                  </w14:solidFill>
                </w14:textFill>
              </w:rPr>
              <w:t>合格</w:t>
            </w: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率</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37570B">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w:t>
            </w:r>
            <w:r>
              <w:rPr>
                <w:rFonts w:hint="eastAsia" w:cs="宋体"/>
                <w:color w:val="000000" w:themeColor="text1"/>
                <w:kern w:val="0"/>
                <w:sz w:val="20"/>
                <w:szCs w:val="20"/>
                <w:highlight w:val="none"/>
                <w:shd w:val="clear" w:color="auto" w:fill="auto"/>
                <w:lang w:val="en-US" w:eastAsia="zh-CN"/>
                <w14:textFill>
                  <w14:solidFill>
                    <w14:schemeClr w14:val="tx1"/>
                  </w14:solidFill>
                </w14:textFill>
              </w:rPr>
              <w:t>90</w:t>
            </w: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FC7FD8">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cs="宋体"/>
                <w:color w:val="000000" w:themeColor="text1"/>
                <w:kern w:val="0"/>
                <w:sz w:val="20"/>
                <w:szCs w:val="20"/>
                <w:highlight w:val="none"/>
                <w:shd w:val="clear" w:color="auto" w:fill="auto"/>
                <w:lang w:val="en-US" w:eastAsia="zh-CN"/>
                <w14:textFill>
                  <w14:solidFill>
                    <w14:schemeClr w14:val="tx1"/>
                  </w14:solidFill>
                </w14:textFill>
              </w:rPr>
              <w:t>5</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883B13">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cs="宋体"/>
                <w:color w:val="000000" w:themeColor="text1"/>
                <w:kern w:val="0"/>
                <w:sz w:val="20"/>
                <w:szCs w:val="20"/>
                <w:highlight w:val="none"/>
                <w:shd w:val="clear" w:color="auto" w:fill="auto"/>
                <w:lang w:val="en-US" w:eastAsia="zh-CN"/>
                <w14:textFill>
                  <w14:solidFill>
                    <w14:schemeClr w14:val="tx1"/>
                  </w14:solidFill>
                </w14:textFill>
              </w:rPr>
              <w:t>90</w:t>
            </w: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DBB56D">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cs="宋体"/>
                <w:color w:val="000000" w:themeColor="text1"/>
                <w:kern w:val="0"/>
                <w:sz w:val="20"/>
                <w:szCs w:val="20"/>
                <w:highlight w:val="none"/>
                <w:shd w:val="clear" w:color="auto" w:fill="auto"/>
                <w:lang w:val="en-US" w:eastAsia="zh-CN"/>
                <w14:textFill>
                  <w14:solidFill>
                    <w14:schemeClr w14:val="tx1"/>
                  </w14:solidFill>
                </w14:textFill>
              </w:rPr>
              <w:t>5</w:t>
            </w:r>
          </w:p>
        </w:tc>
      </w:tr>
      <w:tr w14:paraId="69360DFA">
        <w:tblPrEx>
          <w:tblCellMar>
            <w:top w:w="0" w:type="dxa"/>
            <w:left w:w="0" w:type="dxa"/>
            <w:bottom w:w="0" w:type="dxa"/>
            <w:right w:w="0" w:type="dxa"/>
          </w:tblCellMar>
        </w:tblPrEx>
        <w:trPr>
          <w:trHeight w:val="410" w:hRule="atLeast"/>
        </w:trPr>
        <w:tc>
          <w:tcPr>
            <w:tcW w:w="634" w:type="dxa"/>
            <w:vMerge w:val="continue"/>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14:paraId="0596FBBB">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7A7027">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时效指标</w:t>
            </w: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2FBF16">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 xml:space="preserve">项目完成时限 </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E861C1">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≤2024年12月</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374D30">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cs="宋体"/>
                <w:color w:val="000000" w:themeColor="text1"/>
                <w:kern w:val="0"/>
                <w:sz w:val="20"/>
                <w:szCs w:val="20"/>
                <w:highlight w:val="none"/>
                <w:shd w:val="clear" w:color="auto" w:fill="auto"/>
                <w:lang w:val="en-US" w:eastAsia="zh-CN"/>
                <w14:textFill>
                  <w14:solidFill>
                    <w14:schemeClr w14:val="tx1"/>
                  </w14:solidFill>
                </w14:textFill>
              </w:rPr>
              <w:t>5</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5E125A">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2024</w:t>
            </w:r>
            <w:r>
              <w:rPr>
                <w:rFonts w:hint="eastAsia" w:cs="宋体"/>
                <w:color w:val="000000" w:themeColor="text1"/>
                <w:kern w:val="0"/>
                <w:sz w:val="20"/>
                <w:szCs w:val="20"/>
                <w:highlight w:val="none"/>
                <w:shd w:val="clear" w:color="auto" w:fill="auto"/>
                <w:lang w:val="en-US" w:eastAsia="zh-CN"/>
                <w14:textFill>
                  <w14:solidFill>
                    <w14:schemeClr w14:val="tx1"/>
                  </w14:solidFill>
                </w14:textFill>
              </w:rPr>
              <w:t>年</w:t>
            </w: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12月</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764102">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cs="宋体"/>
                <w:color w:val="000000" w:themeColor="text1"/>
                <w:kern w:val="0"/>
                <w:sz w:val="20"/>
                <w:szCs w:val="20"/>
                <w:highlight w:val="none"/>
                <w:shd w:val="clear" w:color="auto" w:fill="auto"/>
                <w:lang w:val="en-US" w:eastAsia="zh-CN"/>
                <w14:textFill>
                  <w14:solidFill>
                    <w14:schemeClr w14:val="tx1"/>
                  </w14:solidFill>
                </w14:textFill>
              </w:rPr>
              <w:t>5</w:t>
            </w:r>
          </w:p>
        </w:tc>
      </w:tr>
      <w:tr w14:paraId="7A7A9E2A">
        <w:tblPrEx>
          <w:tblCellMar>
            <w:top w:w="0" w:type="dxa"/>
            <w:left w:w="0" w:type="dxa"/>
            <w:bottom w:w="0" w:type="dxa"/>
            <w:right w:w="0" w:type="dxa"/>
          </w:tblCellMar>
        </w:tblPrEx>
        <w:trPr>
          <w:trHeight w:val="428" w:hRule="atLeast"/>
        </w:trPr>
        <w:tc>
          <w:tcPr>
            <w:tcW w:w="634" w:type="dxa"/>
            <w:vMerge w:val="continue"/>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14:paraId="72112159">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28"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14:paraId="5EFC6AE3">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成本指标</w:t>
            </w: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53C953">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cs="宋体"/>
                <w:color w:val="000000" w:themeColor="text1"/>
                <w:kern w:val="0"/>
                <w:sz w:val="20"/>
                <w:szCs w:val="20"/>
                <w:highlight w:val="none"/>
                <w:shd w:val="clear" w:color="auto" w:fill="auto"/>
                <w:lang w:val="en-US" w:eastAsia="zh-CN"/>
                <w14:textFill>
                  <w14:solidFill>
                    <w14:schemeClr w14:val="tx1"/>
                  </w14:solidFill>
                </w14:textFill>
              </w:rPr>
              <w:t>卫生室</w:t>
            </w: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补助经费</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2C2404">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w:t>
            </w:r>
            <w:r>
              <w:rPr>
                <w:rFonts w:hint="eastAsia" w:cs="宋体"/>
                <w:color w:val="000000" w:themeColor="text1"/>
                <w:kern w:val="0"/>
                <w:sz w:val="20"/>
                <w:szCs w:val="20"/>
                <w:highlight w:val="none"/>
                <w:shd w:val="clear" w:color="auto" w:fill="auto"/>
                <w:lang w:val="en-US" w:eastAsia="zh-CN"/>
                <w14:textFill>
                  <w14:solidFill>
                    <w14:schemeClr w14:val="tx1"/>
                  </w14:solidFill>
                </w14:textFill>
              </w:rPr>
              <w:t>61.77万元</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7D735B">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cs="宋体"/>
                <w:color w:val="000000" w:themeColor="text1"/>
                <w:kern w:val="0"/>
                <w:sz w:val="20"/>
                <w:szCs w:val="20"/>
                <w:highlight w:val="none"/>
                <w:shd w:val="clear" w:color="auto" w:fill="auto"/>
                <w:lang w:val="en-US" w:eastAsia="zh-CN"/>
                <w14:textFill>
                  <w14:solidFill>
                    <w14:schemeClr w14:val="tx1"/>
                  </w14:solidFill>
                </w14:textFill>
              </w:rPr>
              <w:t>5</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3B6992">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cs="宋体"/>
                <w:color w:val="000000" w:themeColor="text1"/>
                <w:kern w:val="0"/>
                <w:sz w:val="20"/>
                <w:szCs w:val="20"/>
                <w:highlight w:val="none"/>
                <w:shd w:val="clear" w:color="auto" w:fill="auto"/>
                <w:lang w:val="en-US" w:eastAsia="zh-CN"/>
                <w14:textFill>
                  <w14:solidFill>
                    <w14:schemeClr w14:val="tx1"/>
                  </w14:solidFill>
                </w14:textFill>
              </w:rPr>
              <w:t>61.77万元</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2B8970">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cs="宋体"/>
                <w:color w:val="000000" w:themeColor="text1"/>
                <w:kern w:val="0"/>
                <w:sz w:val="20"/>
                <w:szCs w:val="20"/>
                <w:highlight w:val="none"/>
                <w:shd w:val="clear" w:color="auto" w:fill="auto"/>
                <w:lang w:val="en-US" w:eastAsia="zh-CN"/>
                <w14:textFill>
                  <w14:solidFill>
                    <w14:schemeClr w14:val="tx1"/>
                  </w14:solidFill>
                </w14:textFill>
              </w:rPr>
              <w:t>5</w:t>
            </w:r>
          </w:p>
        </w:tc>
      </w:tr>
      <w:tr w14:paraId="0C501CF0">
        <w:tblPrEx>
          <w:tblCellMar>
            <w:top w:w="0" w:type="dxa"/>
            <w:left w:w="0" w:type="dxa"/>
            <w:bottom w:w="0" w:type="dxa"/>
            <w:right w:w="0" w:type="dxa"/>
          </w:tblCellMar>
        </w:tblPrEx>
        <w:trPr>
          <w:trHeight w:val="428" w:hRule="atLeast"/>
        </w:trPr>
        <w:tc>
          <w:tcPr>
            <w:tcW w:w="634" w:type="dxa"/>
            <w:vMerge w:val="continue"/>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14:paraId="78D47AA1">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28"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523327">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3736E7">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cs="宋体"/>
                <w:color w:val="000000" w:themeColor="text1"/>
                <w:kern w:val="0"/>
                <w:sz w:val="20"/>
                <w:szCs w:val="20"/>
                <w:highlight w:val="none"/>
                <w:shd w:val="clear" w:color="auto" w:fill="auto"/>
                <w:lang w:val="en-US" w:eastAsia="zh-CN"/>
                <w14:textFill>
                  <w14:solidFill>
                    <w14:schemeClr w14:val="tx1"/>
                  </w14:solidFill>
                </w14:textFill>
              </w:rPr>
              <w:t>其他经费支出</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224C6D">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w:t>
            </w:r>
            <w:r>
              <w:rPr>
                <w:rFonts w:hint="eastAsia" w:cs="宋体"/>
                <w:color w:val="000000" w:themeColor="text1"/>
                <w:kern w:val="0"/>
                <w:sz w:val="20"/>
                <w:szCs w:val="20"/>
                <w:highlight w:val="none"/>
                <w:shd w:val="clear" w:color="auto" w:fill="auto"/>
                <w:lang w:val="en-US" w:eastAsia="zh-CN"/>
                <w14:textFill>
                  <w14:solidFill>
                    <w14:schemeClr w14:val="tx1"/>
                  </w14:solidFill>
                </w14:textFill>
              </w:rPr>
              <w:t>4.96万元</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84F718">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cs="宋体"/>
                <w:color w:val="000000" w:themeColor="text1"/>
                <w:kern w:val="0"/>
                <w:sz w:val="20"/>
                <w:szCs w:val="20"/>
                <w:highlight w:val="none"/>
                <w:shd w:val="clear" w:color="auto" w:fill="auto"/>
                <w:lang w:val="en-US" w:eastAsia="zh-CN"/>
                <w14:textFill>
                  <w14:solidFill>
                    <w14:schemeClr w14:val="tx1"/>
                  </w14:solidFill>
                </w14:textFill>
              </w:rPr>
              <w:t>2</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C580B5">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cs="宋体"/>
                <w:color w:val="000000" w:themeColor="text1"/>
                <w:kern w:val="0"/>
                <w:sz w:val="20"/>
                <w:szCs w:val="20"/>
                <w:highlight w:val="none"/>
                <w:shd w:val="clear" w:color="auto" w:fill="auto"/>
                <w:lang w:val="en-US" w:eastAsia="zh-CN"/>
                <w14:textFill>
                  <w14:solidFill>
                    <w14:schemeClr w14:val="tx1"/>
                  </w14:solidFill>
                </w14:textFill>
              </w:rPr>
              <w:t>4.96万元</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E6CAAB">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cs="宋体"/>
                <w:color w:val="000000" w:themeColor="text1"/>
                <w:kern w:val="0"/>
                <w:sz w:val="20"/>
                <w:szCs w:val="20"/>
                <w:highlight w:val="none"/>
                <w:shd w:val="clear" w:color="auto" w:fill="auto"/>
                <w:lang w:val="en-US" w:eastAsia="zh-CN"/>
                <w14:textFill>
                  <w14:solidFill>
                    <w14:schemeClr w14:val="tx1"/>
                  </w14:solidFill>
                </w14:textFill>
              </w:rPr>
              <w:t>2</w:t>
            </w:r>
          </w:p>
        </w:tc>
      </w:tr>
      <w:tr w14:paraId="1C0A5569">
        <w:tblPrEx>
          <w:tblCellMar>
            <w:top w:w="0" w:type="dxa"/>
            <w:left w:w="0" w:type="dxa"/>
            <w:bottom w:w="0" w:type="dxa"/>
            <w:right w:w="0" w:type="dxa"/>
          </w:tblCellMar>
        </w:tblPrEx>
        <w:trPr>
          <w:trHeight w:val="403" w:hRule="atLeast"/>
        </w:trPr>
        <w:tc>
          <w:tcPr>
            <w:tcW w:w="5643"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7557CC">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合计</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DCC49B">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r>
              <w:rPr>
                <w:rFonts w:hint="eastAsia" w:ascii="宋体" w:hAnsi="宋体" w:eastAsia="宋体" w:cs="宋体"/>
                <w:color w:val="auto"/>
                <w:kern w:val="0"/>
                <w:sz w:val="20"/>
                <w:szCs w:val="20"/>
                <w:highlight w:val="none"/>
                <w:shd w:val="clear" w:color="auto" w:fill="auto"/>
                <w:lang w:val="en-US" w:eastAsia="zh-CN"/>
              </w:rPr>
              <w:t>0</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F69CA2">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9E578C">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FF0000"/>
                <w:kern w:val="0"/>
                <w:sz w:val="20"/>
                <w:szCs w:val="20"/>
                <w:highlight w:val="none"/>
                <w:shd w:val="clear" w:color="auto" w:fill="auto"/>
                <w:lang w:val="en-US" w:eastAsia="zh-CN"/>
              </w:rPr>
            </w:pPr>
            <w:r>
              <w:rPr>
                <w:rFonts w:hint="eastAsia" w:cs="宋体"/>
                <w:color w:val="FF0000"/>
                <w:kern w:val="0"/>
                <w:sz w:val="20"/>
                <w:szCs w:val="20"/>
                <w:highlight w:val="none"/>
                <w:shd w:val="clear" w:color="auto" w:fill="auto"/>
                <w:lang w:val="en-US" w:eastAsia="zh-CN"/>
              </w:rPr>
              <w:t>38.76</w:t>
            </w:r>
          </w:p>
        </w:tc>
      </w:tr>
    </w:tbl>
    <w:p w14:paraId="71BA3AA0">
      <w:pPr>
        <w:pageBreakBefore w:val="0"/>
        <w:kinsoku/>
        <w:wordWrap/>
        <w:overflowPunct/>
        <w:topLinePunct w:val="0"/>
        <w:autoSpaceDE/>
        <w:autoSpaceDN/>
        <w:bidi w:val="0"/>
        <w:adjustRightInd/>
        <w:spacing w:line="560" w:lineRule="exact"/>
        <w:textAlignment w:val="auto"/>
        <w:rPr>
          <w:rFonts w:hint="eastAsia" w:ascii="仿宋_GB2312" w:hAnsi="仿宋_GB2312" w:eastAsia="仿宋_GB2312" w:cs="仿宋_GB2312"/>
          <w:b/>
          <w:bCs/>
          <w:color w:val="auto"/>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1.数量指标完成情况</w:t>
      </w:r>
      <w:bookmarkEnd w:id="127"/>
      <w:bookmarkEnd w:id="128"/>
    </w:p>
    <w:p w14:paraId="25826AD2">
      <w:pPr>
        <w:pageBreakBefore w:val="0"/>
        <w:widowControl w:val="0"/>
        <w:kinsoku/>
        <w:wordWrap/>
        <w:overflowPunct/>
        <w:topLinePunct w:val="0"/>
        <w:autoSpaceDE/>
        <w:autoSpaceDN/>
        <w:bidi w:val="0"/>
        <w:adjustRightInd/>
        <w:spacing w:line="560" w:lineRule="exact"/>
        <w:ind w:firstLine="560"/>
        <w:textAlignment w:val="auto"/>
        <w:rPr>
          <w:rFonts w:hint="default" w:ascii="仿宋_GB2312" w:hAnsi="仿宋_GB2312" w:eastAsia="仿宋_GB2312" w:cs="仿宋_GB2312"/>
          <w:color w:val="auto"/>
          <w:kern w:val="2"/>
          <w:sz w:val="32"/>
          <w:szCs w:val="32"/>
          <w:highlight w:val="none"/>
          <w:u w:color="000000"/>
          <w:shd w:val="clear" w:color="auto" w:fill="auto"/>
          <w:lang w:val="en-US" w:eastAsia="zh-CN"/>
        </w:rPr>
      </w:pPr>
      <w:r>
        <w:rPr>
          <w:rFonts w:hint="eastAsia" w:ascii="仿宋_GB2312" w:hAnsi="仿宋_GB2312" w:eastAsia="仿宋_GB2312" w:cs="仿宋_GB2312"/>
          <w:color w:val="auto"/>
          <w:kern w:val="2"/>
          <w:sz w:val="32"/>
          <w:szCs w:val="32"/>
          <w:highlight w:val="none"/>
          <w:u w:color="000000"/>
          <w:shd w:val="clear" w:color="auto" w:fill="auto"/>
          <w:lang w:val="zh-TW" w:eastAsia="zh-CN"/>
        </w:rPr>
        <w:t>（</w:t>
      </w:r>
      <w:r>
        <w:rPr>
          <w:rFonts w:hint="eastAsia" w:ascii="仿宋_GB2312" w:hAnsi="仿宋_GB2312" w:eastAsia="仿宋_GB2312" w:cs="仿宋_GB2312"/>
          <w:color w:val="auto"/>
          <w:kern w:val="2"/>
          <w:sz w:val="32"/>
          <w:szCs w:val="32"/>
          <w:highlight w:val="none"/>
          <w:u w:color="000000"/>
          <w:shd w:val="clear" w:color="auto" w:fill="auto"/>
          <w:lang w:val="en-US" w:eastAsia="zh-CN"/>
        </w:rPr>
        <w:t>1</w:t>
      </w:r>
      <w:r>
        <w:rPr>
          <w:rFonts w:hint="eastAsia" w:ascii="仿宋_GB2312" w:hAnsi="仿宋_GB2312" w:eastAsia="仿宋_GB2312" w:cs="仿宋_GB2312"/>
          <w:color w:val="auto"/>
          <w:kern w:val="2"/>
          <w:sz w:val="32"/>
          <w:szCs w:val="32"/>
          <w:highlight w:val="none"/>
          <w:u w:color="000000"/>
          <w:shd w:val="clear" w:color="auto" w:fill="auto"/>
          <w:lang w:val="zh-TW" w:eastAsia="zh-CN"/>
        </w:rPr>
        <w:t>）“</w:t>
      </w:r>
      <w:r>
        <w:rPr>
          <w:rFonts w:hint="eastAsia" w:ascii="仿宋_GB2312" w:hAnsi="仿宋_GB2312" w:eastAsia="仿宋_GB2312" w:cs="仿宋_GB2312"/>
          <w:color w:val="auto"/>
          <w:kern w:val="2"/>
          <w:sz w:val="32"/>
          <w:szCs w:val="32"/>
          <w:highlight w:val="none"/>
          <w:u w:color="000000"/>
          <w:shd w:val="clear" w:color="auto" w:fill="auto"/>
          <w:lang w:val="en-US" w:eastAsia="zh-CN"/>
        </w:rPr>
        <w:t>65岁以上老人健康管理服务完成人数</w:t>
      </w:r>
      <w:r>
        <w:rPr>
          <w:rFonts w:hint="eastAsia" w:ascii="仿宋_GB2312" w:hAnsi="仿宋_GB2312" w:eastAsia="仿宋_GB2312" w:cs="仿宋_GB2312"/>
          <w:color w:val="auto"/>
          <w:kern w:val="2"/>
          <w:sz w:val="32"/>
          <w:szCs w:val="32"/>
          <w:highlight w:val="none"/>
          <w:u w:color="000000"/>
          <w:shd w:val="clear" w:color="auto" w:fill="auto"/>
          <w:lang w:val="zh-TW" w:eastAsia="zh-CN"/>
        </w:rPr>
        <w:t>”</w:t>
      </w:r>
      <w:r>
        <w:rPr>
          <w:rFonts w:hint="eastAsia" w:ascii="仿宋_GB2312" w:hAnsi="仿宋_GB2312" w:eastAsia="仿宋_GB2312" w:cs="仿宋_GB2312"/>
          <w:color w:val="auto"/>
          <w:kern w:val="2"/>
          <w:sz w:val="32"/>
          <w:szCs w:val="32"/>
          <w:highlight w:val="none"/>
          <w:u w:color="000000"/>
          <w:shd w:val="clear" w:color="auto" w:fill="auto"/>
          <w:lang w:val="en-US" w:eastAsia="zh-CN"/>
        </w:rPr>
        <w:t>指标，预期目标值为≥1710人，实际完成为1683人次。实际完成率=（1710人/1683人）×100%=98.42%。</w:t>
      </w:r>
      <w:bookmarkStart w:id="130" w:name="OLE_LINK12"/>
      <w:r>
        <w:rPr>
          <w:rFonts w:hint="eastAsia" w:ascii="仿宋_GB2312" w:hAnsi="仿宋_GB2312" w:eastAsia="仿宋_GB2312" w:cs="仿宋_GB2312"/>
          <w:color w:val="auto"/>
          <w:kern w:val="2"/>
          <w:sz w:val="32"/>
          <w:szCs w:val="32"/>
          <w:highlight w:val="none"/>
          <w:u w:color="000000"/>
          <w:shd w:val="clear" w:color="auto" w:fill="auto"/>
          <w:lang w:val="en-US" w:eastAsia="zh-CN"/>
        </w:rPr>
        <w:t>偏差原因;部分档案管理不达标。</w:t>
      </w:r>
    </w:p>
    <w:bookmarkEnd w:id="130"/>
    <w:p w14:paraId="692563B5">
      <w:pPr>
        <w:pageBreakBefore w:val="0"/>
        <w:widowControl w:val="0"/>
        <w:kinsoku/>
        <w:wordWrap/>
        <w:overflowPunct/>
        <w:topLinePunct w:val="0"/>
        <w:autoSpaceDE/>
        <w:autoSpaceDN/>
        <w:bidi w:val="0"/>
        <w:adjustRightInd/>
        <w:spacing w:line="560" w:lineRule="exact"/>
        <w:ind w:firstLine="56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2</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kern w:val="0"/>
          <w:sz w:val="32"/>
          <w:szCs w:val="32"/>
          <w:highlight w:val="none"/>
          <w:shd w:val="clear" w:color="auto" w:fill="auto"/>
          <w:lang w:val="en-US" w:eastAsia="zh-CN"/>
        </w:rPr>
        <w:t>高血压服务人数</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指标，预期目标值为</w:t>
      </w:r>
      <w:r>
        <w:rPr>
          <w:rFonts w:hint="eastAsia" w:ascii="仿宋_GB2312" w:hAnsi="仿宋_GB2312" w:eastAsia="仿宋_GB2312" w:cs="仿宋_GB2312"/>
          <w:color w:val="auto"/>
          <w:kern w:val="0"/>
          <w:sz w:val="32"/>
          <w:szCs w:val="32"/>
          <w:highlight w:val="none"/>
          <w:shd w:val="clear" w:color="auto" w:fill="auto"/>
          <w:lang w:val="en-US" w:eastAsia="zh-CN"/>
        </w:rPr>
        <w:t>≥1942人</w:t>
      </w:r>
      <w:r>
        <w:rPr>
          <w:rFonts w:hint="eastAsia" w:ascii="仿宋_GB2312" w:hAnsi="仿宋_GB2312" w:eastAsia="仿宋_GB2312" w:cs="仿宋_GB2312"/>
          <w:color w:val="auto"/>
          <w:sz w:val="32"/>
          <w:szCs w:val="32"/>
          <w:highlight w:val="none"/>
          <w:lang w:val="en-US" w:eastAsia="zh-CN"/>
        </w:rPr>
        <w:t>，实际完成为</w:t>
      </w:r>
      <w:r>
        <w:rPr>
          <w:rFonts w:hint="eastAsia" w:ascii="仿宋_GB2312" w:hAnsi="仿宋_GB2312" w:eastAsia="仿宋_GB2312" w:cs="仿宋_GB2312"/>
          <w:color w:val="auto"/>
          <w:kern w:val="0"/>
          <w:sz w:val="32"/>
          <w:szCs w:val="32"/>
          <w:highlight w:val="none"/>
          <w:shd w:val="clear" w:color="auto" w:fill="auto"/>
          <w:lang w:val="en-US" w:eastAsia="zh-CN"/>
        </w:rPr>
        <w:t>1937人次</w:t>
      </w:r>
      <w:r>
        <w:rPr>
          <w:rFonts w:hint="eastAsia" w:ascii="仿宋_GB2312" w:hAnsi="仿宋_GB2312" w:eastAsia="仿宋_GB2312" w:cs="仿宋_GB2312"/>
          <w:color w:val="auto"/>
          <w:sz w:val="32"/>
          <w:szCs w:val="32"/>
          <w:highlight w:val="none"/>
          <w:lang w:val="en-US" w:eastAsia="zh-CN"/>
        </w:rPr>
        <w:t>。实际完成率=（</w:t>
      </w:r>
      <w:r>
        <w:rPr>
          <w:rFonts w:hint="eastAsia" w:ascii="仿宋_GB2312" w:hAnsi="仿宋_GB2312" w:eastAsia="仿宋_GB2312" w:cs="仿宋_GB2312"/>
          <w:color w:val="auto"/>
          <w:kern w:val="0"/>
          <w:sz w:val="32"/>
          <w:szCs w:val="32"/>
          <w:highlight w:val="none"/>
          <w:shd w:val="clear" w:color="auto" w:fill="auto"/>
          <w:lang w:val="en-US" w:eastAsia="zh-CN"/>
        </w:rPr>
        <w:t>1942人</w:t>
      </w:r>
      <w:r>
        <w:rPr>
          <w:rFonts w:hint="eastAsia" w:ascii="仿宋_GB2312" w:hAnsi="仿宋_GB2312" w:eastAsia="仿宋_GB2312" w:cs="仿宋_GB2312"/>
          <w:color w:val="auto"/>
          <w:sz w:val="32"/>
          <w:szCs w:val="32"/>
          <w:highlight w:val="none"/>
          <w:lang w:val="en-US" w:eastAsia="zh-CN"/>
        </w:rPr>
        <w:t>/</w:t>
      </w:r>
      <w:r>
        <w:rPr>
          <w:rFonts w:hint="eastAsia" w:ascii="仿宋_GB2312" w:hAnsi="仿宋_GB2312" w:eastAsia="仿宋_GB2312" w:cs="仿宋_GB2312"/>
          <w:color w:val="auto"/>
          <w:kern w:val="0"/>
          <w:sz w:val="32"/>
          <w:szCs w:val="32"/>
          <w:highlight w:val="none"/>
          <w:shd w:val="clear" w:color="auto" w:fill="auto"/>
          <w:lang w:val="en-US" w:eastAsia="zh-CN"/>
        </w:rPr>
        <w:t>1937人</w:t>
      </w:r>
      <w:r>
        <w:rPr>
          <w:rFonts w:hint="eastAsia" w:ascii="仿宋_GB2312" w:hAnsi="仿宋_GB2312" w:eastAsia="仿宋_GB2312" w:cs="仿宋_GB2312"/>
          <w:color w:val="auto"/>
          <w:sz w:val="32"/>
          <w:szCs w:val="32"/>
          <w:highlight w:val="none"/>
          <w:lang w:val="en-US" w:eastAsia="zh-CN"/>
        </w:rPr>
        <w:t>）×100%=99.74%。</w:t>
      </w:r>
      <w:r>
        <w:rPr>
          <w:rFonts w:hint="eastAsia" w:ascii="仿宋_GB2312" w:hAnsi="仿宋_GB2312" w:eastAsia="仿宋_GB2312" w:cs="仿宋_GB2312"/>
          <w:color w:val="auto"/>
          <w:kern w:val="2"/>
          <w:sz w:val="32"/>
          <w:szCs w:val="32"/>
          <w:highlight w:val="none"/>
          <w:u w:color="000000"/>
          <w:shd w:val="clear" w:color="auto" w:fill="auto"/>
          <w:lang w:val="en-US" w:eastAsia="zh-CN"/>
        </w:rPr>
        <w:t>偏差原因;部分档案录入管理不达标。</w:t>
      </w:r>
    </w:p>
    <w:p w14:paraId="233EBA88">
      <w:pPr>
        <w:pageBreakBefore w:val="0"/>
        <w:kinsoku/>
        <w:wordWrap/>
        <w:overflowPunct/>
        <w:topLinePunct w:val="0"/>
        <w:autoSpaceDE/>
        <w:autoSpaceDN/>
        <w:bidi w:val="0"/>
        <w:adjustRightInd/>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3</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kern w:val="0"/>
          <w:sz w:val="32"/>
          <w:szCs w:val="32"/>
          <w:highlight w:val="none"/>
          <w:shd w:val="clear" w:color="auto" w:fill="auto"/>
          <w:lang w:val="en-US" w:eastAsia="zh-CN"/>
        </w:rPr>
        <w:t>糖尿病服务人数</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指标，预期目标值为</w:t>
      </w:r>
      <w:r>
        <w:rPr>
          <w:rFonts w:hint="eastAsia" w:ascii="仿宋_GB2312" w:hAnsi="仿宋_GB2312" w:eastAsia="仿宋_GB2312" w:cs="仿宋_GB2312"/>
          <w:color w:val="auto"/>
          <w:kern w:val="0"/>
          <w:sz w:val="32"/>
          <w:szCs w:val="32"/>
          <w:highlight w:val="none"/>
          <w:shd w:val="clear" w:color="auto" w:fill="auto"/>
          <w:lang w:val="en-US" w:eastAsia="zh-CN"/>
        </w:rPr>
        <w:t>≥534</w:t>
      </w:r>
      <w:r>
        <w:rPr>
          <w:rFonts w:hint="eastAsia" w:ascii="仿宋_GB2312" w:hAnsi="仿宋_GB2312" w:eastAsia="仿宋_GB2312" w:cs="仿宋_GB2312"/>
          <w:color w:val="auto"/>
          <w:sz w:val="32"/>
          <w:szCs w:val="32"/>
          <w:highlight w:val="none"/>
          <w:lang w:val="en-US" w:eastAsia="zh-CN"/>
        </w:rPr>
        <w:t>，实际完成为544人。实际完成率=（544人/534人）×100%=101.87%。</w:t>
      </w:r>
    </w:p>
    <w:p w14:paraId="37477721">
      <w:pPr>
        <w:pageBreakBefore w:val="0"/>
        <w:kinsoku/>
        <w:wordWrap/>
        <w:overflowPunct/>
        <w:topLinePunct w:val="0"/>
        <w:autoSpaceDE/>
        <w:autoSpaceDN/>
        <w:bidi w:val="0"/>
        <w:adjustRightInd/>
        <w:spacing w:line="560" w:lineRule="exact"/>
        <w:ind w:left="0" w:leftChars="0" w:firstLine="0" w:firstLineChars="0"/>
        <w:textAlignment w:val="auto"/>
        <w:rPr>
          <w:rFonts w:hint="eastAsia" w:ascii="仿宋_GB2312" w:hAnsi="仿宋_GB2312" w:eastAsia="仿宋_GB2312" w:cs="仿宋_GB2312"/>
          <w:color w:val="7030A0"/>
          <w:sz w:val="32"/>
          <w:szCs w:val="32"/>
          <w:highlight w:val="none"/>
          <w:lang w:eastAsia="zh-CN"/>
        </w:rPr>
      </w:pPr>
      <w:r>
        <w:rPr>
          <w:rFonts w:hint="eastAsia" w:ascii="仿宋_GB2312" w:hAnsi="仿宋_GB2312" w:eastAsia="仿宋_GB2312" w:cs="仿宋_GB2312"/>
          <w:b/>
          <w:bCs/>
          <w:color w:val="7030A0"/>
          <w:sz w:val="32"/>
          <w:szCs w:val="32"/>
          <w:highlight w:val="none"/>
          <w:lang w:val="en-US" w:eastAsia="zh-CN"/>
        </w:rPr>
        <w:t xml:space="preserve">   </w:t>
      </w:r>
      <w:r>
        <w:rPr>
          <w:rFonts w:hint="eastAsia" w:ascii="仿宋_GB2312" w:hAnsi="仿宋_GB2312" w:eastAsia="仿宋_GB2312" w:cs="仿宋_GB2312"/>
          <w:b/>
          <w:bCs/>
          <w:color w:val="auto"/>
          <w:sz w:val="32"/>
          <w:szCs w:val="32"/>
          <w:highlight w:val="none"/>
          <w:lang w:val="en-US" w:eastAsia="zh-CN"/>
        </w:rPr>
        <w:t xml:space="preserve"> 综上，该项指标满分15分，得分14.68分</w:t>
      </w:r>
      <w:r>
        <w:rPr>
          <w:rFonts w:hint="eastAsia" w:ascii="仿宋_GB2312" w:hAnsi="仿宋_GB2312" w:eastAsia="仿宋_GB2312" w:cs="仿宋_GB2312"/>
          <w:b/>
          <w:bCs/>
          <w:color w:val="7030A0"/>
          <w:sz w:val="32"/>
          <w:szCs w:val="32"/>
          <w:highlight w:val="none"/>
          <w:lang w:val="en-US" w:eastAsia="zh-CN"/>
        </w:rPr>
        <w:t>。</w:t>
      </w:r>
    </w:p>
    <w:p w14:paraId="32A6D104">
      <w:pPr>
        <w:pageBreakBefore w:val="0"/>
        <w:kinsoku/>
        <w:wordWrap/>
        <w:overflowPunct/>
        <w:topLinePunct w:val="0"/>
        <w:autoSpaceDE/>
        <w:autoSpaceDN/>
        <w:bidi w:val="0"/>
        <w:adjustRightInd/>
        <w:spacing w:line="560" w:lineRule="exact"/>
        <w:textAlignment w:val="auto"/>
        <w:outlineLvl w:val="2"/>
        <w:rPr>
          <w:rFonts w:hint="default" w:ascii="仿宋_GB2312" w:hAnsi="仿宋_GB2312" w:eastAsia="仿宋_GB2312" w:cs="仿宋_GB2312"/>
          <w:b/>
          <w:bCs/>
          <w:color w:val="auto"/>
          <w:sz w:val="32"/>
          <w:szCs w:val="32"/>
          <w:highlight w:val="none"/>
          <w:lang w:val="en-US" w:eastAsia="zh-CN"/>
        </w:rPr>
      </w:pPr>
      <w:bookmarkStart w:id="131" w:name="_Toc31739"/>
      <w:bookmarkStart w:id="132" w:name="_Toc14255"/>
      <w:r>
        <w:rPr>
          <w:rFonts w:hint="eastAsia" w:ascii="仿宋_GB2312" w:hAnsi="仿宋_GB2312" w:eastAsia="仿宋_GB2312" w:cs="仿宋_GB2312"/>
          <w:b/>
          <w:bCs/>
          <w:color w:val="auto"/>
          <w:sz w:val="32"/>
          <w:szCs w:val="32"/>
          <w:highlight w:val="none"/>
          <w:lang w:val="en-US" w:eastAsia="zh-CN"/>
        </w:rPr>
        <w:t>2.</w:t>
      </w:r>
      <w:bookmarkEnd w:id="131"/>
      <w:r>
        <w:rPr>
          <w:rFonts w:hint="eastAsia" w:ascii="仿宋_GB2312" w:hAnsi="仿宋_GB2312" w:eastAsia="仿宋_GB2312" w:cs="仿宋_GB2312"/>
          <w:b/>
          <w:bCs/>
          <w:color w:val="auto"/>
          <w:sz w:val="32"/>
          <w:szCs w:val="32"/>
          <w:highlight w:val="none"/>
          <w:lang w:val="en-US" w:eastAsia="zh-CN"/>
        </w:rPr>
        <w:t>质量指标完成情况</w:t>
      </w:r>
      <w:bookmarkEnd w:id="132"/>
    </w:p>
    <w:p w14:paraId="3ABEFB9F">
      <w:pPr>
        <w:pageBreakBefore w:val="0"/>
        <w:kinsoku/>
        <w:wordWrap/>
        <w:overflowPunct/>
        <w:topLinePunct w:val="0"/>
        <w:autoSpaceDE/>
        <w:autoSpaceDN/>
        <w:bidi w:val="0"/>
        <w:adjustRightInd/>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1</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65岁以上老人健康管理服务合格率</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指标，预期目标值为≥90%，实际完成为79%，实际完成率87.78%。偏差原因：档案指标部分不合格</w:t>
      </w:r>
    </w:p>
    <w:p w14:paraId="48BF0178">
      <w:pPr>
        <w:pageBreakBefore w:val="0"/>
        <w:kinsoku/>
        <w:wordWrap/>
        <w:overflowPunct/>
        <w:topLinePunct w:val="0"/>
        <w:autoSpaceDE/>
        <w:autoSpaceDN/>
        <w:bidi w:val="0"/>
        <w:adjustRightInd/>
        <w:spacing w:line="560" w:lineRule="exact"/>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2</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kern w:val="0"/>
          <w:sz w:val="32"/>
          <w:szCs w:val="32"/>
          <w:highlight w:val="none"/>
          <w:shd w:val="clear" w:color="auto" w:fill="auto"/>
          <w:lang w:val="en-US" w:eastAsia="zh-CN"/>
        </w:rPr>
        <w:t>高血压服务合格率</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指标，预期目标值为</w:t>
      </w:r>
      <w:r>
        <w:rPr>
          <w:rFonts w:hint="eastAsia" w:ascii="仿宋_GB2312" w:hAnsi="仿宋_GB2312" w:eastAsia="仿宋_GB2312" w:cs="仿宋_GB2312"/>
          <w:color w:val="auto"/>
          <w:kern w:val="0"/>
          <w:sz w:val="32"/>
          <w:szCs w:val="32"/>
          <w:highlight w:val="none"/>
          <w:shd w:val="clear" w:color="auto" w:fill="auto"/>
          <w:lang w:val="en-US" w:eastAsia="zh-CN"/>
        </w:rPr>
        <w:t>≥90%</w:t>
      </w:r>
      <w:r>
        <w:rPr>
          <w:rFonts w:hint="eastAsia" w:ascii="仿宋_GB2312" w:hAnsi="仿宋_GB2312" w:eastAsia="仿宋_GB2312" w:cs="仿宋_GB2312"/>
          <w:color w:val="auto"/>
          <w:sz w:val="32"/>
          <w:szCs w:val="32"/>
          <w:highlight w:val="none"/>
          <w:lang w:val="en-US" w:eastAsia="zh-CN"/>
        </w:rPr>
        <w:t>，实际完成为</w:t>
      </w:r>
      <w:r>
        <w:rPr>
          <w:rFonts w:hint="eastAsia" w:ascii="仿宋_GB2312" w:hAnsi="仿宋_GB2312" w:eastAsia="仿宋_GB2312" w:cs="仿宋_GB2312"/>
          <w:color w:val="auto"/>
          <w:kern w:val="0"/>
          <w:sz w:val="32"/>
          <w:szCs w:val="32"/>
          <w:highlight w:val="none"/>
          <w:shd w:val="clear" w:color="auto" w:fill="auto"/>
          <w:lang w:val="en-US" w:eastAsia="zh-CN"/>
        </w:rPr>
        <w:t>90%，实际完成率100%。</w:t>
      </w:r>
    </w:p>
    <w:p w14:paraId="3E4936FF">
      <w:pPr>
        <w:pageBreakBefore w:val="0"/>
        <w:kinsoku/>
        <w:wordWrap/>
        <w:overflowPunct/>
        <w:topLinePunct w:val="0"/>
        <w:autoSpaceDE/>
        <w:autoSpaceDN/>
        <w:bidi w:val="0"/>
        <w:adjustRightInd/>
        <w:spacing w:line="560" w:lineRule="exact"/>
        <w:ind w:left="0" w:leftChars="0" w:firstLine="0" w:firstLineChars="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 xml:space="preserve">   </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3</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kern w:val="0"/>
          <w:sz w:val="32"/>
          <w:szCs w:val="32"/>
          <w:highlight w:val="none"/>
          <w:shd w:val="clear" w:color="auto" w:fill="auto"/>
          <w:lang w:val="en-US" w:eastAsia="zh-CN"/>
        </w:rPr>
        <w:t>糖尿病服务合格率</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指标，预期目标值为</w:t>
      </w:r>
      <w:r>
        <w:rPr>
          <w:rFonts w:hint="eastAsia" w:ascii="仿宋_GB2312" w:hAnsi="仿宋_GB2312" w:eastAsia="仿宋_GB2312" w:cs="仿宋_GB2312"/>
          <w:color w:val="auto"/>
          <w:kern w:val="0"/>
          <w:sz w:val="32"/>
          <w:szCs w:val="32"/>
          <w:highlight w:val="none"/>
          <w:shd w:val="clear" w:color="auto" w:fill="auto"/>
          <w:lang w:val="en-US" w:eastAsia="zh-CN"/>
        </w:rPr>
        <w:t>≥90%</w:t>
      </w:r>
      <w:r>
        <w:rPr>
          <w:rFonts w:hint="eastAsia" w:ascii="仿宋_GB2312" w:hAnsi="仿宋_GB2312" w:eastAsia="仿宋_GB2312" w:cs="仿宋_GB2312"/>
          <w:color w:val="auto"/>
          <w:sz w:val="32"/>
          <w:szCs w:val="32"/>
          <w:highlight w:val="none"/>
          <w:lang w:val="en-US" w:eastAsia="zh-CN"/>
        </w:rPr>
        <w:t>，实际完成为</w:t>
      </w:r>
      <w:r>
        <w:rPr>
          <w:rFonts w:hint="eastAsia" w:ascii="仿宋_GB2312" w:hAnsi="仿宋_GB2312" w:eastAsia="仿宋_GB2312" w:cs="仿宋_GB2312"/>
          <w:color w:val="auto"/>
          <w:kern w:val="0"/>
          <w:sz w:val="32"/>
          <w:szCs w:val="32"/>
          <w:highlight w:val="none"/>
          <w:shd w:val="clear" w:color="auto" w:fill="auto"/>
          <w:lang w:val="en-US" w:eastAsia="zh-CN"/>
        </w:rPr>
        <w:t>90%，实际完成率100%</w:t>
      </w:r>
      <w:r>
        <w:rPr>
          <w:rFonts w:hint="eastAsia" w:ascii="仿宋_GB2312" w:hAnsi="仿宋_GB2312" w:eastAsia="仿宋_GB2312" w:cs="仿宋_GB2312"/>
          <w:color w:val="auto"/>
          <w:sz w:val="32"/>
          <w:szCs w:val="32"/>
          <w:highlight w:val="none"/>
          <w:lang w:val="en-US" w:eastAsia="zh-CN"/>
        </w:rPr>
        <w:t>；</w:t>
      </w:r>
    </w:p>
    <w:p w14:paraId="4F9E82B7">
      <w:pPr>
        <w:pageBreakBefore w:val="0"/>
        <w:kinsoku/>
        <w:wordWrap/>
        <w:overflowPunct/>
        <w:topLinePunct w:val="0"/>
        <w:autoSpaceDE/>
        <w:autoSpaceDN/>
        <w:bidi w:val="0"/>
        <w:adjustRightInd/>
        <w:spacing w:line="560" w:lineRule="exact"/>
        <w:ind w:left="0" w:leftChars="0" w:firstLine="0" w:firstLineChars="0"/>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7030A0"/>
          <w:sz w:val="32"/>
          <w:szCs w:val="32"/>
          <w:highlight w:val="none"/>
          <w:lang w:val="en-US" w:eastAsia="zh-CN"/>
        </w:rPr>
        <w:t xml:space="preserve">    </w:t>
      </w:r>
      <w:r>
        <w:rPr>
          <w:rFonts w:hint="eastAsia" w:ascii="仿宋_GB2312" w:hAnsi="仿宋_GB2312" w:eastAsia="仿宋_GB2312" w:cs="仿宋_GB2312"/>
          <w:b/>
          <w:bCs/>
          <w:color w:val="auto"/>
          <w:sz w:val="32"/>
          <w:szCs w:val="32"/>
          <w:highlight w:val="none"/>
          <w:lang w:val="en-US" w:eastAsia="zh-CN"/>
        </w:rPr>
        <w:t>综上，该项指标满分13分，得分12.08分。</w:t>
      </w:r>
    </w:p>
    <w:p w14:paraId="6CABB7DA">
      <w:pPr>
        <w:pageBreakBefore w:val="0"/>
        <w:kinsoku/>
        <w:wordWrap/>
        <w:overflowPunct/>
        <w:topLinePunct w:val="0"/>
        <w:autoSpaceDE/>
        <w:autoSpaceDN/>
        <w:bidi w:val="0"/>
        <w:adjustRightInd/>
        <w:spacing w:line="560" w:lineRule="exact"/>
        <w:textAlignment w:val="auto"/>
        <w:outlineLvl w:val="2"/>
        <w:rPr>
          <w:rFonts w:hint="default" w:ascii="仿宋_GB2312" w:hAnsi="仿宋_GB2312" w:eastAsia="仿宋_GB2312" w:cs="仿宋_GB2312"/>
          <w:b/>
          <w:bCs/>
          <w:color w:val="auto"/>
          <w:sz w:val="32"/>
          <w:szCs w:val="32"/>
          <w:highlight w:val="none"/>
          <w:lang w:val="en-US" w:eastAsia="zh-CN"/>
        </w:rPr>
      </w:pPr>
      <w:bookmarkStart w:id="133" w:name="_Toc18307"/>
      <w:bookmarkStart w:id="134" w:name="_Toc28885"/>
      <w:r>
        <w:rPr>
          <w:rFonts w:hint="eastAsia" w:ascii="仿宋_GB2312" w:hAnsi="仿宋_GB2312" w:eastAsia="仿宋_GB2312" w:cs="仿宋_GB2312"/>
          <w:b/>
          <w:bCs/>
          <w:color w:val="auto"/>
          <w:sz w:val="32"/>
          <w:szCs w:val="32"/>
          <w:highlight w:val="none"/>
          <w:lang w:val="en-US" w:eastAsia="zh-CN"/>
        </w:rPr>
        <w:t>3.</w:t>
      </w:r>
      <w:bookmarkEnd w:id="133"/>
      <w:r>
        <w:rPr>
          <w:rFonts w:hint="eastAsia" w:ascii="仿宋_GB2312" w:hAnsi="仿宋_GB2312" w:eastAsia="仿宋_GB2312" w:cs="仿宋_GB2312"/>
          <w:b/>
          <w:bCs/>
          <w:color w:val="auto"/>
          <w:sz w:val="32"/>
          <w:szCs w:val="32"/>
          <w:highlight w:val="none"/>
          <w:lang w:val="en-US" w:eastAsia="zh-CN"/>
        </w:rPr>
        <w:t>时效指标完成情况</w:t>
      </w:r>
      <w:bookmarkEnd w:id="134"/>
    </w:p>
    <w:p w14:paraId="0B1EDD74">
      <w:pPr>
        <w:pageBreakBefore w:val="0"/>
        <w:kinsoku/>
        <w:wordWrap/>
        <w:overflowPunct/>
        <w:topLinePunct w:val="0"/>
        <w:autoSpaceDE/>
        <w:autoSpaceDN/>
        <w:bidi w:val="0"/>
        <w:adjustRightInd/>
        <w:spacing w:line="560" w:lineRule="exact"/>
        <w:textAlignment w:val="auto"/>
        <w:rPr>
          <w:rFonts w:hint="eastAsia" w:ascii="仿宋_GB2312" w:hAnsi="仿宋_GB2312" w:eastAsia="仿宋_GB2312" w:cs="仿宋_GB2312"/>
          <w:color w:val="auto"/>
          <w:sz w:val="32"/>
          <w:szCs w:val="32"/>
          <w:highlight w:val="none"/>
          <w:lang w:val="en-US" w:eastAsia="zh-CN"/>
        </w:rPr>
      </w:pPr>
      <w:bookmarkStart w:id="135" w:name="OLE_LINK9"/>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 xml:space="preserve">项目完成时限 </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指标，预期目标值为≤2024年12月，实际完成为2024年12月</w:t>
      </w:r>
      <w:bookmarkEnd w:id="135"/>
      <w:r>
        <w:rPr>
          <w:rFonts w:hint="eastAsia" w:ascii="仿宋_GB2312" w:hAnsi="仿宋_GB2312" w:eastAsia="仿宋_GB2312" w:cs="仿宋_GB2312"/>
          <w:color w:val="auto"/>
          <w:sz w:val="32"/>
          <w:szCs w:val="32"/>
          <w:highlight w:val="none"/>
          <w:lang w:val="en-US" w:eastAsia="zh-CN"/>
        </w:rPr>
        <w:t>；</w:t>
      </w:r>
    </w:p>
    <w:p w14:paraId="0A9CC09E">
      <w:pPr>
        <w:pageBreakBefore w:val="0"/>
        <w:kinsoku/>
        <w:wordWrap/>
        <w:overflowPunct/>
        <w:topLinePunct w:val="0"/>
        <w:autoSpaceDE/>
        <w:autoSpaceDN/>
        <w:bidi w:val="0"/>
        <w:adjustRightInd/>
        <w:spacing w:line="560" w:lineRule="exact"/>
        <w:ind w:left="0" w:leftChars="0" w:firstLine="0" w:firstLineChars="0"/>
        <w:textAlignment w:val="auto"/>
        <w:rPr>
          <w:rFonts w:hint="eastAsia" w:ascii="仿宋_GB2312" w:hAnsi="仿宋_GB2312" w:eastAsia="仿宋_GB2312" w:cs="仿宋_GB2312"/>
          <w:b/>
          <w:bCs/>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 xml:space="preserve">  </w:t>
      </w:r>
      <w:r>
        <w:rPr>
          <w:rFonts w:hint="eastAsia" w:ascii="仿宋_GB2312" w:hAnsi="仿宋_GB2312" w:eastAsia="仿宋_GB2312" w:cs="仿宋_GB2312"/>
          <w:b/>
          <w:bCs/>
          <w:color w:val="auto"/>
          <w:sz w:val="32"/>
          <w:szCs w:val="32"/>
          <w:highlight w:val="none"/>
          <w:lang w:val="en-US" w:eastAsia="zh-CN"/>
        </w:rPr>
        <w:t>综上，该项指标满分5分，得分5分。</w:t>
      </w:r>
      <w:bookmarkStart w:id="136" w:name="_Toc20607"/>
      <w:bookmarkStart w:id="137" w:name="_Toc32765"/>
    </w:p>
    <w:bookmarkEnd w:id="136"/>
    <w:bookmarkEnd w:id="137"/>
    <w:p w14:paraId="271870E3">
      <w:pPr>
        <w:pageBreakBefore w:val="0"/>
        <w:kinsoku/>
        <w:wordWrap/>
        <w:overflowPunct/>
        <w:topLinePunct w:val="0"/>
        <w:autoSpaceDE/>
        <w:autoSpaceDN/>
        <w:bidi w:val="0"/>
        <w:spacing w:line="560" w:lineRule="exact"/>
        <w:textAlignment w:val="auto"/>
        <w:outlineLvl w:val="2"/>
        <w:rPr>
          <w:rFonts w:hint="default"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4.项目</w:t>
      </w:r>
      <w:bookmarkStart w:id="138" w:name="OLE_LINK7"/>
      <w:r>
        <w:rPr>
          <w:rFonts w:hint="eastAsia" w:ascii="仿宋_GB2312" w:hAnsi="仿宋_GB2312" w:eastAsia="仿宋_GB2312" w:cs="仿宋_GB2312"/>
          <w:b/>
          <w:bCs/>
          <w:sz w:val="32"/>
          <w:szCs w:val="32"/>
          <w:lang w:val="en-US" w:eastAsia="zh-CN"/>
        </w:rPr>
        <w:t>成本</w:t>
      </w:r>
      <w:bookmarkEnd w:id="138"/>
      <w:r>
        <w:rPr>
          <w:rFonts w:hint="eastAsia" w:ascii="仿宋_GB2312" w:hAnsi="仿宋_GB2312" w:eastAsia="仿宋_GB2312" w:cs="仿宋_GB2312"/>
          <w:b/>
          <w:bCs/>
          <w:sz w:val="32"/>
          <w:szCs w:val="32"/>
          <w:lang w:val="en-US" w:eastAsia="zh-CN"/>
        </w:rPr>
        <w:t>情况</w:t>
      </w:r>
    </w:p>
    <w:p w14:paraId="6446E925">
      <w:pPr>
        <w:pageBreakBefore w:val="0"/>
        <w:kinsoku/>
        <w:wordWrap/>
        <w:overflowPunct/>
        <w:topLinePunct w:val="0"/>
        <w:autoSpaceDE/>
        <w:autoSpaceDN/>
        <w:bidi w:val="0"/>
        <w:adjustRightInd/>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 xml:space="preserve">  （1）“补助经费 ”指标，预期目标值为≤61.77万元，实际到位61.77万元；</w:t>
      </w:r>
    </w:p>
    <w:p w14:paraId="006D5934">
      <w:pPr>
        <w:pageBreakBefore w:val="0"/>
        <w:kinsoku/>
        <w:wordWrap/>
        <w:overflowPunct/>
        <w:topLinePunct w:val="0"/>
        <w:autoSpaceDE/>
        <w:autoSpaceDN/>
        <w:bidi w:val="0"/>
        <w:adjustRightInd/>
        <w:spacing w:line="560" w:lineRule="exact"/>
        <w:ind w:firstLine="960" w:firstLineChars="300"/>
        <w:textAlignment w:val="auto"/>
        <w:rPr>
          <w:rFonts w:hint="default"/>
          <w:lang w:val="en-US" w:eastAsia="zh-CN"/>
        </w:rPr>
      </w:pPr>
      <w:r>
        <w:rPr>
          <w:rFonts w:hint="eastAsia" w:ascii="仿宋_GB2312" w:hAnsi="仿宋_GB2312" w:eastAsia="仿宋_GB2312" w:cs="仿宋_GB2312"/>
          <w:color w:val="auto"/>
          <w:sz w:val="32"/>
          <w:szCs w:val="32"/>
          <w:highlight w:val="none"/>
          <w:lang w:val="en-US" w:eastAsia="zh-CN"/>
        </w:rPr>
        <w:t>（2）“其他经费支出 ”指标，预期目标值为≤4.96万元，实际到位4.96万元；</w:t>
      </w:r>
    </w:p>
    <w:p w14:paraId="5D493222">
      <w:pPr>
        <w:pageBreakBefore w:val="0"/>
        <w:kinsoku/>
        <w:wordWrap/>
        <w:overflowPunct/>
        <w:topLinePunct w:val="0"/>
        <w:autoSpaceDE/>
        <w:autoSpaceDN/>
        <w:bidi w:val="0"/>
        <w:adjustRightInd/>
        <w:spacing w:line="560" w:lineRule="exact"/>
        <w:ind w:left="0" w:leftChars="0" w:firstLine="643" w:firstLineChars="200"/>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综上，该项指标满分7分，得分7分。</w:t>
      </w:r>
    </w:p>
    <w:p w14:paraId="19617015">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color w:val="auto"/>
          <w:kern w:val="28"/>
          <w:sz w:val="32"/>
          <w:highlight w:val="none"/>
          <w:lang w:val="en-US" w:eastAsia="zh-CN"/>
        </w:rPr>
      </w:pPr>
      <w:bookmarkStart w:id="139" w:name="_Toc19424"/>
      <w:r>
        <w:rPr>
          <w:rFonts w:hint="eastAsia" w:ascii="Times New Roman" w:hAnsi="Times New Roman" w:eastAsia="楷体_GB2312" w:cs="Times New Roman"/>
          <w:color w:val="auto"/>
          <w:kern w:val="28"/>
          <w:sz w:val="32"/>
          <w:highlight w:val="none"/>
          <w:lang w:val="en-US" w:eastAsia="zh-CN"/>
        </w:rPr>
        <w:t>（四）项目效益情况</w:t>
      </w:r>
      <w:bookmarkEnd w:id="139"/>
    </w:p>
    <w:p w14:paraId="7BA91729">
      <w:pPr>
        <w:pageBreakBefore w:val="0"/>
        <w:widowControl w:val="0"/>
        <w:kinsoku/>
        <w:wordWrap/>
        <w:overflowPunct/>
        <w:topLinePunct w:val="0"/>
        <w:autoSpaceDE/>
        <w:autoSpaceDN/>
        <w:bidi w:val="0"/>
        <w:adjustRightInd/>
        <w:spacing w:line="560" w:lineRule="exact"/>
        <w:ind w:firstLine="560"/>
        <w:jc w:val="left"/>
        <w:textAlignment w:val="auto"/>
        <w:rPr>
          <w:rFonts w:hint="eastAsia" w:ascii="仿宋_GB2312" w:hAnsi="仿宋_GB2312" w:eastAsia="仿宋_GB2312" w:cs="仿宋_GB2312"/>
          <w:color w:val="auto"/>
          <w:kern w:val="2"/>
          <w:sz w:val="32"/>
          <w:szCs w:val="32"/>
          <w:highlight w:val="none"/>
          <w:u w:color="000000"/>
          <w:shd w:val="clear" w:color="auto" w:fill="auto"/>
          <w:lang w:val="zh-TW" w:eastAsia="zh-TW"/>
        </w:rPr>
      </w:pPr>
      <w:r>
        <w:rPr>
          <w:rFonts w:hint="eastAsia" w:ascii="仿宋_GB2312" w:hAnsi="仿宋_GB2312" w:eastAsia="仿宋_GB2312" w:cs="仿宋_GB2312"/>
          <w:color w:val="auto"/>
          <w:kern w:val="2"/>
          <w:sz w:val="32"/>
          <w:szCs w:val="32"/>
          <w:highlight w:val="none"/>
          <w:u w:color="000000"/>
          <w:shd w:val="clear" w:color="auto" w:fill="auto"/>
          <w:lang w:val="zh-TW" w:eastAsia="zh-TW"/>
        </w:rPr>
        <w:t>项目</w:t>
      </w:r>
      <w:r>
        <w:rPr>
          <w:rFonts w:hint="eastAsia" w:ascii="仿宋_GB2312" w:hAnsi="仿宋_GB2312" w:eastAsia="仿宋_GB2312" w:cs="仿宋_GB2312"/>
          <w:color w:val="auto"/>
          <w:sz w:val="32"/>
          <w:szCs w:val="32"/>
          <w:highlight w:val="none"/>
          <w:shd w:val="clear" w:color="auto" w:fill="auto"/>
          <w:lang w:val="en-US" w:eastAsia="zh-CN"/>
        </w:rPr>
        <w:t>效益</w:t>
      </w:r>
      <w:r>
        <w:rPr>
          <w:rFonts w:hint="eastAsia" w:ascii="仿宋_GB2312" w:hAnsi="仿宋_GB2312" w:eastAsia="仿宋_GB2312" w:cs="仿宋_GB2312"/>
          <w:color w:val="auto"/>
          <w:kern w:val="2"/>
          <w:sz w:val="32"/>
          <w:szCs w:val="32"/>
          <w:highlight w:val="none"/>
          <w:u w:color="000000"/>
          <w:shd w:val="clear" w:color="auto" w:fill="auto"/>
          <w:lang w:val="zh-TW" w:eastAsia="zh-TW"/>
        </w:rPr>
        <w:t>类指标</w:t>
      </w:r>
      <w:r>
        <w:rPr>
          <w:rFonts w:hint="default" w:ascii="Times New Roman" w:hAnsi="Times New Roman" w:eastAsia="仿宋_GB2312" w:cs="Times New Roman"/>
          <w:color w:val="auto"/>
          <w:sz w:val="32"/>
          <w:szCs w:val="32"/>
          <w:highlight w:val="none"/>
          <w:lang w:val="en-US" w:eastAsia="zh-CN"/>
        </w:rPr>
        <w:t>包括项目实施效益和满意度两方面的内容，</w:t>
      </w:r>
      <w:r>
        <w:rPr>
          <w:rFonts w:hint="eastAsia" w:ascii="仿宋_GB2312" w:hAnsi="仿宋_GB2312" w:eastAsia="仿宋_GB2312" w:cs="仿宋_GB2312"/>
          <w:color w:val="auto"/>
          <w:kern w:val="2"/>
          <w:sz w:val="32"/>
          <w:szCs w:val="32"/>
          <w:highlight w:val="none"/>
          <w:u w:color="000000"/>
          <w:shd w:val="clear" w:color="auto" w:fill="auto"/>
          <w:lang w:val="zh-TW" w:eastAsia="zh-TW"/>
        </w:rPr>
        <w:t>由</w:t>
      </w:r>
      <w:r>
        <w:rPr>
          <w:rFonts w:hint="eastAsia" w:ascii="仿宋_GB2312" w:hAnsi="仿宋_GB2312" w:eastAsia="仿宋_GB2312" w:cs="仿宋_GB2312"/>
          <w:color w:val="auto"/>
          <w:kern w:val="2"/>
          <w:sz w:val="32"/>
          <w:szCs w:val="32"/>
          <w:highlight w:val="none"/>
          <w:u w:color="000000"/>
          <w:shd w:val="clear" w:color="auto" w:fill="auto"/>
          <w:lang w:val="en-US" w:eastAsia="zh-CN"/>
        </w:rPr>
        <w:t>2</w:t>
      </w:r>
      <w:r>
        <w:rPr>
          <w:rFonts w:hint="eastAsia" w:ascii="仿宋_GB2312" w:hAnsi="仿宋_GB2312" w:eastAsia="仿宋_GB2312" w:cs="仿宋_GB2312"/>
          <w:color w:val="auto"/>
          <w:kern w:val="2"/>
          <w:sz w:val="32"/>
          <w:szCs w:val="32"/>
          <w:highlight w:val="none"/>
          <w:u w:color="000000"/>
          <w:shd w:val="clear" w:color="auto" w:fill="auto"/>
          <w:lang w:val="zh-TW" w:eastAsia="zh-TW"/>
        </w:rPr>
        <w:t>个</w:t>
      </w:r>
      <w:r>
        <w:rPr>
          <w:rFonts w:hint="eastAsia" w:ascii="仿宋_GB2312" w:hAnsi="仿宋_GB2312" w:eastAsia="仿宋_GB2312" w:cs="仿宋_GB2312"/>
          <w:color w:val="auto"/>
          <w:kern w:val="2"/>
          <w:sz w:val="32"/>
          <w:szCs w:val="32"/>
          <w:highlight w:val="none"/>
          <w:u w:color="000000"/>
          <w:shd w:val="clear" w:color="auto" w:fill="auto"/>
          <w:lang w:val="zh-TW" w:eastAsia="zh-CN"/>
        </w:rPr>
        <w:t>二</w:t>
      </w:r>
      <w:r>
        <w:rPr>
          <w:rFonts w:hint="eastAsia" w:ascii="仿宋_GB2312" w:hAnsi="仿宋_GB2312" w:eastAsia="仿宋_GB2312" w:cs="仿宋_GB2312"/>
          <w:color w:val="auto"/>
          <w:kern w:val="2"/>
          <w:sz w:val="32"/>
          <w:szCs w:val="32"/>
          <w:highlight w:val="none"/>
          <w:u w:color="000000"/>
          <w:shd w:val="clear" w:color="auto" w:fill="auto"/>
          <w:lang w:val="zh-TW" w:eastAsia="zh-TW"/>
        </w:rPr>
        <w:t>级指标和</w:t>
      </w:r>
      <w:r>
        <w:rPr>
          <w:rFonts w:hint="eastAsia" w:ascii="仿宋_GB2312" w:hAnsi="仿宋_GB2312" w:eastAsia="仿宋_GB2312" w:cs="仿宋_GB2312"/>
          <w:color w:val="auto"/>
          <w:kern w:val="2"/>
          <w:sz w:val="32"/>
          <w:szCs w:val="32"/>
          <w:highlight w:val="none"/>
          <w:u w:color="000000"/>
          <w:shd w:val="clear" w:color="auto" w:fill="auto"/>
          <w:lang w:val="en-US" w:eastAsia="zh-CN"/>
        </w:rPr>
        <w:t>3</w:t>
      </w:r>
      <w:r>
        <w:rPr>
          <w:rFonts w:hint="eastAsia" w:ascii="仿宋_GB2312" w:hAnsi="仿宋_GB2312" w:eastAsia="仿宋_GB2312" w:cs="仿宋_GB2312"/>
          <w:color w:val="auto"/>
          <w:kern w:val="2"/>
          <w:sz w:val="32"/>
          <w:szCs w:val="32"/>
          <w:highlight w:val="none"/>
          <w:u w:color="000000"/>
          <w:shd w:val="clear" w:color="auto" w:fill="auto"/>
          <w:lang w:val="zh-TW" w:eastAsia="zh-TW"/>
        </w:rPr>
        <w:t>个</w:t>
      </w:r>
      <w:r>
        <w:rPr>
          <w:rFonts w:hint="eastAsia" w:ascii="仿宋_GB2312" w:hAnsi="仿宋_GB2312" w:eastAsia="仿宋_GB2312" w:cs="仿宋_GB2312"/>
          <w:color w:val="auto"/>
          <w:kern w:val="2"/>
          <w:sz w:val="32"/>
          <w:szCs w:val="32"/>
          <w:highlight w:val="none"/>
          <w:u w:color="000000"/>
          <w:shd w:val="clear" w:color="auto" w:fill="auto"/>
          <w:lang w:eastAsia="zh-CN"/>
        </w:rPr>
        <w:t>三</w:t>
      </w:r>
      <w:r>
        <w:rPr>
          <w:rFonts w:hint="eastAsia" w:ascii="仿宋_GB2312" w:hAnsi="仿宋_GB2312" w:eastAsia="仿宋_GB2312" w:cs="仿宋_GB2312"/>
          <w:color w:val="auto"/>
          <w:kern w:val="2"/>
          <w:sz w:val="32"/>
          <w:szCs w:val="32"/>
          <w:highlight w:val="none"/>
          <w:u w:color="000000"/>
          <w:shd w:val="clear" w:color="auto" w:fill="auto"/>
          <w:lang w:val="zh-TW" w:eastAsia="zh-TW"/>
        </w:rPr>
        <w:t>级指标构成，权重分</w:t>
      </w:r>
      <w:r>
        <w:rPr>
          <w:rFonts w:hint="eastAsia" w:ascii="仿宋_GB2312" w:hAnsi="仿宋_GB2312" w:eastAsia="仿宋_GB2312" w:cs="仿宋_GB2312"/>
          <w:color w:val="auto"/>
          <w:kern w:val="2"/>
          <w:sz w:val="32"/>
          <w:szCs w:val="32"/>
          <w:highlight w:val="none"/>
          <w:u w:color="000000"/>
          <w:shd w:val="clear" w:color="auto" w:fill="auto"/>
          <w:lang w:val="en-US" w:eastAsia="zh-CN"/>
        </w:rPr>
        <w:t>20</w:t>
      </w:r>
      <w:r>
        <w:rPr>
          <w:rFonts w:hint="eastAsia" w:ascii="仿宋_GB2312" w:hAnsi="仿宋_GB2312" w:eastAsia="仿宋_GB2312" w:cs="仿宋_GB2312"/>
          <w:color w:val="auto"/>
          <w:kern w:val="2"/>
          <w:sz w:val="32"/>
          <w:szCs w:val="32"/>
          <w:highlight w:val="none"/>
          <w:u w:color="000000"/>
          <w:shd w:val="clear" w:color="auto" w:fill="auto"/>
          <w:lang w:val="zh-TW" w:eastAsia="zh-TW"/>
        </w:rPr>
        <w:t>分，实际得分</w:t>
      </w:r>
      <w:r>
        <w:rPr>
          <w:rFonts w:hint="eastAsia" w:ascii="仿宋_GB2312" w:hAnsi="仿宋_GB2312" w:eastAsia="仿宋_GB2312" w:cs="仿宋_GB2312"/>
          <w:color w:val="auto"/>
          <w:kern w:val="2"/>
          <w:sz w:val="32"/>
          <w:szCs w:val="32"/>
          <w:highlight w:val="none"/>
          <w:u w:color="000000"/>
          <w:shd w:val="clear" w:color="auto" w:fill="auto"/>
          <w:lang w:val="en-US" w:eastAsia="zh-CN"/>
        </w:rPr>
        <w:t>20</w:t>
      </w:r>
      <w:r>
        <w:rPr>
          <w:rFonts w:hint="eastAsia" w:ascii="仿宋_GB2312" w:hAnsi="仿宋_GB2312" w:eastAsia="仿宋_GB2312" w:cs="仿宋_GB2312"/>
          <w:color w:val="auto"/>
          <w:kern w:val="2"/>
          <w:sz w:val="32"/>
          <w:szCs w:val="32"/>
          <w:highlight w:val="none"/>
          <w:u w:color="000000"/>
          <w:shd w:val="clear" w:color="auto" w:fill="auto"/>
          <w:lang w:val="zh-TW" w:eastAsia="zh-TW"/>
        </w:rPr>
        <w:t>分</w:t>
      </w:r>
      <w:r>
        <w:rPr>
          <w:rFonts w:hint="eastAsia" w:ascii="仿宋_GB2312" w:hAnsi="仿宋_GB2312" w:eastAsia="仿宋_GB2312" w:cs="仿宋_GB2312"/>
          <w:color w:val="auto"/>
          <w:kern w:val="2"/>
          <w:sz w:val="32"/>
          <w:szCs w:val="32"/>
          <w:highlight w:val="none"/>
          <w:u w:color="000000"/>
          <w:shd w:val="clear" w:color="auto" w:fill="auto"/>
          <w:lang w:val="zh-TW" w:eastAsia="zh-CN"/>
        </w:rPr>
        <w:t>，</w:t>
      </w:r>
      <w:r>
        <w:rPr>
          <w:rFonts w:hint="eastAsia" w:ascii="仿宋_GB2312" w:hAnsi="仿宋_GB2312" w:eastAsia="仿宋_GB2312" w:cs="仿宋_GB2312"/>
          <w:color w:val="auto"/>
          <w:kern w:val="2"/>
          <w:sz w:val="32"/>
          <w:szCs w:val="32"/>
          <w:highlight w:val="none"/>
          <w:u w:color="000000"/>
          <w:shd w:val="clear" w:color="auto" w:fill="auto"/>
          <w:lang w:val="zh-TW" w:eastAsia="zh-TW"/>
        </w:rPr>
        <w:t>各指标业绩值和绩效分值如表</w:t>
      </w:r>
      <w:r>
        <w:rPr>
          <w:rFonts w:hint="eastAsia" w:ascii="仿宋_GB2312" w:hAnsi="仿宋_GB2312" w:eastAsia="仿宋_GB2312" w:cs="仿宋_GB2312"/>
          <w:color w:val="auto"/>
          <w:kern w:val="2"/>
          <w:sz w:val="32"/>
          <w:szCs w:val="32"/>
          <w:highlight w:val="none"/>
          <w:u w:color="000000"/>
          <w:shd w:val="clear" w:color="auto" w:fill="auto"/>
          <w:lang w:val="en-US" w:eastAsia="zh-CN"/>
        </w:rPr>
        <w:t>4</w:t>
      </w:r>
      <w:r>
        <w:rPr>
          <w:rFonts w:hint="eastAsia" w:ascii="仿宋_GB2312" w:hAnsi="仿宋_GB2312" w:eastAsia="仿宋_GB2312" w:cs="仿宋_GB2312"/>
          <w:color w:val="auto"/>
          <w:kern w:val="2"/>
          <w:sz w:val="32"/>
          <w:szCs w:val="32"/>
          <w:highlight w:val="none"/>
          <w:u w:color="000000"/>
          <w:shd w:val="clear" w:color="auto" w:fill="auto"/>
          <w:lang w:eastAsia="zh-CN"/>
        </w:rPr>
        <w:t>-</w:t>
      </w:r>
      <w:r>
        <w:rPr>
          <w:rFonts w:hint="eastAsia" w:ascii="仿宋_GB2312" w:hAnsi="仿宋_GB2312" w:eastAsia="仿宋_GB2312" w:cs="仿宋_GB2312"/>
          <w:color w:val="auto"/>
          <w:kern w:val="2"/>
          <w:sz w:val="32"/>
          <w:szCs w:val="32"/>
          <w:highlight w:val="none"/>
          <w:u w:color="000000"/>
          <w:shd w:val="clear" w:color="auto" w:fill="auto"/>
          <w:lang w:val="en-US" w:eastAsia="zh-CN"/>
        </w:rPr>
        <w:t>4</w:t>
      </w:r>
      <w:r>
        <w:rPr>
          <w:rFonts w:hint="eastAsia" w:ascii="仿宋_GB2312" w:hAnsi="仿宋_GB2312" w:eastAsia="仿宋_GB2312" w:cs="仿宋_GB2312"/>
          <w:color w:val="auto"/>
          <w:kern w:val="2"/>
          <w:sz w:val="32"/>
          <w:szCs w:val="32"/>
          <w:highlight w:val="none"/>
          <w:u w:color="000000"/>
          <w:shd w:val="clear" w:color="auto" w:fill="auto"/>
          <w:lang w:val="zh-TW" w:eastAsia="zh-TW"/>
        </w:rPr>
        <w:t>所示</w:t>
      </w:r>
      <w:r>
        <w:rPr>
          <w:rFonts w:hint="eastAsia" w:ascii="仿宋_GB2312" w:hAnsi="仿宋_GB2312" w:eastAsia="仿宋_GB2312" w:cs="仿宋_GB2312"/>
          <w:b/>
          <w:bCs/>
          <w:color w:val="auto"/>
          <w:kern w:val="2"/>
          <w:sz w:val="32"/>
          <w:szCs w:val="32"/>
          <w:highlight w:val="none"/>
          <w:u w:color="000000"/>
          <w:shd w:val="clear" w:color="auto" w:fill="auto"/>
          <w:lang w:val="zh-TW" w:eastAsia="zh-CN"/>
        </w:rPr>
        <w:t>（</w:t>
      </w:r>
      <w:r>
        <w:rPr>
          <w:rFonts w:hint="eastAsia" w:ascii="仿宋_GB2312" w:hAnsi="仿宋_GB2312" w:eastAsia="仿宋_GB2312" w:cs="仿宋_GB2312"/>
          <w:b/>
          <w:bCs/>
          <w:color w:val="auto"/>
          <w:kern w:val="2"/>
          <w:sz w:val="32"/>
          <w:szCs w:val="32"/>
          <w:highlight w:val="none"/>
          <w:u w:color="000000"/>
          <w:shd w:val="clear" w:color="auto" w:fill="auto"/>
          <w:lang w:val="en-US" w:eastAsia="zh-CN"/>
        </w:rPr>
        <w:t>详见上传的附件</w:t>
      </w:r>
      <w:r>
        <w:rPr>
          <w:rFonts w:hint="eastAsia" w:ascii="仿宋_GB2312" w:hAnsi="仿宋_GB2312" w:eastAsia="仿宋_GB2312" w:cs="仿宋_GB2312"/>
          <w:b/>
          <w:bCs/>
          <w:color w:val="auto"/>
          <w:kern w:val="2"/>
          <w:sz w:val="32"/>
          <w:szCs w:val="32"/>
          <w:highlight w:val="none"/>
          <w:u w:color="000000"/>
          <w:shd w:val="clear" w:color="auto" w:fill="auto"/>
          <w:lang w:val="zh-TW" w:eastAsia="zh-CN"/>
        </w:rPr>
        <w:t>）</w:t>
      </w:r>
      <w:r>
        <w:rPr>
          <w:rFonts w:hint="eastAsia" w:ascii="仿宋_GB2312" w:hAnsi="仿宋_GB2312" w:eastAsia="仿宋_GB2312" w:cs="仿宋_GB2312"/>
          <w:color w:val="auto"/>
          <w:kern w:val="2"/>
          <w:sz w:val="32"/>
          <w:szCs w:val="32"/>
          <w:highlight w:val="none"/>
          <w:u w:color="000000"/>
          <w:shd w:val="clear" w:color="auto" w:fill="auto"/>
          <w:lang w:val="zh-TW" w:eastAsia="zh-TW"/>
        </w:rPr>
        <w:t>：</w:t>
      </w:r>
    </w:p>
    <w:p w14:paraId="21253974">
      <w:pPr>
        <w:pageBreakBefore w:val="0"/>
        <w:widowControl w:val="0"/>
        <w:kinsoku/>
        <w:wordWrap/>
        <w:overflowPunct/>
        <w:topLinePunct w:val="0"/>
        <w:autoSpaceDE/>
        <w:autoSpaceDN/>
        <w:bidi w:val="0"/>
        <w:adjustRightInd/>
        <w:spacing w:line="560" w:lineRule="exact"/>
        <w:ind w:firstLine="560"/>
        <w:jc w:val="center"/>
        <w:textAlignment w:val="auto"/>
        <w:rPr>
          <w:rFonts w:hint="eastAsia" w:ascii="宋体" w:hAnsi="宋体" w:eastAsia="宋体" w:cs="宋体"/>
          <w:b/>
          <w:bCs/>
          <w:color w:val="auto"/>
          <w:kern w:val="0"/>
          <w:sz w:val="28"/>
          <w:szCs w:val="28"/>
          <w:highlight w:val="none"/>
          <w:shd w:val="clear" w:color="auto" w:fill="auto"/>
          <w:lang w:val="en-US" w:eastAsia="zh-CN"/>
        </w:rPr>
      </w:pPr>
      <w:bookmarkStart w:id="140" w:name="_Toc5170"/>
      <w:bookmarkStart w:id="141" w:name="_Toc8010"/>
      <w:r>
        <w:rPr>
          <w:rFonts w:hint="eastAsia" w:ascii="宋体" w:hAnsi="宋体" w:eastAsia="宋体" w:cs="宋体"/>
          <w:b/>
          <w:bCs/>
          <w:color w:val="auto"/>
          <w:kern w:val="0"/>
          <w:sz w:val="28"/>
          <w:szCs w:val="28"/>
          <w:highlight w:val="none"/>
          <w:shd w:val="clear" w:color="auto" w:fill="auto"/>
          <w:lang w:val="zh-TW" w:eastAsia="zh-TW"/>
        </w:rPr>
        <w:t>表</w:t>
      </w:r>
      <w:r>
        <w:rPr>
          <w:rFonts w:hint="eastAsia" w:ascii="宋体" w:hAnsi="宋体" w:eastAsia="宋体" w:cs="宋体"/>
          <w:b/>
          <w:bCs/>
          <w:color w:val="auto"/>
          <w:kern w:val="0"/>
          <w:sz w:val="28"/>
          <w:szCs w:val="28"/>
          <w:highlight w:val="none"/>
          <w:shd w:val="clear" w:color="auto" w:fill="auto"/>
          <w:lang w:val="en-US" w:eastAsia="zh-CN"/>
        </w:rPr>
        <w:t>4-4项目效益</w:t>
      </w:r>
      <w:r>
        <w:rPr>
          <w:rFonts w:hint="eastAsia" w:ascii="宋体" w:hAnsi="宋体" w:eastAsia="宋体" w:cs="宋体"/>
          <w:b/>
          <w:bCs/>
          <w:color w:val="auto"/>
          <w:kern w:val="0"/>
          <w:sz w:val="28"/>
          <w:szCs w:val="28"/>
          <w:highlight w:val="none"/>
          <w:shd w:val="clear" w:color="auto" w:fill="auto"/>
          <w:lang w:val="zh-TW" w:eastAsia="zh-TW"/>
        </w:rPr>
        <w:t>指标及分值</w:t>
      </w:r>
      <w:r>
        <w:rPr>
          <w:rFonts w:hint="eastAsia" w:ascii="宋体" w:hAnsi="宋体" w:eastAsia="宋体" w:cs="宋体"/>
          <w:b/>
          <w:bCs/>
          <w:color w:val="auto"/>
          <w:kern w:val="0"/>
          <w:sz w:val="28"/>
          <w:szCs w:val="28"/>
          <w:highlight w:val="none"/>
          <w:shd w:val="clear" w:color="auto" w:fill="auto"/>
          <w:lang w:val="en-US" w:eastAsia="zh-CN"/>
        </w:rPr>
        <w:t>情况</w:t>
      </w:r>
    </w:p>
    <w:tbl>
      <w:tblPr>
        <w:tblStyle w:val="16"/>
        <w:tblW w:w="8372" w:type="dxa"/>
        <w:jc w:val="center"/>
        <w:shd w:val="clear" w:color="auto" w:fill="auto"/>
        <w:tblLayout w:type="fixed"/>
        <w:tblCellMar>
          <w:top w:w="0" w:type="dxa"/>
          <w:left w:w="0" w:type="dxa"/>
          <w:bottom w:w="0" w:type="dxa"/>
          <w:right w:w="0" w:type="dxa"/>
        </w:tblCellMar>
      </w:tblPr>
      <w:tblGrid>
        <w:gridCol w:w="685"/>
        <w:gridCol w:w="1725"/>
        <w:gridCol w:w="2744"/>
        <w:gridCol w:w="870"/>
        <w:gridCol w:w="645"/>
        <w:gridCol w:w="1050"/>
        <w:gridCol w:w="653"/>
      </w:tblGrid>
      <w:tr w14:paraId="1829CAC6">
        <w:tblPrEx>
          <w:shd w:val="clear" w:color="auto" w:fill="auto"/>
          <w:tblCellMar>
            <w:top w:w="0" w:type="dxa"/>
            <w:left w:w="0" w:type="dxa"/>
            <w:bottom w:w="0" w:type="dxa"/>
            <w:right w:w="0" w:type="dxa"/>
          </w:tblCellMar>
        </w:tblPrEx>
        <w:trPr>
          <w:trHeight w:val="816" w:hRule="atLeast"/>
          <w:jc w:val="center"/>
        </w:trPr>
        <w:tc>
          <w:tcPr>
            <w:tcW w:w="685" w:type="dxa"/>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14:paraId="3732EA18">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一级</w:t>
            </w:r>
          </w:p>
          <w:p w14:paraId="74252E14">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指标</w:t>
            </w:r>
          </w:p>
        </w:tc>
        <w:tc>
          <w:tcPr>
            <w:tcW w:w="1725" w:type="dxa"/>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14:paraId="62012B0B">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二级指标</w:t>
            </w:r>
          </w:p>
        </w:tc>
        <w:tc>
          <w:tcPr>
            <w:tcW w:w="27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EB25F3">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三级指标</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4ADA7B">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年度指</w:t>
            </w:r>
          </w:p>
          <w:p w14:paraId="4FD5E547">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标值</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E9C862">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标杆</w:t>
            </w:r>
          </w:p>
          <w:p w14:paraId="29256193">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分值</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E6CBBD">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全年实</w:t>
            </w:r>
          </w:p>
          <w:p w14:paraId="552C58F1">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际完成值</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CC073C">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指标</w:t>
            </w:r>
          </w:p>
          <w:p w14:paraId="7880D1A3">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得分</w:t>
            </w:r>
          </w:p>
        </w:tc>
      </w:tr>
      <w:tr w14:paraId="4C4E12A5">
        <w:tblPrEx>
          <w:shd w:val="clear" w:color="auto" w:fill="auto"/>
          <w:tblCellMar>
            <w:top w:w="0" w:type="dxa"/>
            <w:left w:w="0" w:type="dxa"/>
            <w:bottom w:w="0" w:type="dxa"/>
            <w:right w:w="0" w:type="dxa"/>
          </w:tblCellMar>
        </w:tblPrEx>
        <w:trPr>
          <w:trHeight w:val="436" w:hRule="atLeast"/>
          <w:jc w:val="center"/>
        </w:trPr>
        <w:tc>
          <w:tcPr>
            <w:tcW w:w="685" w:type="dxa"/>
            <w:vMerge w:val="restart"/>
            <w:tcBorders>
              <w:left w:val="single" w:color="auto" w:sz="4" w:space="0"/>
              <w:right w:val="single" w:color="000000" w:sz="4" w:space="0"/>
            </w:tcBorders>
            <w:shd w:val="clear" w:color="auto" w:fill="auto"/>
            <w:tcMar>
              <w:top w:w="15" w:type="dxa"/>
              <w:left w:w="15" w:type="dxa"/>
              <w:right w:w="15" w:type="dxa"/>
            </w:tcMar>
            <w:vAlign w:val="center"/>
          </w:tcPr>
          <w:p w14:paraId="211560BC">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效益指标</w:t>
            </w:r>
          </w:p>
        </w:tc>
        <w:tc>
          <w:tcPr>
            <w:tcW w:w="1725" w:type="dxa"/>
            <w:vMerge w:val="restart"/>
            <w:tcBorders>
              <w:top w:val="single" w:color="000000" w:sz="4" w:space="0"/>
              <w:left w:val="single" w:color="000000" w:sz="4" w:space="0"/>
              <w:right w:val="single" w:color="auto" w:sz="4" w:space="0"/>
            </w:tcBorders>
            <w:shd w:val="clear" w:color="auto" w:fill="auto"/>
            <w:tcMar>
              <w:top w:w="15" w:type="dxa"/>
              <w:left w:w="15" w:type="dxa"/>
              <w:right w:w="15" w:type="dxa"/>
            </w:tcMar>
            <w:vAlign w:val="center"/>
          </w:tcPr>
          <w:p w14:paraId="2E53D32C">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社会效益指标</w:t>
            </w:r>
          </w:p>
        </w:tc>
        <w:tc>
          <w:tcPr>
            <w:tcW w:w="2744"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14:paraId="695FF9E0">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基本公共卫生服务水平</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4B8FC0">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bookmarkStart w:id="142" w:name="OLE_LINK13"/>
            <w:r>
              <w:rPr>
                <w:rFonts w:hint="eastAsia" w:cs="宋体"/>
                <w:color w:val="auto"/>
                <w:kern w:val="0"/>
                <w:sz w:val="20"/>
                <w:szCs w:val="20"/>
                <w:highlight w:val="none"/>
                <w:shd w:val="clear" w:color="auto" w:fill="auto"/>
                <w:lang w:val="en-US" w:eastAsia="zh-CN"/>
              </w:rPr>
              <w:t>逐步</w:t>
            </w:r>
            <w:r>
              <w:rPr>
                <w:rFonts w:hint="eastAsia" w:ascii="宋体" w:hAnsi="宋体" w:eastAsia="宋体" w:cs="宋体"/>
                <w:color w:val="auto"/>
                <w:kern w:val="0"/>
                <w:sz w:val="20"/>
                <w:szCs w:val="20"/>
                <w:highlight w:val="none"/>
                <w:shd w:val="clear" w:color="auto" w:fill="auto"/>
                <w:lang w:val="en-US" w:eastAsia="zh-CN"/>
              </w:rPr>
              <w:t>提高</w:t>
            </w:r>
            <w:bookmarkEnd w:id="142"/>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CBEF3B">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cs="宋体"/>
                <w:color w:val="auto"/>
                <w:kern w:val="0"/>
                <w:sz w:val="20"/>
                <w:szCs w:val="20"/>
                <w:highlight w:val="none"/>
                <w:shd w:val="clear" w:color="auto" w:fill="auto"/>
                <w:lang w:val="en-US" w:eastAsia="zh-CN" w:bidi="ar-SA"/>
              </w:rPr>
              <w:t>5</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3CE6B0">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bookmarkStart w:id="143" w:name="OLE_LINK14"/>
            <w:r>
              <w:rPr>
                <w:rFonts w:hint="eastAsia" w:cs="宋体"/>
                <w:color w:val="auto"/>
                <w:kern w:val="0"/>
                <w:sz w:val="20"/>
                <w:szCs w:val="20"/>
                <w:highlight w:val="none"/>
                <w:shd w:val="clear" w:color="auto" w:fill="auto"/>
                <w:lang w:val="en-US" w:eastAsia="zh-CN"/>
              </w:rPr>
              <w:t>达到预期指标</w:t>
            </w:r>
            <w:bookmarkEnd w:id="143"/>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FFBDDE">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cs="宋体"/>
                <w:color w:val="auto"/>
                <w:kern w:val="0"/>
                <w:sz w:val="20"/>
                <w:szCs w:val="20"/>
                <w:highlight w:val="none"/>
                <w:shd w:val="clear" w:color="auto" w:fill="auto"/>
                <w:lang w:val="en-US" w:eastAsia="zh-CN"/>
              </w:rPr>
              <w:t>5</w:t>
            </w:r>
          </w:p>
        </w:tc>
      </w:tr>
      <w:tr w14:paraId="2012165B">
        <w:tblPrEx>
          <w:tblCellMar>
            <w:top w:w="0" w:type="dxa"/>
            <w:left w:w="0" w:type="dxa"/>
            <w:bottom w:w="0" w:type="dxa"/>
            <w:right w:w="0" w:type="dxa"/>
          </w:tblCellMar>
        </w:tblPrEx>
        <w:trPr>
          <w:trHeight w:val="436" w:hRule="atLeast"/>
          <w:jc w:val="center"/>
        </w:trPr>
        <w:tc>
          <w:tcPr>
            <w:tcW w:w="685" w:type="dxa"/>
            <w:vMerge w:val="continue"/>
            <w:tcBorders>
              <w:left w:val="single" w:color="auto" w:sz="4" w:space="0"/>
              <w:right w:val="single" w:color="000000" w:sz="4" w:space="0"/>
            </w:tcBorders>
            <w:shd w:val="clear" w:color="auto" w:fill="auto"/>
            <w:tcMar>
              <w:top w:w="15" w:type="dxa"/>
              <w:left w:w="15" w:type="dxa"/>
              <w:right w:w="15" w:type="dxa"/>
            </w:tcMar>
            <w:vAlign w:val="center"/>
          </w:tcPr>
          <w:p w14:paraId="7C2B8DEA">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cs="宋体"/>
                <w:color w:val="auto"/>
                <w:kern w:val="0"/>
                <w:sz w:val="20"/>
                <w:szCs w:val="20"/>
                <w:highlight w:val="none"/>
                <w:shd w:val="clear" w:color="auto" w:fill="auto"/>
                <w:lang w:val="en-US" w:eastAsia="zh-CN"/>
              </w:rPr>
            </w:pPr>
          </w:p>
        </w:tc>
        <w:tc>
          <w:tcPr>
            <w:tcW w:w="1725" w:type="dxa"/>
            <w:vMerge w:val="continue"/>
            <w:tcBorders>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14:paraId="754ADA2F">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2744"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14:paraId="6CDE2C45">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bookmarkStart w:id="144" w:name="OLE_LINK15"/>
            <w:r>
              <w:rPr>
                <w:rFonts w:hint="eastAsia" w:ascii="宋体" w:hAnsi="宋体" w:eastAsia="宋体" w:cs="宋体"/>
                <w:color w:val="auto"/>
                <w:kern w:val="0"/>
                <w:sz w:val="20"/>
                <w:szCs w:val="20"/>
                <w:highlight w:val="none"/>
                <w:shd w:val="clear" w:color="auto" w:fill="auto"/>
                <w:lang w:val="en-US" w:eastAsia="zh-CN"/>
              </w:rPr>
              <w:t>老年人健康服务水平</w:t>
            </w:r>
            <w:bookmarkEnd w:id="144"/>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3D20EF">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逐步</w:t>
            </w:r>
            <w:r>
              <w:rPr>
                <w:rFonts w:hint="eastAsia" w:ascii="宋体" w:hAnsi="宋体" w:eastAsia="宋体" w:cs="宋体"/>
                <w:color w:val="auto"/>
                <w:kern w:val="0"/>
                <w:sz w:val="20"/>
                <w:szCs w:val="20"/>
                <w:highlight w:val="none"/>
                <w:shd w:val="clear" w:color="auto" w:fill="auto"/>
                <w:lang w:val="en-US" w:eastAsia="zh-CN"/>
              </w:rPr>
              <w:t>提高</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CAE14B">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cs="宋体"/>
                <w:color w:val="auto"/>
                <w:kern w:val="0"/>
                <w:sz w:val="20"/>
                <w:szCs w:val="20"/>
                <w:highlight w:val="none"/>
                <w:shd w:val="clear" w:color="auto" w:fill="auto"/>
                <w:lang w:val="en-US" w:eastAsia="zh-CN" w:bidi="ar-SA"/>
              </w:rPr>
            </w:pPr>
            <w:r>
              <w:rPr>
                <w:rFonts w:hint="eastAsia" w:cs="宋体"/>
                <w:color w:val="auto"/>
                <w:kern w:val="0"/>
                <w:sz w:val="20"/>
                <w:szCs w:val="20"/>
                <w:highlight w:val="none"/>
                <w:shd w:val="clear" w:color="auto" w:fill="auto"/>
                <w:lang w:val="en-US" w:eastAsia="zh-CN" w:bidi="ar-SA"/>
              </w:rPr>
              <w:t>5</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5BFF62">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达到预期指标</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F7889A">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r>
      <w:tr w14:paraId="14540984">
        <w:tblPrEx>
          <w:tblCellMar>
            <w:top w:w="0" w:type="dxa"/>
            <w:left w:w="0" w:type="dxa"/>
            <w:bottom w:w="0" w:type="dxa"/>
            <w:right w:w="0" w:type="dxa"/>
          </w:tblCellMar>
        </w:tblPrEx>
        <w:trPr>
          <w:trHeight w:val="436" w:hRule="atLeast"/>
          <w:jc w:val="center"/>
        </w:trPr>
        <w:tc>
          <w:tcPr>
            <w:tcW w:w="685" w:type="dxa"/>
            <w:vMerge w:val="continue"/>
            <w:tcBorders>
              <w:top w:val="single" w:color="auto"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14:paraId="045C1280">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725"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94FB7C">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满意度指标</w:t>
            </w:r>
          </w:p>
        </w:tc>
        <w:tc>
          <w:tcPr>
            <w:tcW w:w="27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73D79E">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居民满意度</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EB3404">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≥90%</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5A74EE">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6777F5">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90%</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AB6CEA">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w:t>
            </w:r>
          </w:p>
        </w:tc>
      </w:tr>
      <w:tr w14:paraId="0AEA80AD">
        <w:tblPrEx>
          <w:shd w:val="clear" w:color="auto" w:fill="auto"/>
          <w:tblCellMar>
            <w:top w:w="0" w:type="dxa"/>
            <w:left w:w="0" w:type="dxa"/>
            <w:bottom w:w="0" w:type="dxa"/>
            <w:right w:w="0" w:type="dxa"/>
          </w:tblCellMar>
        </w:tblPrEx>
        <w:trPr>
          <w:trHeight w:val="469" w:hRule="atLeast"/>
          <w:jc w:val="center"/>
        </w:trPr>
        <w:tc>
          <w:tcPr>
            <w:tcW w:w="6024"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AB63E2">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合计</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7E4F01">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20</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F508C5">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A1E295">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20</w:t>
            </w:r>
          </w:p>
        </w:tc>
      </w:tr>
    </w:tbl>
    <w:p w14:paraId="731F1B54">
      <w:pPr>
        <w:pageBreakBefore w:val="0"/>
        <w:kinsoku/>
        <w:wordWrap/>
        <w:overflowPunct/>
        <w:topLinePunct w:val="0"/>
        <w:autoSpaceDE/>
        <w:autoSpaceDN/>
        <w:bidi w:val="0"/>
        <w:adjustRightInd/>
        <w:spacing w:line="560" w:lineRule="exact"/>
        <w:textAlignment w:val="auto"/>
        <w:outlineLvl w:val="2"/>
        <w:rPr>
          <w:rFonts w:hint="eastAsia" w:ascii="仿宋_GB2312" w:hAnsi="仿宋_GB2312" w:eastAsia="仿宋_GB2312" w:cs="仿宋_GB2312"/>
          <w:b/>
          <w:bCs/>
          <w:color w:val="auto"/>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1.</w:t>
      </w:r>
      <w:bookmarkEnd w:id="140"/>
      <w:bookmarkEnd w:id="141"/>
      <w:bookmarkStart w:id="145" w:name="_Toc27006"/>
      <w:bookmarkStart w:id="146" w:name="_Toc29606"/>
      <w:r>
        <w:rPr>
          <w:rFonts w:hint="eastAsia" w:ascii="仿宋_GB2312" w:hAnsi="仿宋_GB2312" w:eastAsia="仿宋_GB2312" w:cs="仿宋_GB2312"/>
          <w:b/>
          <w:bCs/>
          <w:color w:val="auto"/>
          <w:sz w:val="32"/>
          <w:szCs w:val="32"/>
          <w:highlight w:val="none"/>
          <w:lang w:val="en-US" w:eastAsia="zh-CN"/>
        </w:rPr>
        <w:t>社会效益指标</w:t>
      </w:r>
      <w:bookmarkEnd w:id="145"/>
      <w:r>
        <w:rPr>
          <w:rFonts w:hint="eastAsia" w:ascii="仿宋_GB2312" w:hAnsi="仿宋_GB2312" w:eastAsia="仿宋_GB2312" w:cs="仿宋_GB2312"/>
          <w:b/>
          <w:bCs/>
          <w:color w:val="auto"/>
          <w:sz w:val="32"/>
          <w:szCs w:val="32"/>
          <w:highlight w:val="none"/>
          <w:lang w:val="en-US" w:eastAsia="zh-CN"/>
        </w:rPr>
        <w:t>完成情况</w:t>
      </w:r>
      <w:bookmarkEnd w:id="146"/>
    </w:p>
    <w:p w14:paraId="464E9F2E">
      <w:pPr>
        <w:pageBreakBefore w:val="0"/>
        <w:widowControl w:val="0"/>
        <w:kinsoku/>
        <w:wordWrap/>
        <w:overflowPunct/>
        <w:topLinePunct w:val="0"/>
        <w:autoSpaceDE/>
        <w:autoSpaceDN/>
        <w:bidi w:val="0"/>
        <w:adjustRightInd/>
        <w:spacing w:line="560" w:lineRule="exact"/>
        <w:ind w:firstLine="560"/>
        <w:jc w:val="left"/>
        <w:textAlignment w:val="auto"/>
        <w:rPr>
          <w:rFonts w:hint="eastAsia" w:ascii="仿宋_GB2312" w:hAnsi="仿宋_GB2312" w:eastAsia="仿宋_GB2312" w:cs="仿宋_GB2312"/>
          <w:color w:val="auto"/>
          <w:kern w:val="2"/>
          <w:sz w:val="32"/>
          <w:szCs w:val="32"/>
          <w:highlight w:val="none"/>
          <w:u w:color="000000"/>
          <w:shd w:val="clear" w:color="auto" w:fill="auto"/>
          <w:lang w:val="en-US" w:eastAsia="zh-CN"/>
        </w:rPr>
      </w:pPr>
      <w:r>
        <w:rPr>
          <w:rFonts w:hint="eastAsia" w:ascii="仿宋_GB2312" w:hAnsi="仿宋_GB2312" w:eastAsia="仿宋_GB2312" w:cs="仿宋_GB2312"/>
          <w:color w:val="auto"/>
          <w:kern w:val="2"/>
          <w:sz w:val="32"/>
          <w:szCs w:val="32"/>
          <w:highlight w:val="none"/>
          <w:u w:color="000000"/>
          <w:shd w:val="clear" w:color="auto" w:fill="auto"/>
          <w:lang w:val="zh-TW" w:eastAsia="zh-CN"/>
        </w:rPr>
        <w:t>“</w:t>
      </w:r>
      <w:r>
        <w:rPr>
          <w:rFonts w:hint="eastAsia" w:ascii="仿宋_GB2312" w:hAnsi="仿宋_GB2312" w:eastAsia="仿宋_GB2312" w:cs="仿宋_GB2312"/>
          <w:color w:val="auto"/>
          <w:kern w:val="2"/>
          <w:sz w:val="32"/>
          <w:szCs w:val="32"/>
          <w:highlight w:val="none"/>
          <w:u w:color="000000"/>
          <w:shd w:val="clear" w:color="auto" w:fill="auto"/>
          <w:lang w:val="en-US" w:eastAsia="zh-CN"/>
        </w:rPr>
        <w:t>基本公共卫生服务水平</w:t>
      </w:r>
      <w:r>
        <w:rPr>
          <w:rFonts w:hint="eastAsia" w:ascii="仿宋_GB2312" w:hAnsi="仿宋_GB2312" w:eastAsia="仿宋_GB2312" w:cs="仿宋_GB2312"/>
          <w:color w:val="auto"/>
          <w:kern w:val="2"/>
          <w:sz w:val="32"/>
          <w:szCs w:val="32"/>
          <w:highlight w:val="none"/>
          <w:u w:color="000000"/>
          <w:shd w:val="clear" w:color="auto" w:fill="auto"/>
          <w:lang w:val="zh-TW" w:eastAsia="zh-CN"/>
        </w:rPr>
        <w:t>”</w:t>
      </w:r>
      <w:r>
        <w:rPr>
          <w:rFonts w:hint="eastAsia" w:ascii="仿宋_GB2312" w:hAnsi="仿宋_GB2312" w:eastAsia="仿宋_GB2312" w:cs="仿宋_GB2312"/>
          <w:color w:val="auto"/>
          <w:kern w:val="2"/>
          <w:sz w:val="32"/>
          <w:szCs w:val="32"/>
          <w:highlight w:val="none"/>
          <w:u w:color="000000"/>
          <w:shd w:val="clear" w:color="auto" w:fill="auto"/>
          <w:lang w:val="en-US" w:eastAsia="zh-CN"/>
        </w:rPr>
        <w:t>指标，预期目标值为逐步提高，实际完成为达到预期指标。</w:t>
      </w:r>
    </w:p>
    <w:p w14:paraId="19B5B843">
      <w:pPr>
        <w:pageBreakBefore w:val="0"/>
        <w:widowControl w:val="0"/>
        <w:kinsoku/>
        <w:wordWrap/>
        <w:overflowPunct/>
        <w:topLinePunct w:val="0"/>
        <w:autoSpaceDE/>
        <w:autoSpaceDN/>
        <w:bidi w:val="0"/>
        <w:adjustRightInd/>
        <w:spacing w:line="560" w:lineRule="exact"/>
        <w:ind w:left="0" w:leftChars="0" w:firstLine="640" w:firstLineChars="200"/>
        <w:jc w:val="left"/>
        <w:textAlignment w:val="auto"/>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color w:val="auto"/>
          <w:kern w:val="2"/>
          <w:sz w:val="32"/>
          <w:szCs w:val="32"/>
          <w:highlight w:val="none"/>
          <w:u w:color="000000"/>
          <w:shd w:val="clear" w:color="auto" w:fill="auto"/>
          <w:lang w:val="en-US" w:eastAsia="zh-CN"/>
        </w:rPr>
        <w:t>通过项目的实施，</w:t>
      </w:r>
      <w:r>
        <w:rPr>
          <w:rFonts w:hint="eastAsia" w:ascii="仿宋_GB2312" w:hAnsi="仿宋_GB2312" w:eastAsia="仿宋_GB2312" w:cs="仿宋_GB2312"/>
          <w:sz w:val="32"/>
          <w:szCs w:val="32"/>
          <w:lang w:val="en-US" w:eastAsia="zh-CN"/>
        </w:rPr>
        <w:t>达到提高居民生活卫生和身体健康效益</w:t>
      </w:r>
      <w:r>
        <w:rPr>
          <w:rFonts w:hint="eastAsia" w:ascii="仿宋_GB2312" w:hAnsi="仿宋_GB2312" w:eastAsia="仿宋_GB2312" w:cs="仿宋_GB2312"/>
          <w:b w:val="0"/>
          <w:bCs w:val="0"/>
          <w:color w:val="auto"/>
          <w:kern w:val="0"/>
          <w:sz w:val="32"/>
          <w:szCs w:val="32"/>
          <w:highlight w:val="none"/>
          <w:shd w:val="clear" w:color="auto" w:fill="auto"/>
          <w:lang w:val="en-US" w:eastAsia="zh-CN" w:bidi="ar-SA"/>
        </w:rPr>
        <w:t>。</w:t>
      </w:r>
    </w:p>
    <w:p w14:paraId="27DB6867">
      <w:pPr>
        <w:pageBreakBefore w:val="0"/>
        <w:widowControl w:val="0"/>
        <w:kinsoku/>
        <w:wordWrap/>
        <w:overflowPunct/>
        <w:topLinePunct w:val="0"/>
        <w:autoSpaceDE/>
        <w:autoSpaceDN/>
        <w:bidi w:val="0"/>
        <w:adjustRightInd/>
        <w:spacing w:line="560" w:lineRule="exact"/>
        <w:ind w:firstLine="560"/>
        <w:jc w:val="left"/>
        <w:textAlignment w:val="auto"/>
        <w:rPr>
          <w:rFonts w:hint="eastAsia" w:ascii="仿宋_GB2312" w:hAnsi="仿宋_GB2312" w:eastAsia="仿宋_GB2312" w:cs="仿宋_GB2312"/>
          <w:color w:val="auto"/>
          <w:kern w:val="2"/>
          <w:sz w:val="32"/>
          <w:szCs w:val="32"/>
          <w:highlight w:val="none"/>
          <w:u w:color="000000"/>
          <w:shd w:val="clear" w:color="auto" w:fill="auto"/>
          <w:lang w:val="en-US" w:eastAsia="zh-CN"/>
        </w:rPr>
      </w:pPr>
      <w:r>
        <w:rPr>
          <w:rFonts w:hint="eastAsia" w:ascii="仿宋_GB2312" w:hAnsi="仿宋_GB2312" w:eastAsia="仿宋_GB2312" w:cs="仿宋_GB2312"/>
          <w:color w:val="auto"/>
          <w:kern w:val="2"/>
          <w:sz w:val="32"/>
          <w:szCs w:val="32"/>
          <w:highlight w:val="none"/>
          <w:u w:color="000000"/>
          <w:shd w:val="clear" w:color="auto" w:fill="auto"/>
          <w:lang w:val="zh-TW" w:eastAsia="zh-CN"/>
        </w:rPr>
        <w:t>“</w:t>
      </w:r>
      <w:r>
        <w:rPr>
          <w:rFonts w:hint="eastAsia" w:ascii="仿宋_GB2312" w:hAnsi="仿宋_GB2312" w:eastAsia="仿宋_GB2312" w:cs="仿宋_GB2312"/>
          <w:color w:val="auto"/>
          <w:kern w:val="2"/>
          <w:sz w:val="32"/>
          <w:szCs w:val="32"/>
          <w:highlight w:val="none"/>
          <w:u w:color="000000"/>
          <w:shd w:val="clear" w:color="auto" w:fill="auto"/>
          <w:lang w:val="en-US" w:eastAsia="zh-CN"/>
        </w:rPr>
        <w:t>老年人健康服务水平</w:t>
      </w:r>
      <w:r>
        <w:rPr>
          <w:rFonts w:hint="eastAsia" w:ascii="仿宋_GB2312" w:hAnsi="仿宋_GB2312" w:eastAsia="仿宋_GB2312" w:cs="仿宋_GB2312"/>
          <w:color w:val="auto"/>
          <w:kern w:val="2"/>
          <w:sz w:val="32"/>
          <w:szCs w:val="32"/>
          <w:highlight w:val="none"/>
          <w:u w:color="000000"/>
          <w:shd w:val="clear" w:color="auto" w:fill="auto"/>
          <w:lang w:val="zh-TW" w:eastAsia="zh-CN"/>
        </w:rPr>
        <w:t>”</w:t>
      </w:r>
      <w:r>
        <w:rPr>
          <w:rFonts w:hint="eastAsia" w:ascii="仿宋_GB2312" w:hAnsi="仿宋_GB2312" w:eastAsia="仿宋_GB2312" w:cs="仿宋_GB2312"/>
          <w:color w:val="auto"/>
          <w:kern w:val="2"/>
          <w:sz w:val="32"/>
          <w:szCs w:val="32"/>
          <w:highlight w:val="none"/>
          <w:u w:color="000000"/>
          <w:shd w:val="clear" w:color="auto" w:fill="auto"/>
          <w:lang w:val="en-US" w:eastAsia="zh-CN"/>
        </w:rPr>
        <w:t>指标，预期目标值为逐步提高，实际完成为达到预期指标。</w:t>
      </w:r>
    </w:p>
    <w:p w14:paraId="74E3694B">
      <w:pPr>
        <w:pageBreakBefore w:val="0"/>
        <w:widowControl w:val="0"/>
        <w:kinsoku/>
        <w:wordWrap/>
        <w:overflowPunct/>
        <w:topLinePunct w:val="0"/>
        <w:autoSpaceDE/>
        <w:autoSpaceDN/>
        <w:bidi w:val="0"/>
        <w:adjustRightInd/>
        <w:spacing w:line="560" w:lineRule="exact"/>
        <w:ind w:left="0" w:leftChars="0" w:firstLine="640" w:firstLineChars="200"/>
        <w:jc w:val="left"/>
        <w:textAlignment w:val="auto"/>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color w:val="auto"/>
          <w:kern w:val="2"/>
          <w:sz w:val="32"/>
          <w:szCs w:val="32"/>
          <w:highlight w:val="none"/>
          <w:u w:color="000000"/>
          <w:shd w:val="clear" w:color="auto" w:fill="auto"/>
          <w:lang w:val="en-US" w:eastAsia="zh-CN"/>
        </w:rPr>
        <w:t>通过项目的实施，辖区人口及时掌握自身的身体健康状</w:t>
      </w:r>
      <w:r>
        <w:rPr>
          <w:rFonts w:hint="eastAsia" w:ascii="仿宋_GB2312" w:hAnsi="仿宋_GB2312" w:eastAsia="仿宋_GB2312" w:cs="仿宋_GB2312"/>
          <w:b w:val="0"/>
          <w:bCs w:val="0"/>
          <w:color w:val="auto"/>
          <w:kern w:val="0"/>
          <w:sz w:val="32"/>
          <w:szCs w:val="32"/>
          <w:highlight w:val="none"/>
          <w:shd w:val="clear" w:color="auto" w:fill="auto"/>
          <w:lang w:val="en-US" w:eastAsia="zh-CN" w:bidi="ar-SA"/>
        </w:rPr>
        <w:t>况，预防和治疗一些潜在的疾病，及时了解自己的健康状况，提高健康意识，从而彻底预防健康问题的出现。</w:t>
      </w:r>
    </w:p>
    <w:p w14:paraId="48795B8E">
      <w:pPr>
        <w:pageBreakBefore w:val="0"/>
        <w:kinsoku/>
        <w:wordWrap/>
        <w:overflowPunct/>
        <w:topLinePunct w:val="0"/>
        <w:autoSpaceDE/>
        <w:autoSpaceDN/>
        <w:bidi w:val="0"/>
        <w:adjustRightInd/>
        <w:spacing w:line="560" w:lineRule="exact"/>
        <w:ind w:left="0" w:leftChars="0" w:firstLine="643"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综上，该项指标满分10分，得分10分。</w:t>
      </w:r>
    </w:p>
    <w:p w14:paraId="732A9842">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default" w:ascii="Times New Roman" w:hAnsi="Times New Roman" w:eastAsia="楷体_GB2312" w:cs="Times New Roman"/>
          <w:b/>
          <w:bCs/>
          <w:color w:val="auto"/>
          <w:kern w:val="28"/>
          <w:sz w:val="32"/>
          <w:highlight w:val="none"/>
          <w:lang w:val="en-US" w:eastAsia="zh-CN"/>
        </w:rPr>
      </w:pPr>
      <w:bookmarkStart w:id="147" w:name="_Toc23313"/>
      <w:r>
        <w:rPr>
          <w:rFonts w:hint="eastAsia" w:ascii="Times New Roman" w:hAnsi="Times New Roman" w:eastAsia="楷体_GB2312" w:cs="Times New Roman"/>
          <w:b/>
          <w:bCs/>
          <w:color w:val="auto"/>
          <w:kern w:val="28"/>
          <w:sz w:val="32"/>
          <w:highlight w:val="none"/>
          <w:lang w:val="en-US" w:eastAsia="zh-CN"/>
        </w:rPr>
        <w:t>（五）满意度指标完成情况分析</w:t>
      </w:r>
      <w:bookmarkEnd w:id="147"/>
    </w:p>
    <w:p w14:paraId="4D442938">
      <w:pPr>
        <w:pageBreakBefore w:val="0"/>
        <w:kinsoku/>
        <w:wordWrap/>
        <w:overflowPunct/>
        <w:topLinePunct w:val="0"/>
        <w:autoSpaceDE/>
        <w:autoSpaceDN/>
        <w:bidi w:val="0"/>
        <w:adjustRightInd/>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“居民满意度”指标，预期目标值为≥90%，实际完成为90%。</w:t>
      </w:r>
    </w:p>
    <w:p w14:paraId="6CFB4ECF">
      <w:pPr>
        <w:pageBreakBefore w:val="0"/>
        <w:kinsoku/>
        <w:wordWrap/>
        <w:overflowPunct/>
        <w:topLinePunct w:val="0"/>
        <w:autoSpaceDE/>
        <w:autoSpaceDN/>
        <w:bidi w:val="0"/>
        <w:adjustRightInd/>
        <w:spacing w:line="560" w:lineRule="exact"/>
        <w:textAlignment w:val="auto"/>
        <w:rPr>
          <w:rFonts w:hint="eastAsia" w:ascii="仿宋_GB2312" w:hAnsi="仿宋_GB2312" w:eastAsia="仿宋_GB2312" w:cs="仿宋_GB2312"/>
          <w:b/>
          <w:bCs/>
          <w:color w:val="auto"/>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综上，该项指标满分10分，得分10分。</w:t>
      </w:r>
    </w:p>
    <w:p w14:paraId="4E849508">
      <w:pPr>
        <w:pStyle w:val="3"/>
        <w:pageBreakBefore w:val="0"/>
        <w:kinsoku/>
        <w:wordWrap/>
        <w:overflowPunct/>
        <w:topLinePunct w:val="0"/>
        <w:autoSpaceDE/>
        <w:autoSpaceDN/>
        <w:bidi w:val="0"/>
        <w:adjustRightInd/>
        <w:spacing w:beforeLines="0" w:afterLines="0" w:line="560" w:lineRule="exact"/>
        <w:textAlignment w:val="auto"/>
        <w:rPr>
          <w:rFonts w:hint="eastAsia" w:ascii="黑体" w:hAnsi="黑体" w:eastAsia="黑体" w:cs="黑体"/>
          <w:b w:val="0"/>
          <w:bCs w:val="0"/>
          <w:color w:val="auto"/>
          <w:highlight w:val="none"/>
          <w:shd w:val="clear" w:color="auto" w:fill="auto"/>
          <w:lang w:val="en-US" w:eastAsia="zh-CN"/>
        </w:rPr>
      </w:pPr>
      <w:bookmarkStart w:id="148" w:name="_Toc6622"/>
      <w:bookmarkStart w:id="149" w:name="_Toc1921"/>
      <w:bookmarkStart w:id="150" w:name="_Toc28290"/>
      <w:r>
        <w:rPr>
          <w:rFonts w:hint="eastAsia" w:ascii="黑体" w:hAnsi="黑体" w:cs="黑体"/>
          <w:b w:val="0"/>
          <w:bCs w:val="0"/>
          <w:color w:val="auto"/>
          <w:highlight w:val="none"/>
          <w:shd w:val="clear" w:color="auto" w:fill="auto"/>
          <w:lang w:val="en-US" w:eastAsia="zh-CN"/>
        </w:rPr>
        <w:t>五</w:t>
      </w:r>
      <w:r>
        <w:rPr>
          <w:rFonts w:hint="eastAsia" w:ascii="黑体" w:hAnsi="黑体" w:eastAsia="黑体" w:cs="黑体"/>
          <w:b w:val="0"/>
          <w:bCs w:val="0"/>
          <w:color w:val="auto"/>
          <w:highlight w:val="none"/>
          <w:shd w:val="clear" w:color="auto" w:fill="auto"/>
          <w:lang w:val="en-US" w:eastAsia="zh-CN"/>
        </w:rPr>
        <w:t>、主要经验及做法、存在的问题及原因分析</w:t>
      </w:r>
      <w:bookmarkEnd w:id="148"/>
    </w:p>
    <w:p w14:paraId="649E9232">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b/>
          <w:bCs/>
          <w:color w:val="auto"/>
          <w:kern w:val="28"/>
          <w:sz w:val="32"/>
          <w:highlight w:val="none"/>
          <w:lang w:val="en-US" w:eastAsia="zh-CN"/>
        </w:rPr>
      </w:pPr>
      <w:bookmarkStart w:id="151" w:name="_Toc15449"/>
      <w:r>
        <w:rPr>
          <w:rFonts w:hint="eastAsia" w:ascii="Times New Roman" w:hAnsi="Times New Roman" w:eastAsia="楷体_GB2312" w:cs="Times New Roman"/>
          <w:b/>
          <w:bCs/>
          <w:color w:val="auto"/>
          <w:kern w:val="28"/>
          <w:sz w:val="32"/>
          <w:highlight w:val="none"/>
          <w:lang w:val="en-US" w:eastAsia="zh-CN"/>
        </w:rPr>
        <w:t>（一）主要经验及做法</w:t>
      </w:r>
      <w:bookmarkEnd w:id="151"/>
    </w:p>
    <w:p w14:paraId="72F44341">
      <w:pPr>
        <w:pageBreakBefore w:val="0"/>
        <w:kinsoku/>
        <w:wordWrap/>
        <w:overflowPunct/>
        <w:topLinePunct w:val="0"/>
        <w:autoSpaceDE/>
        <w:autoSpaceDN/>
        <w:bidi w:val="0"/>
        <w:adjustRightInd/>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基本公共卫生服务项目2024年预算数为66.73万元，截至2024年12月31日共支出66.73万元，预算执行率为100%。</w:t>
      </w:r>
    </w:p>
    <w:p w14:paraId="197F1B19">
      <w:pPr>
        <w:pageBreakBefore w:val="0"/>
        <w:kinsoku/>
        <w:wordWrap/>
        <w:overflowPunct/>
        <w:topLinePunct w:val="0"/>
        <w:autoSpaceDE/>
        <w:autoSpaceDN/>
        <w:bidi w:val="0"/>
        <w:adjustRightInd/>
        <w:spacing w:line="560" w:lineRule="exact"/>
        <w:textAlignment w:val="auto"/>
        <w:rPr>
          <w:rFonts w:hint="eastAsia" w:ascii="仿宋_GB2312" w:hAnsi="仿宋_GB2312" w:eastAsia="仿宋_GB2312" w:cs="仿宋_GB2312"/>
          <w:color w:val="FF0000"/>
          <w:sz w:val="32"/>
          <w:szCs w:val="32"/>
          <w:highlight w:val="none"/>
          <w:lang w:val="en-US" w:eastAsia="zh-CN"/>
        </w:rPr>
      </w:pPr>
      <w:bookmarkStart w:id="152" w:name="OLE_LINK16"/>
      <w:r>
        <w:rPr>
          <w:rFonts w:hint="eastAsia" w:ascii="仿宋_GB2312" w:hAnsi="仿宋_GB2312" w:eastAsia="仿宋_GB2312" w:cs="仿宋_GB2312"/>
          <w:color w:val="auto"/>
          <w:sz w:val="32"/>
          <w:szCs w:val="32"/>
          <w:highlight w:val="none"/>
          <w:lang w:val="en-US" w:eastAsia="zh-CN"/>
        </w:rPr>
        <w:t>阜康市滋泥泉子镇在中心卫生院</w:t>
      </w:r>
      <w:bookmarkEnd w:id="152"/>
      <w:r>
        <w:rPr>
          <w:rFonts w:hint="eastAsia" w:ascii="仿宋_GB2312" w:hAnsi="仿宋_GB2312" w:eastAsia="仿宋_GB2312" w:cs="仿宋_GB2312"/>
          <w:color w:val="auto"/>
          <w:sz w:val="32"/>
          <w:szCs w:val="32"/>
          <w:highlight w:val="none"/>
          <w:lang w:val="en-US" w:eastAsia="zh-CN"/>
        </w:rPr>
        <w:t>建立健全了预算管理规章制度，各部门严格按照预算编制的原则和要求做好当年预算编制工作，在预算绩效管理工作中，做到合理安排各项资金，重点保障基本支出，按轻重缓急顺序原则，优先安排了阜康市滋泥泉子镇在中心卫生院事业发展中关系民生与稳定的项目，切实优化资源配置，提高了资金使用的效率和效果。</w:t>
      </w:r>
    </w:p>
    <w:bookmarkEnd w:id="149"/>
    <w:bookmarkEnd w:id="150"/>
    <w:p w14:paraId="7093AD79">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仿宋_GB2312" w:hAnsi="仿宋_GB2312" w:eastAsia="仿宋_GB2312" w:cs="仿宋_GB2312"/>
          <w:color w:val="auto"/>
          <w:sz w:val="32"/>
          <w:szCs w:val="32"/>
          <w:highlight w:val="none"/>
          <w:lang w:val="en-US" w:eastAsia="zh-CN"/>
        </w:rPr>
      </w:pPr>
      <w:bookmarkStart w:id="153" w:name="_Toc29168"/>
      <w:r>
        <w:rPr>
          <w:rFonts w:hint="eastAsia" w:ascii="仿宋_GB2312" w:hAnsi="仿宋_GB2312" w:eastAsia="仿宋_GB2312" w:cs="仿宋_GB2312"/>
          <w:color w:val="auto"/>
          <w:sz w:val="32"/>
          <w:szCs w:val="32"/>
          <w:highlight w:val="none"/>
          <w:lang w:val="en-US" w:eastAsia="zh-CN"/>
        </w:rPr>
        <w:t>（二）存在的问题及原因分析</w:t>
      </w:r>
      <w:bookmarkEnd w:id="153"/>
    </w:p>
    <w:p w14:paraId="3C7DB2DE">
      <w:pPr>
        <w:pageBreakBefore w:val="0"/>
        <w:kinsoku/>
        <w:wordWrap/>
        <w:overflowPunct/>
        <w:topLinePunct w:val="0"/>
        <w:autoSpaceDE/>
        <w:autoSpaceDN/>
        <w:bidi w:val="0"/>
        <w:adjustRightInd/>
        <w:spacing w:line="560" w:lineRule="exact"/>
        <w:textAlignment w:val="auto"/>
        <w:rPr>
          <w:rFonts w:hint="eastAsia" w:ascii="仿宋_GB2312" w:hAnsi="仿宋_GB2312" w:eastAsia="仿宋_GB2312" w:cs="仿宋_GB2312"/>
          <w:color w:val="auto"/>
          <w:sz w:val="32"/>
          <w:szCs w:val="32"/>
          <w:highlight w:val="none"/>
          <w:lang w:val="en-US" w:eastAsia="zh-CN"/>
        </w:rPr>
      </w:pPr>
      <w:bookmarkStart w:id="154" w:name="_Toc3333"/>
      <w:r>
        <w:rPr>
          <w:rFonts w:hint="eastAsia" w:ascii="仿宋_GB2312" w:hAnsi="仿宋_GB2312" w:eastAsia="仿宋_GB2312" w:cs="仿宋_GB2312"/>
          <w:color w:val="auto"/>
          <w:sz w:val="32"/>
          <w:szCs w:val="32"/>
          <w:highlight w:val="none"/>
          <w:lang w:val="en-US" w:eastAsia="zh-CN"/>
        </w:rPr>
        <w:t>1.基本公共卫生服务项目宣传、组织、发动工作力度有待进一步加强，各乡镇（街道）、各相关部门对基本公共卫</w:t>
      </w:r>
      <w:r>
        <w:rPr>
          <w:rFonts w:hint="eastAsia" w:ascii="仿宋_GB2312" w:hAnsi="仿宋_GB2312" w:eastAsia="仿宋_GB2312" w:cs="仿宋_GB2312"/>
          <w:b w:val="0"/>
          <w:bCs w:val="0"/>
          <w:color w:val="auto"/>
          <w:kern w:val="2"/>
          <w:sz w:val="32"/>
          <w:szCs w:val="32"/>
          <w:highlight w:val="none"/>
          <w:lang w:val="en-US" w:eastAsia="zh-CN" w:bidi="ar-SA"/>
        </w:rPr>
        <w:t>生</w:t>
      </w:r>
      <w:r>
        <w:rPr>
          <w:rFonts w:hint="eastAsia" w:ascii="仿宋_GB2312" w:hAnsi="仿宋_GB2312" w:eastAsia="仿宋_GB2312" w:cs="仿宋_GB2312"/>
          <w:color w:val="auto"/>
          <w:sz w:val="32"/>
          <w:szCs w:val="32"/>
          <w:highlight w:val="none"/>
          <w:lang w:val="en-US" w:eastAsia="zh-CN"/>
        </w:rPr>
        <w:t>服务的宣传工作动员方式单一。</w:t>
      </w:r>
    </w:p>
    <w:p w14:paraId="31E2EC99">
      <w:pPr>
        <w:pageBreakBefore w:val="0"/>
        <w:kinsoku/>
        <w:wordWrap/>
        <w:overflowPunct/>
        <w:topLinePunct w:val="0"/>
        <w:autoSpaceDE/>
        <w:autoSpaceDN/>
        <w:bidi w:val="0"/>
        <w:adjustRightInd/>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2.部分群众对实施基本公共卫生服务的重要意义认识不足，主动参与意识不强，自我健康管理意识淡薄，一部分群众没有参与基本公共卫生服务，影响疾病早发现、早干预、早治疗。</w:t>
      </w:r>
    </w:p>
    <w:p w14:paraId="23FBA466">
      <w:pPr>
        <w:pStyle w:val="3"/>
        <w:pageBreakBefore w:val="0"/>
        <w:kinsoku/>
        <w:wordWrap/>
        <w:overflowPunct/>
        <w:topLinePunct w:val="0"/>
        <w:autoSpaceDE/>
        <w:autoSpaceDN/>
        <w:bidi w:val="0"/>
        <w:adjustRightInd/>
        <w:spacing w:beforeLines="0" w:afterLines="0"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黑体" w:hAnsi="黑体" w:cs="黑体"/>
          <w:b w:val="0"/>
          <w:bCs w:val="0"/>
          <w:color w:val="000000" w:themeColor="text1"/>
          <w:highlight w:val="none"/>
          <w:shd w:val="clear" w:color="auto" w:fill="auto"/>
          <w:lang w:val="en-US" w:eastAsia="zh-CN"/>
          <w14:textFill>
            <w14:solidFill>
              <w14:schemeClr w14:val="tx1"/>
            </w14:solidFill>
          </w14:textFill>
        </w:rPr>
        <w:t>六、有关建议</w:t>
      </w:r>
      <w:bookmarkEnd w:id="154"/>
    </w:p>
    <w:p w14:paraId="3EA05897">
      <w:pPr>
        <w:pageBreakBefore w:val="0"/>
        <w:kinsoku/>
        <w:wordWrap/>
        <w:overflowPunct/>
        <w:topLinePunct w:val="0"/>
        <w:autoSpaceDE/>
        <w:autoSpaceDN/>
        <w:bidi w:val="0"/>
        <w:adjustRightInd/>
        <w:spacing w:line="560" w:lineRule="exact"/>
        <w:textAlignment w:val="auto"/>
        <w:rPr>
          <w:rFonts w:hint="eastAsia" w:ascii="仿宋_GB2312" w:hAnsi="仿宋_GB2312" w:eastAsia="仿宋_GB2312" w:cs="仿宋_GB2312"/>
          <w:color w:val="auto"/>
          <w:sz w:val="32"/>
          <w:szCs w:val="32"/>
          <w:highlight w:val="none"/>
          <w:lang w:val="en-US" w:eastAsia="zh-CN"/>
        </w:rPr>
      </w:pPr>
      <w:bookmarkStart w:id="155" w:name="_Toc14256"/>
      <w:r>
        <w:rPr>
          <w:rFonts w:hint="eastAsia" w:ascii="仿宋_GB2312" w:hAnsi="仿宋_GB2312" w:eastAsia="仿宋_GB2312" w:cs="仿宋_GB2312"/>
          <w:color w:val="auto"/>
          <w:sz w:val="32"/>
          <w:szCs w:val="32"/>
          <w:highlight w:val="none"/>
          <w:lang w:val="en-US" w:eastAsia="zh-CN"/>
        </w:rPr>
        <w:t>（一）加强组织领导，健全各部门协调配合机制，层层压实责</w:t>
      </w:r>
      <w:r>
        <w:rPr>
          <w:rFonts w:hint="eastAsia" w:ascii="仿宋_GB2312" w:hAnsi="仿宋_GB2312" w:eastAsia="仿宋_GB2312" w:cs="仿宋_GB2312"/>
          <w:color w:val="auto"/>
          <w:kern w:val="2"/>
          <w:sz w:val="32"/>
          <w:szCs w:val="32"/>
          <w:highlight w:val="none"/>
          <w:lang w:val="en-US" w:eastAsia="zh-CN" w:bidi="ar-SA"/>
        </w:rPr>
        <w:t>任，充分发挥乡镇（街道）基本公共卫生服务主体责任，利</w:t>
      </w:r>
      <w:r>
        <w:rPr>
          <w:rFonts w:hint="eastAsia" w:ascii="仿宋_GB2312" w:hAnsi="仿宋_GB2312" w:eastAsia="仿宋_GB2312" w:cs="仿宋_GB2312"/>
          <w:color w:val="auto"/>
          <w:sz w:val="32"/>
          <w:szCs w:val="32"/>
          <w:highlight w:val="none"/>
          <w:lang w:val="en-US" w:eastAsia="zh-CN"/>
        </w:rPr>
        <w:t>用广播、电视、微信、网络等媒介对健康体检工作进行广泛宣传。</w:t>
      </w:r>
    </w:p>
    <w:p w14:paraId="15E05E99">
      <w:pPr>
        <w:pageBreakBefore w:val="0"/>
        <w:kinsoku/>
        <w:wordWrap/>
        <w:overflowPunct/>
        <w:topLinePunct w:val="0"/>
        <w:autoSpaceDE/>
        <w:autoSpaceDN/>
        <w:bidi w:val="0"/>
        <w:adjustRightInd/>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（二）积极采取多种方式持续开展</w:t>
      </w:r>
      <w:r>
        <w:rPr>
          <w:rFonts w:hint="eastAsia" w:ascii="仿宋_GB2312" w:hAnsi="仿宋_GB2312" w:eastAsia="仿宋_GB2312" w:cs="仿宋_GB2312"/>
          <w:b w:val="0"/>
          <w:bCs w:val="0"/>
          <w:color w:val="auto"/>
          <w:kern w:val="2"/>
          <w:sz w:val="32"/>
          <w:szCs w:val="32"/>
          <w:highlight w:val="none"/>
          <w:lang w:val="en-US" w:eastAsia="zh-CN" w:bidi="ar-SA"/>
        </w:rPr>
        <w:t>基本公共卫生服务</w:t>
      </w:r>
      <w:r>
        <w:rPr>
          <w:rFonts w:hint="eastAsia" w:ascii="仿宋_GB2312" w:hAnsi="仿宋_GB2312" w:eastAsia="仿宋_GB2312" w:cs="仿宋_GB2312"/>
          <w:color w:val="auto"/>
          <w:sz w:val="32"/>
          <w:szCs w:val="32"/>
          <w:highlight w:val="none"/>
          <w:lang w:val="en-US" w:eastAsia="zh-CN"/>
        </w:rPr>
        <w:t>惠民政策的引导，提升各族群众自我保健意识，提高群众知晓率及参与度。</w:t>
      </w:r>
    </w:p>
    <w:p w14:paraId="6AE72EE5">
      <w:pPr>
        <w:pStyle w:val="3"/>
        <w:pageBreakBefore w:val="0"/>
        <w:kinsoku/>
        <w:wordWrap/>
        <w:overflowPunct/>
        <w:topLinePunct w:val="0"/>
        <w:autoSpaceDE/>
        <w:autoSpaceDN/>
        <w:bidi w:val="0"/>
        <w:adjustRightInd/>
        <w:spacing w:beforeLines="0" w:afterLines="0" w:line="560" w:lineRule="exact"/>
        <w:textAlignment w:val="auto"/>
        <w:rPr>
          <w:rFonts w:hint="eastAsia" w:ascii="黑体" w:hAnsi="黑体" w:eastAsia="黑体" w:cs="黑体"/>
          <w:b w:val="0"/>
          <w:bCs w:val="0"/>
          <w:color w:val="auto"/>
          <w:highlight w:val="none"/>
          <w:shd w:val="clear" w:color="auto" w:fill="auto"/>
          <w:lang w:val="en-US" w:eastAsia="zh-CN"/>
        </w:rPr>
      </w:pPr>
      <w:r>
        <w:rPr>
          <w:rFonts w:hint="eastAsia" w:ascii="黑体" w:hAnsi="黑体" w:cs="黑体"/>
          <w:b w:val="0"/>
          <w:bCs w:val="0"/>
          <w:color w:val="auto"/>
          <w:highlight w:val="none"/>
          <w:shd w:val="clear" w:color="auto" w:fill="auto"/>
          <w:lang w:val="en-US" w:eastAsia="zh-CN"/>
        </w:rPr>
        <w:t>七</w:t>
      </w:r>
      <w:r>
        <w:rPr>
          <w:rFonts w:hint="eastAsia" w:ascii="黑体" w:hAnsi="黑体" w:eastAsia="黑体" w:cs="黑体"/>
          <w:b w:val="0"/>
          <w:bCs w:val="0"/>
          <w:color w:val="auto"/>
          <w:highlight w:val="none"/>
          <w:shd w:val="clear" w:color="auto" w:fill="auto"/>
          <w:lang w:val="en-US" w:eastAsia="zh-CN"/>
        </w:rPr>
        <w:t>、其他需要说明的问题</w:t>
      </w:r>
      <w:bookmarkEnd w:id="155"/>
    </w:p>
    <w:p w14:paraId="5330B4BE">
      <w:pPr>
        <w:pageBreakBefore w:val="0"/>
        <w:kinsoku/>
        <w:wordWrap/>
        <w:overflowPunct/>
        <w:topLinePunct w:val="0"/>
        <w:autoSpaceDE/>
        <w:autoSpaceDN/>
        <w:bidi w:val="0"/>
        <w:adjustRightInd/>
        <w:spacing w:line="560" w:lineRule="exact"/>
        <w:textAlignment w:val="auto"/>
        <w:rPr>
          <w:rFonts w:hint="eastAsia" w:cs="宋体"/>
          <w:color w:val="auto"/>
          <w:highlight w:val="none"/>
          <w:shd w:val="clear" w:color="auto" w:fill="auto"/>
          <w:lang w:val="en-US" w:eastAsia="zh-CN"/>
        </w:rPr>
        <w:sectPr>
          <w:footerReference r:id="rId5" w:type="default"/>
          <w:pgSz w:w="11906" w:h="16838"/>
          <w:pgMar w:top="1440" w:right="1800" w:bottom="1440" w:left="1800" w:header="737" w:footer="851" w:gutter="0"/>
          <w:pgNumType w:fmt="decimal" w:start="1"/>
          <w:cols w:space="720" w:num="1"/>
          <w:docGrid w:type="lines" w:linePitch="408" w:charSpace="0"/>
        </w:sectPr>
      </w:pPr>
      <w:r>
        <w:rPr>
          <w:rFonts w:hint="eastAsia" w:ascii="仿宋_GB2312" w:hAnsi="仿宋_GB2312" w:eastAsia="仿宋_GB2312" w:cs="仿宋_GB2312"/>
          <w:color w:val="auto"/>
          <w:sz w:val="32"/>
          <w:szCs w:val="32"/>
          <w:highlight w:val="none"/>
          <w:lang w:val="en-US" w:eastAsia="zh-CN"/>
        </w:rPr>
        <w:t>无其他需要说明的问题。</w:t>
      </w:r>
    </w:p>
    <w:p w14:paraId="5C0B8A05">
      <w:pPr>
        <w:pStyle w:val="3"/>
        <w:pageBreakBefore w:val="0"/>
        <w:numPr>
          <w:ilvl w:val="0"/>
          <w:numId w:val="0"/>
        </w:numPr>
        <w:kinsoku/>
        <w:wordWrap/>
        <w:overflowPunct/>
        <w:topLinePunct w:val="0"/>
        <w:autoSpaceDE/>
        <w:autoSpaceDN/>
        <w:bidi w:val="0"/>
        <w:adjustRightInd/>
        <w:spacing w:beforeLines="0" w:afterLines="0" w:line="560" w:lineRule="exact"/>
        <w:textAlignment w:val="auto"/>
        <w:rPr>
          <w:rFonts w:hint="eastAsia" w:ascii="宋体" w:hAnsi="宋体" w:eastAsia="宋体" w:cs="宋体"/>
          <w:b/>
          <w:bCs/>
          <w:color w:val="000000" w:themeColor="text1"/>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highlight w:val="none"/>
          <w:shd w:val="clear" w:color="auto" w:fill="auto"/>
          <w:lang w:val="en-US" w:eastAsia="zh-CN"/>
          <w14:textFill>
            <w14:solidFill>
              <w14:schemeClr w14:val="tx1"/>
            </w14:solidFill>
          </w14:textFill>
        </w:rPr>
        <w:t>附件一、项目支出绩效自评表</w:t>
      </w:r>
      <w:bookmarkEnd w:id="112"/>
      <w:bookmarkEnd w:id="113"/>
      <w:bookmarkStart w:id="156" w:name="_Toc15067"/>
      <w:bookmarkStart w:id="157" w:name="_Toc11223"/>
    </w:p>
    <w:tbl>
      <w:tblPr>
        <w:tblStyle w:val="16"/>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894"/>
        <w:gridCol w:w="894"/>
        <w:gridCol w:w="895"/>
        <w:gridCol w:w="895"/>
        <w:gridCol w:w="1142"/>
        <w:gridCol w:w="1224"/>
        <w:gridCol w:w="1142"/>
        <w:gridCol w:w="1224"/>
        <w:gridCol w:w="1142"/>
        <w:gridCol w:w="895"/>
        <w:gridCol w:w="895"/>
        <w:gridCol w:w="895"/>
        <w:gridCol w:w="895"/>
        <w:gridCol w:w="1142"/>
      </w:tblGrid>
      <w:tr w14:paraId="4741209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5000" w:type="pct"/>
            <w:gridSpan w:val="14"/>
            <w:tcBorders>
              <w:top w:val="nil"/>
              <w:left w:val="nil"/>
              <w:bottom w:val="nil"/>
              <w:right w:val="nil"/>
            </w:tcBorders>
            <w:shd w:val="clear" w:color="auto" w:fill="auto"/>
            <w:vAlign w:val="center"/>
          </w:tcPr>
          <w:p w14:paraId="520C6CE1">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项目支出绩效自评表</w:t>
            </w:r>
          </w:p>
        </w:tc>
      </w:tr>
      <w:tr w14:paraId="6B149B2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5000" w:type="pct"/>
            <w:gridSpan w:val="14"/>
            <w:tcBorders>
              <w:top w:val="nil"/>
              <w:left w:val="nil"/>
              <w:bottom w:val="single" w:color="auto" w:sz="4" w:space="0"/>
              <w:right w:val="nil"/>
            </w:tcBorders>
            <w:shd w:val="clear" w:color="auto" w:fill="auto"/>
            <w:vAlign w:val="center"/>
          </w:tcPr>
          <w:p w14:paraId="5D03DCD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(2024年度)</w:t>
            </w:r>
          </w:p>
        </w:tc>
      </w:tr>
      <w:tr w14:paraId="0C7EDFB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634" w:type="pct"/>
            <w:gridSpan w:val="2"/>
            <w:tcBorders>
              <w:top w:val="single" w:color="auto" w:sz="4" w:space="0"/>
              <w:left w:val="single" w:color="000000" w:sz="4" w:space="0"/>
              <w:bottom w:val="single" w:color="000000" w:sz="4" w:space="0"/>
              <w:right w:val="single" w:color="000000" w:sz="4" w:space="0"/>
            </w:tcBorders>
            <w:shd w:val="clear" w:color="auto" w:fill="auto"/>
            <w:vAlign w:val="center"/>
          </w:tcPr>
          <w:p w14:paraId="4020ABA2">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项目名称</w:t>
            </w:r>
          </w:p>
        </w:tc>
        <w:tc>
          <w:tcPr>
            <w:tcW w:w="4365" w:type="pct"/>
            <w:gridSpan w:val="12"/>
            <w:tcBorders>
              <w:top w:val="single" w:color="auto" w:sz="4" w:space="0"/>
              <w:left w:val="single" w:color="000000" w:sz="4" w:space="0"/>
              <w:bottom w:val="single" w:color="000000" w:sz="4" w:space="0"/>
              <w:right w:val="single" w:color="000000" w:sz="4" w:space="0"/>
            </w:tcBorders>
            <w:shd w:val="clear" w:color="auto" w:fill="auto"/>
            <w:vAlign w:val="center"/>
          </w:tcPr>
          <w:p w14:paraId="0550025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基本公共卫生服务</w:t>
            </w:r>
          </w:p>
        </w:tc>
      </w:tr>
      <w:tr w14:paraId="125D947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6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9441B03">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主管部门</w:t>
            </w:r>
          </w:p>
        </w:tc>
        <w:tc>
          <w:tcPr>
            <w:tcW w:w="1879"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7FDB3A7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阜康市滋泥泉子镇中心卫生院</w:t>
            </w:r>
          </w:p>
        </w:tc>
        <w:tc>
          <w:tcPr>
            <w:tcW w:w="80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0C59357">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实施单位</w:t>
            </w:r>
          </w:p>
        </w:tc>
        <w:tc>
          <w:tcPr>
            <w:tcW w:w="1675"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1A31EAA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阜康市滋泥泉子镇中心卫生院</w:t>
            </w:r>
          </w:p>
        </w:tc>
      </w:tr>
      <w:tr w14:paraId="7B45E16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634"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07DB3D8">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项目资金</w:t>
            </w:r>
            <w:r>
              <w:rPr>
                <w:rFonts w:hint="eastAsia" w:ascii="宋体" w:hAnsi="宋体" w:eastAsia="宋体" w:cs="宋体"/>
                <w:b/>
                <w:bCs/>
                <w:i w:val="0"/>
                <w:iCs w:val="0"/>
                <w:color w:val="000000"/>
                <w:kern w:val="0"/>
                <w:sz w:val="18"/>
                <w:szCs w:val="18"/>
                <w:u w:val="none"/>
                <w:lang w:val="en-US" w:eastAsia="zh-CN" w:bidi="ar"/>
              </w:rPr>
              <w:br w:type="textWrapping"/>
            </w:r>
            <w:r>
              <w:rPr>
                <w:rFonts w:hint="eastAsia" w:ascii="宋体" w:hAnsi="宋体" w:eastAsia="宋体" w:cs="宋体"/>
                <w:b/>
                <w:bCs/>
                <w:i w:val="0"/>
                <w:iCs w:val="0"/>
                <w:color w:val="000000"/>
                <w:kern w:val="0"/>
                <w:sz w:val="18"/>
                <w:szCs w:val="18"/>
                <w:u w:val="none"/>
                <w:lang w:val="en-US" w:eastAsia="zh-CN" w:bidi="ar"/>
              </w:rPr>
              <w:t>（万元）</w:t>
            </w:r>
          </w:p>
        </w:tc>
        <w:tc>
          <w:tcPr>
            <w:tcW w:w="6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854C04D">
            <w:pPr>
              <w:jc w:val="center"/>
              <w:rPr>
                <w:rFonts w:hint="eastAsia" w:ascii="宋体" w:hAnsi="宋体" w:eastAsia="宋体" w:cs="宋体"/>
                <w:b/>
                <w:bCs/>
                <w:i w:val="0"/>
                <w:iCs w:val="0"/>
                <w:color w:val="000000"/>
                <w:sz w:val="18"/>
                <w:szCs w:val="18"/>
                <w:u w:val="none"/>
              </w:rPr>
            </w:pPr>
          </w:p>
        </w:tc>
        <w:tc>
          <w:tcPr>
            <w:tcW w:w="4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AF9B3D">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年初预算数</w:t>
            </w:r>
          </w:p>
        </w:tc>
        <w:tc>
          <w:tcPr>
            <w:tcW w:w="83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86B7274">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全年预算数</w:t>
            </w:r>
          </w:p>
        </w:tc>
        <w:tc>
          <w:tcPr>
            <w:tcW w:w="80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C81C434">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全年执行数</w:t>
            </w:r>
          </w:p>
        </w:tc>
        <w:tc>
          <w:tcPr>
            <w:tcW w:w="6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AF54708">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分值</w:t>
            </w:r>
          </w:p>
        </w:tc>
        <w:tc>
          <w:tcPr>
            <w:tcW w:w="63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DAAF735">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执行率</w:t>
            </w:r>
          </w:p>
        </w:tc>
        <w:tc>
          <w:tcPr>
            <w:tcW w:w="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2BEFF3">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得分</w:t>
            </w:r>
          </w:p>
        </w:tc>
      </w:tr>
      <w:tr w14:paraId="143AF32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634"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1FA535F">
            <w:pPr>
              <w:jc w:val="center"/>
              <w:rPr>
                <w:rFonts w:hint="eastAsia" w:ascii="宋体" w:hAnsi="宋体" w:eastAsia="宋体" w:cs="宋体"/>
                <w:b/>
                <w:bCs/>
                <w:i w:val="0"/>
                <w:iCs w:val="0"/>
                <w:color w:val="000000"/>
                <w:sz w:val="18"/>
                <w:szCs w:val="18"/>
                <w:u w:val="none"/>
              </w:rPr>
            </w:pPr>
          </w:p>
        </w:tc>
        <w:tc>
          <w:tcPr>
            <w:tcW w:w="6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BE8646A">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年度资金总额</w:t>
            </w:r>
          </w:p>
        </w:tc>
        <w:tc>
          <w:tcPr>
            <w:tcW w:w="4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F4C2D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66.73</w:t>
            </w:r>
          </w:p>
        </w:tc>
        <w:tc>
          <w:tcPr>
            <w:tcW w:w="83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1DC2A8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66.73</w:t>
            </w:r>
          </w:p>
        </w:tc>
        <w:tc>
          <w:tcPr>
            <w:tcW w:w="80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F3AA89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66.73</w:t>
            </w:r>
          </w:p>
        </w:tc>
        <w:tc>
          <w:tcPr>
            <w:tcW w:w="6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38094F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63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CFB784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100.00%</w:t>
            </w:r>
          </w:p>
        </w:tc>
        <w:tc>
          <w:tcPr>
            <w:tcW w:w="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F2F90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w:t>
            </w:r>
          </w:p>
        </w:tc>
      </w:tr>
      <w:tr w14:paraId="0986645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634"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A97FA2B">
            <w:pPr>
              <w:jc w:val="center"/>
              <w:rPr>
                <w:rFonts w:hint="eastAsia" w:ascii="宋体" w:hAnsi="宋体" w:eastAsia="宋体" w:cs="宋体"/>
                <w:b/>
                <w:bCs/>
                <w:i w:val="0"/>
                <w:iCs w:val="0"/>
                <w:color w:val="000000"/>
                <w:sz w:val="18"/>
                <w:szCs w:val="18"/>
                <w:u w:val="none"/>
              </w:rPr>
            </w:pPr>
          </w:p>
        </w:tc>
        <w:tc>
          <w:tcPr>
            <w:tcW w:w="6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FDB3873">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其中：当年财政拨款</w:t>
            </w:r>
          </w:p>
        </w:tc>
        <w:tc>
          <w:tcPr>
            <w:tcW w:w="4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61B89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66.73</w:t>
            </w:r>
          </w:p>
        </w:tc>
        <w:tc>
          <w:tcPr>
            <w:tcW w:w="83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6EA801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66.73</w:t>
            </w:r>
          </w:p>
        </w:tc>
        <w:tc>
          <w:tcPr>
            <w:tcW w:w="80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C8F1A3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66.73</w:t>
            </w:r>
          </w:p>
        </w:tc>
        <w:tc>
          <w:tcPr>
            <w:tcW w:w="6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311D43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63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A350A8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4504F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r>
      <w:tr w14:paraId="1E020A1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634"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C9ED8F3">
            <w:pPr>
              <w:jc w:val="center"/>
              <w:rPr>
                <w:rFonts w:hint="eastAsia" w:ascii="宋体" w:hAnsi="宋体" w:eastAsia="宋体" w:cs="宋体"/>
                <w:b/>
                <w:bCs/>
                <w:i w:val="0"/>
                <w:iCs w:val="0"/>
                <w:color w:val="000000"/>
                <w:sz w:val="18"/>
                <w:szCs w:val="18"/>
                <w:u w:val="none"/>
              </w:rPr>
            </w:pPr>
          </w:p>
        </w:tc>
        <w:tc>
          <w:tcPr>
            <w:tcW w:w="6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A1984CE">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 xml:space="preserve">  其他资金</w:t>
            </w:r>
          </w:p>
        </w:tc>
        <w:tc>
          <w:tcPr>
            <w:tcW w:w="4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BE591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83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BBAD8B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80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328387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76D1EA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63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9DDB44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17BFC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r>
      <w:tr w14:paraId="245C0E1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31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B374D91">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年度总体目标</w:t>
            </w:r>
          </w:p>
        </w:tc>
        <w:tc>
          <w:tcPr>
            <w:tcW w:w="2196"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3057717D">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预期目标</w:t>
            </w:r>
          </w:p>
        </w:tc>
        <w:tc>
          <w:tcPr>
            <w:tcW w:w="2485"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5D550D34">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实际完成情况</w:t>
            </w:r>
          </w:p>
        </w:tc>
      </w:tr>
      <w:tr w14:paraId="4F2B104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31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0930173">
            <w:pPr>
              <w:jc w:val="center"/>
              <w:rPr>
                <w:rFonts w:hint="eastAsia" w:ascii="宋体" w:hAnsi="宋体" w:eastAsia="宋体" w:cs="宋体"/>
                <w:b/>
                <w:bCs/>
                <w:i w:val="0"/>
                <w:iCs w:val="0"/>
                <w:color w:val="000000"/>
                <w:sz w:val="18"/>
                <w:szCs w:val="18"/>
                <w:u w:val="none"/>
              </w:rPr>
            </w:pPr>
          </w:p>
        </w:tc>
        <w:tc>
          <w:tcPr>
            <w:tcW w:w="2196"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0E6434C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开展基本公共卫生服务，继续实施建立居民健康档案、健康教育、预防接种、儿童健康管理、孕产妇健康管理、老年人健康管理、高血压和2型糖尿病等慢性病患者健康管理、严重精神障碍患者管理。2024年计划完成65岁以上老人健康管理服务完成不少于1694人，高血压服务不少于1928人，糖尿病服务不少于313人；计划完成65岁以上老人健康管理服务合格率预计达到90%以上，高血压服务合格率预计达到90%以上，糖尿病服务合格率预计达到90%以上，通过项目的实施，预期提高基本公共卫生服务水平和老年人健康服务水平。</w:t>
            </w:r>
          </w:p>
        </w:tc>
        <w:tc>
          <w:tcPr>
            <w:tcW w:w="2485"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5C380EF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截止2024年12月31日，我院共计完成65岁以上老人健康管理1683人，高血压服务1937人，糖尿病人服务544人，高血压患者基层规范管理服务合格率91%，糖尿病人服务率90%，65岁以上老人健康管理服务合格率79%，通过项目的实施，提高了高血压、糖尿病及老年人群的服务水平。</w:t>
            </w:r>
          </w:p>
        </w:tc>
      </w:tr>
      <w:tr w14:paraId="64BCB5B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31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CC3DF37">
            <w:pPr>
              <w:jc w:val="center"/>
              <w:rPr>
                <w:rFonts w:hint="eastAsia" w:ascii="宋体" w:hAnsi="宋体" w:eastAsia="宋体" w:cs="宋体"/>
                <w:i w:val="0"/>
                <w:iCs w:val="0"/>
                <w:color w:val="000000"/>
                <w:sz w:val="18"/>
                <w:szCs w:val="18"/>
                <w:u w:val="none"/>
              </w:rPr>
            </w:pPr>
          </w:p>
        </w:tc>
        <w:tc>
          <w:tcPr>
            <w:tcW w:w="31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1A9C972">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一级指标</w:t>
            </w:r>
          </w:p>
        </w:tc>
        <w:tc>
          <w:tcPr>
            <w:tcW w:w="31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77E144A">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二级指标</w:t>
            </w:r>
          </w:p>
        </w:tc>
        <w:tc>
          <w:tcPr>
            <w:tcW w:w="31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60FF802">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三级指标</w:t>
            </w:r>
          </w:p>
        </w:tc>
        <w:tc>
          <w:tcPr>
            <w:tcW w:w="40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9749016">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权重</w:t>
            </w:r>
          </w:p>
        </w:tc>
        <w:tc>
          <w:tcPr>
            <w:tcW w:w="43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117471D">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目标值</w:t>
            </w:r>
          </w:p>
        </w:tc>
        <w:tc>
          <w:tcPr>
            <w:tcW w:w="40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13FA019">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业绩值</w:t>
            </w:r>
          </w:p>
        </w:tc>
        <w:tc>
          <w:tcPr>
            <w:tcW w:w="40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E07B106">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完成率</w:t>
            </w:r>
          </w:p>
        </w:tc>
        <w:tc>
          <w:tcPr>
            <w:tcW w:w="40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206BA73">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指标得分</w:t>
            </w:r>
          </w:p>
        </w:tc>
        <w:tc>
          <w:tcPr>
            <w:tcW w:w="31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58DC59E">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指标值设定依据</w:t>
            </w:r>
          </w:p>
        </w:tc>
        <w:tc>
          <w:tcPr>
            <w:tcW w:w="31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4F56F82">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上年完成情况</w:t>
            </w:r>
          </w:p>
        </w:tc>
        <w:tc>
          <w:tcPr>
            <w:tcW w:w="31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A4FC4F5">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赋分规则</w:t>
            </w:r>
          </w:p>
        </w:tc>
        <w:tc>
          <w:tcPr>
            <w:tcW w:w="31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2683C74">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佐证资料</w:t>
            </w:r>
          </w:p>
        </w:tc>
        <w:tc>
          <w:tcPr>
            <w:tcW w:w="40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C5E4F84">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偏差原因分析及改进措施</w:t>
            </w:r>
          </w:p>
        </w:tc>
      </w:tr>
      <w:tr w14:paraId="7168B23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31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ACC00EE">
            <w:pPr>
              <w:jc w:val="center"/>
              <w:rPr>
                <w:rFonts w:hint="eastAsia" w:ascii="宋体" w:hAnsi="宋体" w:eastAsia="宋体" w:cs="宋体"/>
                <w:i w:val="0"/>
                <w:iCs w:val="0"/>
                <w:color w:val="000000"/>
                <w:sz w:val="18"/>
                <w:szCs w:val="18"/>
                <w:u w:val="none"/>
              </w:rPr>
            </w:pPr>
          </w:p>
        </w:tc>
        <w:tc>
          <w:tcPr>
            <w:tcW w:w="31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0144B7A">
            <w:pPr>
              <w:jc w:val="center"/>
              <w:rPr>
                <w:rFonts w:hint="eastAsia" w:ascii="宋体" w:hAnsi="宋体" w:eastAsia="宋体" w:cs="宋体"/>
                <w:b/>
                <w:bCs/>
                <w:i w:val="0"/>
                <w:iCs w:val="0"/>
                <w:color w:val="000000"/>
                <w:sz w:val="18"/>
                <w:szCs w:val="18"/>
                <w:u w:val="none"/>
              </w:rPr>
            </w:pPr>
          </w:p>
        </w:tc>
        <w:tc>
          <w:tcPr>
            <w:tcW w:w="31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540459C">
            <w:pPr>
              <w:jc w:val="center"/>
              <w:rPr>
                <w:rFonts w:hint="eastAsia" w:ascii="宋体" w:hAnsi="宋体" w:eastAsia="宋体" w:cs="宋体"/>
                <w:b/>
                <w:bCs/>
                <w:i w:val="0"/>
                <w:iCs w:val="0"/>
                <w:color w:val="000000"/>
                <w:sz w:val="18"/>
                <w:szCs w:val="18"/>
                <w:u w:val="none"/>
              </w:rPr>
            </w:pPr>
          </w:p>
        </w:tc>
        <w:tc>
          <w:tcPr>
            <w:tcW w:w="31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323961F">
            <w:pPr>
              <w:jc w:val="center"/>
              <w:rPr>
                <w:rFonts w:hint="eastAsia" w:ascii="宋体" w:hAnsi="宋体" w:eastAsia="宋体" w:cs="宋体"/>
                <w:b/>
                <w:bCs/>
                <w:i w:val="0"/>
                <w:iCs w:val="0"/>
                <w:color w:val="000000"/>
                <w:sz w:val="18"/>
                <w:szCs w:val="18"/>
                <w:u w:val="none"/>
              </w:rPr>
            </w:pPr>
          </w:p>
        </w:tc>
        <w:tc>
          <w:tcPr>
            <w:tcW w:w="4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1990F3E">
            <w:pPr>
              <w:jc w:val="center"/>
              <w:rPr>
                <w:rFonts w:hint="eastAsia" w:ascii="宋体" w:hAnsi="宋体" w:eastAsia="宋体" w:cs="宋体"/>
                <w:b/>
                <w:bCs/>
                <w:i w:val="0"/>
                <w:iCs w:val="0"/>
                <w:color w:val="000000"/>
                <w:sz w:val="18"/>
                <w:szCs w:val="18"/>
                <w:u w:val="none"/>
              </w:rPr>
            </w:pPr>
          </w:p>
        </w:tc>
        <w:tc>
          <w:tcPr>
            <w:tcW w:w="43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EA2AA82">
            <w:pPr>
              <w:jc w:val="center"/>
              <w:rPr>
                <w:rFonts w:hint="eastAsia" w:ascii="宋体" w:hAnsi="宋体" w:eastAsia="宋体" w:cs="宋体"/>
                <w:b/>
                <w:bCs/>
                <w:i w:val="0"/>
                <w:iCs w:val="0"/>
                <w:color w:val="000000"/>
                <w:sz w:val="18"/>
                <w:szCs w:val="18"/>
                <w:u w:val="none"/>
              </w:rPr>
            </w:pPr>
          </w:p>
        </w:tc>
        <w:tc>
          <w:tcPr>
            <w:tcW w:w="4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C5F6ECC">
            <w:pPr>
              <w:jc w:val="center"/>
              <w:rPr>
                <w:rFonts w:hint="eastAsia" w:ascii="宋体" w:hAnsi="宋体" w:eastAsia="宋体" w:cs="宋体"/>
                <w:b/>
                <w:bCs/>
                <w:i w:val="0"/>
                <w:iCs w:val="0"/>
                <w:color w:val="000000"/>
                <w:sz w:val="18"/>
                <w:szCs w:val="18"/>
                <w:u w:val="none"/>
              </w:rPr>
            </w:pPr>
          </w:p>
        </w:tc>
        <w:tc>
          <w:tcPr>
            <w:tcW w:w="4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5B7D865">
            <w:pPr>
              <w:jc w:val="center"/>
              <w:rPr>
                <w:rFonts w:hint="eastAsia" w:ascii="宋体" w:hAnsi="宋体" w:eastAsia="宋体" w:cs="宋体"/>
                <w:b/>
                <w:bCs/>
                <w:i w:val="0"/>
                <w:iCs w:val="0"/>
                <w:color w:val="000000"/>
                <w:sz w:val="18"/>
                <w:szCs w:val="18"/>
                <w:u w:val="none"/>
              </w:rPr>
            </w:pPr>
          </w:p>
        </w:tc>
        <w:tc>
          <w:tcPr>
            <w:tcW w:w="4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A041BDD">
            <w:pPr>
              <w:jc w:val="center"/>
              <w:rPr>
                <w:rFonts w:hint="eastAsia" w:ascii="宋体" w:hAnsi="宋体" w:eastAsia="宋体" w:cs="宋体"/>
                <w:b/>
                <w:bCs/>
                <w:i w:val="0"/>
                <w:iCs w:val="0"/>
                <w:color w:val="000000"/>
                <w:sz w:val="18"/>
                <w:szCs w:val="18"/>
                <w:u w:val="none"/>
              </w:rPr>
            </w:pPr>
          </w:p>
        </w:tc>
        <w:tc>
          <w:tcPr>
            <w:tcW w:w="31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60B822">
            <w:pPr>
              <w:jc w:val="center"/>
              <w:rPr>
                <w:rFonts w:hint="eastAsia" w:ascii="宋体" w:hAnsi="宋体" w:eastAsia="宋体" w:cs="宋体"/>
                <w:b/>
                <w:bCs/>
                <w:i w:val="0"/>
                <w:iCs w:val="0"/>
                <w:color w:val="000000"/>
                <w:sz w:val="18"/>
                <w:szCs w:val="18"/>
                <w:u w:val="none"/>
              </w:rPr>
            </w:pPr>
          </w:p>
        </w:tc>
        <w:tc>
          <w:tcPr>
            <w:tcW w:w="31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E966943">
            <w:pPr>
              <w:jc w:val="center"/>
              <w:rPr>
                <w:rFonts w:hint="eastAsia" w:ascii="宋体" w:hAnsi="宋体" w:eastAsia="宋体" w:cs="宋体"/>
                <w:b/>
                <w:bCs/>
                <w:i w:val="0"/>
                <w:iCs w:val="0"/>
                <w:color w:val="000000"/>
                <w:sz w:val="18"/>
                <w:szCs w:val="18"/>
                <w:u w:val="none"/>
              </w:rPr>
            </w:pPr>
          </w:p>
        </w:tc>
        <w:tc>
          <w:tcPr>
            <w:tcW w:w="31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EA06968">
            <w:pPr>
              <w:jc w:val="center"/>
              <w:rPr>
                <w:rFonts w:hint="eastAsia" w:ascii="宋体" w:hAnsi="宋体" w:eastAsia="宋体" w:cs="宋体"/>
                <w:b/>
                <w:bCs/>
                <w:i w:val="0"/>
                <w:iCs w:val="0"/>
                <w:color w:val="000000"/>
                <w:sz w:val="18"/>
                <w:szCs w:val="18"/>
                <w:u w:val="none"/>
              </w:rPr>
            </w:pPr>
          </w:p>
        </w:tc>
        <w:tc>
          <w:tcPr>
            <w:tcW w:w="31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C400373">
            <w:pPr>
              <w:jc w:val="center"/>
              <w:rPr>
                <w:rFonts w:hint="eastAsia" w:ascii="宋体" w:hAnsi="宋体" w:eastAsia="宋体" w:cs="宋体"/>
                <w:b/>
                <w:bCs/>
                <w:i w:val="0"/>
                <w:iCs w:val="0"/>
                <w:color w:val="000000"/>
                <w:sz w:val="18"/>
                <w:szCs w:val="18"/>
                <w:u w:val="none"/>
              </w:rPr>
            </w:pPr>
          </w:p>
        </w:tc>
        <w:tc>
          <w:tcPr>
            <w:tcW w:w="4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669E08E">
            <w:pPr>
              <w:jc w:val="center"/>
              <w:rPr>
                <w:rFonts w:hint="eastAsia" w:ascii="宋体" w:hAnsi="宋体" w:eastAsia="宋体" w:cs="宋体"/>
                <w:b/>
                <w:bCs/>
                <w:i w:val="0"/>
                <w:iCs w:val="0"/>
                <w:color w:val="000000"/>
                <w:sz w:val="18"/>
                <w:szCs w:val="18"/>
                <w:u w:val="none"/>
              </w:rPr>
            </w:pPr>
          </w:p>
        </w:tc>
      </w:tr>
      <w:tr w14:paraId="7EF1480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31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1702435">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bookmarkStart w:id="158" w:name="_GoBack" w:colFirst="7" w:colLast="7"/>
            <w:r>
              <w:rPr>
                <w:rFonts w:hint="eastAsia" w:ascii="宋体" w:hAnsi="宋体" w:eastAsia="宋体" w:cs="宋体"/>
                <w:b/>
                <w:bCs/>
                <w:i w:val="0"/>
                <w:iCs w:val="0"/>
                <w:color w:val="000000"/>
                <w:kern w:val="0"/>
                <w:sz w:val="18"/>
                <w:szCs w:val="18"/>
                <w:u w:val="none"/>
                <w:lang w:val="en-US" w:eastAsia="zh-CN" w:bidi="ar"/>
              </w:rPr>
              <w:t>年度绩效指标完成情况</w:t>
            </w:r>
          </w:p>
        </w:tc>
        <w:tc>
          <w:tcPr>
            <w:tcW w:w="31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7E9037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产出指标</w:t>
            </w: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96E56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3846A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65岁以上老人健康管理服务完成人数</w:t>
            </w:r>
          </w:p>
        </w:tc>
        <w:tc>
          <w:tcPr>
            <w:tcW w:w="4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D5F9E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36655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&gt;=1710人</w:t>
            </w:r>
          </w:p>
        </w:tc>
        <w:tc>
          <w:tcPr>
            <w:tcW w:w="4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616C2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=1683人</w:t>
            </w:r>
          </w:p>
        </w:tc>
        <w:tc>
          <w:tcPr>
            <w:tcW w:w="11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D882CE">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98.42%</w:t>
            </w:r>
          </w:p>
        </w:tc>
        <w:tc>
          <w:tcPr>
            <w:tcW w:w="4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43791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9.61</w:t>
            </w: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872D8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0BC884">
            <w:pPr>
              <w:jc w:val="center"/>
              <w:rPr>
                <w:rFonts w:hint="eastAsia" w:ascii="宋体" w:hAnsi="宋体" w:eastAsia="宋体" w:cs="宋体"/>
                <w:i w:val="0"/>
                <w:iCs w:val="0"/>
                <w:color w:val="000000"/>
                <w:sz w:val="18"/>
                <w:szCs w:val="18"/>
                <w:u w:val="none"/>
              </w:rPr>
            </w:pP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16A87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95E2A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8505F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偏差原因分析：人员外出，未管理道人；改进措施：加强工作宣传，提高服务人口。</w:t>
            </w:r>
          </w:p>
        </w:tc>
      </w:tr>
      <w:tr w14:paraId="5D1ACBB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31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97B6568">
            <w:pPr>
              <w:jc w:val="center"/>
              <w:rPr>
                <w:rFonts w:hint="eastAsia" w:ascii="宋体" w:hAnsi="宋体" w:eastAsia="宋体" w:cs="宋体"/>
                <w:b/>
                <w:bCs/>
                <w:i w:val="0"/>
                <w:iCs w:val="0"/>
                <w:color w:val="000000"/>
                <w:sz w:val="18"/>
                <w:szCs w:val="18"/>
                <w:u w:val="none"/>
              </w:rPr>
            </w:pPr>
          </w:p>
        </w:tc>
        <w:tc>
          <w:tcPr>
            <w:tcW w:w="31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2B6DA9C">
            <w:pPr>
              <w:jc w:val="center"/>
              <w:rPr>
                <w:rFonts w:hint="eastAsia" w:ascii="宋体" w:hAnsi="宋体" w:eastAsia="宋体" w:cs="宋体"/>
                <w:i w:val="0"/>
                <w:iCs w:val="0"/>
                <w:color w:val="000000"/>
                <w:sz w:val="18"/>
                <w:szCs w:val="18"/>
                <w:u w:val="none"/>
              </w:rPr>
            </w:pP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BFF87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2BC2D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高血压服务人数</w:t>
            </w:r>
          </w:p>
        </w:tc>
        <w:tc>
          <w:tcPr>
            <w:tcW w:w="4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B2364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0FB38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&gt;=1942人</w:t>
            </w:r>
          </w:p>
        </w:tc>
        <w:tc>
          <w:tcPr>
            <w:tcW w:w="4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75E48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=1937人</w:t>
            </w:r>
          </w:p>
        </w:tc>
        <w:tc>
          <w:tcPr>
            <w:tcW w:w="11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BC33A7">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99.74%</w:t>
            </w:r>
          </w:p>
        </w:tc>
        <w:tc>
          <w:tcPr>
            <w:tcW w:w="4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EBE03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9.93</w:t>
            </w: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BCA54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5208E2">
            <w:pPr>
              <w:jc w:val="center"/>
              <w:rPr>
                <w:rFonts w:hint="eastAsia" w:ascii="宋体" w:hAnsi="宋体" w:eastAsia="宋体" w:cs="宋体"/>
                <w:i w:val="0"/>
                <w:iCs w:val="0"/>
                <w:color w:val="000000"/>
                <w:sz w:val="18"/>
                <w:szCs w:val="18"/>
                <w:u w:val="none"/>
              </w:rPr>
            </w:pP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D7159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81C77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1E7CA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偏差原因分析：人员外出，未管理道人；改进措施：加强工作宣传，提高服务人口。</w:t>
            </w:r>
          </w:p>
        </w:tc>
      </w:tr>
      <w:tr w14:paraId="6F4EE3A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31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F5C079C">
            <w:pPr>
              <w:jc w:val="center"/>
              <w:rPr>
                <w:rFonts w:hint="eastAsia" w:ascii="宋体" w:hAnsi="宋体" w:eastAsia="宋体" w:cs="宋体"/>
                <w:b/>
                <w:bCs/>
                <w:i w:val="0"/>
                <w:iCs w:val="0"/>
                <w:color w:val="000000"/>
                <w:sz w:val="18"/>
                <w:szCs w:val="18"/>
                <w:u w:val="none"/>
              </w:rPr>
            </w:pPr>
          </w:p>
        </w:tc>
        <w:tc>
          <w:tcPr>
            <w:tcW w:w="31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256094B">
            <w:pPr>
              <w:jc w:val="center"/>
              <w:rPr>
                <w:rFonts w:hint="eastAsia" w:ascii="宋体" w:hAnsi="宋体" w:eastAsia="宋体" w:cs="宋体"/>
                <w:i w:val="0"/>
                <w:iCs w:val="0"/>
                <w:color w:val="000000"/>
                <w:sz w:val="18"/>
                <w:szCs w:val="18"/>
                <w:u w:val="none"/>
              </w:rPr>
            </w:pP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349A7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434B3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糖尿病服务人数</w:t>
            </w:r>
          </w:p>
        </w:tc>
        <w:tc>
          <w:tcPr>
            <w:tcW w:w="4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8D97E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123CB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&gt;=534人</w:t>
            </w:r>
          </w:p>
        </w:tc>
        <w:tc>
          <w:tcPr>
            <w:tcW w:w="4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C5257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=544人</w:t>
            </w:r>
          </w:p>
        </w:tc>
        <w:tc>
          <w:tcPr>
            <w:tcW w:w="11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0B4B35">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102%</w:t>
            </w:r>
          </w:p>
        </w:tc>
        <w:tc>
          <w:tcPr>
            <w:tcW w:w="4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D70A2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9.8</w:t>
            </w: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37680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5F7F47">
            <w:pPr>
              <w:jc w:val="center"/>
              <w:rPr>
                <w:rFonts w:hint="eastAsia" w:ascii="宋体" w:hAnsi="宋体" w:eastAsia="宋体" w:cs="宋体"/>
                <w:i w:val="0"/>
                <w:iCs w:val="0"/>
                <w:color w:val="000000"/>
                <w:sz w:val="18"/>
                <w:szCs w:val="18"/>
                <w:u w:val="none"/>
              </w:rPr>
            </w:pP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DB553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76DC5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E53C3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偏差原因分析：人员外出，未管理道人；改进措施：加强工作宣传，提高服务人口。</w:t>
            </w:r>
          </w:p>
        </w:tc>
      </w:tr>
      <w:tr w14:paraId="7F7BCFD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31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1B21781">
            <w:pPr>
              <w:jc w:val="center"/>
              <w:rPr>
                <w:rFonts w:hint="eastAsia" w:ascii="宋体" w:hAnsi="宋体" w:eastAsia="宋体" w:cs="宋体"/>
                <w:b/>
                <w:bCs/>
                <w:i w:val="0"/>
                <w:iCs w:val="0"/>
                <w:color w:val="000000"/>
                <w:sz w:val="18"/>
                <w:szCs w:val="18"/>
                <w:u w:val="none"/>
              </w:rPr>
            </w:pPr>
          </w:p>
        </w:tc>
        <w:tc>
          <w:tcPr>
            <w:tcW w:w="31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1F5164C">
            <w:pPr>
              <w:jc w:val="center"/>
              <w:rPr>
                <w:rFonts w:hint="eastAsia" w:ascii="宋体" w:hAnsi="宋体" w:eastAsia="宋体" w:cs="宋体"/>
                <w:i w:val="0"/>
                <w:iCs w:val="0"/>
                <w:color w:val="000000"/>
                <w:sz w:val="18"/>
                <w:szCs w:val="18"/>
                <w:u w:val="none"/>
              </w:rPr>
            </w:pP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3CBFA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质量指标</w:t>
            </w: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E5762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65岁以上老人健康管理服务合格率</w:t>
            </w:r>
          </w:p>
        </w:tc>
        <w:tc>
          <w:tcPr>
            <w:tcW w:w="4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18744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EC643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&gt;=90%</w:t>
            </w:r>
          </w:p>
        </w:tc>
        <w:tc>
          <w:tcPr>
            <w:tcW w:w="4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71468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=79%</w:t>
            </w:r>
          </w:p>
        </w:tc>
        <w:tc>
          <w:tcPr>
            <w:tcW w:w="11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D2C150">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87.78%</w:t>
            </w:r>
          </w:p>
        </w:tc>
        <w:tc>
          <w:tcPr>
            <w:tcW w:w="4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906C8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3.47</w:t>
            </w: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9DF73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2A3FD5">
            <w:pPr>
              <w:jc w:val="center"/>
              <w:rPr>
                <w:rFonts w:hint="eastAsia" w:ascii="宋体" w:hAnsi="宋体" w:eastAsia="宋体" w:cs="宋体"/>
                <w:i w:val="0"/>
                <w:iCs w:val="0"/>
                <w:color w:val="000000"/>
                <w:sz w:val="18"/>
                <w:szCs w:val="18"/>
                <w:u w:val="none"/>
              </w:rPr>
            </w:pP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9C812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30F60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9E929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偏差原因分析：档案指标部分不合格；改进措施：提高档案完成质量</w:t>
            </w:r>
          </w:p>
        </w:tc>
      </w:tr>
      <w:tr w14:paraId="6A45DB2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31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5406DE">
            <w:pPr>
              <w:jc w:val="center"/>
              <w:rPr>
                <w:rFonts w:hint="eastAsia" w:ascii="宋体" w:hAnsi="宋体" w:eastAsia="宋体" w:cs="宋体"/>
                <w:b/>
                <w:bCs/>
                <w:i w:val="0"/>
                <w:iCs w:val="0"/>
                <w:color w:val="000000"/>
                <w:sz w:val="18"/>
                <w:szCs w:val="18"/>
                <w:u w:val="none"/>
              </w:rPr>
            </w:pPr>
          </w:p>
        </w:tc>
        <w:tc>
          <w:tcPr>
            <w:tcW w:w="31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1347F07">
            <w:pPr>
              <w:jc w:val="center"/>
              <w:rPr>
                <w:rFonts w:hint="eastAsia" w:ascii="宋体" w:hAnsi="宋体" w:eastAsia="宋体" w:cs="宋体"/>
                <w:i w:val="0"/>
                <w:iCs w:val="0"/>
                <w:color w:val="000000"/>
                <w:sz w:val="18"/>
                <w:szCs w:val="18"/>
                <w:u w:val="none"/>
              </w:rPr>
            </w:pP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FE49B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质量指标</w:t>
            </w: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914BF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高血压服务合格率</w:t>
            </w:r>
          </w:p>
        </w:tc>
        <w:tc>
          <w:tcPr>
            <w:tcW w:w="4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61E94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82F75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&gt;=90%</w:t>
            </w:r>
          </w:p>
        </w:tc>
        <w:tc>
          <w:tcPr>
            <w:tcW w:w="4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BADEA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=90%</w:t>
            </w:r>
          </w:p>
        </w:tc>
        <w:tc>
          <w:tcPr>
            <w:tcW w:w="11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2AFCA5">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4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40AE9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B076D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C7A435">
            <w:pPr>
              <w:jc w:val="center"/>
              <w:rPr>
                <w:rFonts w:hint="eastAsia" w:ascii="宋体" w:hAnsi="宋体" w:eastAsia="宋体" w:cs="宋体"/>
                <w:i w:val="0"/>
                <w:iCs w:val="0"/>
                <w:color w:val="000000"/>
                <w:sz w:val="18"/>
                <w:szCs w:val="18"/>
                <w:u w:val="none"/>
              </w:rPr>
            </w:pP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77AB6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C9ECD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28B8B0">
            <w:pPr>
              <w:jc w:val="center"/>
              <w:rPr>
                <w:rFonts w:hint="eastAsia" w:ascii="宋体" w:hAnsi="宋体" w:eastAsia="宋体" w:cs="宋体"/>
                <w:i w:val="0"/>
                <w:iCs w:val="0"/>
                <w:color w:val="000000"/>
                <w:sz w:val="18"/>
                <w:szCs w:val="18"/>
                <w:u w:val="none"/>
              </w:rPr>
            </w:pPr>
          </w:p>
        </w:tc>
      </w:tr>
      <w:tr w14:paraId="1BBFCCC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31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BD9320E">
            <w:pPr>
              <w:jc w:val="center"/>
              <w:rPr>
                <w:rFonts w:hint="eastAsia" w:ascii="宋体" w:hAnsi="宋体" w:eastAsia="宋体" w:cs="宋体"/>
                <w:b/>
                <w:bCs/>
                <w:i w:val="0"/>
                <w:iCs w:val="0"/>
                <w:color w:val="000000"/>
                <w:sz w:val="18"/>
                <w:szCs w:val="18"/>
                <w:u w:val="none"/>
              </w:rPr>
            </w:pPr>
          </w:p>
        </w:tc>
        <w:tc>
          <w:tcPr>
            <w:tcW w:w="31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377B6BC">
            <w:pPr>
              <w:jc w:val="center"/>
              <w:rPr>
                <w:rFonts w:hint="eastAsia" w:ascii="宋体" w:hAnsi="宋体" w:eastAsia="宋体" w:cs="宋体"/>
                <w:i w:val="0"/>
                <w:iCs w:val="0"/>
                <w:color w:val="000000"/>
                <w:sz w:val="18"/>
                <w:szCs w:val="18"/>
                <w:u w:val="none"/>
              </w:rPr>
            </w:pP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213ED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质量指标</w:t>
            </w: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F713B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糖尿病服务合格率</w:t>
            </w:r>
          </w:p>
        </w:tc>
        <w:tc>
          <w:tcPr>
            <w:tcW w:w="4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1AF34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ABB02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&gt;=90%</w:t>
            </w:r>
          </w:p>
        </w:tc>
        <w:tc>
          <w:tcPr>
            <w:tcW w:w="4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EB23B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=90%</w:t>
            </w:r>
          </w:p>
        </w:tc>
        <w:tc>
          <w:tcPr>
            <w:tcW w:w="11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1DDBBC">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4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2CE72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25B61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0303FC">
            <w:pPr>
              <w:jc w:val="center"/>
              <w:rPr>
                <w:rFonts w:hint="eastAsia" w:ascii="宋体" w:hAnsi="宋体" w:eastAsia="宋体" w:cs="宋体"/>
                <w:i w:val="0"/>
                <w:iCs w:val="0"/>
                <w:color w:val="000000"/>
                <w:sz w:val="18"/>
                <w:szCs w:val="18"/>
                <w:u w:val="none"/>
              </w:rPr>
            </w:pP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B9E74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30E22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C47176">
            <w:pPr>
              <w:jc w:val="center"/>
              <w:rPr>
                <w:rFonts w:hint="eastAsia" w:ascii="宋体" w:hAnsi="宋体" w:eastAsia="宋体" w:cs="宋体"/>
                <w:i w:val="0"/>
                <w:iCs w:val="0"/>
                <w:color w:val="000000"/>
                <w:sz w:val="18"/>
                <w:szCs w:val="18"/>
                <w:u w:val="none"/>
              </w:rPr>
            </w:pPr>
          </w:p>
        </w:tc>
      </w:tr>
      <w:tr w14:paraId="5A3E1FA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31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B919D10">
            <w:pPr>
              <w:jc w:val="center"/>
              <w:rPr>
                <w:rFonts w:hint="eastAsia" w:ascii="宋体" w:hAnsi="宋体" w:eastAsia="宋体" w:cs="宋体"/>
                <w:b/>
                <w:bCs/>
                <w:i w:val="0"/>
                <w:iCs w:val="0"/>
                <w:color w:val="000000"/>
                <w:sz w:val="18"/>
                <w:szCs w:val="18"/>
                <w:u w:val="none"/>
              </w:rPr>
            </w:pPr>
          </w:p>
        </w:tc>
        <w:tc>
          <w:tcPr>
            <w:tcW w:w="31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4384774">
            <w:pPr>
              <w:jc w:val="center"/>
              <w:rPr>
                <w:rFonts w:hint="eastAsia" w:ascii="宋体" w:hAnsi="宋体" w:eastAsia="宋体" w:cs="宋体"/>
                <w:i w:val="0"/>
                <w:iCs w:val="0"/>
                <w:color w:val="000000"/>
                <w:sz w:val="18"/>
                <w:szCs w:val="18"/>
                <w:u w:val="none"/>
              </w:rPr>
            </w:pP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354F5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时效指标</w:t>
            </w: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DBDAD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项目完成时限</w:t>
            </w:r>
          </w:p>
        </w:tc>
        <w:tc>
          <w:tcPr>
            <w:tcW w:w="4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DAB0C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C3B44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≤2024年12月</w:t>
            </w:r>
          </w:p>
        </w:tc>
        <w:tc>
          <w:tcPr>
            <w:tcW w:w="4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17BAD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≤2024年12月</w:t>
            </w:r>
          </w:p>
        </w:tc>
        <w:tc>
          <w:tcPr>
            <w:tcW w:w="11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3ACB61">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4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0A94E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D9511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74DF0C">
            <w:pPr>
              <w:jc w:val="center"/>
              <w:rPr>
                <w:rFonts w:hint="eastAsia" w:ascii="宋体" w:hAnsi="宋体" w:eastAsia="宋体" w:cs="宋体"/>
                <w:i w:val="0"/>
                <w:iCs w:val="0"/>
                <w:color w:val="000000"/>
                <w:sz w:val="18"/>
                <w:szCs w:val="18"/>
                <w:u w:val="none"/>
              </w:rPr>
            </w:pP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4D2FB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C5FD4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BC764D">
            <w:pPr>
              <w:jc w:val="center"/>
              <w:rPr>
                <w:rFonts w:hint="eastAsia" w:ascii="宋体" w:hAnsi="宋体" w:eastAsia="宋体" w:cs="宋体"/>
                <w:i w:val="0"/>
                <w:iCs w:val="0"/>
                <w:color w:val="000000"/>
                <w:sz w:val="18"/>
                <w:szCs w:val="18"/>
                <w:u w:val="none"/>
              </w:rPr>
            </w:pPr>
          </w:p>
        </w:tc>
      </w:tr>
      <w:tr w14:paraId="7144664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31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616982C">
            <w:pPr>
              <w:jc w:val="center"/>
              <w:rPr>
                <w:rFonts w:hint="eastAsia" w:ascii="宋体" w:hAnsi="宋体" w:eastAsia="宋体" w:cs="宋体"/>
                <w:b/>
                <w:bCs/>
                <w:i w:val="0"/>
                <w:iCs w:val="0"/>
                <w:color w:val="000000"/>
                <w:sz w:val="18"/>
                <w:szCs w:val="18"/>
                <w:u w:val="none"/>
              </w:rPr>
            </w:pPr>
          </w:p>
        </w:tc>
        <w:tc>
          <w:tcPr>
            <w:tcW w:w="31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017148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成本指标</w:t>
            </w: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394E7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DEBC2C">
            <w:pPr>
              <w:jc w:val="center"/>
              <w:rPr>
                <w:rFonts w:hint="eastAsia" w:ascii="宋体" w:hAnsi="宋体" w:eastAsia="宋体" w:cs="宋体"/>
                <w:i w:val="0"/>
                <w:iCs w:val="0"/>
                <w:color w:val="000000"/>
                <w:sz w:val="18"/>
                <w:szCs w:val="18"/>
                <w:u w:val="none"/>
              </w:rPr>
            </w:pPr>
          </w:p>
        </w:tc>
        <w:tc>
          <w:tcPr>
            <w:tcW w:w="4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D24B37">
            <w:pPr>
              <w:jc w:val="center"/>
              <w:rPr>
                <w:rFonts w:hint="eastAsia" w:ascii="宋体" w:hAnsi="宋体" w:eastAsia="宋体" w:cs="宋体"/>
                <w:i w:val="0"/>
                <w:iCs w:val="0"/>
                <w:color w:val="000000"/>
                <w:sz w:val="18"/>
                <w:szCs w:val="18"/>
                <w:u w:val="none"/>
              </w:rPr>
            </w:pP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CC70D4">
            <w:pPr>
              <w:jc w:val="center"/>
              <w:rPr>
                <w:rFonts w:hint="eastAsia" w:ascii="宋体" w:hAnsi="宋体" w:eastAsia="宋体" w:cs="宋体"/>
                <w:i w:val="0"/>
                <w:iCs w:val="0"/>
                <w:color w:val="000000"/>
                <w:sz w:val="18"/>
                <w:szCs w:val="18"/>
                <w:u w:val="none"/>
              </w:rPr>
            </w:pPr>
          </w:p>
        </w:tc>
        <w:tc>
          <w:tcPr>
            <w:tcW w:w="4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0FC845">
            <w:pPr>
              <w:jc w:val="center"/>
              <w:rPr>
                <w:rFonts w:hint="eastAsia" w:ascii="宋体" w:hAnsi="宋体" w:eastAsia="宋体" w:cs="宋体"/>
                <w:i w:val="0"/>
                <w:iCs w:val="0"/>
                <w:color w:val="000000"/>
                <w:sz w:val="18"/>
                <w:szCs w:val="18"/>
                <w:u w:val="none"/>
              </w:rPr>
            </w:pPr>
          </w:p>
        </w:tc>
        <w:tc>
          <w:tcPr>
            <w:tcW w:w="11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81F846">
            <w:pPr>
              <w:jc w:val="center"/>
              <w:rPr>
                <w:rFonts w:hint="eastAsia" w:ascii="宋体" w:hAnsi="宋体" w:eastAsia="宋体" w:cs="宋体"/>
                <w:i w:val="0"/>
                <w:iCs w:val="0"/>
                <w:color w:val="000000"/>
                <w:sz w:val="18"/>
                <w:szCs w:val="18"/>
                <w:u w:val="none"/>
              </w:rPr>
            </w:pPr>
          </w:p>
        </w:tc>
        <w:tc>
          <w:tcPr>
            <w:tcW w:w="4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FE7580">
            <w:pPr>
              <w:jc w:val="center"/>
              <w:rPr>
                <w:rFonts w:hint="eastAsia" w:ascii="宋体" w:hAnsi="宋体" w:eastAsia="宋体" w:cs="宋体"/>
                <w:i w:val="0"/>
                <w:iCs w:val="0"/>
                <w:color w:val="000000"/>
                <w:sz w:val="18"/>
                <w:szCs w:val="18"/>
                <w:u w:val="none"/>
              </w:rPr>
            </w:pP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5666F2">
            <w:pPr>
              <w:jc w:val="center"/>
              <w:rPr>
                <w:rFonts w:hint="eastAsia" w:ascii="宋体" w:hAnsi="宋体" w:eastAsia="宋体" w:cs="宋体"/>
                <w:i w:val="0"/>
                <w:iCs w:val="0"/>
                <w:color w:val="000000"/>
                <w:sz w:val="18"/>
                <w:szCs w:val="18"/>
                <w:u w:val="none"/>
              </w:rPr>
            </w:pP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9E656C">
            <w:pPr>
              <w:jc w:val="center"/>
              <w:rPr>
                <w:rFonts w:hint="eastAsia" w:ascii="宋体" w:hAnsi="宋体" w:eastAsia="宋体" w:cs="宋体"/>
                <w:i w:val="0"/>
                <w:iCs w:val="0"/>
                <w:color w:val="000000"/>
                <w:sz w:val="18"/>
                <w:szCs w:val="18"/>
                <w:u w:val="none"/>
              </w:rPr>
            </w:pP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4AB310">
            <w:pPr>
              <w:jc w:val="center"/>
              <w:rPr>
                <w:rFonts w:hint="eastAsia" w:ascii="宋体" w:hAnsi="宋体" w:eastAsia="宋体" w:cs="宋体"/>
                <w:i w:val="0"/>
                <w:iCs w:val="0"/>
                <w:color w:val="000000"/>
                <w:sz w:val="18"/>
                <w:szCs w:val="18"/>
                <w:u w:val="none"/>
              </w:rPr>
            </w:pP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725837">
            <w:pPr>
              <w:jc w:val="center"/>
              <w:rPr>
                <w:rFonts w:hint="eastAsia" w:ascii="宋体" w:hAnsi="宋体" w:eastAsia="宋体" w:cs="宋体"/>
                <w:i w:val="0"/>
                <w:iCs w:val="0"/>
                <w:color w:val="000000"/>
                <w:sz w:val="18"/>
                <w:szCs w:val="18"/>
                <w:u w:val="none"/>
              </w:rPr>
            </w:pPr>
          </w:p>
        </w:tc>
        <w:tc>
          <w:tcPr>
            <w:tcW w:w="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FBB381">
            <w:pPr>
              <w:jc w:val="center"/>
              <w:rPr>
                <w:rFonts w:hint="eastAsia" w:ascii="宋体" w:hAnsi="宋体" w:eastAsia="宋体" w:cs="宋体"/>
                <w:i w:val="0"/>
                <w:iCs w:val="0"/>
                <w:color w:val="000000"/>
                <w:sz w:val="18"/>
                <w:szCs w:val="18"/>
                <w:u w:val="none"/>
              </w:rPr>
            </w:pPr>
          </w:p>
        </w:tc>
      </w:tr>
      <w:tr w14:paraId="4FBE973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31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895EB2B">
            <w:pPr>
              <w:jc w:val="center"/>
              <w:rPr>
                <w:rFonts w:hint="eastAsia" w:ascii="宋体" w:hAnsi="宋体" w:eastAsia="宋体" w:cs="宋体"/>
                <w:b/>
                <w:bCs/>
                <w:i w:val="0"/>
                <w:iCs w:val="0"/>
                <w:color w:val="000000"/>
                <w:sz w:val="18"/>
                <w:szCs w:val="18"/>
                <w:u w:val="none"/>
              </w:rPr>
            </w:pPr>
          </w:p>
        </w:tc>
        <w:tc>
          <w:tcPr>
            <w:tcW w:w="31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3A41F64">
            <w:pPr>
              <w:jc w:val="center"/>
              <w:rPr>
                <w:rFonts w:hint="eastAsia" w:ascii="宋体" w:hAnsi="宋体" w:eastAsia="宋体" w:cs="宋体"/>
                <w:i w:val="0"/>
                <w:iCs w:val="0"/>
                <w:color w:val="000000"/>
                <w:sz w:val="18"/>
                <w:szCs w:val="18"/>
                <w:u w:val="none"/>
              </w:rPr>
            </w:pP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D1E77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社会成本指标</w:t>
            </w: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70E382">
            <w:pPr>
              <w:jc w:val="center"/>
              <w:rPr>
                <w:rFonts w:hint="eastAsia" w:ascii="宋体" w:hAnsi="宋体" w:eastAsia="宋体" w:cs="宋体"/>
                <w:i w:val="0"/>
                <w:iCs w:val="0"/>
                <w:color w:val="000000"/>
                <w:sz w:val="18"/>
                <w:szCs w:val="18"/>
                <w:u w:val="none"/>
              </w:rPr>
            </w:pPr>
          </w:p>
        </w:tc>
        <w:tc>
          <w:tcPr>
            <w:tcW w:w="4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E1B95C">
            <w:pPr>
              <w:jc w:val="center"/>
              <w:rPr>
                <w:rFonts w:hint="eastAsia" w:ascii="宋体" w:hAnsi="宋体" w:eastAsia="宋体" w:cs="宋体"/>
                <w:i w:val="0"/>
                <w:iCs w:val="0"/>
                <w:color w:val="000000"/>
                <w:sz w:val="18"/>
                <w:szCs w:val="18"/>
                <w:u w:val="none"/>
              </w:rPr>
            </w:pP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792940">
            <w:pPr>
              <w:jc w:val="center"/>
              <w:rPr>
                <w:rFonts w:hint="eastAsia" w:ascii="宋体" w:hAnsi="宋体" w:eastAsia="宋体" w:cs="宋体"/>
                <w:i w:val="0"/>
                <w:iCs w:val="0"/>
                <w:color w:val="000000"/>
                <w:sz w:val="18"/>
                <w:szCs w:val="18"/>
                <w:u w:val="none"/>
              </w:rPr>
            </w:pPr>
          </w:p>
        </w:tc>
        <w:tc>
          <w:tcPr>
            <w:tcW w:w="4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F94F1C">
            <w:pPr>
              <w:jc w:val="center"/>
              <w:rPr>
                <w:rFonts w:hint="eastAsia" w:ascii="宋体" w:hAnsi="宋体" w:eastAsia="宋体" w:cs="宋体"/>
                <w:i w:val="0"/>
                <w:iCs w:val="0"/>
                <w:color w:val="000000"/>
                <w:sz w:val="18"/>
                <w:szCs w:val="18"/>
                <w:u w:val="none"/>
              </w:rPr>
            </w:pPr>
          </w:p>
        </w:tc>
        <w:tc>
          <w:tcPr>
            <w:tcW w:w="11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32C4D1">
            <w:pPr>
              <w:jc w:val="center"/>
              <w:rPr>
                <w:rFonts w:hint="eastAsia" w:ascii="宋体" w:hAnsi="宋体" w:eastAsia="宋体" w:cs="宋体"/>
                <w:i w:val="0"/>
                <w:iCs w:val="0"/>
                <w:color w:val="000000"/>
                <w:sz w:val="18"/>
                <w:szCs w:val="18"/>
                <w:u w:val="none"/>
              </w:rPr>
            </w:pPr>
          </w:p>
        </w:tc>
        <w:tc>
          <w:tcPr>
            <w:tcW w:w="4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9605CA">
            <w:pPr>
              <w:jc w:val="center"/>
              <w:rPr>
                <w:rFonts w:hint="eastAsia" w:ascii="宋体" w:hAnsi="宋体" w:eastAsia="宋体" w:cs="宋体"/>
                <w:i w:val="0"/>
                <w:iCs w:val="0"/>
                <w:color w:val="000000"/>
                <w:sz w:val="18"/>
                <w:szCs w:val="18"/>
                <w:u w:val="none"/>
              </w:rPr>
            </w:pP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9E92DF">
            <w:pPr>
              <w:jc w:val="center"/>
              <w:rPr>
                <w:rFonts w:hint="eastAsia" w:ascii="宋体" w:hAnsi="宋体" w:eastAsia="宋体" w:cs="宋体"/>
                <w:i w:val="0"/>
                <w:iCs w:val="0"/>
                <w:color w:val="000000"/>
                <w:sz w:val="18"/>
                <w:szCs w:val="18"/>
                <w:u w:val="none"/>
              </w:rPr>
            </w:pP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7E9140">
            <w:pPr>
              <w:jc w:val="center"/>
              <w:rPr>
                <w:rFonts w:hint="eastAsia" w:ascii="宋体" w:hAnsi="宋体" w:eastAsia="宋体" w:cs="宋体"/>
                <w:i w:val="0"/>
                <w:iCs w:val="0"/>
                <w:color w:val="000000"/>
                <w:sz w:val="18"/>
                <w:szCs w:val="18"/>
                <w:u w:val="none"/>
              </w:rPr>
            </w:pP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E19AF1">
            <w:pPr>
              <w:jc w:val="center"/>
              <w:rPr>
                <w:rFonts w:hint="eastAsia" w:ascii="宋体" w:hAnsi="宋体" w:eastAsia="宋体" w:cs="宋体"/>
                <w:i w:val="0"/>
                <w:iCs w:val="0"/>
                <w:color w:val="000000"/>
                <w:sz w:val="18"/>
                <w:szCs w:val="18"/>
                <w:u w:val="none"/>
              </w:rPr>
            </w:pP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A02FD0">
            <w:pPr>
              <w:jc w:val="center"/>
              <w:rPr>
                <w:rFonts w:hint="eastAsia" w:ascii="宋体" w:hAnsi="宋体" w:eastAsia="宋体" w:cs="宋体"/>
                <w:i w:val="0"/>
                <w:iCs w:val="0"/>
                <w:color w:val="000000"/>
                <w:sz w:val="18"/>
                <w:szCs w:val="18"/>
                <w:u w:val="none"/>
              </w:rPr>
            </w:pPr>
          </w:p>
        </w:tc>
        <w:tc>
          <w:tcPr>
            <w:tcW w:w="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FC7B2F">
            <w:pPr>
              <w:jc w:val="center"/>
              <w:rPr>
                <w:rFonts w:hint="eastAsia" w:ascii="宋体" w:hAnsi="宋体" w:eastAsia="宋体" w:cs="宋体"/>
                <w:i w:val="0"/>
                <w:iCs w:val="0"/>
                <w:color w:val="000000"/>
                <w:sz w:val="18"/>
                <w:szCs w:val="18"/>
                <w:u w:val="none"/>
              </w:rPr>
            </w:pPr>
          </w:p>
        </w:tc>
      </w:tr>
      <w:tr w14:paraId="4291314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31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B738CAA">
            <w:pPr>
              <w:jc w:val="center"/>
              <w:rPr>
                <w:rFonts w:hint="eastAsia" w:ascii="宋体" w:hAnsi="宋体" w:eastAsia="宋体" w:cs="宋体"/>
                <w:b/>
                <w:bCs/>
                <w:i w:val="0"/>
                <w:iCs w:val="0"/>
                <w:color w:val="000000"/>
                <w:sz w:val="18"/>
                <w:szCs w:val="18"/>
                <w:u w:val="none"/>
              </w:rPr>
            </w:pPr>
          </w:p>
        </w:tc>
        <w:tc>
          <w:tcPr>
            <w:tcW w:w="31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8473D7F">
            <w:pPr>
              <w:jc w:val="center"/>
              <w:rPr>
                <w:rFonts w:hint="eastAsia" w:ascii="宋体" w:hAnsi="宋体" w:eastAsia="宋体" w:cs="宋体"/>
                <w:i w:val="0"/>
                <w:iCs w:val="0"/>
                <w:color w:val="000000"/>
                <w:sz w:val="18"/>
                <w:szCs w:val="18"/>
                <w:u w:val="none"/>
              </w:rPr>
            </w:pP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4AC67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生态环境成本指标</w:t>
            </w: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AF05DF">
            <w:pPr>
              <w:jc w:val="center"/>
              <w:rPr>
                <w:rFonts w:hint="eastAsia" w:ascii="宋体" w:hAnsi="宋体" w:eastAsia="宋体" w:cs="宋体"/>
                <w:i w:val="0"/>
                <w:iCs w:val="0"/>
                <w:color w:val="000000"/>
                <w:sz w:val="18"/>
                <w:szCs w:val="18"/>
                <w:u w:val="none"/>
              </w:rPr>
            </w:pPr>
          </w:p>
        </w:tc>
        <w:tc>
          <w:tcPr>
            <w:tcW w:w="4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1C1B96">
            <w:pPr>
              <w:jc w:val="center"/>
              <w:rPr>
                <w:rFonts w:hint="eastAsia" w:ascii="宋体" w:hAnsi="宋体" w:eastAsia="宋体" w:cs="宋体"/>
                <w:i w:val="0"/>
                <w:iCs w:val="0"/>
                <w:color w:val="000000"/>
                <w:sz w:val="18"/>
                <w:szCs w:val="18"/>
                <w:u w:val="none"/>
              </w:rPr>
            </w:pP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C3F4B2">
            <w:pPr>
              <w:jc w:val="center"/>
              <w:rPr>
                <w:rFonts w:hint="eastAsia" w:ascii="宋体" w:hAnsi="宋体" w:eastAsia="宋体" w:cs="宋体"/>
                <w:i w:val="0"/>
                <w:iCs w:val="0"/>
                <w:color w:val="000000"/>
                <w:sz w:val="18"/>
                <w:szCs w:val="18"/>
                <w:u w:val="none"/>
              </w:rPr>
            </w:pPr>
          </w:p>
        </w:tc>
        <w:tc>
          <w:tcPr>
            <w:tcW w:w="4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E14C9E">
            <w:pPr>
              <w:jc w:val="center"/>
              <w:rPr>
                <w:rFonts w:hint="eastAsia" w:ascii="宋体" w:hAnsi="宋体" w:eastAsia="宋体" w:cs="宋体"/>
                <w:i w:val="0"/>
                <w:iCs w:val="0"/>
                <w:color w:val="000000"/>
                <w:sz w:val="18"/>
                <w:szCs w:val="18"/>
                <w:u w:val="none"/>
              </w:rPr>
            </w:pPr>
          </w:p>
        </w:tc>
        <w:tc>
          <w:tcPr>
            <w:tcW w:w="11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23AFBD">
            <w:pPr>
              <w:jc w:val="center"/>
              <w:rPr>
                <w:rFonts w:hint="eastAsia" w:ascii="宋体" w:hAnsi="宋体" w:eastAsia="宋体" w:cs="宋体"/>
                <w:i w:val="0"/>
                <w:iCs w:val="0"/>
                <w:color w:val="000000"/>
                <w:sz w:val="18"/>
                <w:szCs w:val="18"/>
                <w:u w:val="none"/>
              </w:rPr>
            </w:pPr>
          </w:p>
        </w:tc>
        <w:tc>
          <w:tcPr>
            <w:tcW w:w="4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2D966D">
            <w:pPr>
              <w:jc w:val="center"/>
              <w:rPr>
                <w:rFonts w:hint="eastAsia" w:ascii="宋体" w:hAnsi="宋体" w:eastAsia="宋体" w:cs="宋体"/>
                <w:i w:val="0"/>
                <w:iCs w:val="0"/>
                <w:color w:val="000000"/>
                <w:sz w:val="18"/>
                <w:szCs w:val="18"/>
                <w:u w:val="none"/>
              </w:rPr>
            </w:pP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B5D0C9">
            <w:pPr>
              <w:jc w:val="center"/>
              <w:rPr>
                <w:rFonts w:hint="eastAsia" w:ascii="宋体" w:hAnsi="宋体" w:eastAsia="宋体" w:cs="宋体"/>
                <w:i w:val="0"/>
                <w:iCs w:val="0"/>
                <w:color w:val="000000"/>
                <w:sz w:val="18"/>
                <w:szCs w:val="18"/>
                <w:u w:val="none"/>
              </w:rPr>
            </w:pP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70097C">
            <w:pPr>
              <w:jc w:val="center"/>
              <w:rPr>
                <w:rFonts w:hint="eastAsia" w:ascii="宋体" w:hAnsi="宋体" w:eastAsia="宋体" w:cs="宋体"/>
                <w:i w:val="0"/>
                <w:iCs w:val="0"/>
                <w:color w:val="000000"/>
                <w:sz w:val="18"/>
                <w:szCs w:val="18"/>
                <w:u w:val="none"/>
              </w:rPr>
            </w:pP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5E9B1C">
            <w:pPr>
              <w:jc w:val="center"/>
              <w:rPr>
                <w:rFonts w:hint="eastAsia" w:ascii="宋体" w:hAnsi="宋体" w:eastAsia="宋体" w:cs="宋体"/>
                <w:i w:val="0"/>
                <w:iCs w:val="0"/>
                <w:color w:val="000000"/>
                <w:sz w:val="18"/>
                <w:szCs w:val="18"/>
                <w:u w:val="none"/>
              </w:rPr>
            </w:pP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FE4F46">
            <w:pPr>
              <w:jc w:val="center"/>
              <w:rPr>
                <w:rFonts w:hint="eastAsia" w:ascii="宋体" w:hAnsi="宋体" w:eastAsia="宋体" w:cs="宋体"/>
                <w:i w:val="0"/>
                <w:iCs w:val="0"/>
                <w:color w:val="000000"/>
                <w:sz w:val="18"/>
                <w:szCs w:val="18"/>
                <w:u w:val="none"/>
              </w:rPr>
            </w:pPr>
          </w:p>
        </w:tc>
        <w:tc>
          <w:tcPr>
            <w:tcW w:w="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A89401">
            <w:pPr>
              <w:jc w:val="center"/>
              <w:rPr>
                <w:rFonts w:hint="eastAsia" w:ascii="宋体" w:hAnsi="宋体" w:eastAsia="宋体" w:cs="宋体"/>
                <w:i w:val="0"/>
                <w:iCs w:val="0"/>
                <w:color w:val="000000"/>
                <w:sz w:val="18"/>
                <w:szCs w:val="18"/>
                <w:u w:val="none"/>
              </w:rPr>
            </w:pPr>
          </w:p>
        </w:tc>
      </w:tr>
      <w:tr w14:paraId="05065D8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31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3798B4C">
            <w:pPr>
              <w:jc w:val="center"/>
              <w:rPr>
                <w:rFonts w:hint="eastAsia" w:ascii="宋体" w:hAnsi="宋体" w:eastAsia="宋体" w:cs="宋体"/>
                <w:b/>
                <w:bCs/>
                <w:i w:val="0"/>
                <w:iCs w:val="0"/>
                <w:color w:val="000000"/>
                <w:sz w:val="18"/>
                <w:szCs w:val="18"/>
                <w:u w:val="none"/>
              </w:rPr>
            </w:pPr>
          </w:p>
        </w:tc>
        <w:tc>
          <w:tcPr>
            <w:tcW w:w="31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A1D38C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效益指标</w:t>
            </w: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EC630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经济效益指标</w:t>
            </w: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52F5D0">
            <w:pPr>
              <w:jc w:val="center"/>
              <w:rPr>
                <w:rFonts w:hint="eastAsia" w:ascii="宋体" w:hAnsi="宋体" w:eastAsia="宋体" w:cs="宋体"/>
                <w:i w:val="0"/>
                <w:iCs w:val="0"/>
                <w:color w:val="000000"/>
                <w:sz w:val="18"/>
                <w:szCs w:val="18"/>
                <w:u w:val="none"/>
              </w:rPr>
            </w:pPr>
          </w:p>
        </w:tc>
        <w:tc>
          <w:tcPr>
            <w:tcW w:w="4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561522">
            <w:pPr>
              <w:jc w:val="center"/>
              <w:rPr>
                <w:rFonts w:hint="eastAsia" w:ascii="宋体" w:hAnsi="宋体" w:eastAsia="宋体" w:cs="宋体"/>
                <w:i w:val="0"/>
                <w:iCs w:val="0"/>
                <w:color w:val="000000"/>
                <w:sz w:val="18"/>
                <w:szCs w:val="18"/>
                <w:u w:val="none"/>
              </w:rPr>
            </w:pP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6E3E62">
            <w:pPr>
              <w:jc w:val="center"/>
              <w:rPr>
                <w:rFonts w:hint="eastAsia" w:ascii="宋体" w:hAnsi="宋体" w:eastAsia="宋体" w:cs="宋体"/>
                <w:i w:val="0"/>
                <w:iCs w:val="0"/>
                <w:color w:val="000000"/>
                <w:sz w:val="18"/>
                <w:szCs w:val="18"/>
                <w:u w:val="none"/>
              </w:rPr>
            </w:pPr>
          </w:p>
        </w:tc>
        <w:tc>
          <w:tcPr>
            <w:tcW w:w="4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CA8A49">
            <w:pPr>
              <w:jc w:val="center"/>
              <w:rPr>
                <w:rFonts w:hint="eastAsia" w:ascii="宋体" w:hAnsi="宋体" w:eastAsia="宋体" w:cs="宋体"/>
                <w:i w:val="0"/>
                <w:iCs w:val="0"/>
                <w:color w:val="000000"/>
                <w:sz w:val="18"/>
                <w:szCs w:val="18"/>
                <w:u w:val="none"/>
              </w:rPr>
            </w:pPr>
          </w:p>
        </w:tc>
        <w:tc>
          <w:tcPr>
            <w:tcW w:w="11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832E46">
            <w:pPr>
              <w:jc w:val="center"/>
              <w:rPr>
                <w:rFonts w:hint="eastAsia" w:ascii="宋体" w:hAnsi="宋体" w:eastAsia="宋体" w:cs="宋体"/>
                <w:i w:val="0"/>
                <w:iCs w:val="0"/>
                <w:color w:val="000000"/>
                <w:sz w:val="18"/>
                <w:szCs w:val="18"/>
                <w:u w:val="none"/>
              </w:rPr>
            </w:pPr>
          </w:p>
        </w:tc>
        <w:tc>
          <w:tcPr>
            <w:tcW w:w="4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878B2B">
            <w:pPr>
              <w:jc w:val="center"/>
              <w:rPr>
                <w:rFonts w:hint="eastAsia" w:ascii="宋体" w:hAnsi="宋体" w:eastAsia="宋体" w:cs="宋体"/>
                <w:i w:val="0"/>
                <w:iCs w:val="0"/>
                <w:color w:val="000000"/>
                <w:sz w:val="18"/>
                <w:szCs w:val="18"/>
                <w:u w:val="none"/>
              </w:rPr>
            </w:pP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0EC532">
            <w:pPr>
              <w:jc w:val="center"/>
              <w:rPr>
                <w:rFonts w:hint="eastAsia" w:ascii="宋体" w:hAnsi="宋体" w:eastAsia="宋体" w:cs="宋体"/>
                <w:i w:val="0"/>
                <w:iCs w:val="0"/>
                <w:color w:val="000000"/>
                <w:sz w:val="18"/>
                <w:szCs w:val="18"/>
                <w:u w:val="none"/>
              </w:rPr>
            </w:pP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48A482">
            <w:pPr>
              <w:jc w:val="center"/>
              <w:rPr>
                <w:rFonts w:hint="eastAsia" w:ascii="宋体" w:hAnsi="宋体" w:eastAsia="宋体" w:cs="宋体"/>
                <w:i w:val="0"/>
                <w:iCs w:val="0"/>
                <w:color w:val="000000"/>
                <w:sz w:val="18"/>
                <w:szCs w:val="18"/>
                <w:u w:val="none"/>
              </w:rPr>
            </w:pP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7B9F98">
            <w:pPr>
              <w:jc w:val="center"/>
              <w:rPr>
                <w:rFonts w:hint="eastAsia" w:ascii="宋体" w:hAnsi="宋体" w:eastAsia="宋体" w:cs="宋体"/>
                <w:i w:val="0"/>
                <w:iCs w:val="0"/>
                <w:color w:val="000000"/>
                <w:sz w:val="18"/>
                <w:szCs w:val="18"/>
                <w:u w:val="none"/>
              </w:rPr>
            </w:pP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386239">
            <w:pPr>
              <w:jc w:val="center"/>
              <w:rPr>
                <w:rFonts w:hint="eastAsia" w:ascii="宋体" w:hAnsi="宋体" w:eastAsia="宋体" w:cs="宋体"/>
                <w:i w:val="0"/>
                <w:iCs w:val="0"/>
                <w:color w:val="000000"/>
                <w:sz w:val="18"/>
                <w:szCs w:val="18"/>
                <w:u w:val="none"/>
              </w:rPr>
            </w:pPr>
          </w:p>
        </w:tc>
        <w:tc>
          <w:tcPr>
            <w:tcW w:w="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35D6F6">
            <w:pPr>
              <w:jc w:val="center"/>
              <w:rPr>
                <w:rFonts w:hint="eastAsia" w:ascii="宋体" w:hAnsi="宋体" w:eastAsia="宋体" w:cs="宋体"/>
                <w:i w:val="0"/>
                <w:iCs w:val="0"/>
                <w:color w:val="000000"/>
                <w:sz w:val="18"/>
                <w:szCs w:val="18"/>
                <w:u w:val="none"/>
              </w:rPr>
            </w:pPr>
          </w:p>
        </w:tc>
      </w:tr>
      <w:tr w14:paraId="1656954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31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995A020">
            <w:pPr>
              <w:jc w:val="center"/>
              <w:rPr>
                <w:rFonts w:hint="eastAsia" w:ascii="宋体" w:hAnsi="宋体" w:eastAsia="宋体" w:cs="宋体"/>
                <w:b/>
                <w:bCs/>
                <w:i w:val="0"/>
                <w:iCs w:val="0"/>
                <w:color w:val="000000"/>
                <w:sz w:val="18"/>
                <w:szCs w:val="18"/>
                <w:u w:val="none"/>
              </w:rPr>
            </w:pPr>
          </w:p>
        </w:tc>
        <w:tc>
          <w:tcPr>
            <w:tcW w:w="31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DEF2A83">
            <w:pPr>
              <w:jc w:val="center"/>
              <w:rPr>
                <w:rFonts w:hint="eastAsia" w:ascii="宋体" w:hAnsi="宋体" w:eastAsia="宋体" w:cs="宋体"/>
                <w:i w:val="0"/>
                <w:iCs w:val="0"/>
                <w:color w:val="000000"/>
                <w:sz w:val="18"/>
                <w:szCs w:val="18"/>
                <w:u w:val="none"/>
              </w:rPr>
            </w:pP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5E7D7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71796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基本公共卫生服务水平</w:t>
            </w:r>
          </w:p>
        </w:tc>
        <w:tc>
          <w:tcPr>
            <w:tcW w:w="4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A9057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53A55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逐步提高</w:t>
            </w:r>
          </w:p>
        </w:tc>
        <w:tc>
          <w:tcPr>
            <w:tcW w:w="4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D4CB2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达到预期指标</w:t>
            </w:r>
          </w:p>
        </w:tc>
        <w:tc>
          <w:tcPr>
            <w:tcW w:w="11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D2C54F">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4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6DD06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0ABC2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513EB9">
            <w:pPr>
              <w:jc w:val="center"/>
              <w:rPr>
                <w:rFonts w:hint="eastAsia" w:ascii="宋体" w:hAnsi="宋体" w:eastAsia="宋体" w:cs="宋体"/>
                <w:i w:val="0"/>
                <w:iCs w:val="0"/>
                <w:color w:val="000000"/>
                <w:sz w:val="18"/>
                <w:szCs w:val="18"/>
                <w:u w:val="none"/>
              </w:rPr>
            </w:pP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57DA1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01303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说明材料</w:t>
            </w:r>
          </w:p>
        </w:tc>
        <w:tc>
          <w:tcPr>
            <w:tcW w:w="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C1A009">
            <w:pPr>
              <w:jc w:val="center"/>
              <w:rPr>
                <w:rFonts w:hint="eastAsia" w:ascii="宋体" w:hAnsi="宋体" w:eastAsia="宋体" w:cs="宋体"/>
                <w:i w:val="0"/>
                <w:iCs w:val="0"/>
                <w:color w:val="000000"/>
                <w:sz w:val="18"/>
                <w:szCs w:val="18"/>
                <w:u w:val="none"/>
              </w:rPr>
            </w:pPr>
          </w:p>
        </w:tc>
      </w:tr>
      <w:tr w14:paraId="3ED2125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31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EBF825D">
            <w:pPr>
              <w:jc w:val="center"/>
              <w:rPr>
                <w:rFonts w:hint="eastAsia" w:ascii="宋体" w:hAnsi="宋体" w:eastAsia="宋体" w:cs="宋体"/>
                <w:b/>
                <w:bCs/>
                <w:i w:val="0"/>
                <w:iCs w:val="0"/>
                <w:color w:val="000000"/>
                <w:sz w:val="18"/>
                <w:szCs w:val="18"/>
                <w:u w:val="none"/>
              </w:rPr>
            </w:pPr>
          </w:p>
        </w:tc>
        <w:tc>
          <w:tcPr>
            <w:tcW w:w="31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FC65B80">
            <w:pPr>
              <w:jc w:val="center"/>
              <w:rPr>
                <w:rFonts w:hint="eastAsia" w:ascii="宋体" w:hAnsi="宋体" w:eastAsia="宋体" w:cs="宋体"/>
                <w:i w:val="0"/>
                <w:iCs w:val="0"/>
                <w:color w:val="000000"/>
                <w:sz w:val="18"/>
                <w:szCs w:val="18"/>
                <w:u w:val="none"/>
              </w:rPr>
            </w:pP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66E6F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93223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老年人健康服务水平</w:t>
            </w:r>
          </w:p>
        </w:tc>
        <w:tc>
          <w:tcPr>
            <w:tcW w:w="4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424F9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2F7FE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逐步提高</w:t>
            </w:r>
          </w:p>
        </w:tc>
        <w:tc>
          <w:tcPr>
            <w:tcW w:w="4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591C5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达到预期指标</w:t>
            </w:r>
          </w:p>
        </w:tc>
        <w:tc>
          <w:tcPr>
            <w:tcW w:w="11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4880E7">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4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B012F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8E218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883C04">
            <w:pPr>
              <w:jc w:val="center"/>
              <w:rPr>
                <w:rFonts w:hint="eastAsia" w:ascii="宋体" w:hAnsi="宋体" w:eastAsia="宋体" w:cs="宋体"/>
                <w:i w:val="0"/>
                <w:iCs w:val="0"/>
                <w:color w:val="000000"/>
                <w:sz w:val="18"/>
                <w:szCs w:val="18"/>
                <w:u w:val="none"/>
              </w:rPr>
            </w:pP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DE315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B53C2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说明材料</w:t>
            </w:r>
          </w:p>
        </w:tc>
        <w:tc>
          <w:tcPr>
            <w:tcW w:w="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D053FC">
            <w:pPr>
              <w:jc w:val="center"/>
              <w:rPr>
                <w:rFonts w:hint="eastAsia" w:ascii="宋体" w:hAnsi="宋体" w:eastAsia="宋体" w:cs="宋体"/>
                <w:i w:val="0"/>
                <w:iCs w:val="0"/>
                <w:color w:val="000000"/>
                <w:sz w:val="18"/>
                <w:szCs w:val="18"/>
                <w:u w:val="none"/>
              </w:rPr>
            </w:pPr>
          </w:p>
        </w:tc>
      </w:tr>
      <w:tr w14:paraId="18C979E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31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3DF78EC">
            <w:pPr>
              <w:jc w:val="center"/>
              <w:rPr>
                <w:rFonts w:hint="eastAsia" w:ascii="宋体" w:hAnsi="宋体" w:eastAsia="宋体" w:cs="宋体"/>
                <w:b/>
                <w:bCs/>
                <w:i w:val="0"/>
                <w:iCs w:val="0"/>
                <w:color w:val="000000"/>
                <w:sz w:val="18"/>
                <w:szCs w:val="18"/>
                <w:u w:val="none"/>
              </w:rPr>
            </w:pPr>
          </w:p>
        </w:tc>
        <w:tc>
          <w:tcPr>
            <w:tcW w:w="31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F3FCC18">
            <w:pPr>
              <w:jc w:val="center"/>
              <w:rPr>
                <w:rFonts w:hint="eastAsia" w:ascii="宋体" w:hAnsi="宋体" w:eastAsia="宋体" w:cs="宋体"/>
                <w:i w:val="0"/>
                <w:iCs w:val="0"/>
                <w:color w:val="000000"/>
                <w:sz w:val="18"/>
                <w:szCs w:val="18"/>
                <w:u w:val="none"/>
              </w:rPr>
            </w:pP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F16E1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生态效益指标</w:t>
            </w: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149BCE">
            <w:pPr>
              <w:jc w:val="center"/>
              <w:rPr>
                <w:rFonts w:hint="eastAsia" w:ascii="宋体" w:hAnsi="宋体" w:eastAsia="宋体" w:cs="宋体"/>
                <w:i w:val="0"/>
                <w:iCs w:val="0"/>
                <w:color w:val="000000"/>
                <w:sz w:val="18"/>
                <w:szCs w:val="18"/>
                <w:u w:val="none"/>
              </w:rPr>
            </w:pPr>
          </w:p>
        </w:tc>
        <w:tc>
          <w:tcPr>
            <w:tcW w:w="4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F0F8F9">
            <w:pPr>
              <w:jc w:val="center"/>
              <w:rPr>
                <w:rFonts w:hint="eastAsia" w:ascii="宋体" w:hAnsi="宋体" w:eastAsia="宋体" w:cs="宋体"/>
                <w:i w:val="0"/>
                <w:iCs w:val="0"/>
                <w:color w:val="000000"/>
                <w:sz w:val="18"/>
                <w:szCs w:val="18"/>
                <w:u w:val="none"/>
              </w:rPr>
            </w:pP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F84A85">
            <w:pPr>
              <w:jc w:val="center"/>
              <w:rPr>
                <w:rFonts w:hint="eastAsia" w:ascii="宋体" w:hAnsi="宋体" w:eastAsia="宋体" w:cs="宋体"/>
                <w:i w:val="0"/>
                <w:iCs w:val="0"/>
                <w:color w:val="000000"/>
                <w:sz w:val="18"/>
                <w:szCs w:val="18"/>
                <w:u w:val="none"/>
              </w:rPr>
            </w:pPr>
          </w:p>
        </w:tc>
        <w:tc>
          <w:tcPr>
            <w:tcW w:w="4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5EB2FA">
            <w:pPr>
              <w:jc w:val="center"/>
              <w:rPr>
                <w:rFonts w:hint="eastAsia" w:ascii="宋体" w:hAnsi="宋体" w:eastAsia="宋体" w:cs="宋体"/>
                <w:i w:val="0"/>
                <w:iCs w:val="0"/>
                <w:color w:val="000000"/>
                <w:sz w:val="18"/>
                <w:szCs w:val="18"/>
                <w:u w:val="none"/>
              </w:rPr>
            </w:pPr>
          </w:p>
        </w:tc>
        <w:tc>
          <w:tcPr>
            <w:tcW w:w="11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3F4041">
            <w:pPr>
              <w:jc w:val="center"/>
              <w:rPr>
                <w:rFonts w:hint="eastAsia" w:ascii="宋体" w:hAnsi="宋体" w:eastAsia="宋体" w:cs="宋体"/>
                <w:i w:val="0"/>
                <w:iCs w:val="0"/>
                <w:color w:val="000000"/>
                <w:sz w:val="18"/>
                <w:szCs w:val="18"/>
                <w:u w:val="none"/>
              </w:rPr>
            </w:pPr>
          </w:p>
        </w:tc>
        <w:tc>
          <w:tcPr>
            <w:tcW w:w="4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E447A0">
            <w:pPr>
              <w:jc w:val="center"/>
              <w:rPr>
                <w:rFonts w:hint="eastAsia" w:ascii="宋体" w:hAnsi="宋体" w:eastAsia="宋体" w:cs="宋体"/>
                <w:i w:val="0"/>
                <w:iCs w:val="0"/>
                <w:color w:val="000000"/>
                <w:sz w:val="18"/>
                <w:szCs w:val="18"/>
                <w:u w:val="none"/>
              </w:rPr>
            </w:pP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E59226">
            <w:pPr>
              <w:jc w:val="center"/>
              <w:rPr>
                <w:rFonts w:hint="eastAsia" w:ascii="宋体" w:hAnsi="宋体" w:eastAsia="宋体" w:cs="宋体"/>
                <w:i w:val="0"/>
                <w:iCs w:val="0"/>
                <w:color w:val="000000"/>
                <w:sz w:val="18"/>
                <w:szCs w:val="18"/>
                <w:u w:val="none"/>
              </w:rPr>
            </w:pP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4916E2">
            <w:pPr>
              <w:jc w:val="center"/>
              <w:rPr>
                <w:rFonts w:hint="eastAsia" w:ascii="宋体" w:hAnsi="宋体" w:eastAsia="宋体" w:cs="宋体"/>
                <w:i w:val="0"/>
                <w:iCs w:val="0"/>
                <w:color w:val="000000"/>
                <w:sz w:val="18"/>
                <w:szCs w:val="18"/>
                <w:u w:val="none"/>
              </w:rPr>
            </w:pP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601C7F">
            <w:pPr>
              <w:jc w:val="center"/>
              <w:rPr>
                <w:rFonts w:hint="eastAsia" w:ascii="宋体" w:hAnsi="宋体" w:eastAsia="宋体" w:cs="宋体"/>
                <w:i w:val="0"/>
                <w:iCs w:val="0"/>
                <w:color w:val="000000"/>
                <w:sz w:val="18"/>
                <w:szCs w:val="18"/>
                <w:u w:val="none"/>
              </w:rPr>
            </w:pP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849FD0">
            <w:pPr>
              <w:jc w:val="center"/>
              <w:rPr>
                <w:rFonts w:hint="eastAsia" w:ascii="宋体" w:hAnsi="宋体" w:eastAsia="宋体" w:cs="宋体"/>
                <w:i w:val="0"/>
                <w:iCs w:val="0"/>
                <w:color w:val="000000"/>
                <w:sz w:val="18"/>
                <w:szCs w:val="18"/>
                <w:u w:val="none"/>
              </w:rPr>
            </w:pPr>
          </w:p>
        </w:tc>
        <w:tc>
          <w:tcPr>
            <w:tcW w:w="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40CE3F">
            <w:pPr>
              <w:jc w:val="center"/>
              <w:rPr>
                <w:rFonts w:hint="eastAsia" w:ascii="宋体" w:hAnsi="宋体" w:eastAsia="宋体" w:cs="宋体"/>
                <w:i w:val="0"/>
                <w:iCs w:val="0"/>
                <w:color w:val="000000"/>
                <w:sz w:val="18"/>
                <w:szCs w:val="18"/>
                <w:u w:val="none"/>
              </w:rPr>
            </w:pPr>
          </w:p>
        </w:tc>
      </w:tr>
      <w:tr w14:paraId="1351151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31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0B2C36E">
            <w:pPr>
              <w:jc w:val="center"/>
              <w:rPr>
                <w:rFonts w:hint="eastAsia" w:ascii="宋体" w:hAnsi="宋体" w:eastAsia="宋体" w:cs="宋体"/>
                <w:b/>
                <w:bCs/>
                <w:i w:val="0"/>
                <w:iCs w:val="0"/>
                <w:color w:val="000000"/>
                <w:sz w:val="18"/>
                <w:szCs w:val="18"/>
                <w:u w:val="none"/>
              </w:rPr>
            </w:pP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4CF19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E8165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47231F">
            <w:pPr>
              <w:jc w:val="center"/>
              <w:rPr>
                <w:rFonts w:hint="eastAsia" w:ascii="宋体" w:hAnsi="宋体" w:eastAsia="宋体" w:cs="宋体"/>
                <w:i w:val="0"/>
                <w:iCs w:val="0"/>
                <w:color w:val="000000"/>
                <w:sz w:val="18"/>
                <w:szCs w:val="18"/>
                <w:u w:val="none"/>
              </w:rPr>
            </w:pPr>
          </w:p>
        </w:tc>
        <w:tc>
          <w:tcPr>
            <w:tcW w:w="4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515884">
            <w:pPr>
              <w:jc w:val="center"/>
              <w:rPr>
                <w:rFonts w:hint="eastAsia" w:ascii="宋体" w:hAnsi="宋体" w:eastAsia="宋体" w:cs="宋体"/>
                <w:i w:val="0"/>
                <w:iCs w:val="0"/>
                <w:color w:val="000000"/>
                <w:sz w:val="18"/>
                <w:szCs w:val="18"/>
                <w:u w:val="none"/>
              </w:rPr>
            </w:pP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8B1AF8">
            <w:pPr>
              <w:jc w:val="center"/>
              <w:rPr>
                <w:rFonts w:hint="eastAsia" w:ascii="宋体" w:hAnsi="宋体" w:eastAsia="宋体" w:cs="宋体"/>
                <w:i w:val="0"/>
                <w:iCs w:val="0"/>
                <w:color w:val="000000"/>
                <w:sz w:val="18"/>
                <w:szCs w:val="18"/>
                <w:u w:val="none"/>
              </w:rPr>
            </w:pPr>
          </w:p>
        </w:tc>
        <w:tc>
          <w:tcPr>
            <w:tcW w:w="4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B6F17A">
            <w:pPr>
              <w:jc w:val="center"/>
              <w:rPr>
                <w:rFonts w:hint="eastAsia" w:ascii="宋体" w:hAnsi="宋体" w:eastAsia="宋体" w:cs="宋体"/>
                <w:i w:val="0"/>
                <w:iCs w:val="0"/>
                <w:color w:val="000000"/>
                <w:sz w:val="18"/>
                <w:szCs w:val="18"/>
                <w:u w:val="none"/>
              </w:rPr>
            </w:pPr>
          </w:p>
        </w:tc>
        <w:tc>
          <w:tcPr>
            <w:tcW w:w="11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6A0CC6">
            <w:pPr>
              <w:jc w:val="center"/>
              <w:rPr>
                <w:rFonts w:hint="eastAsia" w:ascii="宋体" w:hAnsi="宋体" w:eastAsia="宋体" w:cs="宋体"/>
                <w:i w:val="0"/>
                <w:iCs w:val="0"/>
                <w:color w:val="000000"/>
                <w:sz w:val="18"/>
                <w:szCs w:val="18"/>
                <w:u w:val="none"/>
              </w:rPr>
            </w:pPr>
          </w:p>
        </w:tc>
        <w:tc>
          <w:tcPr>
            <w:tcW w:w="4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817E89">
            <w:pPr>
              <w:jc w:val="center"/>
              <w:rPr>
                <w:rFonts w:hint="eastAsia" w:ascii="宋体" w:hAnsi="宋体" w:eastAsia="宋体" w:cs="宋体"/>
                <w:i w:val="0"/>
                <w:iCs w:val="0"/>
                <w:color w:val="000000"/>
                <w:sz w:val="18"/>
                <w:szCs w:val="18"/>
                <w:u w:val="none"/>
              </w:rPr>
            </w:pP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F6F3F0">
            <w:pPr>
              <w:jc w:val="center"/>
              <w:rPr>
                <w:rFonts w:hint="eastAsia" w:ascii="宋体" w:hAnsi="宋体" w:eastAsia="宋体" w:cs="宋体"/>
                <w:i w:val="0"/>
                <w:iCs w:val="0"/>
                <w:color w:val="000000"/>
                <w:sz w:val="18"/>
                <w:szCs w:val="18"/>
                <w:u w:val="none"/>
              </w:rPr>
            </w:pP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BB0652">
            <w:pPr>
              <w:jc w:val="center"/>
              <w:rPr>
                <w:rFonts w:hint="eastAsia" w:ascii="宋体" w:hAnsi="宋体" w:eastAsia="宋体" w:cs="宋体"/>
                <w:i w:val="0"/>
                <w:iCs w:val="0"/>
                <w:color w:val="000000"/>
                <w:sz w:val="18"/>
                <w:szCs w:val="18"/>
                <w:u w:val="none"/>
              </w:rPr>
            </w:pP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F8B3F9">
            <w:pPr>
              <w:jc w:val="center"/>
              <w:rPr>
                <w:rFonts w:hint="eastAsia" w:ascii="宋体" w:hAnsi="宋体" w:eastAsia="宋体" w:cs="宋体"/>
                <w:i w:val="0"/>
                <w:iCs w:val="0"/>
                <w:color w:val="000000"/>
                <w:sz w:val="18"/>
                <w:szCs w:val="18"/>
                <w:u w:val="none"/>
              </w:rPr>
            </w:pP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B8B762">
            <w:pPr>
              <w:jc w:val="center"/>
              <w:rPr>
                <w:rFonts w:hint="eastAsia" w:ascii="宋体" w:hAnsi="宋体" w:eastAsia="宋体" w:cs="宋体"/>
                <w:i w:val="0"/>
                <w:iCs w:val="0"/>
                <w:color w:val="000000"/>
                <w:sz w:val="18"/>
                <w:szCs w:val="18"/>
                <w:u w:val="none"/>
              </w:rPr>
            </w:pPr>
          </w:p>
        </w:tc>
        <w:tc>
          <w:tcPr>
            <w:tcW w:w="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F1CB82">
            <w:pPr>
              <w:jc w:val="center"/>
              <w:rPr>
                <w:rFonts w:hint="eastAsia" w:ascii="宋体" w:hAnsi="宋体" w:eastAsia="宋体" w:cs="宋体"/>
                <w:i w:val="0"/>
                <w:iCs w:val="0"/>
                <w:color w:val="000000"/>
                <w:sz w:val="18"/>
                <w:szCs w:val="18"/>
                <w:u w:val="none"/>
              </w:rPr>
            </w:pPr>
          </w:p>
        </w:tc>
      </w:tr>
      <w:bookmarkEnd w:id="158"/>
      <w:tr w14:paraId="167249D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1269" w:type="pct"/>
            <w:gridSpan w:val="4"/>
            <w:tcBorders>
              <w:top w:val="single" w:color="000000" w:sz="4" w:space="0"/>
              <w:left w:val="single" w:color="000000" w:sz="4" w:space="0"/>
              <w:bottom w:val="single" w:color="000000" w:sz="4" w:space="0"/>
              <w:right w:val="nil"/>
            </w:tcBorders>
            <w:shd w:val="clear" w:color="auto" w:fill="auto"/>
            <w:vAlign w:val="center"/>
          </w:tcPr>
          <w:p w14:paraId="56A888D1">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总分</w:t>
            </w:r>
          </w:p>
        </w:tc>
        <w:tc>
          <w:tcPr>
            <w:tcW w:w="4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C86FF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434" w:type="pct"/>
            <w:tcBorders>
              <w:top w:val="single" w:color="000000" w:sz="4" w:space="0"/>
              <w:left w:val="nil"/>
              <w:bottom w:val="single" w:color="000000" w:sz="4" w:space="0"/>
              <w:right w:val="single" w:color="000000" w:sz="4" w:space="0"/>
            </w:tcBorders>
            <w:shd w:val="clear" w:color="auto" w:fill="auto"/>
            <w:vAlign w:val="center"/>
          </w:tcPr>
          <w:p w14:paraId="5E2BD1C3">
            <w:pPr>
              <w:rPr>
                <w:rFonts w:hint="eastAsia" w:ascii="宋体" w:hAnsi="宋体" w:eastAsia="宋体" w:cs="宋体"/>
                <w:b/>
                <w:bCs/>
                <w:i w:val="0"/>
                <w:iCs w:val="0"/>
                <w:color w:val="000000"/>
                <w:sz w:val="18"/>
                <w:szCs w:val="18"/>
                <w:u w:val="none"/>
              </w:rPr>
            </w:pPr>
          </w:p>
        </w:tc>
        <w:tc>
          <w:tcPr>
            <w:tcW w:w="4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31B57C">
            <w:pPr>
              <w:jc w:val="center"/>
              <w:rPr>
                <w:rFonts w:hint="eastAsia" w:ascii="宋体" w:hAnsi="宋体" w:eastAsia="宋体" w:cs="宋体"/>
                <w:i w:val="0"/>
                <w:iCs w:val="0"/>
                <w:color w:val="000000"/>
                <w:sz w:val="18"/>
                <w:szCs w:val="18"/>
                <w:u w:val="none"/>
              </w:rPr>
            </w:pPr>
          </w:p>
        </w:tc>
        <w:tc>
          <w:tcPr>
            <w:tcW w:w="4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0CA13E">
            <w:pPr>
              <w:jc w:val="center"/>
              <w:rPr>
                <w:rFonts w:hint="eastAsia" w:ascii="宋体" w:hAnsi="宋体" w:eastAsia="宋体" w:cs="宋体"/>
                <w:i w:val="0"/>
                <w:iCs w:val="0"/>
                <w:color w:val="000000"/>
                <w:sz w:val="18"/>
                <w:szCs w:val="18"/>
                <w:u w:val="none"/>
              </w:rPr>
            </w:pPr>
          </w:p>
        </w:tc>
        <w:tc>
          <w:tcPr>
            <w:tcW w:w="4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081E4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97.81分</w:t>
            </w: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F28FC3">
            <w:pPr>
              <w:rPr>
                <w:rFonts w:hint="eastAsia" w:ascii="宋体" w:hAnsi="宋体" w:eastAsia="宋体" w:cs="宋体"/>
                <w:i w:val="0"/>
                <w:iCs w:val="0"/>
                <w:color w:val="000000"/>
                <w:sz w:val="18"/>
                <w:szCs w:val="18"/>
                <w:u w:val="none"/>
              </w:rPr>
            </w:pP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BB6B6C">
            <w:pPr>
              <w:rPr>
                <w:rFonts w:hint="eastAsia" w:ascii="宋体" w:hAnsi="宋体" w:eastAsia="宋体" w:cs="宋体"/>
                <w:i w:val="0"/>
                <w:iCs w:val="0"/>
                <w:color w:val="000000"/>
                <w:sz w:val="18"/>
                <w:szCs w:val="18"/>
                <w:u w:val="none"/>
              </w:rPr>
            </w:pP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E892D1">
            <w:pPr>
              <w:rPr>
                <w:rFonts w:hint="eastAsia" w:ascii="宋体" w:hAnsi="宋体" w:eastAsia="宋体" w:cs="宋体"/>
                <w:i w:val="0"/>
                <w:iCs w:val="0"/>
                <w:color w:val="000000"/>
                <w:sz w:val="18"/>
                <w:szCs w:val="18"/>
                <w:u w:val="none"/>
              </w:rPr>
            </w:pP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050F48">
            <w:pPr>
              <w:rPr>
                <w:rFonts w:hint="eastAsia" w:ascii="宋体" w:hAnsi="宋体" w:eastAsia="宋体" w:cs="宋体"/>
                <w:i w:val="0"/>
                <w:iCs w:val="0"/>
                <w:color w:val="000000"/>
                <w:sz w:val="18"/>
                <w:szCs w:val="18"/>
                <w:u w:val="none"/>
              </w:rPr>
            </w:pPr>
          </w:p>
        </w:tc>
        <w:tc>
          <w:tcPr>
            <w:tcW w:w="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B23008">
            <w:pPr>
              <w:rPr>
                <w:rFonts w:hint="eastAsia" w:ascii="宋体" w:hAnsi="宋体" w:eastAsia="宋体" w:cs="宋体"/>
                <w:i w:val="0"/>
                <w:iCs w:val="0"/>
                <w:color w:val="000000"/>
                <w:sz w:val="18"/>
                <w:szCs w:val="18"/>
                <w:u w:val="none"/>
              </w:rPr>
            </w:pPr>
          </w:p>
        </w:tc>
      </w:tr>
    </w:tbl>
    <w:p w14:paraId="7DF19796">
      <w:pPr>
        <w:pStyle w:val="3"/>
        <w:pageBreakBefore w:val="0"/>
        <w:numPr>
          <w:ilvl w:val="0"/>
          <w:numId w:val="0"/>
        </w:numPr>
        <w:kinsoku/>
        <w:wordWrap/>
        <w:overflowPunct/>
        <w:topLinePunct w:val="0"/>
        <w:autoSpaceDE/>
        <w:autoSpaceDN/>
        <w:bidi w:val="0"/>
        <w:adjustRightInd/>
        <w:spacing w:beforeLines="0" w:afterLines="0" w:line="560" w:lineRule="exact"/>
        <w:textAlignment w:val="auto"/>
        <w:rPr>
          <w:rFonts w:hint="eastAsia" w:ascii="宋体" w:hAnsi="宋体" w:eastAsia="宋体" w:cs="宋体"/>
          <w:b/>
          <w:bCs/>
          <w:color w:val="000000" w:themeColor="text1"/>
          <w:highlight w:val="none"/>
          <w:shd w:val="clear" w:color="auto" w:fill="auto"/>
          <w:lang w:val="en-US" w:eastAsia="zh-CN"/>
          <w14:textFill>
            <w14:solidFill>
              <w14:schemeClr w14:val="tx1"/>
            </w14:solidFill>
          </w14:textFill>
        </w:rPr>
        <w:sectPr>
          <w:pgSz w:w="16838" w:h="11906" w:orient="landscape"/>
          <w:pgMar w:top="1800" w:right="1440" w:bottom="1800" w:left="1440" w:header="737" w:footer="851" w:gutter="0"/>
          <w:pgNumType w:fmt="decimal"/>
          <w:cols w:space="720" w:num="1"/>
          <w:docGrid w:type="lines" w:linePitch="408" w:charSpace="0"/>
        </w:sectPr>
      </w:pPr>
    </w:p>
    <w:p w14:paraId="51DEA09F">
      <w:pPr>
        <w:pStyle w:val="3"/>
        <w:pageBreakBefore w:val="0"/>
        <w:numPr>
          <w:ilvl w:val="0"/>
          <w:numId w:val="0"/>
        </w:numPr>
        <w:kinsoku/>
        <w:wordWrap/>
        <w:overflowPunct/>
        <w:topLinePunct w:val="0"/>
        <w:autoSpaceDE/>
        <w:autoSpaceDN/>
        <w:bidi w:val="0"/>
        <w:adjustRightInd/>
        <w:spacing w:beforeLines="0" w:afterLines="0" w:line="560" w:lineRule="exact"/>
        <w:textAlignment w:val="auto"/>
        <w:rPr>
          <w:rFonts w:hint="eastAsia" w:ascii="宋体" w:hAnsi="宋体" w:eastAsia="宋体" w:cs="宋体"/>
          <w:b/>
          <w:bCs/>
          <w:color w:val="000000" w:themeColor="text1"/>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highlight w:val="none"/>
          <w:shd w:val="clear" w:color="auto" w:fill="auto"/>
          <w:lang w:val="en-US" w:eastAsia="zh-CN"/>
          <w14:textFill>
            <w14:solidFill>
              <w14:schemeClr w14:val="tx1"/>
            </w14:solidFill>
          </w14:textFill>
        </w:rPr>
        <w:t>附件二、项目支出绩效评价指标体系打分表</w:t>
      </w:r>
      <w:bookmarkEnd w:id="156"/>
      <w:bookmarkEnd w:id="157"/>
    </w:p>
    <w:tbl>
      <w:tblPr>
        <w:tblStyle w:val="16"/>
        <w:tblW w:w="13924"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Layout w:type="fixed"/>
        <w:tblCellMar>
          <w:top w:w="0" w:type="dxa"/>
          <w:left w:w="108" w:type="dxa"/>
          <w:bottom w:w="0" w:type="dxa"/>
          <w:right w:w="108" w:type="dxa"/>
        </w:tblCellMar>
      </w:tblPr>
      <w:tblGrid>
        <w:gridCol w:w="861"/>
        <w:gridCol w:w="727"/>
        <w:gridCol w:w="820"/>
        <w:gridCol w:w="2141"/>
        <w:gridCol w:w="7821"/>
        <w:gridCol w:w="785"/>
        <w:gridCol w:w="769"/>
      </w:tblGrid>
      <w:tr w14:paraId="7CD5519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2" w:hRule="atLeast"/>
          <w:tblHeader/>
          <w:jc w:val="center"/>
        </w:trPr>
        <w:tc>
          <w:tcPr>
            <w:tcW w:w="861" w:type="dxa"/>
            <w:shd w:val="clear" w:color="auto" w:fill="auto"/>
            <w:vAlign w:val="center"/>
          </w:tcPr>
          <w:p w14:paraId="67BCD62B">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b/>
                <w:bCs/>
                <w:color w:val="000000"/>
                <w:kern w:val="0"/>
                <w:sz w:val="24"/>
                <w:szCs w:val="24"/>
                <w:lang w:val="en-US" w:eastAsia="zh-CN"/>
              </w:rPr>
            </w:pPr>
            <w:r>
              <w:rPr>
                <w:rFonts w:hint="eastAsia" w:ascii="宋体" w:hAnsi="宋体" w:eastAsia="宋体" w:cs="宋体"/>
                <w:b/>
                <w:bCs/>
                <w:color w:val="000000"/>
                <w:kern w:val="0"/>
                <w:sz w:val="24"/>
                <w:szCs w:val="24"/>
                <w:lang w:val="en-US" w:eastAsia="zh-CN"/>
              </w:rPr>
              <w:t>一级指标</w:t>
            </w:r>
          </w:p>
        </w:tc>
        <w:tc>
          <w:tcPr>
            <w:tcW w:w="727" w:type="dxa"/>
            <w:shd w:val="clear" w:color="auto" w:fill="auto"/>
            <w:vAlign w:val="center"/>
          </w:tcPr>
          <w:p w14:paraId="491FC56D">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b/>
                <w:bCs/>
                <w:color w:val="000000"/>
                <w:kern w:val="0"/>
                <w:sz w:val="24"/>
                <w:szCs w:val="24"/>
                <w:lang w:val="en-US" w:eastAsia="zh-CN"/>
              </w:rPr>
            </w:pPr>
            <w:r>
              <w:rPr>
                <w:rFonts w:hint="eastAsia" w:ascii="宋体" w:hAnsi="宋体" w:eastAsia="宋体" w:cs="宋体"/>
                <w:b/>
                <w:bCs/>
                <w:color w:val="000000"/>
                <w:kern w:val="0"/>
                <w:sz w:val="24"/>
                <w:szCs w:val="24"/>
                <w:lang w:val="en-US" w:eastAsia="zh-CN"/>
              </w:rPr>
              <w:t>二级指标</w:t>
            </w:r>
          </w:p>
        </w:tc>
        <w:tc>
          <w:tcPr>
            <w:tcW w:w="820" w:type="dxa"/>
            <w:shd w:val="clear" w:color="auto" w:fill="auto"/>
            <w:vAlign w:val="center"/>
          </w:tcPr>
          <w:p w14:paraId="0EC6D3B5">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b/>
                <w:bCs/>
                <w:color w:val="000000"/>
                <w:kern w:val="0"/>
                <w:sz w:val="24"/>
                <w:szCs w:val="24"/>
                <w:lang w:val="en-US" w:eastAsia="zh-CN"/>
              </w:rPr>
            </w:pPr>
            <w:r>
              <w:rPr>
                <w:rFonts w:hint="eastAsia" w:ascii="宋体" w:hAnsi="宋体" w:eastAsia="宋体" w:cs="宋体"/>
                <w:b/>
                <w:bCs/>
                <w:color w:val="000000"/>
                <w:kern w:val="0"/>
                <w:sz w:val="24"/>
                <w:szCs w:val="24"/>
                <w:lang w:val="en-US" w:eastAsia="zh-CN"/>
              </w:rPr>
              <w:t>三级指标</w:t>
            </w:r>
          </w:p>
        </w:tc>
        <w:tc>
          <w:tcPr>
            <w:tcW w:w="2141" w:type="dxa"/>
            <w:shd w:val="clear" w:color="auto" w:fill="auto"/>
            <w:vAlign w:val="center"/>
          </w:tcPr>
          <w:p w14:paraId="62C88EC4">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b/>
                <w:bCs/>
                <w:color w:val="000000"/>
                <w:kern w:val="0"/>
                <w:sz w:val="24"/>
                <w:szCs w:val="24"/>
                <w:lang w:val="en-US" w:eastAsia="zh-CN"/>
              </w:rPr>
            </w:pPr>
            <w:r>
              <w:rPr>
                <w:rFonts w:hint="eastAsia" w:ascii="宋体" w:hAnsi="宋体" w:eastAsia="宋体" w:cs="宋体"/>
                <w:b/>
                <w:bCs/>
                <w:color w:val="000000"/>
                <w:kern w:val="0"/>
                <w:sz w:val="24"/>
                <w:szCs w:val="24"/>
                <w:lang w:val="en-US" w:eastAsia="zh-CN"/>
              </w:rPr>
              <w:t>指标解释</w:t>
            </w:r>
          </w:p>
        </w:tc>
        <w:tc>
          <w:tcPr>
            <w:tcW w:w="7821" w:type="dxa"/>
            <w:shd w:val="clear" w:color="auto" w:fill="auto"/>
            <w:vAlign w:val="center"/>
          </w:tcPr>
          <w:p w14:paraId="0C1B7E2B">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b/>
                <w:bCs/>
                <w:color w:val="000000"/>
                <w:kern w:val="0"/>
                <w:sz w:val="24"/>
                <w:szCs w:val="24"/>
                <w:lang w:val="en-US" w:eastAsia="zh-CN"/>
              </w:rPr>
            </w:pPr>
            <w:r>
              <w:rPr>
                <w:rFonts w:hint="eastAsia" w:ascii="宋体" w:hAnsi="宋体" w:eastAsia="宋体" w:cs="宋体"/>
                <w:b/>
                <w:bCs/>
                <w:color w:val="000000"/>
                <w:kern w:val="0"/>
                <w:sz w:val="24"/>
                <w:szCs w:val="24"/>
                <w:lang w:val="en-US" w:eastAsia="zh-CN"/>
              </w:rPr>
              <w:t>指标说明</w:t>
            </w:r>
          </w:p>
        </w:tc>
        <w:tc>
          <w:tcPr>
            <w:tcW w:w="785" w:type="dxa"/>
            <w:shd w:val="clear" w:color="auto" w:fill="auto"/>
            <w:vAlign w:val="center"/>
          </w:tcPr>
          <w:p w14:paraId="73EF7DC8">
            <w:pPr>
              <w:pStyle w:val="3"/>
              <w:pageBreakBefore w:val="0"/>
              <w:numPr>
                <w:ilvl w:val="0"/>
                <w:numId w:val="0"/>
              </w:numPr>
              <w:kinsoku/>
              <w:wordWrap/>
              <w:overflowPunct/>
              <w:topLinePunct w:val="0"/>
              <w:autoSpaceDE/>
              <w:autoSpaceDN/>
              <w:bidi w:val="0"/>
              <w:adjustRightInd/>
              <w:spacing w:beforeLines="0" w:afterLines="0" w:line="560" w:lineRule="exact"/>
              <w:textAlignment w:val="auto"/>
              <w:rPr>
                <w:rFonts w:hint="eastAsia" w:ascii="宋体" w:hAnsi="宋体" w:eastAsia="宋体" w:cs="宋体"/>
                <w:b/>
                <w:bCs/>
                <w:color w:val="000000" w:themeColor="text1"/>
                <w:sz w:val="36"/>
                <w:szCs w:val="24"/>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sz w:val="36"/>
                <w:szCs w:val="24"/>
                <w:highlight w:val="none"/>
                <w:shd w:val="clear" w:color="auto" w:fill="auto"/>
                <w:lang w:val="en-US" w:eastAsia="zh-CN"/>
                <w14:textFill>
                  <w14:solidFill>
                    <w14:schemeClr w14:val="tx1"/>
                  </w14:solidFill>
                </w14:textFill>
              </w:rPr>
              <w:t>分值</w:t>
            </w:r>
          </w:p>
        </w:tc>
        <w:tc>
          <w:tcPr>
            <w:tcW w:w="769" w:type="dxa"/>
            <w:shd w:val="clear" w:color="auto" w:fill="auto"/>
            <w:vAlign w:val="center"/>
          </w:tcPr>
          <w:p w14:paraId="747C9B9F">
            <w:pPr>
              <w:pStyle w:val="3"/>
              <w:pageBreakBefore w:val="0"/>
              <w:numPr>
                <w:ilvl w:val="0"/>
                <w:numId w:val="0"/>
              </w:numPr>
              <w:kinsoku/>
              <w:wordWrap/>
              <w:overflowPunct/>
              <w:topLinePunct w:val="0"/>
              <w:autoSpaceDE/>
              <w:autoSpaceDN/>
              <w:bidi w:val="0"/>
              <w:adjustRightInd/>
              <w:spacing w:beforeLines="0" w:afterLines="0" w:line="560" w:lineRule="exact"/>
              <w:textAlignment w:val="auto"/>
              <w:rPr>
                <w:rFonts w:hint="eastAsia" w:ascii="宋体" w:hAnsi="宋体" w:eastAsia="宋体" w:cs="宋体"/>
                <w:b/>
                <w:bCs/>
                <w:color w:val="000000" w:themeColor="text1"/>
                <w:sz w:val="36"/>
                <w:szCs w:val="24"/>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sz w:val="36"/>
                <w:szCs w:val="24"/>
                <w:highlight w:val="none"/>
                <w:shd w:val="clear" w:color="auto" w:fill="auto"/>
                <w:lang w:val="en-US" w:eastAsia="zh-CN"/>
                <w14:textFill>
                  <w14:solidFill>
                    <w14:schemeClr w14:val="tx1"/>
                  </w14:solidFill>
                </w14:textFill>
              </w:rPr>
              <w:t>得分</w:t>
            </w:r>
          </w:p>
        </w:tc>
      </w:tr>
      <w:tr w14:paraId="1BC2724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2318" w:hRule="atLeast"/>
          <w:jc w:val="center"/>
        </w:trPr>
        <w:tc>
          <w:tcPr>
            <w:tcW w:w="861" w:type="dxa"/>
            <w:vMerge w:val="restart"/>
            <w:shd w:val="clear" w:color="auto" w:fill="auto"/>
            <w:vAlign w:val="center"/>
          </w:tcPr>
          <w:p w14:paraId="5735352F">
            <w:pPr>
              <w:pageBreakBefore w:val="0"/>
              <w:widowControl/>
              <w:kinsoku/>
              <w:wordWrap/>
              <w:overflowPunct/>
              <w:topLinePunct w:val="0"/>
              <w:autoSpaceDE/>
              <w:autoSpaceDN/>
              <w:bidi w:val="0"/>
              <w:adjustRightInd/>
              <w:spacing w:line="240" w:lineRule="exact"/>
              <w:ind w:firstLine="0" w:firstLineChars="0"/>
              <w:jc w:val="center"/>
              <w:textAlignment w:val="auto"/>
              <w:rPr>
                <w:rFonts w:hint="eastAsia" w:ascii="宋体" w:hAnsi="宋体" w:eastAsia="宋体" w:cs="宋体"/>
                <w:color w:val="000000"/>
                <w:kern w:val="0"/>
                <w:sz w:val="24"/>
                <w:szCs w:val="24"/>
              </w:rPr>
            </w:pPr>
          </w:p>
          <w:p w14:paraId="48E54387">
            <w:pPr>
              <w:pageBreakBefore w:val="0"/>
              <w:widowControl/>
              <w:kinsoku/>
              <w:wordWrap/>
              <w:overflowPunct/>
              <w:topLinePunct w:val="0"/>
              <w:autoSpaceDE/>
              <w:autoSpaceDN/>
              <w:bidi w:val="0"/>
              <w:adjustRightInd/>
              <w:spacing w:line="240" w:lineRule="exact"/>
              <w:ind w:firstLine="0" w:firstLineChars="0"/>
              <w:jc w:val="center"/>
              <w:textAlignment w:val="auto"/>
              <w:rPr>
                <w:rFonts w:hint="eastAsia" w:ascii="宋体" w:hAnsi="宋体" w:eastAsia="宋体" w:cs="宋体"/>
                <w:color w:val="000000"/>
                <w:kern w:val="0"/>
                <w:sz w:val="24"/>
                <w:szCs w:val="24"/>
              </w:rPr>
            </w:pPr>
          </w:p>
          <w:p w14:paraId="66AA75C3">
            <w:pPr>
              <w:pageBreakBefore w:val="0"/>
              <w:widowControl/>
              <w:kinsoku/>
              <w:wordWrap/>
              <w:overflowPunct/>
              <w:topLinePunct w:val="0"/>
              <w:autoSpaceDE/>
              <w:autoSpaceDN/>
              <w:bidi w:val="0"/>
              <w:adjustRightInd/>
              <w:spacing w:line="240" w:lineRule="exact"/>
              <w:ind w:firstLine="0" w:firstLineChars="0"/>
              <w:jc w:val="center"/>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决策　</w:t>
            </w:r>
          </w:p>
          <w:p w14:paraId="6C38FE80">
            <w:pPr>
              <w:pageBreakBefore w:val="0"/>
              <w:widowControl/>
              <w:kinsoku/>
              <w:wordWrap/>
              <w:overflowPunct/>
              <w:topLinePunct w:val="0"/>
              <w:autoSpaceDE/>
              <w:autoSpaceDN/>
              <w:bidi w:val="0"/>
              <w:adjustRightInd/>
              <w:spacing w:line="240" w:lineRule="exact"/>
              <w:ind w:firstLine="0" w:firstLineChars="0"/>
              <w:jc w:val="center"/>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　</w:t>
            </w:r>
          </w:p>
          <w:p w14:paraId="2F9BD617">
            <w:pPr>
              <w:pageBreakBefore w:val="0"/>
              <w:widowControl/>
              <w:kinsoku/>
              <w:wordWrap/>
              <w:overflowPunct/>
              <w:topLinePunct w:val="0"/>
              <w:autoSpaceDE/>
              <w:autoSpaceDN/>
              <w:bidi w:val="0"/>
              <w:adjustRightInd/>
              <w:spacing w:line="240" w:lineRule="exact"/>
              <w:ind w:firstLine="0" w:firstLineChars="0"/>
              <w:jc w:val="center"/>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27" w:type="dxa"/>
            <w:vMerge w:val="restart"/>
            <w:shd w:val="clear" w:color="auto" w:fill="auto"/>
            <w:vAlign w:val="center"/>
          </w:tcPr>
          <w:p w14:paraId="0F8AEA15">
            <w:pPr>
              <w:pageBreakBefore w:val="0"/>
              <w:widowControl/>
              <w:kinsoku/>
              <w:wordWrap/>
              <w:overflowPunct/>
              <w:topLinePunct w:val="0"/>
              <w:autoSpaceDE/>
              <w:autoSpaceDN/>
              <w:bidi w:val="0"/>
              <w:adjustRightInd/>
              <w:spacing w:line="240" w:lineRule="exact"/>
              <w:ind w:firstLine="0" w:firstLineChars="0"/>
              <w:jc w:val="center"/>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项目立项　</w:t>
            </w:r>
          </w:p>
        </w:tc>
        <w:tc>
          <w:tcPr>
            <w:tcW w:w="820" w:type="dxa"/>
            <w:shd w:val="clear" w:color="auto" w:fill="auto"/>
            <w:vAlign w:val="center"/>
          </w:tcPr>
          <w:p w14:paraId="3F5F1F77">
            <w:pPr>
              <w:pageBreakBefore w:val="0"/>
              <w:widowControl/>
              <w:kinsoku/>
              <w:wordWrap/>
              <w:overflowPunct/>
              <w:topLinePunct w:val="0"/>
              <w:autoSpaceDE/>
              <w:autoSpaceDN/>
              <w:bidi w:val="0"/>
              <w:adjustRightInd/>
              <w:spacing w:line="240" w:lineRule="exact"/>
              <w:ind w:firstLine="0" w:firstLineChars="0"/>
              <w:jc w:val="center"/>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立项依据</w:t>
            </w:r>
          </w:p>
          <w:p w14:paraId="36789F6B">
            <w:pPr>
              <w:pageBreakBefore w:val="0"/>
              <w:widowControl/>
              <w:kinsoku/>
              <w:wordWrap/>
              <w:overflowPunct/>
              <w:topLinePunct w:val="0"/>
              <w:autoSpaceDE/>
              <w:autoSpaceDN/>
              <w:bidi w:val="0"/>
              <w:adjustRightInd/>
              <w:spacing w:line="240" w:lineRule="exact"/>
              <w:ind w:firstLine="0" w:firstLineChars="0"/>
              <w:jc w:val="center"/>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充分性</w:t>
            </w:r>
          </w:p>
        </w:tc>
        <w:tc>
          <w:tcPr>
            <w:tcW w:w="2141" w:type="dxa"/>
            <w:shd w:val="clear" w:color="auto" w:fill="auto"/>
            <w:vAlign w:val="center"/>
          </w:tcPr>
          <w:p w14:paraId="5367DC7B">
            <w:pPr>
              <w:pageBreakBefore w:val="0"/>
              <w:widowControl/>
              <w:kinsoku/>
              <w:wordWrap/>
              <w:overflowPunct/>
              <w:topLinePunct w:val="0"/>
              <w:autoSpaceDE/>
              <w:autoSpaceDN/>
              <w:bidi w:val="0"/>
              <w:adjustRightInd/>
              <w:spacing w:line="240" w:lineRule="exact"/>
              <w:ind w:firstLine="0" w:firstLineChars="0"/>
              <w:jc w:val="center"/>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项目立项是否符合法律法规、相关政策、发展规划以及部门职责，用以反映和考核项目立项依据情况。</w:t>
            </w:r>
          </w:p>
        </w:tc>
        <w:tc>
          <w:tcPr>
            <w:tcW w:w="7821" w:type="dxa"/>
            <w:shd w:val="clear" w:color="auto" w:fill="auto"/>
            <w:vAlign w:val="center"/>
          </w:tcPr>
          <w:p w14:paraId="7B5336E1">
            <w:pPr>
              <w:pageBreakBefore w:val="0"/>
              <w:widowControl/>
              <w:kinsoku/>
              <w:wordWrap/>
              <w:overflowPunct/>
              <w:topLinePunct w:val="0"/>
              <w:autoSpaceDE/>
              <w:autoSpaceDN/>
              <w:bidi w:val="0"/>
              <w:adjustRightInd/>
              <w:spacing w:line="240" w:lineRule="exact"/>
              <w:ind w:firstLine="0" w:firstLineChars="0"/>
              <w:jc w:val="center"/>
              <w:textAlignment w:val="auto"/>
              <w:rPr>
                <w:rFonts w:hint="eastAsia" w:ascii="宋体" w:hAnsi="宋体" w:eastAsia="宋体" w:cs="宋体"/>
                <w:color w:val="000000"/>
                <w:kern w:val="0"/>
                <w:sz w:val="24"/>
                <w:szCs w:val="24"/>
                <w:lang w:eastAsia="zh-CN"/>
              </w:rPr>
            </w:pPr>
            <w:r>
              <w:rPr>
                <w:rFonts w:hint="eastAsia" w:ascii="宋体" w:hAnsi="宋体" w:eastAsia="宋体" w:cs="宋体"/>
                <w:color w:val="000000"/>
                <w:kern w:val="0"/>
                <w:sz w:val="24"/>
                <w:szCs w:val="24"/>
              </w:rPr>
              <w:t>评价要点：</w:t>
            </w:r>
          </w:p>
          <w:p w14:paraId="63DCB762">
            <w:pPr>
              <w:pageBreakBefore w:val="0"/>
              <w:widowControl/>
              <w:kinsoku/>
              <w:wordWrap/>
              <w:overflowPunct/>
              <w:topLinePunct w:val="0"/>
              <w:autoSpaceDE/>
              <w:autoSpaceDN/>
              <w:bidi w:val="0"/>
              <w:adjustRightInd/>
              <w:spacing w:line="240" w:lineRule="exact"/>
              <w:ind w:firstLine="0" w:firstLineChars="0"/>
              <w:jc w:val="center"/>
              <w:textAlignment w:val="auto"/>
              <w:rPr>
                <w:rFonts w:hint="eastAsia" w:ascii="宋体" w:hAnsi="宋体" w:eastAsia="宋体" w:cs="宋体"/>
                <w:color w:val="000000"/>
                <w:kern w:val="0"/>
                <w:sz w:val="24"/>
                <w:szCs w:val="24"/>
                <w:lang w:eastAsia="zh-CN"/>
              </w:rPr>
            </w:pPr>
            <w:r>
              <w:rPr>
                <w:rFonts w:hint="eastAsia" w:ascii="宋体" w:hAnsi="宋体" w:eastAsia="宋体" w:cs="宋体"/>
                <w:color w:val="000000"/>
                <w:kern w:val="0"/>
                <w:sz w:val="24"/>
                <w:szCs w:val="24"/>
              </w:rPr>
              <w:t>①项目立项是否符合国家法律法规、国民经济发展规划和相关政策；</w:t>
            </w:r>
          </w:p>
          <w:p w14:paraId="792FA19D">
            <w:pPr>
              <w:pageBreakBefore w:val="0"/>
              <w:widowControl/>
              <w:kinsoku/>
              <w:wordWrap/>
              <w:overflowPunct/>
              <w:topLinePunct w:val="0"/>
              <w:autoSpaceDE/>
              <w:autoSpaceDN/>
              <w:bidi w:val="0"/>
              <w:adjustRightInd/>
              <w:spacing w:line="240" w:lineRule="exact"/>
              <w:ind w:firstLine="0" w:firstLineChars="0"/>
              <w:jc w:val="center"/>
              <w:textAlignment w:val="auto"/>
              <w:rPr>
                <w:rFonts w:hint="eastAsia" w:ascii="宋体" w:hAnsi="宋体" w:eastAsia="宋体" w:cs="宋体"/>
                <w:color w:val="000000"/>
                <w:kern w:val="0"/>
                <w:sz w:val="24"/>
                <w:szCs w:val="24"/>
                <w:lang w:eastAsia="zh-CN"/>
              </w:rPr>
            </w:pPr>
            <w:r>
              <w:rPr>
                <w:rFonts w:hint="eastAsia" w:ascii="宋体" w:hAnsi="宋体" w:eastAsia="宋体" w:cs="宋体"/>
                <w:color w:val="000000"/>
                <w:kern w:val="0"/>
                <w:sz w:val="24"/>
                <w:szCs w:val="24"/>
              </w:rPr>
              <w:t>②项目立项是否符合行业发展规划和政策要求；</w:t>
            </w:r>
          </w:p>
          <w:p w14:paraId="658888BE">
            <w:pPr>
              <w:pageBreakBefore w:val="0"/>
              <w:widowControl/>
              <w:kinsoku/>
              <w:wordWrap/>
              <w:overflowPunct/>
              <w:topLinePunct w:val="0"/>
              <w:autoSpaceDE/>
              <w:autoSpaceDN/>
              <w:bidi w:val="0"/>
              <w:adjustRightInd/>
              <w:spacing w:line="240" w:lineRule="exact"/>
              <w:ind w:firstLine="0" w:firstLineChars="0"/>
              <w:jc w:val="center"/>
              <w:textAlignment w:val="auto"/>
              <w:rPr>
                <w:rFonts w:hint="eastAsia" w:ascii="宋体" w:hAnsi="宋体" w:eastAsia="宋体" w:cs="宋体"/>
                <w:color w:val="000000"/>
                <w:kern w:val="0"/>
                <w:sz w:val="24"/>
                <w:szCs w:val="24"/>
                <w:lang w:eastAsia="zh-CN"/>
              </w:rPr>
            </w:pPr>
            <w:r>
              <w:rPr>
                <w:rFonts w:hint="eastAsia" w:ascii="宋体" w:hAnsi="宋体" w:eastAsia="宋体" w:cs="宋体"/>
                <w:color w:val="000000"/>
                <w:kern w:val="0"/>
                <w:sz w:val="24"/>
                <w:szCs w:val="24"/>
              </w:rPr>
              <w:t>③项目立项是否与部门职责范围相符，属于部门履职所需；</w:t>
            </w:r>
          </w:p>
          <w:p w14:paraId="3D2C92D7">
            <w:pPr>
              <w:pageBreakBefore w:val="0"/>
              <w:widowControl/>
              <w:kinsoku/>
              <w:wordWrap/>
              <w:overflowPunct/>
              <w:topLinePunct w:val="0"/>
              <w:autoSpaceDE/>
              <w:autoSpaceDN/>
              <w:bidi w:val="0"/>
              <w:adjustRightInd/>
              <w:spacing w:line="240" w:lineRule="exact"/>
              <w:ind w:firstLine="0" w:firstLineChars="0"/>
              <w:jc w:val="center"/>
              <w:textAlignment w:val="auto"/>
              <w:rPr>
                <w:rFonts w:hint="eastAsia" w:ascii="宋体" w:hAnsi="宋体" w:eastAsia="宋体" w:cs="宋体"/>
                <w:color w:val="000000"/>
                <w:kern w:val="0"/>
                <w:sz w:val="24"/>
                <w:szCs w:val="24"/>
                <w:lang w:eastAsia="zh-CN"/>
              </w:rPr>
            </w:pPr>
            <w:r>
              <w:rPr>
                <w:rFonts w:hint="eastAsia" w:ascii="宋体" w:hAnsi="宋体" w:eastAsia="宋体" w:cs="宋体"/>
                <w:color w:val="000000"/>
                <w:kern w:val="0"/>
                <w:sz w:val="24"/>
                <w:szCs w:val="24"/>
              </w:rPr>
              <w:t>④项目是否属于公共财政支持范围，是否符合中央、地方事权支出责任划分原则；</w:t>
            </w:r>
          </w:p>
          <w:p w14:paraId="76D71CF9">
            <w:pPr>
              <w:pageBreakBefore w:val="0"/>
              <w:widowControl/>
              <w:kinsoku/>
              <w:wordWrap/>
              <w:overflowPunct/>
              <w:topLinePunct w:val="0"/>
              <w:autoSpaceDE/>
              <w:autoSpaceDN/>
              <w:bidi w:val="0"/>
              <w:adjustRightInd/>
              <w:spacing w:line="240" w:lineRule="exact"/>
              <w:ind w:firstLine="0" w:firstLineChars="0"/>
              <w:jc w:val="center"/>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⑤项目是否与相关部门同类项目或部门内部相关项目重复。</w:t>
            </w:r>
          </w:p>
        </w:tc>
        <w:tc>
          <w:tcPr>
            <w:tcW w:w="785" w:type="dxa"/>
            <w:shd w:val="clear" w:color="auto" w:fill="auto"/>
            <w:vAlign w:val="center"/>
          </w:tcPr>
          <w:p w14:paraId="473D418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bidi="ar-SA"/>
              </w:rPr>
            </w:pPr>
            <w:r>
              <w:rPr>
                <w:rFonts w:hint="eastAsia" w:ascii="宋体" w:hAnsi="宋体" w:eastAsia="宋体" w:cs="宋体"/>
                <w:color w:val="auto"/>
                <w:kern w:val="0"/>
                <w:sz w:val="21"/>
                <w:szCs w:val="21"/>
                <w:highlight w:val="none"/>
                <w:shd w:val="clear" w:color="auto" w:fill="auto"/>
                <w:lang w:val="en-US" w:eastAsia="zh-CN"/>
              </w:rPr>
              <w:t>2</w:t>
            </w:r>
          </w:p>
        </w:tc>
        <w:tc>
          <w:tcPr>
            <w:tcW w:w="769" w:type="dxa"/>
            <w:shd w:val="clear" w:color="auto" w:fill="auto"/>
            <w:vAlign w:val="center"/>
          </w:tcPr>
          <w:p w14:paraId="29EA56BB">
            <w:pPr>
              <w:pageBreakBefore w:val="0"/>
              <w:widowControl/>
              <w:kinsoku/>
              <w:wordWrap/>
              <w:overflowPunct/>
              <w:topLinePunct w:val="0"/>
              <w:autoSpaceDE/>
              <w:autoSpaceDN/>
              <w:bidi w:val="0"/>
              <w:adjustRightInd/>
              <w:spacing w:line="560" w:lineRule="exact"/>
              <w:ind w:firstLine="0" w:firstLineChars="0"/>
              <w:jc w:val="left"/>
              <w:textAlignment w:val="auto"/>
              <w:rPr>
                <w:rFonts w:hint="eastAsia" w:ascii="宋体" w:hAnsi="宋体" w:eastAsia="宋体" w:cs="宋体"/>
                <w:color w:val="auto"/>
                <w:kern w:val="0"/>
                <w:sz w:val="24"/>
                <w:szCs w:val="24"/>
                <w:highlight w:val="none"/>
                <w:lang w:val="en-US" w:eastAsia="zh-CN"/>
              </w:rPr>
            </w:pPr>
            <w:r>
              <w:rPr>
                <w:rFonts w:hint="eastAsia" w:cs="宋体"/>
                <w:color w:val="auto"/>
                <w:kern w:val="0"/>
                <w:sz w:val="24"/>
                <w:szCs w:val="24"/>
                <w:highlight w:val="none"/>
                <w:lang w:val="en-US" w:eastAsia="zh-CN"/>
              </w:rPr>
              <w:t>2</w:t>
            </w:r>
          </w:p>
        </w:tc>
      </w:tr>
      <w:tr w14:paraId="592FE61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1640" w:hRule="atLeast"/>
          <w:jc w:val="center"/>
        </w:trPr>
        <w:tc>
          <w:tcPr>
            <w:tcW w:w="861" w:type="dxa"/>
            <w:vMerge w:val="continue"/>
            <w:shd w:val="clear" w:color="auto" w:fill="auto"/>
            <w:vAlign w:val="center"/>
          </w:tcPr>
          <w:p w14:paraId="5094158A">
            <w:pPr>
              <w:pageBreakBefore w:val="0"/>
              <w:kinsoku/>
              <w:wordWrap/>
              <w:overflowPunct/>
              <w:topLinePunct w:val="0"/>
              <w:autoSpaceDE/>
              <w:autoSpaceDN/>
              <w:bidi w:val="0"/>
              <w:adjustRightInd/>
              <w:spacing w:line="240" w:lineRule="exact"/>
              <w:ind w:firstLine="0" w:firstLineChars="0"/>
              <w:jc w:val="center"/>
              <w:textAlignment w:val="auto"/>
              <w:rPr>
                <w:rFonts w:ascii="宋体" w:hAnsi="宋体" w:eastAsia="宋体" w:cs="宋体"/>
                <w:color w:val="auto"/>
                <w:kern w:val="0"/>
                <w:sz w:val="24"/>
                <w:szCs w:val="24"/>
                <w:highlight w:val="none"/>
              </w:rPr>
            </w:pPr>
          </w:p>
        </w:tc>
        <w:tc>
          <w:tcPr>
            <w:tcW w:w="727" w:type="dxa"/>
            <w:vMerge w:val="continue"/>
            <w:shd w:val="clear" w:color="auto" w:fill="auto"/>
            <w:vAlign w:val="center"/>
          </w:tcPr>
          <w:p w14:paraId="76DE13D7">
            <w:pPr>
              <w:pageBreakBefore w:val="0"/>
              <w:widowControl/>
              <w:kinsoku/>
              <w:wordWrap/>
              <w:overflowPunct/>
              <w:topLinePunct w:val="0"/>
              <w:autoSpaceDE/>
              <w:autoSpaceDN/>
              <w:bidi w:val="0"/>
              <w:adjustRightInd/>
              <w:spacing w:line="240" w:lineRule="exact"/>
              <w:ind w:firstLine="0" w:firstLineChars="0"/>
              <w:jc w:val="center"/>
              <w:textAlignment w:val="auto"/>
              <w:rPr>
                <w:rFonts w:ascii="宋体" w:hAnsi="宋体" w:eastAsia="宋体" w:cs="宋体"/>
                <w:color w:val="auto"/>
                <w:kern w:val="0"/>
                <w:sz w:val="24"/>
                <w:szCs w:val="24"/>
                <w:highlight w:val="none"/>
              </w:rPr>
            </w:pPr>
          </w:p>
        </w:tc>
        <w:tc>
          <w:tcPr>
            <w:tcW w:w="820" w:type="dxa"/>
            <w:shd w:val="clear" w:color="auto" w:fill="auto"/>
            <w:vAlign w:val="center"/>
          </w:tcPr>
          <w:p w14:paraId="205B3316">
            <w:pPr>
              <w:pageBreakBefore w:val="0"/>
              <w:widowControl/>
              <w:kinsoku/>
              <w:wordWrap/>
              <w:overflowPunct/>
              <w:topLinePunct w:val="0"/>
              <w:autoSpaceDE/>
              <w:autoSpaceDN/>
              <w:bidi w:val="0"/>
              <w:adjustRightInd/>
              <w:spacing w:line="240" w:lineRule="exact"/>
              <w:ind w:firstLine="0" w:firstLineChars="0"/>
              <w:jc w:val="center"/>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立项程序</w:t>
            </w:r>
          </w:p>
          <w:p w14:paraId="73582CE4">
            <w:pPr>
              <w:pageBreakBefore w:val="0"/>
              <w:widowControl/>
              <w:kinsoku/>
              <w:wordWrap/>
              <w:overflowPunct/>
              <w:topLinePunct w:val="0"/>
              <w:autoSpaceDE/>
              <w:autoSpaceDN/>
              <w:bidi w:val="0"/>
              <w:adjustRightInd/>
              <w:spacing w:line="240" w:lineRule="exact"/>
              <w:ind w:firstLine="0" w:firstLineChars="0"/>
              <w:jc w:val="center"/>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规范性</w:t>
            </w:r>
          </w:p>
        </w:tc>
        <w:tc>
          <w:tcPr>
            <w:tcW w:w="2141" w:type="dxa"/>
            <w:shd w:val="clear" w:color="auto" w:fill="auto"/>
            <w:vAlign w:val="center"/>
          </w:tcPr>
          <w:p w14:paraId="0C3FBF43">
            <w:pPr>
              <w:pageBreakBefore w:val="0"/>
              <w:widowControl/>
              <w:kinsoku/>
              <w:wordWrap/>
              <w:overflowPunct/>
              <w:topLinePunct w:val="0"/>
              <w:autoSpaceDE/>
              <w:autoSpaceDN/>
              <w:bidi w:val="0"/>
              <w:adjustRightInd/>
              <w:spacing w:line="240" w:lineRule="exact"/>
              <w:ind w:firstLine="0" w:firstLineChars="0"/>
              <w:jc w:val="center"/>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项目申请、设立过程是否符合相关要求，用以反映和考核项目立项的规范情况。</w:t>
            </w:r>
          </w:p>
        </w:tc>
        <w:tc>
          <w:tcPr>
            <w:tcW w:w="7821" w:type="dxa"/>
            <w:shd w:val="clear" w:color="auto" w:fill="auto"/>
            <w:vAlign w:val="center"/>
          </w:tcPr>
          <w:p w14:paraId="63E6E787">
            <w:pPr>
              <w:pageBreakBefore w:val="0"/>
              <w:widowControl/>
              <w:kinsoku/>
              <w:wordWrap/>
              <w:overflowPunct/>
              <w:topLinePunct w:val="0"/>
              <w:autoSpaceDE/>
              <w:autoSpaceDN/>
              <w:bidi w:val="0"/>
              <w:adjustRightInd/>
              <w:spacing w:line="240" w:lineRule="exact"/>
              <w:ind w:firstLine="0" w:firstLineChars="0"/>
              <w:jc w:val="center"/>
              <w:textAlignment w:val="auto"/>
              <w:rPr>
                <w:rFonts w:hint="eastAsia" w:ascii="宋体" w:hAnsi="宋体" w:eastAsia="宋体" w:cs="宋体"/>
                <w:color w:val="000000"/>
                <w:kern w:val="0"/>
                <w:sz w:val="24"/>
                <w:szCs w:val="24"/>
                <w:lang w:eastAsia="zh-CN"/>
              </w:rPr>
            </w:pPr>
            <w:r>
              <w:rPr>
                <w:rFonts w:hint="eastAsia" w:ascii="宋体" w:hAnsi="宋体" w:eastAsia="宋体" w:cs="宋体"/>
                <w:color w:val="000000"/>
                <w:kern w:val="0"/>
                <w:sz w:val="24"/>
                <w:szCs w:val="24"/>
              </w:rPr>
              <w:t>评价要点：</w:t>
            </w:r>
          </w:p>
          <w:p w14:paraId="5B2A6FAC">
            <w:pPr>
              <w:pageBreakBefore w:val="0"/>
              <w:widowControl/>
              <w:kinsoku/>
              <w:wordWrap/>
              <w:overflowPunct/>
              <w:topLinePunct w:val="0"/>
              <w:autoSpaceDE/>
              <w:autoSpaceDN/>
              <w:bidi w:val="0"/>
              <w:adjustRightInd/>
              <w:spacing w:line="240" w:lineRule="exact"/>
              <w:ind w:firstLine="0" w:firstLineChars="0"/>
              <w:jc w:val="center"/>
              <w:textAlignment w:val="auto"/>
              <w:rPr>
                <w:rFonts w:hint="eastAsia" w:ascii="宋体" w:hAnsi="宋体" w:eastAsia="宋体" w:cs="宋体"/>
                <w:color w:val="000000"/>
                <w:kern w:val="0"/>
                <w:sz w:val="24"/>
                <w:szCs w:val="24"/>
                <w:lang w:eastAsia="zh-CN"/>
              </w:rPr>
            </w:pPr>
            <w:r>
              <w:rPr>
                <w:rFonts w:hint="eastAsia" w:ascii="宋体" w:hAnsi="宋体" w:eastAsia="宋体" w:cs="宋体"/>
                <w:color w:val="000000"/>
                <w:kern w:val="0"/>
                <w:sz w:val="24"/>
                <w:szCs w:val="24"/>
              </w:rPr>
              <w:t>①项目是否按照规定的程序申请设立；</w:t>
            </w:r>
          </w:p>
          <w:p w14:paraId="618C647B">
            <w:pPr>
              <w:pageBreakBefore w:val="0"/>
              <w:widowControl/>
              <w:kinsoku/>
              <w:wordWrap/>
              <w:overflowPunct/>
              <w:topLinePunct w:val="0"/>
              <w:autoSpaceDE/>
              <w:autoSpaceDN/>
              <w:bidi w:val="0"/>
              <w:adjustRightInd/>
              <w:spacing w:line="240" w:lineRule="exact"/>
              <w:ind w:firstLine="0" w:firstLineChars="0"/>
              <w:jc w:val="center"/>
              <w:textAlignment w:val="auto"/>
              <w:rPr>
                <w:rFonts w:hint="eastAsia" w:ascii="宋体" w:hAnsi="宋体" w:eastAsia="宋体" w:cs="宋体"/>
                <w:color w:val="000000"/>
                <w:kern w:val="0"/>
                <w:sz w:val="24"/>
                <w:szCs w:val="24"/>
                <w:lang w:eastAsia="zh-CN"/>
              </w:rPr>
            </w:pPr>
            <w:r>
              <w:rPr>
                <w:rFonts w:hint="eastAsia" w:ascii="宋体" w:hAnsi="宋体" w:eastAsia="宋体" w:cs="宋体"/>
                <w:color w:val="000000"/>
                <w:kern w:val="0"/>
                <w:sz w:val="24"/>
                <w:szCs w:val="24"/>
              </w:rPr>
              <w:t>②审批文件、材料是否符合相关要求；</w:t>
            </w:r>
          </w:p>
          <w:p w14:paraId="32ED09E9">
            <w:pPr>
              <w:pageBreakBefore w:val="0"/>
              <w:widowControl/>
              <w:kinsoku/>
              <w:wordWrap/>
              <w:overflowPunct/>
              <w:topLinePunct w:val="0"/>
              <w:autoSpaceDE/>
              <w:autoSpaceDN/>
              <w:bidi w:val="0"/>
              <w:adjustRightInd/>
              <w:spacing w:line="240" w:lineRule="exact"/>
              <w:ind w:firstLine="0" w:firstLineChars="0"/>
              <w:jc w:val="center"/>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③事前是否已经过必要的可行性研究、专家论证、风险评估、绩效评估、集体决策。</w:t>
            </w:r>
          </w:p>
        </w:tc>
        <w:tc>
          <w:tcPr>
            <w:tcW w:w="785" w:type="dxa"/>
            <w:shd w:val="clear" w:color="auto" w:fill="auto"/>
            <w:vAlign w:val="center"/>
          </w:tcPr>
          <w:p w14:paraId="147852FF">
            <w:pPr>
              <w:keepNext w:val="0"/>
              <w:keepLines w:val="0"/>
              <w:pageBreakBefore w:val="0"/>
              <w:widowControl/>
              <w:kinsoku/>
              <w:wordWrap/>
              <w:overflowPunct/>
              <w:topLinePunct w:val="0"/>
              <w:autoSpaceDE/>
              <w:autoSpaceDN/>
              <w:bidi w:val="0"/>
              <w:adjustRightInd/>
              <w:snapToGrid w:val="0"/>
              <w:spacing w:line="24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bidi="ar-SA"/>
              </w:rPr>
            </w:pPr>
            <w:r>
              <w:rPr>
                <w:rFonts w:hint="eastAsia" w:ascii="宋体" w:hAnsi="宋体" w:eastAsia="宋体" w:cs="宋体"/>
                <w:color w:val="auto"/>
                <w:kern w:val="0"/>
                <w:sz w:val="21"/>
                <w:szCs w:val="21"/>
                <w:highlight w:val="none"/>
                <w:shd w:val="clear" w:color="auto" w:fill="auto"/>
                <w:lang w:val="en-US" w:eastAsia="zh-CN"/>
              </w:rPr>
              <w:t>3</w:t>
            </w:r>
          </w:p>
        </w:tc>
        <w:tc>
          <w:tcPr>
            <w:tcW w:w="769" w:type="dxa"/>
            <w:shd w:val="clear" w:color="auto" w:fill="auto"/>
            <w:vAlign w:val="center"/>
          </w:tcPr>
          <w:p w14:paraId="70E6ABB5">
            <w:pPr>
              <w:pageBreakBefore w:val="0"/>
              <w:widowControl/>
              <w:kinsoku/>
              <w:wordWrap/>
              <w:overflowPunct/>
              <w:topLinePunct w:val="0"/>
              <w:autoSpaceDE/>
              <w:autoSpaceDN/>
              <w:bidi w:val="0"/>
              <w:adjustRightInd/>
              <w:spacing w:line="240" w:lineRule="exact"/>
              <w:ind w:firstLine="0" w:firstLineChars="0"/>
              <w:jc w:val="left"/>
              <w:textAlignment w:val="auto"/>
              <w:rPr>
                <w:rFonts w:hint="default" w:ascii="宋体" w:hAnsi="宋体" w:eastAsia="宋体" w:cs="宋体"/>
                <w:color w:val="auto"/>
                <w:kern w:val="0"/>
                <w:sz w:val="24"/>
                <w:szCs w:val="24"/>
                <w:highlight w:val="none"/>
                <w:lang w:val="en-US" w:eastAsia="zh-CN"/>
              </w:rPr>
            </w:pPr>
            <w:r>
              <w:rPr>
                <w:rFonts w:hint="eastAsia" w:cs="宋体"/>
                <w:color w:val="auto"/>
                <w:kern w:val="0"/>
                <w:sz w:val="24"/>
                <w:szCs w:val="24"/>
                <w:highlight w:val="none"/>
                <w:lang w:val="en-US" w:eastAsia="zh-CN"/>
              </w:rPr>
              <w:t>2.2</w:t>
            </w:r>
          </w:p>
        </w:tc>
      </w:tr>
      <w:tr w14:paraId="69397FF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5" w:hRule="atLeast"/>
          <w:jc w:val="center"/>
        </w:trPr>
        <w:tc>
          <w:tcPr>
            <w:tcW w:w="861" w:type="dxa"/>
            <w:vMerge w:val="continue"/>
            <w:shd w:val="clear" w:color="auto" w:fill="auto"/>
            <w:vAlign w:val="center"/>
          </w:tcPr>
          <w:p w14:paraId="048A0F38">
            <w:pPr>
              <w:pageBreakBefore w:val="0"/>
              <w:kinsoku/>
              <w:wordWrap/>
              <w:overflowPunct/>
              <w:topLinePunct w:val="0"/>
              <w:autoSpaceDE/>
              <w:autoSpaceDN/>
              <w:bidi w:val="0"/>
              <w:adjustRightInd/>
              <w:spacing w:line="240" w:lineRule="exact"/>
              <w:ind w:firstLine="0" w:firstLineChars="0"/>
              <w:jc w:val="center"/>
              <w:textAlignment w:val="auto"/>
              <w:rPr>
                <w:rFonts w:ascii="宋体" w:hAnsi="宋体" w:eastAsia="宋体" w:cs="宋体"/>
                <w:color w:val="auto"/>
                <w:kern w:val="0"/>
                <w:sz w:val="24"/>
                <w:szCs w:val="24"/>
                <w:highlight w:val="none"/>
              </w:rPr>
            </w:pPr>
          </w:p>
        </w:tc>
        <w:tc>
          <w:tcPr>
            <w:tcW w:w="727" w:type="dxa"/>
            <w:shd w:val="clear" w:color="auto" w:fill="auto"/>
            <w:vAlign w:val="center"/>
          </w:tcPr>
          <w:p w14:paraId="1575F9CD">
            <w:pPr>
              <w:pageBreakBefore w:val="0"/>
              <w:widowControl/>
              <w:kinsoku/>
              <w:wordWrap/>
              <w:overflowPunct/>
              <w:topLinePunct w:val="0"/>
              <w:autoSpaceDE/>
              <w:autoSpaceDN/>
              <w:bidi w:val="0"/>
              <w:adjustRightInd/>
              <w:spacing w:line="240" w:lineRule="exact"/>
              <w:ind w:firstLine="0" w:firstLineChars="0"/>
              <w:jc w:val="center"/>
              <w:textAlignment w:val="auto"/>
              <w:rPr>
                <w:rFonts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绩效目标　</w:t>
            </w:r>
          </w:p>
        </w:tc>
        <w:tc>
          <w:tcPr>
            <w:tcW w:w="820" w:type="dxa"/>
            <w:shd w:val="clear" w:color="auto" w:fill="auto"/>
            <w:vAlign w:val="center"/>
          </w:tcPr>
          <w:p w14:paraId="4635AED6">
            <w:pPr>
              <w:pageBreakBefore w:val="0"/>
              <w:widowControl/>
              <w:kinsoku/>
              <w:wordWrap/>
              <w:overflowPunct/>
              <w:topLinePunct w:val="0"/>
              <w:autoSpaceDE/>
              <w:autoSpaceDN/>
              <w:bidi w:val="0"/>
              <w:adjustRightInd/>
              <w:spacing w:line="240" w:lineRule="exact"/>
              <w:ind w:firstLine="0" w:firstLineChars="0"/>
              <w:jc w:val="center"/>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绩效目标</w:t>
            </w:r>
          </w:p>
          <w:p w14:paraId="5B964B21">
            <w:pPr>
              <w:pageBreakBefore w:val="0"/>
              <w:widowControl/>
              <w:kinsoku/>
              <w:wordWrap/>
              <w:overflowPunct/>
              <w:topLinePunct w:val="0"/>
              <w:autoSpaceDE/>
              <w:autoSpaceDN/>
              <w:bidi w:val="0"/>
              <w:adjustRightInd/>
              <w:spacing w:line="240" w:lineRule="exact"/>
              <w:ind w:firstLine="0" w:firstLineChars="0"/>
              <w:jc w:val="center"/>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合理性</w:t>
            </w:r>
          </w:p>
        </w:tc>
        <w:tc>
          <w:tcPr>
            <w:tcW w:w="2141" w:type="dxa"/>
            <w:shd w:val="clear" w:color="auto" w:fill="auto"/>
            <w:vAlign w:val="center"/>
          </w:tcPr>
          <w:p w14:paraId="1590F1D3">
            <w:pPr>
              <w:pageBreakBefore w:val="0"/>
              <w:widowControl/>
              <w:kinsoku/>
              <w:wordWrap/>
              <w:overflowPunct/>
              <w:topLinePunct w:val="0"/>
              <w:autoSpaceDE/>
              <w:autoSpaceDN/>
              <w:bidi w:val="0"/>
              <w:adjustRightInd/>
              <w:spacing w:line="240" w:lineRule="exact"/>
              <w:ind w:firstLine="0" w:firstLineChars="0"/>
              <w:jc w:val="center"/>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项目所设定的绩效目标是否依据充分，是否符合客观实际，用以反映和考核项目绩效目标与项目实施的相符情况。</w:t>
            </w:r>
          </w:p>
        </w:tc>
        <w:tc>
          <w:tcPr>
            <w:tcW w:w="7821" w:type="dxa"/>
            <w:shd w:val="clear" w:color="auto" w:fill="auto"/>
            <w:vAlign w:val="center"/>
          </w:tcPr>
          <w:p w14:paraId="499E3E9E">
            <w:pPr>
              <w:pageBreakBefore w:val="0"/>
              <w:widowControl/>
              <w:kinsoku/>
              <w:wordWrap/>
              <w:overflowPunct/>
              <w:topLinePunct w:val="0"/>
              <w:autoSpaceDE/>
              <w:autoSpaceDN/>
              <w:bidi w:val="0"/>
              <w:adjustRightInd/>
              <w:spacing w:line="240" w:lineRule="exact"/>
              <w:ind w:firstLine="0" w:firstLineChars="0"/>
              <w:jc w:val="center"/>
              <w:textAlignment w:val="auto"/>
              <w:rPr>
                <w:rFonts w:hint="eastAsia" w:ascii="宋体" w:hAnsi="宋体" w:eastAsia="宋体" w:cs="宋体"/>
                <w:color w:val="000000"/>
                <w:kern w:val="0"/>
                <w:sz w:val="24"/>
                <w:szCs w:val="24"/>
                <w:lang w:eastAsia="zh-CN"/>
              </w:rPr>
            </w:pPr>
            <w:r>
              <w:rPr>
                <w:rFonts w:hint="eastAsia" w:ascii="宋体" w:hAnsi="宋体" w:eastAsia="宋体" w:cs="宋体"/>
                <w:color w:val="000000"/>
                <w:kern w:val="0"/>
                <w:sz w:val="24"/>
                <w:szCs w:val="24"/>
              </w:rPr>
              <w:t>评价要点：</w:t>
            </w:r>
          </w:p>
          <w:p w14:paraId="7534FC7F">
            <w:pPr>
              <w:pageBreakBefore w:val="0"/>
              <w:widowControl/>
              <w:kinsoku/>
              <w:wordWrap/>
              <w:overflowPunct/>
              <w:topLinePunct w:val="0"/>
              <w:autoSpaceDE/>
              <w:autoSpaceDN/>
              <w:bidi w:val="0"/>
              <w:adjustRightInd/>
              <w:spacing w:line="240" w:lineRule="exact"/>
              <w:ind w:firstLine="0" w:firstLineChars="0"/>
              <w:jc w:val="center"/>
              <w:textAlignment w:val="auto"/>
              <w:rPr>
                <w:rFonts w:hint="eastAsia" w:ascii="宋体" w:hAnsi="宋体" w:eastAsia="宋体" w:cs="宋体"/>
                <w:color w:val="000000"/>
                <w:kern w:val="0"/>
                <w:sz w:val="24"/>
                <w:szCs w:val="24"/>
                <w:lang w:eastAsia="zh-CN"/>
              </w:rPr>
            </w:pPr>
            <w:r>
              <w:rPr>
                <w:rFonts w:hint="eastAsia" w:ascii="宋体" w:hAnsi="宋体" w:eastAsia="宋体" w:cs="宋体"/>
                <w:color w:val="000000"/>
                <w:kern w:val="0"/>
                <w:sz w:val="24"/>
                <w:szCs w:val="24"/>
              </w:rPr>
              <w:t>（如未设定预算绩效目标，也可考核其他工作任务目标）</w:t>
            </w:r>
          </w:p>
          <w:p w14:paraId="05B24586">
            <w:pPr>
              <w:pageBreakBefore w:val="0"/>
              <w:widowControl/>
              <w:kinsoku/>
              <w:wordWrap/>
              <w:overflowPunct/>
              <w:topLinePunct w:val="0"/>
              <w:autoSpaceDE/>
              <w:autoSpaceDN/>
              <w:bidi w:val="0"/>
              <w:adjustRightInd/>
              <w:spacing w:line="240" w:lineRule="exact"/>
              <w:ind w:firstLine="0" w:firstLineChars="0"/>
              <w:jc w:val="center"/>
              <w:textAlignment w:val="auto"/>
              <w:rPr>
                <w:rFonts w:hint="eastAsia" w:ascii="宋体" w:hAnsi="宋体" w:eastAsia="宋体" w:cs="宋体"/>
                <w:color w:val="000000"/>
                <w:kern w:val="0"/>
                <w:sz w:val="24"/>
                <w:szCs w:val="24"/>
                <w:lang w:eastAsia="zh-CN"/>
              </w:rPr>
            </w:pPr>
            <w:r>
              <w:rPr>
                <w:rFonts w:hint="eastAsia" w:ascii="宋体" w:hAnsi="宋体" w:eastAsia="宋体" w:cs="宋体"/>
                <w:color w:val="000000"/>
                <w:kern w:val="0"/>
                <w:sz w:val="24"/>
                <w:szCs w:val="24"/>
              </w:rPr>
              <w:t>①项目是否有绩效目标；</w:t>
            </w:r>
          </w:p>
          <w:p w14:paraId="11DF8E8C">
            <w:pPr>
              <w:pageBreakBefore w:val="0"/>
              <w:widowControl/>
              <w:kinsoku/>
              <w:wordWrap/>
              <w:overflowPunct/>
              <w:topLinePunct w:val="0"/>
              <w:autoSpaceDE/>
              <w:autoSpaceDN/>
              <w:bidi w:val="0"/>
              <w:adjustRightInd/>
              <w:spacing w:line="240" w:lineRule="exact"/>
              <w:ind w:firstLine="0" w:firstLineChars="0"/>
              <w:jc w:val="center"/>
              <w:textAlignment w:val="auto"/>
              <w:rPr>
                <w:rFonts w:hint="eastAsia" w:ascii="宋体" w:hAnsi="宋体" w:eastAsia="宋体" w:cs="宋体"/>
                <w:color w:val="000000"/>
                <w:kern w:val="0"/>
                <w:sz w:val="24"/>
                <w:szCs w:val="24"/>
                <w:lang w:eastAsia="zh-CN"/>
              </w:rPr>
            </w:pPr>
            <w:r>
              <w:rPr>
                <w:rFonts w:hint="eastAsia" w:ascii="宋体" w:hAnsi="宋体" w:eastAsia="宋体" w:cs="宋体"/>
                <w:color w:val="000000"/>
                <w:kern w:val="0"/>
                <w:sz w:val="24"/>
                <w:szCs w:val="24"/>
              </w:rPr>
              <w:t>②项目绩效目标与实际工作内容是否具有相关性；</w:t>
            </w:r>
          </w:p>
          <w:p w14:paraId="0FF837B5">
            <w:pPr>
              <w:pageBreakBefore w:val="0"/>
              <w:widowControl/>
              <w:kinsoku/>
              <w:wordWrap/>
              <w:overflowPunct/>
              <w:topLinePunct w:val="0"/>
              <w:autoSpaceDE/>
              <w:autoSpaceDN/>
              <w:bidi w:val="0"/>
              <w:adjustRightInd/>
              <w:spacing w:line="240" w:lineRule="exact"/>
              <w:ind w:firstLine="0" w:firstLineChars="0"/>
              <w:jc w:val="center"/>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③项目预期产出效益和效果是否符合正常的业绩水平；</w:t>
            </w:r>
          </w:p>
          <w:p w14:paraId="429040B9">
            <w:pPr>
              <w:pageBreakBefore w:val="0"/>
              <w:widowControl/>
              <w:kinsoku/>
              <w:wordWrap/>
              <w:overflowPunct/>
              <w:topLinePunct w:val="0"/>
              <w:autoSpaceDE/>
              <w:autoSpaceDN/>
              <w:bidi w:val="0"/>
              <w:adjustRightInd/>
              <w:spacing w:line="240" w:lineRule="exact"/>
              <w:ind w:firstLine="0" w:firstLineChars="0"/>
              <w:jc w:val="center"/>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④是否与预算确定的项目投资额或资金量相匹配。</w:t>
            </w:r>
          </w:p>
        </w:tc>
        <w:tc>
          <w:tcPr>
            <w:tcW w:w="785" w:type="dxa"/>
            <w:shd w:val="clear" w:color="auto" w:fill="auto"/>
            <w:vAlign w:val="center"/>
          </w:tcPr>
          <w:p w14:paraId="002B7D59">
            <w:pPr>
              <w:keepNext w:val="0"/>
              <w:keepLines w:val="0"/>
              <w:pageBreakBefore w:val="0"/>
              <w:widowControl/>
              <w:kinsoku/>
              <w:wordWrap/>
              <w:overflowPunct/>
              <w:topLinePunct w:val="0"/>
              <w:autoSpaceDE/>
              <w:autoSpaceDN/>
              <w:bidi w:val="0"/>
              <w:adjustRightInd/>
              <w:snapToGrid w:val="0"/>
              <w:spacing w:line="24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bidi="ar-SA"/>
              </w:rPr>
            </w:pPr>
            <w:r>
              <w:rPr>
                <w:rFonts w:hint="eastAsia" w:ascii="宋体" w:hAnsi="宋体" w:eastAsia="宋体" w:cs="宋体"/>
                <w:color w:val="auto"/>
                <w:kern w:val="0"/>
                <w:sz w:val="21"/>
                <w:szCs w:val="21"/>
                <w:highlight w:val="none"/>
                <w:shd w:val="clear" w:color="auto" w:fill="auto"/>
                <w:lang w:val="en-US" w:eastAsia="zh-CN"/>
              </w:rPr>
              <w:t>5</w:t>
            </w:r>
          </w:p>
        </w:tc>
        <w:tc>
          <w:tcPr>
            <w:tcW w:w="769" w:type="dxa"/>
            <w:shd w:val="clear" w:color="auto" w:fill="auto"/>
            <w:vAlign w:val="center"/>
          </w:tcPr>
          <w:p w14:paraId="3240586D">
            <w:pPr>
              <w:pageBreakBefore w:val="0"/>
              <w:widowControl/>
              <w:kinsoku/>
              <w:wordWrap/>
              <w:overflowPunct/>
              <w:topLinePunct w:val="0"/>
              <w:autoSpaceDE/>
              <w:autoSpaceDN/>
              <w:bidi w:val="0"/>
              <w:adjustRightInd/>
              <w:spacing w:line="240" w:lineRule="exact"/>
              <w:ind w:firstLine="0" w:firstLineChars="0"/>
              <w:jc w:val="left"/>
              <w:textAlignment w:val="auto"/>
              <w:rPr>
                <w:rFonts w:hint="eastAsia" w:ascii="宋体" w:hAnsi="宋体" w:eastAsia="宋体" w:cs="宋体"/>
                <w:color w:val="auto"/>
                <w:kern w:val="0"/>
                <w:sz w:val="24"/>
                <w:szCs w:val="24"/>
                <w:highlight w:val="none"/>
                <w:lang w:val="en-US" w:eastAsia="zh-CN"/>
              </w:rPr>
            </w:pPr>
            <w:r>
              <w:rPr>
                <w:rFonts w:hint="eastAsia" w:cs="宋体"/>
                <w:color w:val="auto"/>
                <w:kern w:val="0"/>
                <w:sz w:val="24"/>
                <w:szCs w:val="24"/>
                <w:highlight w:val="none"/>
                <w:lang w:val="en-US" w:eastAsia="zh-CN"/>
              </w:rPr>
              <w:t>5</w:t>
            </w:r>
          </w:p>
        </w:tc>
      </w:tr>
      <w:tr w14:paraId="31BC0CF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1464" w:hRule="atLeast"/>
          <w:jc w:val="center"/>
        </w:trPr>
        <w:tc>
          <w:tcPr>
            <w:tcW w:w="861" w:type="dxa"/>
            <w:vMerge w:val="restart"/>
            <w:shd w:val="clear" w:color="auto" w:fill="auto"/>
            <w:vAlign w:val="center"/>
          </w:tcPr>
          <w:p w14:paraId="658191CE">
            <w:pPr>
              <w:pageBreakBefore w:val="0"/>
              <w:widowControl/>
              <w:kinsoku/>
              <w:wordWrap/>
              <w:overflowPunct/>
              <w:topLinePunct w:val="0"/>
              <w:autoSpaceDE/>
              <w:autoSpaceDN/>
              <w:bidi w:val="0"/>
              <w:adjustRightInd/>
              <w:spacing w:line="240" w:lineRule="exact"/>
              <w:ind w:firstLine="0" w:firstLineChars="0"/>
              <w:jc w:val="center"/>
              <w:textAlignment w:val="auto"/>
              <w:rPr>
                <w:rFonts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决策　</w:t>
            </w:r>
          </w:p>
        </w:tc>
        <w:tc>
          <w:tcPr>
            <w:tcW w:w="727" w:type="dxa"/>
            <w:shd w:val="clear" w:color="auto" w:fill="auto"/>
            <w:vAlign w:val="center"/>
          </w:tcPr>
          <w:p w14:paraId="298B61B0">
            <w:pPr>
              <w:pageBreakBefore w:val="0"/>
              <w:widowControl/>
              <w:kinsoku/>
              <w:wordWrap/>
              <w:overflowPunct/>
              <w:topLinePunct w:val="0"/>
              <w:autoSpaceDE/>
              <w:autoSpaceDN/>
              <w:bidi w:val="0"/>
              <w:adjustRightInd/>
              <w:spacing w:line="240" w:lineRule="exact"/>
              <w:ind w:firstLine="0" w:firstLineChars="0"/>
              <w:jc w:val="center"/>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绩效目标</w:t>
            </w:r>
          </w:p>
        </w:tc>
        <w:tc>
          <w:tcPr>
            <w:tcW w:w="820" w:type="dxa"/>
            <w:shd w:val="clear" w:color="auto" w:fill="auto"/>
            <w:vAlign w:val="center"/>
          </w:tcPr>
          <w:p w14:paraId="786E0541">
            <w:pPr>
              <w:pageBreakBefore w:val="0"/>
              <w:widowControl/>
              <w:kinsoku/>
              <w:wordWrap/>
              <w:overflowPunct/>
              <w:topLinePunct w:val="0"/>
              <w:autoSpaceDE/>
              <w:autoSpaceDN/>
              <w:bidi w:val="0"/>
              <w:adjustRightInd/>
              <w:spacing w:line="240" w:lineRule="exact"/>
              <w:ind w:firstLine="0" w:firstLineChars="0"/>
              <w:jc w:val="center"/>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绩效指标</w:t>
            </w:r>
          </w:p>
          <w:p w14:paraId="77A1510E">
            <w:pPr>
              <w:pageBreakBefore w:val="0"/>
              <w:widowControl/>
              <w:kinsoku/>
              <w:wordWrap/>
              <w:overflowPunct/>
              <w:topLinePunct w:val="0"/>
              <w:autoSpaceDE/>
              <w:autoSpaceDN/>
              <w:bidi w:val="0"/>
              <w:adjustRightInd/>
              <w:spacing w:line="240" w:lineRule="exact"/>
              <w:ind w:firstLine="0" w:firstLineChars="0"/>
              <w:jc w:val="center"/>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明确性</w:t>
            </w:r>
          </w:p>
        </w:tc>
        <w:tc>
          <w:tcPr>
            <w:tcW w:w="2141" w:type="dxa"/>
            <w:shd w:val="clear" w:color="auto" w:fill="auto"/>
            <w:vAlign w:val="center"/>
          </w:tcPr>
          <w:p w14:paraId="4E991188">
            <w:pPr>
              <w:pageBreakBefore w:val="0"/>
              <w:widowControl/>
              <w:kinsoku/>
              <w:wordWrap/>
              <w:overflowPunct/>
              <w:topLinePunct w:val="0"/>
              <w:autoSpaceDE/>
              <w:autoSpaceDN/>
              <w:bidi w:val="0"/>
              <w:adjustRightInd/>
              <w:spacing w:line="240" w:lineRule="exact"/>
              <w:ind w:firstLine="0" w:firstLineChars="0"/>
              <w:jc w:val="center"/>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依据绩效目标设定的绩效指标是否清晰、细化、可衡量等，用以反映和考核项目绩效目标的明细化情况。</w:t>
            </w:r>
          </w:p>
        </w:tc>
        <w:tc>
          <w:tcPr>
            <w:tcW w:w="7821" w:type="dxa"/>
            <w:shd w:val="clear" w:color="auto" w:fill="auto"/>
            <w:vAlign w:val="center"/>
          </w:tcPr>
          <w:p w14:paraId="44A1CFD0">
            <w:pPr>
              <w:pageBreakBefore w:val="0"/>
              <w:widowControl/>
              <w:kinsoku/>
              <w:wordWrap/>
              <w:overflowPunct/>
              <w:topLinePunct w:val="0"/>
              <w:autoSpaceDE/>
              <w:autoSpaceDN/>
              <w:bidi w:val="0"/>
              <w:adjustRightInd/>
              <w:spacing w:line="240" w:lineRule="exact"/>
              <w:ind w:firstLine="0" w:firstLineChars="0"/>
              <w:jc w:val="center"/>
              <w:textAlignment w:val="auto"/>
              <w:rPr>
                <w:rFonts w:hint="eastAsia" w:ascii="宋体" w:hAnsi="宋体" w:eastAsia="宋体" w:cs="宋体"/>
                <w:color w:val="000000"/>
                <w:kern w:val="0"/>
                <w:sz w:val="24"/>
                <w:szCs w:val="24"/>
                <w:lang w:eastAsia="zh-CN"/>
              </w:rPr>
            </w:pPr>
            <w:r>
              <w:rPr>
                <w:rFonts w:hint="eastAsia" w:ascii="宋体" w:hAnsi="宋体" w:eastAsia="宋体" w:cs="宋体"/>
                <w:color w:val="000000"/>
                <w:kern w:val="0"/>
                <w:sz w:val="24"/>
                <w:szCs w:val="24"/>
              </w:rPr>
              <w:t>评价要点：</w:t>
            </w:r>
          </w:p>
          <w:p w14:paraId="3DAD8D49">
            <w:pPr>
              <w:pageBreakBefore w:val="0"/>
              <w:widowControl/>
              <w:kinsoku/>
              <w:wordWrap/>
              <w:overflowPunct/>
              <w:topLinePunct w:val="0"/>
              <w:autoSpaceDE/>
              <w:autoSpaceDN/>
              <w:bidi w:val="0"/>
              <w:adjustRightInd/>
              <w:spacing w:line="240" w:lineRule="exact"/>
              <w:ind w:firstLine="0" w:firstLineChars="0"/>
              <w:jc w:val="center"/>
              <w:textAlignment w:val="auto"/>
              <w:rPr>
                <w:rFonts w:hint="eastAsia" w:ascii="宋体" w:hAnsi="宋体" w:eastAsia="宋体" w:cs="宋体"/>
                <w:color w:val="000000"/>
                <w:kern w:val="0"/>
                <w:sz w:val="24"/>
                <w:szCs w:val="24"/>
                <w:lang w:eastAsia="zh-CN"/>
              </w:rPr>
            </w:pPr>
            <w:r>
              <w:rPr>
                <w:rFonts w:hint="eastAsia" w:ascii="宋体" w:hAnsi="宋体" w:eastAsia="宋体" w:cs="宋体"/>
                <w:color w:val="000000"/>
                <w:kern w:val="0"/>
                <w:sz w:val="24"/>
                <w:szCs w:val="24"/>
              </w:rPr>
              <w:t>①是否将项目绩效目标细化分解为具体的绩效指标；</w:t>
            </w:r>
          </w:p>
          <w:p w14:paraId="7EB803F3">
            <w:pPr>
              <w:pageBreakBefore w:val="0"/>
              <w:widowControl/>
              <w:kinsoku/>
              <w:wordWrap/>
              <w:overflowPunct/>
              <w:topLinePunct w:val="0"/>
              <w:autoSpaceDE/>
              <w:autoSpaceDN/>
              <w:bidi w:val="0"/>
              <w:adjustRightInd/>
              <w:spacing w:line="240" w:lineRule="exact"/>
              <w:ind w:firstLine="0" w:firstLineChars="0"/>
              <w:jc w:val="center"/>
              <w:textAlignment w:val="auto"/>
              <w:rPr>
                <w:rFonts w:hint="eastAsia" w:ascii="宋体" w:hAnsi="宋体" w:eastAsia="宋体" w:cs="宋体"/>
                <w:color w:val="000000"/>
                <w:kern w:val="0"/>
                <w:sz w:val="24"/>
                <w:szCs w:val="24"/>
                <w:lang w:eastAsia="zh-CN"/>
              </w:rPr>
            </w:pPr>
            <w:r>
              <w:rPr>
                <w:rFonts w:hint="eastAsia" w:ascii="宋体" w:hAnsi="宋体" w:eastAsia="宋体" w:cs="宋体"/>
                <w:color w:val="000000"/>
                <w:kern w:val="0"/>
                <w:sz w:val="24"/>
                <w:szCs w:val="24"/>
              </w:rPr>
              <w:t>②是否通过清晰、可衡量的指标值予以体现；</w:t>
            </w:r>
          </w:p>
          <w:p w14:paraId="18669D43">
            <w:pPr>
              <w:pageBreakBefore w:val="0"/>
              <w:widowControl/>
              <w:kinsoku/>
              <w:wordWrap/>
              <w:overflowPunct/>
              <w:topLinePunct w:val="0"/>
              <w:autoSpaceDE/>
              <w:autoSpaceDN/>
              <w:bidi w:val="0"/>
              <w:adjustRightInd/>
              <w:spacing w:line="240" w:lineRule="exact"/>
              <w:ind w:firstLine="0" w:firstLineChars="0"/>
              <w:jc w:val="center"/>
              <w:textAlignment w:val="auto"/>
              <w:rPr>
                <w:rFonts w:hint="eastAsia" w:ascii="宋体" w:hAnsi="宋体" w:eastAsia="宋体" w:cs="宋体"/>
                <w:color w:val="000000"/>
                <w:kern w:val="0"/>
                <w:sz w:val="24"/>
                <w:szCs w:val="24"/>
                <w:lang w:eastAsia="zh-CN"/>
              </w:rPr>
            </w:pPr>
            <w:r>
              <w:rPr>
                <w:rFonts w:hint="eastAsia" w:ascii="宋体" w:hAnsi="宋体" w:eastAsia="宋体" w:cs="宋体"/>
                <w:color w:val="000000"/>
                <w:kern w:val="0"/>
                <w:sz w:val="24"/>
                <w:szCs w:val="24"/>
              </w:rPr>
              <w:t>③是否与项目目标任务数或计划数相对应。</w:t>
            </w:r>
          </w:p>
          <w:p w14:paraId="27F2C066">
            <w:pPr>
              <w:pageBreakBefore w:val="0"/>
              <w:widowControl/>
              <w:kinsoku/>
              <w:wordWrap/>
              <w:overflowPunct/>
              <w:topLinePunct w:val="0"/>
              <w:autoSpaceDE/>
              <w:autoSpaceDN/>
              <w:bidi w:val="0"/>
              <w:adjustRightInd/>
              <w:spacing w:line="240" w:lineRule="exact"/>
              <w:ind w:firstLine="0" w:firstLineChars="0"/>
              <w:jc w:val="center"/>
              <w:textAlignment w:val="auto"/>
              <w:rPr>
                <w:rFonts w:hint="eastAsia" w:ascii="宋体" w:hAnsi="宋体" w:eastAsia="宋体" w:cs="宋体"/>
                <w:color w:val="000000"/>
                <w:kern w:val="0"/>
                <w:sz w:val="24"/>
                <w:szCs w:val="24"/>
                <w:lang w:eastAsia="zh-CN"/>
              </w:rPr>
            </w:pPr>
          </w:p>
        </w:tc>
        <w:tc>
          <w:tcPr>
            <w:tcW w:w="785" w:type="dxa"/>
            <w:shd w:val="clear" w:color="auto" w:fill="auto"/>
            <w:vAlign w:val="center"/>
          </w:tcPr>
          <w:p w14:paraId="0DED01F5">
            <w:pPr>
              <w:keepNext w:val="0"/>
              <w:keepLines w:val="0"/>
              <w:pageBreakBefore w:val="0"/>
              <w:widowControl/>
              <w:kinsoku/>
              <w:wordWrap/>
              <w:overflowPunct/>
              <w:topLinePunct w:val="0"/>
              <w:autoSpaceDE/>
              <w:autoSpaceDN/>
              <w:bidi w:val="0"/>
              <w:adjustRightInd/>
              <w:snapToGrid w:val="0"/>
              <w:spacing w:line="24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bidi="ar-SA"/>
              </w:rPr>
            </w:pPr>
            <w:r>
              <w:rPr>
                <w:rFonts w:hint="eastAsia" w:ascii="宋体" w:hAnsi="宋体" w:eastAsia="宋体" w:cs="宋体"/>
                <w:color w:val="auto"/>
                <w:kern w:val="0"/>
                <w:sz w:val="21"/>
                <w:szCs w:val="21"/>
                <w:highlight w:val="none"/>
                <w:shd w:val="clear" w:color="auto" w:fill="auto"/>
                <w:lang w:val="en-US" w:eastAsia="zh-CN"/>
              </w:rPr>
              <w:t>5</w:t>
            </w:r>
          </w:p>
        </w:tc>
        <w:tc>
          <w:tcPr>
            <w:tcW w:w="769" w:type="dxa"/>
            <w:shd w:val="clear" w:color="auto" w:fill="auto"/>
            <w:vAlign w:val="center"/>
          </w:tcPr>
          <w:p w14:paraId="03307735">
            <w:pPr>
              <w:pageBreakBefore w:val="0"/>
              <w:widowControl/>
              <w:kinsoku/>
              <w:wordWrap/>
              <w:overflowPunct/>
              <w:topLinePunct w:val="0"/>
              <w:autoSpaceDE/>
              <w:autoSpaceDN/>
              <w:bidi w:val="0"/>
              <w:adjustRightInd/>
              <w:spacing w:line="240" w:lineRule="exact"/>
              <w:ind w:firstLine="0" w:firstLineChars="0"/>
              <w:textAlignment w:val="auto"/>
              <w:rPr>
                <w:rFonts w:hint="eastAsia" w:ascii="宋体" w:hAnsi="宋体" w:eastAsia="宋体" w:cs="宋体"/>
                <w:color w:val="auto"/>
                <w:kern w:val="0"/>
                <w:sz w:val="24"/>
                <w:szCs w:val="24"/>
                <w:highlight w:val="none"/>
                <w:lang w:val="en-US" w:eastAsia="zh-CN"/>
              </w:rPr>
            </w:pPr>
            <w:r>
              <w:rPr>
                <w:rFonts w:hint="eastAsia" w:cs="宋体"/>
                <w:color w:val="auto"/>
                <w:kern w:val="0"/>
                <w:sz w:val="24"/>
                <w:szCs w:val="24"/>
                <w:highlight w:val="none"/>
                <w:lang w:val="en-US" w:eastAsia="zh-CN"/>
              </w:rPr>
              <w:t>5</w:t>
            </w:r>
          </w:p>
        </w:tc>
      </w:tr>
      <w:tr w14:paraId="048066F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2" w:hRule="atLeast"/>
          <w:jc w:val="center"/>
        </w:trPr>
        <w:tc>
          <w:tcPr>
            <w:tcW w:w="861" w:type="dxa"/>
            <w:vMerge w:val="continue"/>
            <w:shd w:val="clear" w:color="auto" w:fill="auto"/>
            <w:vAlign w:val="center"/>
          </w:tcPr>
          <w:p w14:paraId="5394DD25">
            <w:pPr>
              <w:pageBreakBefore w:val="0"/>
              <w:kinsoku/>
              <w:wordWrap/>
              <w:overflowPunct/>
              <w:topLinePunct w:val="0"/>
              <w:autoSpaceDE/>
              <w:autoSpaceDN/>
              <w:bidi w:val="0"/>
              <w:adjustRightInd/>
              <w:spacing w:line="240" w:lineRule="exact"/>
              <w:ind w:firstLine="0" w:firstLineChars="0"/>
              <w:jc w:val="center"/>
              <w:textAlignment w:val="auto"/>
              <w:rPr>
                <w:rFonts w:ascii="宋体" w:hAnsi="宋体" w:eastAsia="宋体" w:cs="宋体"/>
                <w:color w:val="auto"/>
                <w:kern w:val="0"/>
                <w:sz w:val="24"/>
                <w:szCs w:val="24"/>
                <w:highlight w:val="none"/>
              </w:rPr>
            </w:pPr>
          </w:p>
        </w:tc>
        <w:tc>
          <w:tcPr>
            <w:tcW w:w="727" w:type="dxa"/>
            <w:vMerge w:val="restart"/>
            <w:shd w:val="clear" w:color="auto" w:fill="auto"/>
            <w:vAlign w:val="center"/>
          </w:tcPr>
          <w:p w14:paraId="2BC3A155">
            <w:pPr>
              <w:pageBreakBefore w:val="0"/>
              <w:widowControl/>
              <w:kinsoku/>
              <w:wordWrap/>
              <w:overflowPunct/>
              <w:topLinePunct w:val="0"/>
              <w:autoSpaceDE/>
              <w:autoSpaceDN/>
              <w:bidi w:val="0"/>
              <w:adjustRightInd/>
              <w:spacing w:line="240" w:lineRule="exact"/>
              <w:ind w:firstLine="0" w:firstLineChars="0"/>
              <w:jc w:val="center"/>
              <w:textAlignment w:val="auto"/>
              <w:rPr>
                <w:rFonts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资金投入</w:t>
            </w:r>
          </w:p>
          <w:p w14:paraId="1F59672A">
            <w:pPr>
              <w:pageBreakBefore w:val="0"/>
              <w:kinsoku/>
              <w:wordWrap/>
              <w:overflowPunct/>
              <w:topLinePunct w:val="0"/>
              <w:autoSpaceDE/>
              <w:autoSpaceDN/>
              <w:bidi w:val="0"/>
              <w:adjustRightInd/>
              <w:spacing w:line="240" w:lineRule="exact"/>
              <w:ind w:firstLine="0" w:firstLineChars="0"/>
              <w:jc w:val="center"/>
              <w:textAlignment w:val="auto"/>
              <w:rPr>
                <w:rFonts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820" w:type="dxa"/>
            <w:shd w:val="clear" w:color="auto" w:fill="auto"/>
            <w:vAlign w:val="center"/>
          </w:tcPr>
          <w:p w14:paraId="2A5059D7">
            <w:pPr>
              <w:pageBreakBefore w:val="0"/>
              <w:widowControl/>
              <w:kinsoku/>
              <w:wordWrap/>
              <w:overflowPunct/>
              <w:topLinePunct w:val="0"/>
              <w:autoSpaceDE/>
              <w:autoSpaceDN/>
              <w:bidi w:val="0"/>
              <w:adjustRightInd/>
              <w:spacing w:line="240" w:lineRule="exact"/>
              <w:ind w:firstLine="0" w:firstLineChars="0"/>
              <w:jc w:val="center"/>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预算编制</w:t>
            </w:r>
          </w:p>
          <w:p w14:paraId="10030922">
            <w:pPr>
              <w:pageBreakBefore w:val="0"/>
              <w:widowControl/>
              <w:kinsoku/>
              <w:wordWrap/>
              <w:overflowPunct/>
              <w:topLinePunct w:val="0"/>
              <w:autoSpaceDE/>
              <w:autoSpaceDN/>
              <w:bidi w:val="0"/>
              <w:adjustRightInd/>
              <w:spacing w:line="240" w:lineRule="exact"/>
              <w:ind w:firstLine="0" w:firstLineChars="0"/>
              <w:jc w:val="center"/>
              <w:textAlignment w:val="auto"/>
              <w:rPr>
                <w:rFonts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科学性</w:t>
            </w:r>
          </w:p>
        </w:tc>
        <w:tc>
          <w:tcPr>
            <w:tcW w:w="2141" w:type="dxa"/>
            <w:shd w:val="clear" w:color="auto" w:fill="auto"/>
            <w:vAlign w:val="center"/>
          </w:tcPr>
          <w:p w14:paraId="549E385C">
            <w:pPr>
              <w:pageBreakBefore w:val="0"/>
              <w:widowControl/>
              <w:kinsoku/>
              <w:wordWrap/>
              <w:overflowPunct/>
              <w:topLinePunct w:val="0"/>
              <w:autoSpaceDE/>
              <w:autoSpaceDN/>
              <w:bidi w:val="0"/>
              <w:adjustRightInd/>
              <w:spacing w:line="240" w:lineRule="exact"/>
              <w:ind w:firstLine="0" w:firstLineChars="0"/>
              <w:textAlignment w:val="auto"/>
              <w:rPr>
                <w:rFonts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项目预算编制是否经过科学论证、有明确标准，资金额度与年度目标是否相适应，用以反映和考核项目预算编制的科学性、合理性情况。</w:t>
            </w:r>
          </w:p>
        </w:tc>
        <w:tc>
          <w:tcPr>
            <w:tcW w:w="7821" w:type="dxa"/>
            <w:shd w:val="clear" w:color="auto" w:fill="auto"/>
            <w:vAlign w:val="center"/>
          </w:tcPr>
          <w:p w14:paraId="09710F48">
            <w:pPr>
              <w:pageBreakBefore w:val="0"/>
              <w:widowControl/>
              <w:kinsoku/>
              <w:wordWrap/>
              <w:overflowPunct/>
              <w:topLinePunct w:val="0"/>
              <w:autoSpaceDE/>
              <w:autoSpaceDN/>
              <w:bidi w:val="0"/>
              <w:adjustRightInd/>
              <w:spacing w:line="240" w:lineRule="exact"/>
              <w:ind w:firstLine="0" w:firstLineChars="0"/>
              <w:textAlignment w:val="auto"/>
              <w:rPr>
                <w:rFonts w:hint="eastAsia" w:ascii="宋体" w:hAnsi="宋体" w:eastAsia="宋体" w:cs="宋体"/>
                <w:color w:val="auto"/>
                <w:kern w:val="0"/>
                <w:sz w:val="24"/>
                <w:szCs w:val="24"/>
                <w:highlight w:val="none"/>
                <w:lang w:eastAsia="zh-CN"/>
              </w:rPr>
            </w:pPr>
            <w:r>
              <w:rPr>
                <w:rFonts w:hint="eastAsia" w:ascii="宋体" w:hAnsi="宋体" w:eastAsia="宋体" w:cs="宋体"/>
                <w:color w:val="auto"/>
                <w:kern w:val="0"/>
                <w:sz w:val="24"/>
                <w:szCs w:val="24"/>
                <w:highlight w:val="none"/>
              </w:rPr>
              <w:t>评价要点：</w:t>
            </w:r>
          </w:p>
          <w:p w14:paraId="24A225A8">
            <w:pPr>
              <w:pageBreakBefore w:val="0"/>
              <w:widowControl/>
              <w:kinsoku/>
              <w:wordWrap/>
              <w:overflowPunct/>
              <w:topLinePunct w:val="0"/>
              <w:autoSpaceDE/>
              <w:autoSpaceDN/>
              <w:bidi w:val="0"/>
              <w:adjustRightInd/>
              <w:spacing w:line="240" w:lineRule="exact"/>
              <w:ind w:firstLine="0" w:firstLineChars="0"/>
              <w:textAlignment w:val="auto"/>
              <w:rPr>
                <w:rFonts w:hint="eastAsia" w:ascii="宋体" w:hAnsi="宋体" w:eastAsia="宋体" w:cs="宋体"/>
                <w:color w:val="auto"/>
                <w:kern w:val="0"/>
                <w:sz w:val="24"/>
                <w:szCs w:val="24"/>
                <w:highlight w:val="none"/>
                <w:lang w:eastAsia="zh-CN"/>
              </w:rPr>
            </w:pPr>
            <w:r>
              <w:rPr>
                <w:rFonts w:hint="eastAsia" w:ascii="宋体" w:hAnsi="宋体" w:eastAsia="宋体" w:cs="宋体"/>
                <w:color w:val="auto"/>
                <w:kern w:val="0"/>
                <w:sz w:val="24"/>
                <w:szCs w:val="24"/>
                <w:highlight w:val="none"/>
              </w:rPr>
              <w:t>①预算编制是否经过科学论证；</w:t>
            </w:r>
          </w:p>
          <w:p w14:paraId="775198BF">
            <w:pPr>
              <w:pageBreakBefore w:val="0"/>
              <w:widowControl/>
              <w:kinsoku/>
              <w:wordWrap/>
              <w:overflowPunct/>
              <w:topLinePunct w:val="0"/>
              <w:autoSpaceDE/>
              <w:autoSpaceDN/>
              <w:bidi w:val="0"/>
              <w:adjustRightInd/>
              <w:spacing w:line="240" w:lineRule="exact"/>
              <w:ind w:firstLine="0" w:firstLineChars="0"/>
              <w:textAlignment w:val="auto"/>
              <w:rPr>
                <w:rFonts w:hint="eastAsia" w:ascii="宋体" w:hAnsi="宋体" w:eastAsia="宋体" w:cs="宋体"/>
                <w:color w:val="auto"/>
                <w:kern w:val="0"/>
                <w:sz w:val="24"/>
                <w:szCs w:val="24"/>
                <w:highlight w:val="none"/>
                <w:lang w:eastAsia="zh-CN"/>
              </w:rPr>
            </w:pPr>
            <w:r>
              <w:rPr>
                <w:rFonts w:hint="eastAsia" w:ascii="宋体" w:hAnsi="宋体" w:eastAsia="宋体" w:cs="宋体"/>
                <w:color w:val="auto"/>
                <w:kern w:val="0"/>
                <w:sz w:val="24"/>
                <w:szCs w:val="24"/>
                <w:highlight w:val="none"/>
              </w:rPr>
              <w:t>②预算内容与项目内容是否匹配；</w:t>
            </w:r>
          </w:p>
          <w:p w14:paraId="2D52B485">
            <w:pPr>
              <w:pageBreakBefore w:val="0"/>
              <w:widowControl/>
              <w:kinsoku/>
              <w:wordWrap/>
              <w:overflowPunct/>
              <w:topLinePunct w:val="0"/>
              <w:autoSpaceDE/>
              <w:autoSpaceDN/>
              <w:bidi w:val="0"/>
              <w:adjustRightInd/>
              <w:spacing w:line="240" w:lineRule="exact"/>
              <w:ind w:firstLine="0" w:firstLineChars="0"/>
              <w:textAlignment w:val="auto"/>
              <w:rPr>
                <w:rFonts w:hint="eastAsia" w:ascii="宋体" w:hAnsi="宋体" w:eastAsia="宋体" w:cs="宋体"/>
                <w:color w:val="auto"/>
                <w:kern w:val="0"/>
                <w:sz w:val="24"/>
                <w:szCs w:val="24"/>
                <w:highlight w:val="none"/>
                <w:lang w:eastAsia="zh-CN"/>
              </w:rPr>
            </w:pPr>
            <w:r>
              <w:rPr>
                <w:rFonts w:hint="eastAsia" w:ascii="宋体" w:hAnsi="宋体" w:eastAsia="宋体" w:cs="宋体"/>
                <w:color w:val="auto"/>
                <w:kern w:val="0"/>
                <w:sz w:val="24"/>
                <w:szCs w:val="24"/>
                <w:highlight w:val="none"/>
              </w:rPr>
              <w:t>③预算额度测算依据是否充分，是否按照标准编制；</w:t>
            </w:r>
          </w:p>
          <w:p w14:paraId="3F895440">
            <w:pPr>
              <w:pageBreakBefore w:val="0"/>
              <w:widowControl/>
              <w:kinsoku/>
              <w:wordWrap/>
              <w:overflowPunct/>
              <w:topLinePunct w:val="0"/>
              <w:autoSpaceDE/>
              <w:autoSpaceDN/>
              <w:bidi w:val="0"/>
              <w:adjustRightInd/>
              <w:spacing w:line="240" w:lineRule="exact"/>
              <w:ind w:firstLine="0" w:firstLineChars="0"/>
              <w:textAlignment w:val="auto"/>
              <w:rPr>
                <w:rFonts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④预算确定的项目投资额或资金量是否与工作任务相匹配。</w:t>
            </w:r>
          </w:p>
        </w:tc>
        <w:tc>
          <w:tcPr>
            <w:tcW w:w="785" w:type="dxa"/>
            <w:shd w:val="clear" w:color="auto" w:fill="auto"/>
            <w:vAlign w:val="center"/>
          </w:tcPr>
          <w:p w14:paraId="42F7AE42">
            <w:pPr>
              <w:keepNext w:val="0"/>
              <w:keepLines w:val="0"/>
              <w:pageBreakBefore w:val="0"/>
              <w:widowControl/>
              <w:kinsoku/>
              <w:wordWrap/>
              <w:overflowPunct/>
              <w:topLinePunct w:val="0"/>
              <w:autoSpaceDE/>
              <w:autoSpaceDN/>
              <w:bidi w:val="0"/>
              <w:adjustRightInd/>
              <w:snapToGrid w:val="0"/>
              <w:spacing w:line="24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bidi="ar-SA"/>
              </w:rPr>
            </w:pPr>
            <w:r>
              <w:rPr>
                <w:rFonts w:hint="eastAsia" w:ascii="宋体" w:hAnsi="宋体" w:eastAsia="宋体" w:cs="宋体"/>
                <w:color w:val="auto"/>
                <w:kern w:val="0"/>
                <w:sz w:val="21"/>
                <w:szCs w:val="21"/>
                <w:highlight w:val="none"/>
                <w:shd w:val="clear" w:color="auto" w:fill="auto"/>
                <w:lang w:val="en-US" w:eastAsia="zh-CN"/>
              </w:rPr>
              <w:t>2</w:t>
            </w:r>
          </w:p>
        </w:tc>
        <w:tc>
          <w:tcPr>
            <w:tcW w:w="769" w:type="dxa"/>
            <w:shd w:val="clear" w:color="auto" w:fill="auto"/>
            <w:vAlign w:val="center"/>
          </w:tcPr>
          <w:p w14:paraId="0DD7FDBF">
            <w:pPr>
              <w:pageBreakBefore w:val="0"/>
              <w:widowControl/>
              <w:kinsoku/>
              <w:wordWrap/>
              <w:overflowPunct/>
              <w:topLinePunct w:val="0"/>
              <w:autoSpaceDE/>
              <w:autoSpaceDN/>
              <w:bidi w:val="0"/>
              <w:adjustRightInd/>
              <w:spacing w:line="240" w:lineRule="exact"/>
              <w:ind w:firstLine="0" w:firstLineChars="0"/>
              <w:textAlignment w:val="auto"/>
              <w:rPr>
                <w:rFonts w:hint="eastAsia" w:ascii="宋体" w:hAnsi="宋体" w:eastAsia="宋体" w:cs="宋体"/>
                <w:color w:val="auto"/>
                <w:kern w:val="0"/>
                <w:sz w:val="24"/>
                <w:szCs w:val="24"/>
                <w:highlight w:val="none"/>
                <w:lang w:val="en-US" w:eastAsia="zh-CN"/>
              </w:rPr>
            </w:pPr>
            <w:r>
              <w:rPr>
                <w:rFonts w:hint="eastAsia" w:cs="宋体"/>
                <w:color w:val="auto"/>
                <w:kern w:val="0"/>
                <w:sz w:val="24"/>
                <w:szCs w:val="24"/>
                <w:highlight w:val="none"/>
                <w:lang w:val="en-US" w:eastAsia="zh-CN"/>
              </w:rPr>
              <w:t>2</w:t>
            </w:r>
          </w:p>
        </w:tc>
      </w:tr>
      <w:tr w14:paraId="1BD8127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3569" w:hRule="atLeast"/>
          <w:jc w:val="center"/>
        </w:trPr>
        <w:tc>
          <w:tcPr>
            <w:tcW w:w="861" w:type="dxa"/>
            <w:vMerge w:val="continue"/>
            <w:shd w:val="clear" w:color="auto" w:fill="auto"/>
            <w:vAlign w:val="center"/>
          </w:tcPr>
          <w:p w14:paraId="2D434024">
            <w:pPr>
              <w:pageBreakBefore w:val="0"/>
              <w:widowControl/>
              <w:kinsoku/>
              <w:wordWrap/>
              <w:overflowPunct/>
              <w:topLinePunct w:val="0"/>
              <w:autoSpaceDE/>
              <w:autoSpaceDN/>
              <w:bidi w:val="0"/>
              <w:adjustRightInd/>
              <w:spacing w:line="240" w:lineRule="exact"/>
              <w:ind w:firstLine="0" w:firstLineChars="0"/>
              <w:jc w:val="center"/>
              <w:textAlignment w:val="auto"/>
              <w:rPr>
                <w:rFonts w:ascii="宋体" w:hAnsi="宋体" w:eastAsia="宋体" w:cs="宋体"/>
                <w:color w:val="auto"/>
                <w:kern w:val="0"/>
                <w:sz w:val="24"/>
                <w:szCs w:val="24"/>
                <w:highlight w:val="none"/>
              </w:rPr>
            </w:pPr>
          </w:p>
        </w:tc>
        <w:tc>
          <w:tcPr>
            <w:tcW w:w="727" w:type="dxa"/>
            <w:vMerge w:val="continue"/>
            <w:shd w:val="clear" w:color="auto" w:fill="auto"/>
            <w:vAlign w:val="center"/>
          </w:tcPr>
          <w:p w14:paraId="1A7633DF">
            <w:pPr>
              <w:pageBreakBefore w:val="0"/>
              <w:widowControl/>
              <w:kinsoku/>
              <w:wordWrap/>
              <w:overflowPunct/>
              <w:topLinePunct w:val="0"/>
              <w:autoSpaceDE/>
              <w:autoSpaceDN/>
              <w:bidi w:val="0"/>
              <w:adjustRightInd/>
              <w:spacing w:line="240" w:lineRule="exact"/>
              <w:ind w:firstLine="0" w:firstLineChars="0"/>
              <w:jc w:val="center"/>
              <w:textAlignment w:val="auto"/>
              <w:rPr>
                <w:rFonts w:ascii="宋体" w:hAnsi="宋体" w:eastAsia="宋体" w:cs="宋体"/>
                <w:color w:val="auto"/>
                <w:kern w:val="0"/>
                <w:sz w:val="24"/>
                <w:szCs w:val="24"/>
                <w:highlight w:val="none"/>
              </w:rPr>
            </w:pPr>
          </w:p>
        </w:tc>
        <w:tc>
          <w:tcPr>
            <w:tcW w:w="820" w:type="dxa"/>
            <w:shd w:val="clear" w:color="auto" w:fill="auto"/>
            <w:vAlign w:val="center"/>
          </w:tcPr>
          <w:p w14:paraId="109EFDB8">
            <w:pPr>
              <w:pageBreakBefore w:val="0"/>
              <w:widowControl/>
              <w:kinsoku/>
              <w:wordWrap/>
              <w:overflowPunct/>
              <w:topLinePunct w:val="0"/>
              <w:autoSpaceDE/>
              <w:autoSpaceDN/>
              <w:bidi w:val="0"/>
              <w:adjustRightInd/>
              <w:spacing w:line="240" w:lineRule="exact"/>
              <w:ind w:firstLine="0" w:firstLineChars="0"/>
              <w:jc w:val="center"/>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资金分配</w:t>
            </w:r>
          </w:p>
          <w:p w14:paraId="6BEBC7DC">
            <w:pPr>
              <w:pageBreakBefore w:val="0"/>
              <w:widowControl/>
              <w:kinsoku/>
              <w:wordWrap/>
              <w:overflowPunct/>
              <w:topLinePunct w:val="0"/>
              <w:autoSpaceDE/>
              <w:autoSpaceDN/>
              <w:bidi w:val="0"/>
              <w:adjustRightInd/>
              <w:spacing w:line="240" w:lineRule="exact"/>
              <w:ind w:firstLine="0" w:firstLineChars="0"/>
              <w:jc w:val="center"/>
              <w:textAlignment w:val="auto"/>
              <w:rPr>
                <w:rFonts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合理性</w:t>
            </w:r>
          </w:p>
        </w:tc>
        <w:tc>
          <w:tcPr>
            <w:tcW w:w="2141" w:type="dxa"/>
            <w:shd w:val="clear" w:color="auto" w:fill="auto"/>
            <w:vAlign w:val="center"/>
          </w:tcPr>
          <w:p w14:paraId="43B05A16">
            <w:pPr>
              <w:pageBreakBefore w:val="0"/>
              <w:widowControl/>
              <w:kinsoku/>
              <w:wordWrap/>
              <w:overflowPunct/>
              <w:topLinePunct w:val="0"/>
              <w:autoSpaceDE/>
              <w:autoSpaceDN/>
              <w:bidi w:val="0"/>
              <w:adjustRightInd/>
              <w:spacing w:line="240" w:lineRule="exact"/>
              <w:ind w:firstLine="0" w:firstLineChars="0"/>
              <w:textAlignment w:val="auto"/>
              <w:rPr>
                <w:rFonts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项目预算资金分配是否有测算依据，与补助单位或地方实际是否相适应，用以反映和考核项目预算资金分配的科学性、合理性情况。</w:t>
            </w:r>
          </w:p>
        </w:tc>
        <w:tc>
          <w:tcPr>
            <w:tcW w:w="7821" w:type="dxa"/>
            <w:shd w:val="clear" w:color="auto" w:fill="auto"/>
            <w:vAlign w:val="center"/>
          </w:tcPr>
          <w:p w14:paraId="79869FEC">
            <w:pPr>
              <w:pageBreakBefore w:val="0"/>
              <w:widowControl/>
              <w:kinsoku/>
              <w:wordWrap/>
              <w:overflowPunct/>
              <w:topLinePunct w:val="0"/>
              <w:autoSpaceDE/>
              <w:autoSpaceDN/>
              <w:bidi w:val="0"/>
              <w:adjustRightInd/>
              <w:spacing w:line="240" w:lineRule="exact"/>
              <w:ind w:firstLine="0" w:firstLineChars="0"/>
              <w:textAlignment w:val="auto"/>
              <w:rPr>
                <w:rFonts w:hint="eastAsia" w:ascii="宋体" w:hAnsi="宋体" w:eastAsia="宋体" w:cs="宋体"/>
                <w:color w:val="auto"/>
                <w:kern w:val="0"/>
                <w:sz w:val="24"/>
                <w:szCs w:val="24"/>
                <w:highlight w:val="none"/>
                <w:lang w:eastAsia="zh-CN"/>
              </w:rPr>
            </w:pPr>
            <w:r>
              <w:rPr>
                <w:rFonts w:hint="eastAsia" w:ascii="宋体" w:hAnsi="宋体" w:eastAsia="宋体" w:cs="宋体"/>
                <w:color w:val="auto"/>
                <w:kern w:val="0"/>
                <w:sz w:val="24"/>
                <w:szCs w:val="24"/>
                <w:highlight w:val="none"/>
              </w:rPr>
              <w:t>评价要点：</w:t>
            </w:r>
          </w:p>
          <w:p w14:paraId="6FFA48A6">
            <w:pPr>
              <w:pageBreakBefore w:val="0"/>
              <w:widowControl/>
              <w:kinsoku/>
              <w:wordWrap/>
              <w:overflowPunct/>
              <w:topLinePunct w:val="0"/>
              <w:autoSpaceDE/>
              <w:autoSpaceDN/>
              <w:bidi w:val="0"/>
              <w:adjustRightInd/>
              <w:spacing w:line="240" w:lineRule="exact"/>
              <w:ind w:firstLine="0" w:firstLineChars="0"/>
              <w:textAlignment w:val="auto"/>
              <w:rPr>
                <w:rFonts w:hint="eastAsia" w:ascii="宋体" w:hAnsi="宋体" w:eastAsia="宋体" w:cs="宋体"/>
                <w:color w:val="auto"/>
                <w:kern w:val="0"/>
                <w:sz w:val="24"/>
                <w:szCs w:val="24"/>
                <w:highlight w:val="none"/>
                <w:lang w:eastAsia="zh-CN"/>
              </w:rPr>
            </w:pPr>
            <w:r>
              <w:rPr>
                <w:rFonts w:hint="eastAsia" w:ascii="宋体" w:hAnsi="宋体" w:eastAsia="宋体" w:cs="宋体"/>
                <w:color w:val="auto"/>
                <w:kern w:val="0"/>
                <w:sz w:val="24"/>
                <w:szCs w:val="24"/>
                <w:highlight w:val="none"/>
              </w:rPr>
              <w:t>①预算资金分配依据是否充分；</w:t>
            </w:r>
          </w:p>
          <w:p w14:paraId="5207F039">
            <w:pPr>
              <w:pageBreakBefore w:val="0"/>
              <w:widowControl/>
              <w:kinsoku/>
              <w:wordWrap/>
              <w:overflowPunct/>
              <w:topLinePunct w:val="0"/>
              <w:autoSpaceDE/>
              <w:autoSpaceDN/>
              <w:bidi w:val="0"/>
              <w:adjustRightInd/>
              <w:spacing w:line="240" w:lineRule="exact"/>
              <w:ind w:firstLine="0" w:firstLineChars="0"/>
              <w:textAlignment w:val="auto"/>
              <w:rPr>
                <w:rFonts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②资金分配额度是否合理，与项目单位或地方实际是否相适应。</w:t>
            </w:r>
          </w:p>
        </w:tc>
        <w:tc>
          <w:tcPr>
            <w:tcW w:w="785" w:type="dxa"/>
            <w:shd w:val="clear" w:color="auto" w:fill="auto"/>
            <w:vAlign w:val="center"/>
          </w:tcPr>
          <w:p w14:paraId="44CE2276">
            <w:pPr>
              <w:keepNext w:val="0"/>
              <w:keepLines w:val="0"/>
              <w:pageBreakBefore w:val="0"/>
              <w:widowControl/>
              <w:kinsoku/>
              <w:wordWrap/>
              <w:overflowPunct/>
              <w:topLinePunct w:val="0"/>
              <w:autoSpaceDE/>
              <w:autoSpaceDN/>
              <w:bidi w:val="0"/>
              <w:adjustRightInd/>
              <w:snapToGrid w:val="0"/>
              <w:spacing w:line="24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bidi="ar-SA"/>
              </w:rPr>
            </w:pPr>
            <w:r>
              <w:rPr>
                <w:rFonts w:hint="eastAsia" w:ascii="宋体" w:hAnsi="宋体" w:eastAsia="宋体" w:cs="宋体"/>
                <w:color w:val="auto"/>
                <w:kern w:val="0"/>
                <w:sz w:val="21"/>
                <w:szCs w:val="21"/>
                <w:highlight w:val="none"/>
                <w:shd w:val="clear" w:color="auto" w:fill="auto"/>
                <w:lang w:val="en-US" w:eastAsia="zh-CN"/>
              </w:rPr>
              <w:t>3</w:t>
            </w:r>
          </w:p>
        </w:tc>
        <w:tc>
          <w:tcPr>
            <w:tcW w:w="769" w:type="dxa"/>
            <w:shd w:val="clear" w:color="auto" w:fill="auto"/>
            <w:vAlign w:val="center"/>
          </w:tcPr>
          <w:p w14:paraId="40AD665B">
            <w:pPr>
              <w:pageBreakBefore w:val="0"/>
              <w:widowControl/>
              <w:kinsoku/>
              <w:wordWrap/>
              <w:overflowPunct/>
              <w:topLinePunct w:val="0"/>
              <w:autoSpaceDE/>
              <w:autoSpaceDN/>
              <w:bidi w:val="0"/>
              <w:adjustRightInd/>
              <w:spacing w:line="240" w:lineRule="exact"/>
              <w:ind w:firstLine="0" w:firstLineChars="0"/>
              <w:textAlignment w:val="auto"/>
              <w:rPr>
                <w:rFonts w:hint="eastAsia" w:ascii="宋体" w:hAnsi="宋体" w:eastAsia="宋体" w:cs="宋体"/>
                <w:color w:val="auto"/>
                <w:kern w:val="0"/>
                <w:sz w:val="24"/>
                <w:szCs w:val="24"/>
                <w:highlight w:val="none"/>
                <w:lang w:val="en-US" w:eastAsia="zh-CN"/>
              </w:rPr>
            </w:pPr>
            <w:r>
              <w:rPr>
                <w:rFonts w:hint="eastAsia" w:cs="宋体"/>
                <w:color w:val="auto"/>
                <w:kern w:val="0"/>
                <w:sz w:val="24"/>
                <w:szCs w:val="24"/>
                <w:highlight w:val="none"/>
                <w:lang w:val="en-US" w:eastAsia="zh-CN"/>
              </w:rPr>
              <w:t>3</w:t>
            </w:r>
          </w:p>
        </w:tc>
      </w:tr>
      <w:tr w14:paraId="32E8C95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2513" w:hRule="atLeast"/>
          <w:jc w:val="center"/>
        </w:trPr>
        <w:tc>
          <w:tcPr>
            <w:tcW w:w="861" w:type="dxa"/>
            <w:vMerge w:val="restart"/>
            <w:shd w:val="clear" w:color="auto" w:fill="auto"/>
            <w:vAlign w:val="center"/>
          </w:tcPr>
          <w:p w14:paraId="3E81537F">
            <w:pPr>
              <w:pageBreakBefore w:val="0"/>
              <w:kinsoku/>
              <w:wordWrap/>
              <w:overflowPunct/>
              <w:topLinePunct w:val="0"/>
              <w:autoSpaceDE/>
              <w:autoSpaceDN/>
              <w:bidi w:val="0"/>
              <w:adjustRightInd/>
              <w:spacing w:line="240" w:lineRule="exact"/>
              <w:ind w:firstLine="0" w:firstLineChars="0"/>
              <w:jc w:val="center"/>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过程</w:t>
            </w:r>
          </w:p>
        </w:tc>
        <w:tc>
          <w:tcPr>
            <w:tcW w:w="727" w:type="dxa"/>
            <w:vMerge w:val="restart"/>
            <w:shd w:val="clear" w:color="auto" w:fill="auto"/>
            <w:vAlign w:val="center"/>
          </w:tcPr>
          <w:p w14:paraId="1EC3E00E">
            <w:pPr>
              <w:pageBreakBefore w:val="0"/>
              <w:widowControl/>
              <w:kinsoku/>
              <w:wordWrap/>
              <w:overflowPunct/>
              <w:topLinePunct w:val="0"/>
              <w:autoSpaceDE/>
              <w:autoSpaceDN/>
              <w:bidi w:val="0"/>
              <w:adjustRightInd/>
              <w:spacing w:line="240" w:lineRule="exact"/>
              <w:ind w:firstLine="0" w:firstLineChars="0"/>
              <w:jc w:val="center"/>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资金管理</w:t>
            </w:r>
          </w:p>
        </w:tc>
        <w:tc>
          <w:tcPr>
            <w:tcW w:w="820" w:type="dxa"/>
            <w:shd w:val="clear" w:color="auto" w:fill="auto"/>
            <w:vAlign w:val="center"/>
          </w:tcPr>
          <w:p w14:paraId="516AF867">
            <w:pPr>
              <w:pageBreakBefore w:val="0"/>
              <w:widowControl/>
              <w:kinsoku/>
              <w:wordWrap/>
              <w:overflowPunct/>
              <w:topLinePunct w:val="0"/>
              <w:autoSpaceDE/>
              <w:autoSpaceDN/>
              <w:bidi w:val="0"/>
              <w:adjustRightInd/>
              <w:spacing w:line="240" w:lineRule="exact"/>
              <w:ind w:firstLine="0" w:firstLineChars="0"/>
              <w:jc w:val="center"/>
              <w:textAlignment w:val="auto"/>
              <w:rPr>
                <w:rFonts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资金到位率</w:t>
            </w:r>
          </w:p>
        </w:tc>
        <w:tc>
          <w:tcPr>
            <w:tcW w:w="2141" w:type="dxa"/>
            <w:shd w:val="clear" w:color="auto" w:fill="auto"/>
            <w:vAlign w:val="center"/>
          </w:tcPr>
          <w:p w14:paraId="6204B09A">
            <w:pPr>
              <w:pageBreakBefore w:val="0"/>
              <w:widowControl/>
              <w:kinsoku/>
              <w:wordWrap/>
              <w:overflowPunct/>
              <w:topLinePunct w:val="0"/>
              <w:autoSpaceDE/>
              <w:autoSpaceDN/>
              <w:bidi w:val="0"/>
              <w:adjustRightInd/>
              <w:spacing w:line="240" w:lineRule="exact"/>
              <w:ind w:firstLine="0" w:firstLineChars="0"/>
              <w:textAlignment w:val="auto"/>
              <w:rPr>
                <w:rFonts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实际到位资金与预算资金的比率，用以反映和考核资金落实情况对项目实施的总体保障程度。</w:t>
            </w:r>
          </w:p>
        </w:tc>
        <w:tc>
          <w:tcPr>
            <w:tcW w:w="7821" w:type="dxa"/>
            <w:shd w:val="clear" w:color="auto" w:fill="auto"/>
            <w:vAlign w:val="center"/>
          </w:tcPr>
          <w:p w14:paraId="1BB5E73B">
            <w:pPr>
              <w:pageBreakBefore w:val="0"/>
              <w:widowControl/>
              <w:kinsoku/>
              <w:wordWrap/>
              <w:overflowPunct/>
              <w:topLinePunct w:val="0"/>
              <w:autoSpaceDE/>
              <w:autoSpaceDN/>
              <w:bidi w:val="0"/>
              <w:adjustRightInd/>
              <w:spacing w:line="240" w:lineRule="exact"/>
              <w:ind w:firstLine="0" w:firstLineChars="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资金到位率=（</w:t>
            </w:r>
          </w:p>
          <w:p w14:paraId="59D96C12">
            <w:pPr>
              <w:pageBreakBefore w:val="0"/>
              <w:widowControl/>
              <w:kinsoku/>
              <w:wordWrap/>
              <w:overflowPunct/>
              <w:topLinePunct w:val="0"/>
              <w:autoSpaceDE/>
              <w:autoSpaceDN/>
              <w:bidi w:val="0"/>
              <w:adjustRightInd/>
              <w:spacing w:line="240" w:lineRule="exact"/>
              <w:ind w:firstLine="0" w:firstLineChars="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实际到位资金/预算资金）×100%。</w:t>
            </w:r>
          </w:p>
          <w:p w14:paraId="4E1415AE">
            <w:pPr>
              <w:pageBreakBefore w:val="0"/>
              <w:widowControl/>
              <w:kinsoku/>
              <w:wordWrap/>
              <w:overflowPunct/>
              <w:topLinePunct w:val="0"/>
              <w:autoSpaceDE/>
              <w:autoSpaceDN/>
              <w:bidi w:val="0"/>
              <w:adjustRightInd/>
              <w:spacing w:line="240" w:lineRule="exact"/>
              <w:ind w:firstLine="0" w:firstLineChars="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实际到位资金：一定时期（本年度或项目期）内落实到具体项目的资金。</w:t>
            </w:r>
          </w:p>
          <w:p w14:paraId="2E771160">
            <w:pPr>
              <w:pageBreakBefore w:val="0"/>
              <w:widowControl/>
              <w:kinsoku/>
              <w:wordWrap/>
              <w:overflowPunct/>
              <w:topLinePunct w:val="0"/>
              <w:autoSpaceDE/>
              <w:autoSpaceDN/>
              <w:bidi w:val="0"/>
              <w:adjustRightInd/>
              <w:spacing w:line="240" w:lineRule="exact"/>
              <w:ind w:firstLine="0" w:firstLineChars="0"/>
              <w:textAlignment w:val="auto"/>
              <w:rPr>
                <w:rFonts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预算资金：一定时期（本年度或项目期）内预算安排到具体项目的资金。</w:t>
            </w:r>
          </w:p>
        </w:tc>
        <w:tc>
          <w:tcPr>
            <w:tcW w:w="785" w:type="dxa"/>
            <w:shd w:val="clear" w:color="auto" w:fill="auto"/>
            <w:vAlign w:val="center"/>
          </w:tcPr>
          <w:p w14:paraId="3AFFC3DB">
            <w:pPr>
              <w:keepNext w:val="0"/>
              <w:keepLines w:val="0"/>
              <w:pageBreakBefore w:val="0"/>
              <w:widowControl/>
              <w:kinsoku/>
              <w:wordWrap/>
              <w:overflowPunct/>
              <w:topLinePunct w:val="0"/>
              <w:autoSpaceDE/>
              <w:autoSpaceDN/>
              <w:bidi w:val="0"/>
              <w:adjustRightInd/>
              <w:snapToGrid w:val="0"/>
              <w:spacing w:line="24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bidi="ar-SA"/>
              </w:rPr>
            </w:pPr>
            <w:r>
              <w:rPr>
                <w:rFonts w:hint="eastAsia" w:ascii="宋体" w:hAnsi="宋体" w:eastAsia="宋体" w:cs="宋体"/>
                <w:color w:val="auto"/>
                <w:kern w:val="0"/>
                <w:sz w:val="21"/>
                <w:szCs w:val="21"/>
                <w:highlight w:val="none"/>
                <w:shd w:val="clear" w:color="auto" w:fill="auto"/>
                <w:lang w:val="en-US" w:eastAsia="zh-CN"/>
              </w:rPr>
              <w:t>4</w:t>
            </w:r>
          </w:p>
        </w:tc>
        <w:tc>
          <w:tcPr>
            <w:tcW w:w="769" w:type="dxa"/>
            <w:shd w:val="clear" w:color="auto" w:fill="auto"/>
            <w:vAlign w:val="center"/>
          </w:tcPr>
          <w:p w14:paraId="02A1AE05">
            <w:pPr>
              <w:pageBreakBefore w:val="0"/>
              <w:widowControl/>
              <w:kinsoku/>
              <w:wordWrap/>
              <w:overflowPunct/>
              <w:topLinePunct w:val="0"/>
              <w:autoSpaceDE/>
              <w:autoSpaceDN/>
              <w:bidi w:val="0"/>
              <w:adjustRightInd/>
              <w:spacing w:line="240" w:lineRule="exact"/>
              <w:ind w:firstLine="0" w:firstLineChars="0"/>
              <w:textAlignment w:val="auto"/>
              <w:rPr>
                <w:rFonts w:hint="eastAsia" w:ascii="宋体" w:hAnsi="宋体" w:eastAsia="宋体" w:cs="宋体"/>
                <w:color w:val="auto"/>
                <w:kern w:val="0"/>
                <w:sz w:val="24"/>
                <w:szCs w:val="24"/>
                <w:highlight w:val="none"/>
                <w:lang w:val="en-US" w:eastAsia="zh-CN"/>
              </w:rPr>
            </w:pPr>
            <w:r>
              <w:rPr>
                <w:rFonts w:hint="eastAsia" w:cs="宋体"/>
                <w:color w:val="auto"/>
                <w:kern w:val="0"/>
                <w:sz w:val="24"/>
                <w:szCs w:val="24"/>
                <w:highlight w:val="none"/>
                <w:lang w:val="en-US" w:eastAsia="zh-CN"/>
              </w:rPr>
              <w:t>4</w:t>
            </w:r>
          </w:p>
        </w:tc>
      </w:tr>
      <w:tr w14:paraId="66593B3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2118" w:hRule="atLeast"/>
          <w:jc w:val="center"/>
        </w:trPr>
        <w:tc>
          <w:tcPr>
            <w:tcW w:w="861" w:type="dxa"/>
            <w:vMerge w:val="continue"/>
            <w:shd w:val="clear" w:color="auto" w:fill="auto"/>
            <w:vAlign w:val="center"/>
          </w:tcPr>
          <w:p w14:paraId="37E4F507">
            <w:pPr>
              <w:pageBreakBefore w:val="0"/>
              <w:kinsoku/>
              <w:wordWrap/>
              <w:overflowPunct/>
              <w:topLinePunct w:val="0"/>
              <w:autoSpaceDE/>
              <w:autoSpaceDN/>
              <w:bidi w:val="0"/>
              <w:adjustRightInd/>
              <w:spacing w:line="240" w:lineRule="exact"/>
              <w:ind w:firstLine="0" w:firstLineChars="0"/>
              <w:jc w:val="center"/>
              <w:textAlignment w:val="auto"/>
              <w:rPr>
                <w:rFonts w:hint="eastAsia" w:ascii="宋体" w:hAnsi="宋体" w:eastAsia="宋体" w:cs="宋体"/>
                <w:color w:val="auto"/>
                <w:kern w:val="0"/>
                <w:sz w:val="24"/>
                <w:szCs w:val="24"/>
                <w:highlight w:val="none"/>
              </w:rPr>
            </w:pPr>
          </w:p>
        </w:tc>
        <w:tc>
          <w:tcPr>
            <w:tcW w:w="727" w:type="dxa"/>
            <w:vMerge w:val="continue"/>
            <w:shd w:val="clear" w:color="auto" w:fill="auto"/>
            <w:vAlign w:val="center"/>
          </w:tcPr>
          <w:p w14:paraId="7260EA6D">
            <w:pPr>
              <w:pageBreakBefore w:val="0"/>
              <w:kinsoku/>
              <w:wordWrap/>
              <w:overflowPunct/>
              <w:topLinePunct w:val="0"/>
              <w:autoSpaceDE/>
              <w:autoSpaceDN/>
              <w:bidi w:val="0"/>
              <w:adjustRightInd/>
              <w:spacing w:line="240" w:lineRule="exact"/>
              <w:ind w:firstLine="0" w:firstLineChars="0"/>
              <w:jc w:val="center"/>
              <w:textAlignment w:val="auto"/>
              <w:rPr>
                <w:rFonts w:hint="eastAsia" w:ascii="宋体" w:hAnsi="宋体" w:eastAsia="宋体" w:cs="宋体"/>
                <w:color w:val="auto"/>
                <w:kern w:val="0"/>
                <w:sz w:val="24"/>
                <w:szCs w:val="24"/>
                <w:highlight w:val="none"/>
              </w:rPr>
            </w:pPr>
          </w:p>
        </w:tc>
        <w:tc>
          <w:tcPr>
            <w:tcW w:w="820" w:type="dxa"/>
            <w:shd w:val="clear" w:color="auto" w:fill="auto"/>
            <w:vAlign w:val="center"/>
          </w:tcPr>
          <w:p w14:paraId="79C5A3A2">
            <w:pPr>
              <w:pageBreakBefore w:val="0"/>
              <w:widowControl/>
              <w:kinsoku/>
              <w:wordWrap/>
              <w:overflowPunct/>
              <w:topLinePunct w:val="0"/>
              <w:autoSpaceDE/>
              <w:autoSpaceDN/>
              <w:bidi w:val="0"/>
              <w:adjustRightInd/>
              <w:spacing w:line="240" w:lineRule="exact"/>
              <w:ind w:firstLine="0" w:firstLineChars="0"/>
              <w:jc w:val="center"/>
              <w:textAlignment w:val="auto"/>
              <w:rPr>
                <w:rFonts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预算执行率</w:t>
            </w:r>
          </w:p>
        </w:tc>
        <w:tc>
          <w:tcPr>
            <w:tcW w:w="2141" w:type="dxa"/>
            <w:shd w:val="clear" w:color="auto" w:fill="auto"/>
            <w:vAlign w:val="center"/>
          </w:tcPr>
          <w:p w14:paraId="7ABDC41E">
            <w:pPr>
              <w:pageBreakBefore w:val="0"/>
              <w:widowControl/>
              <w:kinsoku/>
              <w:wordWrap/>
              <w:overflowPunct/>
              <w:topLinePunct w:val="0"/>
              <w:autoSpaceDE/>
              <w:autoSpaceDN/>
              <w:bidi w:val="0"/>
              <w:adjustRightInd/>
              <w:spacing w:line="240" w:lineRule="exact"/>
              <w:ind w:firstLine="0" w:firstLineChars="0"/>
              <w:textAlignment w:val="auto"/>
              <w:rPr>
                <w:rFonts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项目预算资金是否按照计划执行，用以反映或考核项目预算执行情况。</w:t>
            </w:r>
          </w:p>
        </w:tc>
        <w:tc>
          <w:tcPr>
            <w:tcW w:w="7821" w:type="dxa"/>
            <w:shd w:val="clear" w:color="auto" w:fill="auto"/>
            <w:vAlign w:val="center"/>
          </w:tcPr>
          <w:p w14:paraId="7FC4B63F">
            <w:pPr>
              <w:pageBreakBefore w:val="0"/>
              <w:widowControl/>
              <w:kinsoku/>
              <w:wordWrap/>
              <w:overflowPunct/>
              <w:topLinePunct w:val="0"/>
              <w:autoSpaceDE/>
              <w:autoSpaceDN/>
              <w:bidi w:val="0"/>
              <w:adjustRightInd/>
              <w:spacing w:line="240" w:lineRule="exact"/>
              <w:ind w:firstLine="0" w:firstLineChars="0"/>
              <w:textAlignment w:val="auto"/>
              <w:rPr>
                <w:rFonts w:hint="eastAsia" w:ascii="宋体" w:hAnsi="宋体" w:eastAsia="宋体" w:cs="宋体"/>
                <w:color w:val="auto"/>
                <w:kern w:val="0"/>
                <w:sz w:val="24"/>
                <w:szCs w:val="24"/>
                <w:highlight w:val="none"/>
                <w:lang w:eastAsia="zh-CN"/>
              </w:rPr>
            </w:pPr>
            <w:r>
              <w:rPr>
                <w:rFonts w:hint="eastAsia" w:ascii="宋体" w:hAnsi="宋体" w:eastAsia="宋体" w:cs="宋体"/>
                <w:color w:val="auto"/>
                <w:kern w:val="0"/>
                <w:sz w:val="24"/>
                <w:szCs w:val="24"/>
                <w:highlight w:val="none"/>
              </w:rPr>
              <w:t>预算执行率=（实际支出资金/实际到位资金）×100%。</w:t>
            </w:r>
          </w:p>
          <w:p w14:paraId="04DC0B1F">
            <w:pPr>
              <w:pageBreakBefore w:val="0"/>
              <w:widowControl/>
              <w:kinsoku/>
              <w:wordWrap/>
              <w:overflowPunct/>
              <w:topLinePunct w:val="0"/>
              <w:autoSpaceDE/>
              <w:autoSpaceDN/>
              <w:bidi w:val="0"/>
              <w:adjustRightInd/>
              <w:spacing w:line="240" w:lineRule="exact"/>
              <w:ind w:firstLine="0" w:firstLineChars="0"/>
              <w:textAlignment w:val="auto"/>
              <w:rPr>
                <w:rFonts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实际支出资金：一定时期（本年度或项目期）内项目实际拨付的资金。</w:t>
            </w:r>
          </w:p>
        </w:tc>
        <w:tc>
          <w:tcPr>
            <w:tcW w:w="785" w:type="dxa"/>
            <w:shd w:val="clear" w:color="auto" w:fill="auto"/>
            <w:vAlign w:val="center"/>
          </w:tcPr>
          <w:p w14:paraId="739FF77B">
            <w:pPr>
              <w:keepNext w:val="0"/>
              <w:keepLines w:val="0"/>
              <w:pageBreakBefore w:val="0"/>
              <w:widowControl/>
              <w:kinsoku/>
              <w:wordWrap/>
              <w:overflowPunct/>
              <w:topLinePunct w:val="0"/>
              <w:autoSpaceDE/>
              <w:autoSpaceDN/>
              <w:bidi w:val="0"/>
              <w:adjustRightInd/>
              <w:snapToGrid w:val="0"/>
              <w:spacing w:line="24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bidi="ar-SA"/>
              </w:rPr>
            </w:pPr>
            <w:r>
              <w:rPr>
                <w:rFonts w:hint="eastAsia" w:ascii="宋体" w:hAnsi="宋体" w:eastAsia="宋体" w:cs="宋体"/>
                <w:color w:val="auto"/>
                <w:kern w:val="0"/>
                <w:sz w:val="21"/>
                <w:szCs w:val="21"/>
                <w:highlight w:val="none"/>
                <w:shd w:val="clear" w:color="auto" w:fill="auto"/>
                <w:lang w:val="en-US" w:eastAsia="zh-CN"/>
              </w:rPr>
              <w:t>4</w:t>
            </w:r>
          </w:p>
        </w:tc>
        <w:tc>
          <w:tcPr>
            <w:tcW w:w="769" w:type="dxa"/>
            <w:shd w:val="clear" w:color="auto" w:fill="auto"/>
            <w:vAlign w:val="center"/>
          </w:tcPr>
          <w:p w14:paraId="0129FD87">
            <w:pPr>
              <w:pageBreakBefore w:val="0"/>
              <w:widowControl/>
              <w:kinsoku/>
              <w:wordWrap/>
              <w:overflowPunct/>
              <w:topLinePunct w:val="0"/>
              <w:autoSpaceDE/>
              <w:autoSpaceDN/>
              <w:bidi w:val="0"/>
              <w:adjustRightInd/>
              <w:spacing w:line="240" w:lineRule="exact"/>
              <w:ind w:firstLine="0" w:firstLineChars="0"/>
              <w:textAlignment w:val="auto"/>
              <w:rPr>
                <w:rFonts w:hint="eastAsia" w:ascii="宋体" w:hAnsi="宋体" w:eastAsia="宋体" w:cs="宋体"/>
                <w:color w:val="auto"/>
                <w:kern w:val="0"/>
                <w:sz w:val="24"/>
                <w:szCs w:val="24"/>
                <w:highlight w:val="none"/>
                <w:lang w:val="en-US" w:eastAsia="zh-CN"/>
              </w:rPr>
            </w:pPr>
            <w:r>
              <w:rPr>
                <w:rFonts w:hint="eastAsia" w:cs="宋体"/>
                <w:color w:val="auto"/>
                <w:kern w:val="0"/>
                <w:sz w:val="24"/>
                <w:szCs w:val="24"/>
                <w:highlight w:val="none"/>
                <w:lang w:val="en-US" w:eastAsia="zh-CN"/>
              </w:rPr>
              <w:t>4</w:t>
            </w:r>
          </w:p>
        </w:tc>
      </w:tr>
      <w:tr w14:paraId="7FC78CC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670" w:hRule="atLeast"/>
          <w:jc w:val="center"/>
        </w:trPr>
        <w:tc>
          <w:tcPr>
            <w:tcW w:w="861" w:type="dxa"/>
            <w:vMerge w:val="restart"/>
            <w:shd w:val="clear" w:color="auto" w:fill="auto"/>
            <w:vAlign w:val="center"/>
          </w:tcPr>
          <w:p w14:paraId="19C9B2F6">
            <w:pPr>
              <w:pageBreakBefore w:val="0"/>
              <w:widowControl/>
              <w:kinsoku/>
              <w:wordWrap/>
              <w:overflowPunct/>
              <w:topLinePunct w:val="0"/>
              <w:autoSpaceDE/>
              <w:autoSpaceDN/>
              <w:bidi w:val="0"/>
              <w:adjustRightInd/>
              <w:spacing w:line="240" w:lineRule="exact"/>
              <w:ind w:firstLine="0" w:firstLineChars="0"/>
              <w:jc w:val="center"/>
              <w:textAlignment w:val="auto"/>
              <w:rPr>
                <w:rFonts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p w14:paraId="0B1158AB">
            <w:pPr>
              <w:pageBreakBefore w:val="0"/>
              <w:kinsoku/>
              <w:wordWrap/>
              <w:overflowPunct/>
              <w:topLinePunct w:val="0"/>
              <w:autoSpaceDE/>
              <w:autoSpaceDN/>
              <w:bidi w:val="0"/>
              <w:adjustRightInd/>
              <w:spacing w:line="240" w:lineRule="exact"/>
              <w:ind w:firstLine="0" w:firstLineChars="0"/>
              <w:jc w:val="center"/>
              <w:textAlignment w:val="auto"/>
              <w:rPr>
                <w:rFonts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过程　</w:t>
            </w:r>
          </w:p>
        </w:tc>
        <w:tc>
          <w:tcPr>
            <w:tcW w:w="727" w:type="dxa"/>
            <w:shd w:val="clear" w:color="auto" w:fill="auto"/>
            <w:vAlign w:val="center"/>
          </w:tcPr>
          <w:p w14:paraId="51B580FA">
            <w:pPr>
              <w:pageBreakBefore w:val="0"/>
              <w:widowControl/>
              <w:kinsoku/>
              <w:wordWrap/>
              <w:overflowPunct/>
              <w:topLinePunct w:val="0"/>
              <w:autoSpaceDE/>
              <w:autoSpaceDN/>
              <w:bidi w:val="0"/>
              <w:adjustRightInd/>
              <w:spacing w:line="240" w:lineRule="exact"/>
              <w:ind w:firstLine="0" w:firstLineChars="0"/>
              <w:jc w:val="center"/>
              <w:textAlignment w:val="auto"/>
              <w:rPr>
                <w:rFonts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资金管理</w:t>
            </w:r>
          </w:p>
        </w:tc>
        <w:tc>
          <w:tcPr>
            <w:tcW w:w="820" w:type="dxa"/>
            <w:shd w:val="clear" w:color="auto" w:fill="auto"/>
            <w:vAlign w:val="center"/>
          </w:tcPr>
          <w:p w14:paraId="13B0DD82">
            <w:pPr>
              <w:pageBreakBefore w:val="0"/>
              <w:widowControl/>
              <w:kinsoku/>
              <w:wordWrap/>
              <w:overflowPunct/>
              <w:topLinePunct w:val="0"/>
              <w:autoSpaceDE/>
              <w:autoSpaceDN/>
              <w:bidi w:val="0"/>
              <w:adjustRightInd/>
              <w:spacing w:line="240" w:lineRule="exact"/>
              <w:ind w:firstLine="0" w:firstLineChars="0"/>
              <w:jc w:val="center"/>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资金使用</w:t>
            </w:r>
          </w:p>
          <w:p w14:paraId="2AF77E1F">
            <w:pPr>
              <w:pageBreakBefore w:val="0"/>
              <w:widowControl/>
              <w:kinsoku/>
              <w:wordWrap/>
              <w:overflowPunct/>
              <w:topLinePunct w:val="0"/>
              <w:autoSpaceDE/>
              <w:autoSpaceDN/>
              <w:bidi w:val="0"/>
              <w:adjustRightInd/>
              <w:spacing w:line="240" w:lineRule="exact"/>
              <w:ind w:firstLine="0" w:firstLineChars="0"/>
              <w:jc w:val="center"/>
              <w:textAlignment w:val="auto"/>
              <w:rPr>
                <w:rFonts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合规性</w:t>
            </w:r>
          </w:p>
        </w:tc>
        <w:tc>
          <w:tcPr>
            <w:tcW w:w="2141" w:type="dxa"/>
            <w:shd w:val="clear" w:color="auto" w:fill="auto"/>
            <w:vAlign w:val="center"/>
          </w:tcPr>
          <w:p w14:paraId="157DC8B9">
            <w:pPr>
              <w:pageBreakBefore w:val="0"/>
              <w:widowControl/>
              <w:kinsoku/>
              <w:wordWrap/>
              <w:overflowPunct/>
              <w:topLinePunct w:val="0"/>
              <w:autoSpaceDE/>
              <w:autoSpaceDN/>
              <w:bidi w:val="0"/>
              <w:adjustRightInd/>
              <w:spacing w:line="240" w:lineRule="exact"/>
              <w:ind w:firstLine="0" w:firstLineChars="0"/>
              <w:textAlignment w:val="auto"/>
              <w:rPr>
                <w:rFonts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项目资金使用是否符合相关的财务管理制度规定，用以反映和考核项目资金的规范运行情况。</w:t>
            </w:r>
          </w:p>
        </w:tc>
        <w:tc>
          <w:tcPr>
            <w:tcW w:w="7821" w:type="dxa"/>
            <w:shd w:val="clear" w:color="auto" w:fill="auto"/>
            <w:vAlign w:val="center"/>
          </w:tcPr>
          <w:p w14:paraId="459EF9E8">
            <w:pPr>
              <w:pageBreakBefore w:val="0"/>
              <w:widowControl/>
              <w:kinsoku/>
              <w:wordWrap/>
              <w:overflowPunct/>
              <w:topLinePunct w:val="0"/>
              <w:autoSpaceDE/>
              <w:autoSpaceDN/>
              <w:bidi w:val="0"/>
              <w:adjustRightInd/>
              <w:spacing w:line="240" w:lineRule="exact"/>
              <w:ind w:firstLine="0" w:firstLineChars="0"/>
              <w:textAlignment w:val="auto"/>
              <w:rPr>
                <w:rFonts w:hint="eastAsia" w:ascii="宋体" w:hAnsi="宋体" w:eastAsia="宋体" w:cs="宋体"/>
                <w:color w:val="auto"/>
                <w:kern w:val="0"/>
                <w:sz w:val="24"/>
                <w:szCs w:val="24"/>
                <w:highlight w:val="none"/>
                <w:lang w:eastAsia="zh-CN"/>
              </w:rPr>
            </w:pPr>
            <w:r>
              <w:rPr>
                <w:rFonts w:hint="eastAsia" w:ascii="宋体" w:hAnsi="宋体" w:eastAsia="宋体" w:cs="宋体"/>
                <w:color w:val="auto"/>
                <w:kern w:val="0"/>
                <w:sz w:val="24"/>
                <w:szCs w:val="24"/>
                <w:highlight w:val="none"/>
              </w:rPr>
              <w:t>评价要点：</w:t>
            </w:r>
          </w:p>
          <w:p w14:paraId="2F8D083D">
            <w:pPr>
              <w:pageBreakBefore w:val="0"/>
              <w:widowControl/>
              <w:kinsoku/>
              <w:wordWrap/>
              <w:overflowPunct/>
              <w:topLinePunct w:val="0"/>
              <w:autoSpaceDE/>
              <w:autoSpaceDN/>
              <w:bidi w:val="0"/>
              <w:adjustRightInd/>
              <w:spacing w:line="240" w:lineRule="exact"/>
              <w:ind w:firstLine="0" w:firstLineChars="0"/>
              <w:textAlignment w:val="auto"/>
              <w:rPr>
                <w:rFonts w:hint="eastAsia" w:ascii="宋体" w:hAnsi="宋体" w:eastAsia="宋体" w:cs="宋体"/>
                <w:color w:val="auto"/>
                <w:kern w:val="0"/>
                <w:sz w:val="24"/>
                <w:szCs w:val="24"/>
                <w:highlight w:val="none"/>
                <w:lang w:eastAsia="zh-CN"/>
              </w:rPr>
            </w:pPr>
            <w:r>
              <w:rPr>
                <w:rFonts w:hint="eastAsia" w:ascii="宋体" w:hAnsi="宋体" w:eastAsia="宋体" w:cs="宋体"/>
                <w:color w:val="auto"/>
                <w:kern w:val="0"/>
                <w:sz w:val="24"/>
                <w:szCs w:val="24"/>
                <w:highlight w:val="none"/>
              </w:rPr>
              <w:t>①是否符合国家财经法规和财务管理制度以及有关专项资金管理办法的规定；</w:t>
            </w:r>
          </w:p>
          <w:p w14:paraId="3F57CE24">
            <w:pPr>
              <w:pageBreakBefore w:val="0"/>
              <w:widowControl/>
              <w:kinsoku/>
              <w:wordWrap/>
              <w:overflowPunct/>
              <w:topLinePunct w:val="0"/>
              <w:autoSpaceDE/>
              <w:autoSpaceDN/>
              <w:bidi w:val="0"/>
              <w:adjustRightInd/>
              <w:spacing w:line="240" w:lineRule="exact"/>
              <w:ind w:firstLine="0" w:firstLineChars="0"/>
              <w:textAlignment w:val="auto"/>
              <w:rPr>
                <w:rFonts w:hint="eastAsia" w:ascii="宋体" w:hAnsi="宋体" w:eastAsia="宋体" w:cs="宋体"/>
                <w:color w:val="auto"/>
                <w:kern w:val="0"/>
                <w:sz w:val="24"/>
                <w:szCs w:val="24"/>
                <w:highlight w:val="none"/>
                <w:lang w:eastAsia="zh-CN"/>
              </w:rPr>
            </w:pPr>
            <w:r>
              <w:rPr>
                <w:rFonts w:hint="eastAsia" w:ascii="宋体" w:hAnsi="宋体" w:eastAsia="宋体" w:cs="宋体"/>
                <w:color w:val="auto"/>
                <w:kern w:val="0"/>
                <w:sz w:val="24"/>
                <w:szCs w:val="24"/>
                <w:highlight w:val="none"/>
              </w:rPr>
              <w:t>②资金的拨付是否有完整的审批程序和手续；</w:t>
            </w:r>
          </w:p>
          <w:p w14:paraId="13E3688E">
            <w:pPr>
              <w:pageBreakBefore w:val="0"/>
              <w:widowControl/>
              <w:kinsoku/>
              <w:wordWrap/>
              <w:overflowPunct/>
              <w:topLinePunct w:val="0"/>
              <w:autoSpaceDE/>
              <w:autoSpaceDN/>
              <w:bidi w:val="0"/>
              <w:adjustRightInd/>
              <w:spacing w:line="240" w:lineRule="exact"/>
              <w:ind w:firstLine="0" w:firstLineChars="0"/>
              <w:textAlignment w:val="auto"/>
              <w:rPr>
                <w:rFonts w:hint="eastAsia" w:ascii="宋体" w:hAnsi="宋体" w:eastAsia="宋体" w:cs="宋体"/>
                <w:color w:val="auto"/>
                <w:kern w:val="0"/>
                <w:sz w:val="24"/>
                <w:szCs w:val="24"/>
                <w:highlight w:val="none"/>
                <w:lang w:eastAsia="zh-CN"/>
              </w:rPr>
            </w:pPr>
            <w:r>
              <w:rPr>
                <w:rFonts w:hint="eastAsia" w:ascii="宋体" w:hAnsi="宋体" w:eastAsia="宋体" w:cs="宋体"/>
                <w:color w:val="auto"/>
                <w:kern w:val="0"/>
                <w:sz w:val="24"/>
                <w:szCs w:val="24"/>
                <w:highlight w:val="none"/>
              </w:rPr>
              <w:t>③是否符合项目预算批复或合同规定的用途；</w:t>
            </w:r>
          </w:p>
          <w:p w14:paraId="6EF534B5">
            <w:pPr>
              <w:pageBreakBefore w:val="0"/>
              <w:widowControl/>
              <w:kinsoku/>
              <w:wordWrap/>
              <w:overflowPunct/>
              <w:topLinePunct w:val="0"/>
              <w:autoSpaceDE/>
              <w:autoSpaceDN/>
              <w:bidi w:val="0"/>
              <w:adjustRightInd/>
              <w:spacing w:line="240" w:lineRule="exact"/>
              <w:ind w:firstLine="0" w:firstLineChars="0"/>
              <w:textAlignment w:val="auto"/>
              <w:rPr>
                <w:rFonts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④是否存在截留、挤占、挪用、虚列支出等情况。</w:t>
            </w:r>
          </w:p>
        </w:tc>
        <w:tc>
          <w:tcPr>
            <w:tcW w:w="785" w:type="dxa"/>
            <w:shd w:val="clear" w:color="auto" w:fill="auto"/>
            <w:vAlign w:val="center"/>
          </w:tcPr>
          <w:p w14:paraId="378CD17D">
            <w:pPr>
              <w:keepNext w:val="0"/>
              <w:keepLines w:val="0"/>
              <w:pageBreakBefore w:val="0"/>
              <w:widowControl/>
              <w:kinsoku/>
              <w:wordWrap/>
              <w:overflowPunct/>
              <w:topLinePunct w:val="0"/>
              <w:autoSpaceDE/>
              <w:autoSpaceDN/>
              <w:bidi w:val="0"/>
              <w:adjustRightInd/>
              <w:snapToGrid w:val="0"/>
              <w:spacing w:line="24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bidi="ar-SA"/>
              </w:rPr>
            </w:pPr>
            <w:r>
              <w:rPr>
                <w:rFonts w:hint="eastAsia" w:ascii="宋体" w:hAnsi="宋体" w:eastAsia="宋体" w:cs="宋体"/>
                <w:color w:val="auto"/>
                <w:kern w:val="0"/>
                <w:sz w:val="21"/>
                <w:szCs w:val="21"/>
                <w:highlight w:val="none"/>
                <w:shd w:val="clear" w:color="auto" w:fill="auto"/>
                <w:lang w:val="en-US" w:eastAsia="zh-CN"/>
              </w:rPr>
              <w:t>4</w:t>
            </w:r>
          </w:p>
        </w:tc>
        <w:tc>
          <w:tcPr>
            <w:tcW w:w="769" w:type="dxa"/>
            <w:shd w:val="clear" w:color="auto" w:fill="auto"/>
            <w:vAlign w:val="center"/>
          </w:tcPr>
          <w:p w14:paraId="630DB633">
            <w:pPr>
              <w:pageBreakBefore w:val="0"/>
              <w:widowControl/>
              <w:kinsoku/>
              <w:wordWrap/>
              <w:overflowPunct/>
              <w:topLinePunct w:val="0"/>
              <w:autoSpaceDE/>
              <w:autoSpaceDN/>
              <w:bidi w:val="0"/>
              <w:adjustRightInd/>
              <w:spacing w:line="240" w:lineRule="exact"/>
              <w:ind w:firstLine="0" w:firstLineChars="0"/>
              <w:textAlignment w:val="auto"/>
              <w:rPr>
                <w:rFonts w:hint="eastAsia" w:ascii="宋体" w:hAnsi="宋体" w:eastAsia="宋体" w:cs="宋体"/>
                <w:color w:val="auto"/>
                <w:kern w:val="0"/>
                <w:sz w:val="24"/>
                <w:szCs w:val="24"/>
                <w:highlight w:val="none"/>
                <w:lang w:val="en-US" w:eastAsia="zh-CN"/>
              </w:rPr>
            </w:pPr>
            <w:r>
              <w:rPr>
                <w:rFonts w:hint="eastAsia" w:cs="宋体"/>
                <w:color w:val="auto"/>
                <w:kern w:val="0"/>
                <w:sz w:val="24"/>
                <w:szCs w:val="24"/>
                <w:highlight w:val="none"/>
                <w:lang w:val="en-US" w:eastAsia="zh-CN"/>
              </w:rPr>
              <w:t>4</w:t>
            </w:r>
          </w:p>
        </w:tc>
      </w:tr>
      <w:tr w14:paraId="49C9B06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1797" w:hRule="atLeast"/>
          <w:jc w:val="center"/>
        </w:trPr>
        <w:tc>
          <w:tcPr>
            <w:tcW w:w="861" w:type="dxa"/>
            <w:vMerge w:val="continue"/>
            <w:shd w:val="clear" w:color="auto" w:fill="auto"/>
            <w:vAlign w:val="center"/>
          </w:tcPr>
          <w:p w14:paraId="5648E4D1">
            <w:pPr>
              <w:pageBreakBefore w:val="0"/>
              <w:kinsoku/>
              <w:wordWrap/>
              <w:overflowPunct/>
              <w:topLinePunct w:val="0"/>
              <w:autoSpaceDE/>
              <w:autoSpaceDN/>
              <w:bidi w:val="0"/>
              <w:adjustRightInd/>
              <w:spacing w:line="240" w:lineRule="exact"/>
              <w:ind w:firstLine="0" w:firstLineChars="0"/>
              <w:jc w:val="center"/>
              <w:textAlignment w:val="auto"/>
              <w:rPr>
                <w:rFonts w:ascii="宋体" w:hAnsi="宋体" w:eastAsia="宋体" w:cs="宋体"/>
                <w:color w:val="auto"/>
                <w:kern w:val="0"/>
                <w:sz w:val="24"/>
                <w:szCs w:val="24"/>
                <w:highlight w:val="none"/>
              </w:rPr>
            </w:pPr>
          </w:p>
        </w:tc>
        <w:tc>
          <w:tcPr>
            <w:tcW w:w="727" w:type="dxa"/>
            <w:vMerge w:val="restart"/>
            <w:shd w:val="clear" w:color="auto" w:fill="auto"/>
            <w:vAlign w:val="center"/>
          </w:tcPr>
          <w:p w14:paraId="668924C9">
            <w:pPr>
              <w:pageBreakBefore w:val="0"/>
              <w:widowControl/>
              <w:kinsoku/>
              <w:wordWrap/>
              <w:overflowPunct/>
              <w:topLinePunct w:val="0"/>
              <w:autoSpaceDE/>
              <w:autoSpaceDN/>
              <w:bidi w:val="0"/>
              <w:adjustRightInd/>
              <w:spacing w:line="240" w:lineRule="exact"/>
              <w:ind w:firstLine="0" w:firstLineChars="0"/>
              <w:jc w:val="center"/>
              <w:textAlignment w:val="auto"/>
              <w:rPr>
                <w:rFonts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组织实施</w:t>
            </w:r>
          </w:p>
          <w:p w14:paraId="37C7B279">
            <w:pPr>
              <w:pageBreakBefore w:val="0"/>
              <w:kinsoku/>
              <w:wordWrap/>
              <w:overflowPunct/>
              <w:topLinePunct w:val="0"/>
              <w:autoSpaceDE/>
              <w:autoSpaceDN/>
              <w:bidi w:val="0"/>
              <w:adjustRightInd/>
              <w:spacing w:line="240" w:lineRule="exact"/>
              <w:ind w:firstLine="0" w:firstLineChars="0"/>
              <w:jc w:val="center"/>
              <w:textAlignment w:val="auto"/>
              <w:rPr>
                <w:rFonts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820" w:type="dxa"/>
            <w:shd w:val="clear" w:color="auto" w:fill="auto"/>
            <w:vAlign w:val="center"/>
          </w:tcPr>
          <w:p w14:paraId="6CC08297">
            <w:pPr>
              <w:pageBreakBefore w:val="0"/>
              <w:widowControl/>
              <w:kinsoku/>
              <w:wordWrap/>
              <w:overflowPunct/>
              <w:topLinePunct w:val="0"/>
              <w:autoSpaceDE/>
              <w:autoSpaceDN/>
              <w:bidi w:val="0"/>
              <w:adjustRightInd/>
              <w:spacing w:line="240" w:lineRule="exact"/>
              <w:ind w:firstLine="0" w:firstLineChars="0"/>
              <w:jc w:val="center"/>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管理制度</w:t>
            </w:r>
          </w:p>
          <w:p w14:paraId="2923E071">
            <w:pPr>
              <w:pageBreakBefore w:val="0"/>
              <w:widowControl/>
              <w:kinsoku/>
              <w:wordWrap/>
              <w:overflowPunct/>
              <w:topLinePunct w:val="0"/>
              <w:autoSpaceDE/>
              <w:autoSpaceDN/>
              <w:bidi w:val="0"/>
              <w:adjustRightInd/>
              <w:spacing w:line="240" w:lineRule="exact"/>
              <w:ind w:firstLine="0" w:firstLineChars="0"/>
              <w:jc w:val="center"/>
              <w:textAlignment w:val="auto"/>
              <w:rPr>
                <w:rFonts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健全性</w:t>
            </w:r>
          </w:p>
        </w:tc>
        <w:tc>
          <w:tcPr>
            <w:tcW w:w="2141" w:type="dxa"/>
            <w:shd w:val="clear" w:color="auto" w:fill="auto"/>
            <w:vAlign w:val="center"/>
          </w:tcPr>
          <w:p w14:paraId="38352D4E">
            <w:pPr>
              <w:pageBreakBefore w:val="0"/>
              <w:widowControl/>
              <w:kinsoku/>
              <w:wordWrap/>
              <w:overflowPunct/>
              <w:topLinePunct w:val="0"/>
              <w:autoSpaceDE/>
              <w:autoSpaceDN/>
              <w:bidi w:val="0"/>
              <w:adjustRightInd/>
              <w:spacing w:line="240" w:lineRule="exact"/>
              <w:ind w:firstLine="0" w:firstLineChars="0"/>
              <w:textAlignment w:val="auto"/>
              <w:rPr>
                <w:rFonts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项目实施单位的财务和业务管理制度是否健全，用以反映和考核财务和业务管理制度对项目顺利实施的保障情况。</w:t>
            </w:r>
          </w:p>
        </w:tc>
        <w:tc>
          <w:tcPr>
            <w:tcW w:w="7821" w:type="dxa"/>
            <w:shd w:val="clear" w:color="auto" w:fill="auto"/>
            <w:vAlign w:val="center"/>
          </w:tcPr>
          <w:p w14:paraId="3FFC15B8">
            <w:pPr>
              <w:pageBreakBefore w:val="0"/>
              <w:widowControl/>
              <w:kinsoku/>
              <w:wordWrap/>
              <w:overflowPunct/>
              <w:topLinePunct w:val="0"/>
              <w:autoSpaceDE/>
              <w:autoSpaceDN/>
              <w:bidi w:val="0"/>
              <w:adjustRightInd/>
              <w:spacing w:line="240" w:lineRule="exact"/>
              <w:ind w:firstLine="0" w:firstLineChars="0"/>
              <w:textAlignment w:val="auto"/>
              <w:rPr>
                <w:rFonts w:hint="eastAsia" w:ascii="宋体" w:hAnsi="宋体" w:eastAsia="宋体" w:cs="宋体"/>
                <w:color w:val="auto"/>
                <w:kern w:val="0"/>
                <w:sz w:val="24"/>
                <w:szCs w:val="24"/>
                <w:highlight w:val="none"/>
                <w:lang w:eastAsia="zh-CN"/>
              </w:rPr>
            </w:pPr>
            <w:r>
              <w:rPr>
                <w:rFonts w:hint="eastAsia" w:ascii="宋体" w:hAnsi="宋体" w:eastAsia="宋体" w:cs="宋体"/>
                <w:color w:val="auto"/>
                <w:kern w:val="0"/>
                <w:sz w:val="24"/>
                <w:szCs w:val="24"/>
                <w:highlight w:val="none"/>
              </w:rPr>
              <w:t>评价要点：</w:t>
            </w:r>
          </w:p>
          <w:p w14:paraId="10B23366">
            <w:pPr>
              <w:pageBreakBefore w:val="0"/>
              <w:widowControl/>
              <w:kinsoku/>
              <w:wordWrap/>
              <w:overflowPunct/>
              <w:topLinePunct w:val="0"/>
              <w:autoSpaceDE/>
              <w:autoSpaceDN/>
              <w:bidi w:val="0"/>
              <w:adjustRightInd/>
              <w:spacing w:line="240" w:lineRule="exact"/>
              <w:ind w:firstLine="0" w:firstLineChars="0"/>
              <w:textAlignment w:val="auto"/>
              <w:rPr>
                <w:rFonts w:hint="eastAsia" w:ascii="宋体" w:hAnsi="宋体" w:eastAsia="宋体" w:cs="宋体"/>
                <w:color w:val="auto"/>
                <w:kern w:val="0"/>
                <w:sz w:val="24"/>
                <w:szCs w:val="24"/>
                <w:highlight w:val="none"/>
                <w:lang w:eastAsia="zh-CN"/>
              </w:rPr>
            </w:pPr>
            <w:r>
              <w:rPr>
                <w:rFonts w:hint="eastAsia" w:ascii="宋体" w:hAnsi="宋体" w:eastAsia="宋体" w:cs="宋体"/>
                <w:color w:val="auto"/>
                <w:kern w:val="0"/>
                <w:sz w:val="24"/>
                <w:szCs w:val="24"/>
                <w:highlight w:val="none"/>
              </w:rPr>
              <w:t>①是否已制定或具有相应的财务和业务管理制度；</w:t>
            </w:r>
          </w:p>
          <w:p w14:paraId="40DCB90F">
            <w:pPr>
              <w:pageBreakBefore w:val="0"/>
              <w:widowControl/>
              <w:kinsoku/>
              <w:wordWrap/>
              <w:overflowPunct/>
              <w:topLinePunct w:val="0"/>
              <w:autoSpaceDE/>
              <w:autoSpaceDN/>
              <w:bidi w:val="0"/>
              <w:adjustRightInd/>
              <w:spacing w:line="240" w:lineRule="exact"/>
              <w:ind w:firstLine="0" w:firstLineChars="0"/>
              <w:textAlignment w:val="auto"/>
              <w:rPr>
                <w:rFonts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②财务和业务管理制度是否合法、合规、完整。</w:t>
            </w:r>
          </w:p>
        </w:tc>
        <w:tc>
          <w:tcPr>
            <w:tcW w:w="785" w:type="dxa"/>
            <w:shd w:val="clear" w:color="auto" w:fill="auto"/>
            <w:vAlign w:val="center"/>
          </w:tcPr>
          <w:p w14:paraId="1B731E7D">
            <w:pPr>
              <w:keepNext w:val="0"/>
              <w:keepLines w:val="0"/>
              <w:pageBreakBefore w:val="0"/>
              <w:widowControl/>
              <w:kinsoku/>
              <w:wordWrap/>
              <w:overflowPunct/>
              <w:topLinePunct w:val="0"/>
              <w:autoSpaceDE/>
              <w:autoSpaceDN/>
              <w:bidi w:val="0"/>
              <w:adjustRightInd/>
              <w:snapToGrid w:val="0"/>
              <w:spacing w:line="24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bidi="ar-SA"/>
              </w:rPr>
            </w:pPr>
            <w:r>
              <w:rPr>
                <w:rFonts w:hint="eastAsia" w:ascii="宋体" w:hAnsi="宋体" w:eastAsia="宋体" w:cs="宋体"/>
                <w:color w:val="auto"/>
                <w:kern w:val="0"/>
                <w:sz w:val="21"/>
                <w:szCs w:val="21"/>
                <w:highlight w:val="none"/>
                <w:shd w:val="clear" w:color="auto" w:fill="auto"/>
                <w:lang w:val="en-US" w:eastAsia="zh-CN"/>
              </w:rPr>
              <w:t>4</w:t>
            </w:r>
          </w:p>
        </w:tc>
        <w:tc>
          <w:tcPr>
            <w:tcW w:w="769" w:type="dxa"/>
            <w:shd w:val="clear" w:color="auto" w:fill="auto"/>
            <w:vAlign w:val="center"/>
          </w:tcPr>
          <w:p w14:paraId="03F01187">
            <w:pPr>
              <w:pageBreakBefore w:val="0"/>
              <w:widowControl/>
              <w:kinsoku/>
              <w:wordWrap/>
              <w:overflowPunct/>
              <w:topLinePunct w:val="0"/>
              <w:autoSpaceDE/>
              <w:autoSpaceDN/>
              <w:bidi w:val="0"/>
              <w:adjustRightInd/>
              <w:spacing w:line="240" w:lineRule="exact"/>
              <w:ind w:firstLine="0" w:firstLineChars="0"/>
              <w:textAlignment w:val="auto"/>
              <w:rPr>
                <w:rFonts w:hint="eastAsia" w:ascii="宋体" w:hAnsi="宋体" w:eastAsia="宋体" w:cs="宋体"/>
                <w:color w:val="auto"/>
                <w:kern w:val="0"/>
                <w:sz w:val="24"/>
                <w:szCs w:val="24"/>
                <w:highlight w:val="none"/>
                <w:lang w:val="en-US" w:eastAsia="zh-CN"/>
              </w:rPr>
            </w:pPr>
            <w:r>
              <w:rPr>
                <w:rFonts w:hint="eastAsia" w:cs="宋体"/>
                <w:color w:val="auto"/>
                <w:kern w:val="0"/>
                <w:sz w:val="24"/>
                <w:szCs w:val="24"/>
                <w:highlight w:val="none"/>
                <w:lang w:val="en-US" w:eastAsia="zh-CN"/>
              </w:rPr>
              <w:t>4</w:t>
            </w:r>
          </w:p>
        </w:tc>
      </w:tr>
      <w:tr w14:paraId="53778E1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2687" w:hRule="atLeast"/>
          <w:jc w:val="center"/>
        </w:trPr>
        <w:tc>
          <w:tcPr>
            <w:tcW w:w="861" w:type="dxa"/>
            <w:vMerge w:val="continue"/>
            <w:shd w:val="clear" w:color="auto" w:fill="auto"/>
            <w:vAlign w:val="center"/>
          </w:tcPr>
          <w:p w14:paraId="4A826211">
            <w:pPr>
              <w:pageBreakBefore w:val="0"/>
              <w:widowControl/>
              <w:kinsoku/>
              <w:wordWrap/>
              <w:overflowPunct/>
              <w:topLinePunct w:val="0"/>
              <w:autoSpaceDE/>
              <w:autoSpaceDN/>
              <w:bidi w:val="0"/>
              <w:adjustRightInd/>
              <w:spacing w:line="240" w:lineRule="exact"/>
              <w:ind w:firstLine="0" w:firstLineChars="0"/>
              <w:jc w:val="center"/>
              <w:textAlignment w:val="auto"/>
              <w:rPr>
                <w:rFonts w:ascii="宋体" w:hAnsi="宋体" w:eastAsia="宋体" w:cs="宋体"/>
                <w:color w:val="auto"/>
                <w:kern w:val="0"/>
                <w:sz w:val="24"/>
                <w:szCs w:val="24"/>
                <w:highlight w:val="none"/>
              </w:rPr>
            </w:pPr>
          </w:p>
        </w:tc>
        <w:tc>
          <w:tcPr>
            <w:tcW w:w="727" w:type="dxa"/>
            <w:vMerge w:val="continue"/>
            <w:shd w:val="clear" w:color="auto" w:fill="auto"/>
            <w:vAlign w:val="center"/>
          </w:tcPr>
          <w:p w14:paraId="0BA32326">
            <w:pPr>
              <w:pageBreakBefore w:val="0"/>
              <w:widowControl/>
              <w:kinsoku/>
              <w:wordWrap/>
              <w:overflowPunct/>
              <w:topLinePunct w:val="0"/>
              <w:autoSpaceDE/>
              <w:autoSpaceDN/>
              <w:bidi w:val="0"/>
              <w:adjustRightInd/>
              <w:spacing w:line="240" w:lineRule="exact"/>
              <w:ind w:firstLine="0" w:firstLineChars="0"/>
              <w:jc w:val="center"/>
              <w:textAlignment w:val="auto"/>
              <w:rPr>
                <w:rFonts w:ascii="宋体" w:hAnsi="宋体" w:eastAsia="宋体" w:cs="宋体"/>
                <w:color w:val="auto"/>
                <w:kern w:val="0"/>
                <w:sz w:val="24"/>
                <w:szCs w:val="24"/>
                <w:highlight w:val="none"/>
              </w:rPr>
            </w:pPr>
          </w:p>
        </w:tc>
        <w:tc>
          <w:tcPr>
            <w:tcW w:w="820" w:type="dxa"/>
            <w:shd w:val="clear" w:color="auto" w:fill="auto"/>
            <w:vAlign w:val="center"/>
          </w:tcPr>
          <w:p w14:paraId="225BE68B">
            <w:pPr>
              <w:pageBreakBefore w:val="0"/>
              <w:widowControl/>
              <w:kinsoku/>
              <w:wordWrap/>
              <w:overflowPunct/>
              <w:topLinePunct w:val="0"/>
              <w:autoSpaceDE/>
              <w:autoSpaceDN/>
              <w:bidi w:val="0"/>
              <w:adjustRightInd/>
              <w:spacing w:line="240" w:lineRule="exact"/>
              <w:ind w:firstLine="0" w:firstLineChars="0"/>
              <w:jc w:val="center"/>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制度执行</w:t>
            </w:r>
          </w:p>
          <w:p w14:paraId="63AB5D95">
            <w:pPr>
              <w:pageBreakBefore w:val="0"/>
              <w:widowControl/>
              <w:kinsoku/>
              <w:wordWrap/>
              <w:overflowPunct/>
              <w:topLinePunct w:val="0"/>
              <w:autoSpaceDE/>
              <w:autoSpaceDN/>
              <w:bidi w:val="0"/>
              <w:adjustRightInd/>
              <w:spacing w:line="240" w:lineRule="exact"/>
              <w:ind w:firstLine="0" w:firstLineChars="0"/>
              <w:jc w:val="center"/>
              <w:textAlignment w:val="auto"/>
              <w:rPr>
                <w:rFonts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有效性</w:t>
            </w:r>
          </w:p>
        </w:tc>
        <w:tc>
          <w:tcPr>
            <w:tcW w:w="2141" w:type="dxa"/>
            <w:shd w:val="clear" w:color="auto" w:fill="auto"/>
            <w:vAlign w:val="center"/>
          </w:tcPr>
          <w:p w14:paraId="1CD4A4A2">
            <w:pPr>
              <w:pageBreakBefore w:val="0"/>
              <w:widowControl/>
              <w:kinsoku/>
              <w:wordWrap/>
              <w:overflowPunct/>
              <w:topLinePunct w:val="0"/>
              <w:autoSpaceDE/>
              <w:autoSpaceDN/>
              <w:bidi w:val="0"/>
              <w:adjustRightInd/>
              <w:spacing w:line="240" w:lineRule="exact"/>
              <w:ind w:firstLine="0" w:firstLineChars="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项目实施是否符合相关管理规定，用以反映和考核相关管理制度的有效执行情况。</w:t>
            </w:r>
          </w:p>
          <w:p w14:paraId="744E59FA">
            <w:pPr>
              <w:pageBreakBefore w:val="0"/>
              <w:widowControl/>
              <w:kinsoku/>
              <w:wordWrap/>
              <w:overflowPunct/>
              <w:topLinePunct w:val="0"/>
              <w:autoSpaceDE/>
              <w:autoSpaceDN/>
              <w:bidi w:val="0"/>
              <w:adjustRightInd/>
              <w:spacing w:line="240" w:lineRule="exact"/>
              <w:ind w:firstLine="0" w:firstLineChars="0"/>
              <w:textAlignment w:val="auto"/>
              <w:rPr>
                <w:rFonts w:hint="eastAsia" w:ascii="宋体" w:hAnsi="宋体" w:eastAsia="宋体" w:cs="宋体"/>
                <w:color w:val="auto"/>
                <w:kern w:val="0"/>
                <w:sz w:val="24"/>
                <w:szCs w:val="24"/>
                <w:highlight w:val="none"/>
              </w:rPr>
            </w:pPr>
          </w:p>
        </w:tc>
        <w:tc>
          <w:tcPr>
            <w:tcW w:w="7821" w:type="dxa"/>
            <w:shd w:val="clear" w:color="auto" w:fill="auto"/>
            <w:vAlign w:val="center"/>
          </w:tcPr>
          <w:p w14:paraId="66CDCA70">
            <w:pPr>
              <w:pageBreakBefore w:val="0"/>
              <w:widowControl/>
              <w:kinsoku/>
              <w:wordWrap/>
              <w:overflowPunct/>
              <w:topLinePunct w:val="0"/>
              <w:autoSpaceDE/>
              <w:autoSpaceDN/>
              <w:bidi w:val="0"/>
              <w:adjustRightInd/>
              <w:spacing w:line="240" w:lineRule="exact"/>
              <w:ind w:firstLine="0" w:firstLineChars="0"/>
              <w:textAlignment w:val="auto"/>
              <w:rPr>
                <w:rFonts w:hint="eastAsia" w:ascii="宋体" w:hAnsi="宋体" w:eastAsia="宋体" w:cs="宋体"/>
                <w:color w:val="auto"/>
                <w:kern w:val="0"/>
                <w:sz w:val="24"/>
                <w:szCs w:val="24"/>
                <w:highlight w:val="none"/>
                <w:lang w:eastAsia="zh-CN"/>
              </w:rPr>
            </w:pPr>
            <w:r>
              <w:rPr>
                <w:rFonts w:hint="eastAsia" w:ascii="宋体" w:hAnsi="宋体" w:eastAsia="宋体" w:cs="宋体"/>
                <w:color w:val="auto"/>
                <w:kern w:val="0"/>
                <w:sz w:val="24"/>
                <w:szCs w:val="24"/>
                <w:highlight w:val="none"/>
              </w:rPr>
              <w:t>评价要点：</w:t>
            </w:r>
          </w:p>
          <w:p w14:paraId="6B637230">
            <w:pPr>
              <w:pageBreakBefore w:val="0"/>
              <w:widowControl/>
              <w:kinsoku/>
              <w:wordWrap/>
              <w:overflowPunct/>
              <w:topLinePunct w:val="0"/>
              <w:autoSpaceDE/>
              <w:autoSpaceDN/>
              <w:bidi w:val="0"/>
              <w:adjustRightInd/>
              <w:spacing w:line="240" w:lineRule="exact"/>
              <w:ind w:firstLine="0" w:firstLineChars="0"/>
              <w:textAlignment w:val="auto"/>
              <w:rPr>
                <w:rFonts w:hint="eastAsia" w:ascii="宋体" w:hAnsi="宋体" w:eastAsia="宋体" w:cs="宋体"/>
                <w:color w:val="auto"/>
                <w:kern w:val="0"/>
                <w:sz w:val="24"/>
                <w:szCs w:val="24"/>
                <w:highlight w:val="none"/>
                <w:lang w:eastAsia="zh-CN"/>
              </w:rPr>
            </w:pPr>
            <w:r>
              <w:rPr>
                <w:rFonts w:hint="eastAsia" w:ascii="宋体" w:hAnsi="宋体" w:eastAsia="宋体" w:cs="宋体"/>
                <w:color w:val="auto"/>
                <w:kern w:val="0"/>
                <w:sz w:val="24"/>
                <w:szCs w:val="24"/>
                <w:highlight w:val="none"/>
              </w:rPr>
              <w:t>①是否遵守相关法律法规和相关管理规定；</w:t>
            </w:r>
          </w:p>
          <w:p w14:paraId="0DF3B233">
            <w:pPr>
              <w:pageBreakBefore w:val="0"/>
              <w:widowControl/>
              <w:kinsoku/>
              <w:wordWrap/>
              <w:overflowPunct/>
              <w:topLinePunct w:val="0"/>
              <w:autoSpaceDE/>
              <w:autoSpaceDN/>
              <w:bidi w:val="0"/>
              <w:adjustRightInd/>
              <w:spacing w:line="240" w:lineRule="exact"/>
              <w:ind w:firstLine="0" w:firstLineChars="0"/>
              <w:textAlignment w:val="auto"/>
              <w:rPr>
                <w:rFonts w:hint="eastAsia" w:ascii="宋体" w:hAnsi="宋体" w:eastAsia="宋体" w:cs="宋体"/>
                <w:color w:val="auto"/>
                <w:kern w:val="0"/>
                <w:sz w:val="24"/>
                <w:szCs w:val="24"/>
                <w:highlight w:val="none"/>
                <w:lang w:eastAsia="zh-CN"/>
              </w:rPr>
            </w:pPr>
            <w:r>
              <w:rPr>
                <w:rFonts w:hint="eastAsia" w:ascii="宋体" w:hAnsi="宋体" w:eastAsia="宋体" w:cs="宋体"/>
                <w:color w:val="auto"/>
                <w:kern w:val="0"/>
                <w:sz w:val="24"/>
                <w:szCs w:val="24"/>
                <w:highlight w:val="none"/>
              </w:rPr>
              <w:t>②项目调整及支出调整手续是否完备；</w:t>
            </w:r>
          </w:p>
          <w:p w14:paraId="799F1F09">
            <w:pPr>
              <w:pageBreakBefore w:val="0"/>
              <w:widowControl/>
              <w:kinsoku/>
              <w:wordWrap/>
              <w:overflowPunct/>
              <w:topLinePunct w:val="0"/>
              <w:autoSpaceDE/>
              <w:autoSpaceDN/>
              <w:bidi w:val="0"/>
              <w:adjustRightInd/>
              <w:spacing w:line="240" w:lineRule="exact"/>
              <w:ind w:firstLine="0" w:firstLineChars="0"/>
              <w:textAlignment w:val="auto"/>
              <w:rPr>
                <w:rFonts w:hint="eastAsia" w:ascii="宋体" w:hAnsi="宋体" w:eastAsia="宋体" w:cs="宋体"/>
                <w:color w:val="auto"/>
                <w:kern w:val="0"/>
                <w:sz w:val="24"/>
                <w:szCs w:val="24"/>
                <w:highlight w:val="none"/>
                <w:lang w:eastAsia="zh-CN"/>
              </w:rPr>
            </w:pPr>
            <w:r>
              <w:rPr>
                <w:rFonts w:hint="eastAsia" w:ascii="宋体" w:hAnsi="宋体" w:eastAsia="宋体" w:cs="宋体"/>
                <w:color w:val="auto"/>
                <w:kern w:val="0"/>
                <w:sz w:val="24"/>
                <w:szCs w:val="24"/>
                <w:highlight w:val="none"/>
              </w:rPr>
              <w:t>③项目合同书、验收报告、技术鉴定等资料是否齐全并及时归档；</w:t>
            </w:r>
          </w:p>
          <w:p w14:paraId="1FE3F303">
            <w:pPr>
              <w:pageBreakBefore w:val="0"/>
              <w:widowControl/>
              <w:kinsoku/>
              <w:wordWrap/>
              <w:overflowPunct/>
              <w:topLinePunct w:val="0"/>
              <w:autoSpaceDE/>
              <w:autoSpaceDN/>
              <w:bidi w:val="0"/>
              <w:adjustRightInd/>
              <w:spacing w:line="240" w:lineRule="exact"/>
              <w:ind w:firstLine="0" w:firstLineChars="0"/>
              <w:textAlignment w:val="auto"/>
              <w:rPr>
                <w:rFonts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④项目实施的人员条件、场地设备、信息支撑等是否落实到位。</w:t>
            </w:r>
          </w:p>
        </w:tc>
        <w:tc>
          <w:tcPr>
            <w:tcW w:w="785" w:type="dxa"/>
            <w:shd w:val="clear" w:color="auto" w:fill="auto"/>
            <w:vAlign w:val="center"/>
          </w:tcPr>
          <w:p w14:paraId="7C8A44C9">
            <w:pPr>
              <w:keepNext w:val="0"/>
              <w:keepLines w:val="0"/>
              <w:pageBreakBefore w:val="0"/>
              <w:widowControl/>
              <w:kinsoku/>
              <w:wordWrap/>
              <w:overflowPunct/>
              <w:topLinePunct w:val="0"/>
              <w:autoSpaceDE/>
              <w:autoSpaceDN/>
              <w:bidi w:val="0"/>
              <w:adjustRightInd/>
              <w:snapToGrid w:val="0"/>
              <w:spacing w:line="24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bidi="ar-SA"/>
              </w:rPr>
            </w:pPr>
            <w:r>
              <w:rPr>
                <w:rFonts w:hint="eastAsia" w:ascii="宋体" w:hAnsi="宋体" w:eastAsia="宋体" w:cs="宋体"/>
                <w:color w:val="auto"/>
                <w:kern w:val="0"/>
                <w:sz w:val="21"/>
                <w:szCs w:val="21"/>
                <w:highlight w:val="none"/>
                <w:shd w:val="clear" w:color="auto" w:fill="auto"/>
                <w:lang w:val="en-US" w:eastAsia="zh-CN"/>
              </w:rPr>
              <w:t>4</w:t>
            </w:r>
          </w:p>
        </w:tc>
        <w:tc>
          <w:tcPr>
            <w:tcW w:w="769" w:type="dxa"/>
            <w:shd w:val="clear" w:color="auto" w:fill="auto"/>
            <w:vAlign w:val="center"/>
          </w:tcPr>
          <w:p w14:paraId="65A1096D">
            <w:pPr>
              <w:pageBreakBefore w:val="0"/>
              <w:widowControl/>
              <w:kinsoku/>
              <w:wordWrap/>
              <w:overflowPunct/>
              <w:topLinePunct w:val="0"/>
              <w:autoSpaceDE/>
              <w:autoSpaceDN/>
              <w:bidi w:val="0"/>
              <w:adjustRightInd/>
              <w:spacing w:line="240" w:lineRule="exact"/>
              <w:ind w:firstLine="0" w:firstLineChars="0"/>
              <w:textAlignment w:val="auto"/>
              <w:rPr>
                <w:rFonts w:hint="eastAsia" w:ascii="宋体" w:hAnsi="宋体" w:eastAsia="宋体" w:cs="宋体"/>
                <w:color w:val="auto"/>
                <w:kern w:val="0"/>
                <w:sz w:val="24"/>
                <w:szCs w:val="24"/>
                <w:highlight w:val="none"/>
                <w:lang w:val="en-US" w:eastAsia="zh-CN"/>
              </w:rPr>
            </w:pPr>
            <w:r>
              <w:rPr>
                <w:rFonts w:hint="eastAsia" w:cs="宋体"/>
                <w:color w:val="auto"/>
                <w:kern w:val="0"/>
                <w:sz w:val="24"/>
                <w:szCs w:val="24"/>
                <w:highlight w:val="none"/>
                <w:lang w:val="en-US" w:eastAsia="zh-CN"/>
              </w:rPr>
              <w:t>4</w:t>
            </w:r>
          </w:p>
        </w:tc>
      </w:tr>
      <w:tr w14:paraId="1857B3E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2434" w:hRule="atLeast"/>
          <w:jc w:val="center"/>
        </w:trPr>
        <w:tc>
          <w:tcPr>
            <w:tcW w:w="861" w:type="dxa"/>
            <w:shd w:val="clear" w:color="auto" w:fill="auto"/>
            <w:vAlign w:val="center"/>
          </w:tcPr>
          <w:p w14:paraId="06325A03">
            <w:pPr>
              <w:pageBreakBefore w:val="0"/>
              <w:widowControl/>
              <w:kinsoku/>
              <w:wordWrap/>
              <w:overflowPunct/>
              <w:topLinePunct w:val="0"/>
              <w:autoSpaceDE/>
              <w:autoSpaceDN/>
              <w:bidi w:val="0"/>
              <w:adjustRightInd/>
              <w:spacing w:line="240" w:lineRule="exact"/>
              <w:ind w:firstLine="0" w:firstLineChars="0"/>
              <w:jc w:val="center"/>
              <w:textAlignment w:val="auto"/>
              <w:rPr>
                <w:rFonts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产出</w:t>
            </w:r>
          </w:p>
        </w:tc>
        <w:tc>
          <w:tcPr>
            <w:tcW w:w="727" w:type="dxa"/>
            <w:vMerge w:val="restart"/>
            <w:shd w:val="clear" w:color="auto" w:fill="auto"/>
            <w:vAlign w:val="center"/>
          </w:tcPr>
          <w:p w14:paraId="58482974">
            <w:pPr>
              <w:pageBreakBefore w:val="0"/>
              <w:widowControl/>
              <w:kinsoku/>
              <w:wordWrap/>
              <w:overflowPunct/>
              <w:topLinePunct w:val="0"/>
              <w:autoSpaceDE/>
              <w:autoSpaceDN/>
              <w:bidi w:val="0"/>
              <w:adjustRightInd/>
              <w:spacing w:line="240" w:lineRule="exact"/>
              <w:ind w:firstLine="0" w:firstLineChars="0"/>
              <w:jc w:val="center"/>
              <w:textAlignment w:val="auto"/>
              <w:rPr>
                <w:rFonts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产出数量</w:t>
            </w:r>
          </w:p>
        </w:tc>
        <w:tc>
          <w:tcPr>
            <w:tcW w:w="820" w:type="dxa"/>
            <w:shd w:val="clear" w:color="auto" w:fill="auto"/>
            <w:vAlign w:val="center"/>
          </w:tcPr>
          <w:p w14:paraId="5C805810">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ascii="宋体" w:hAnsi="宋体" w:eastAsia="宋体" w:cs="宋体"/>
                <w:color w:val="auto"/>
                <w:kern w:val="0"/>
                <w:sz w:val="24"/>
                <w:szCs w:val="24"/>
                <w:highlight w:val="none"/>
              </w:rPr>
            </w:pPr>
            <w:r>
              <w:rPr>
                <w:rFonts w:hint="eastAsia" w:ascii="宋体" w:hAnsi="宋体" w:eastAsia="宋体" w:cs="宋体"/>
                <w:color w:val="000000" w:themeColor="text1"/>
                <w:kern w:val="0"/>
                <w:sz w:val="21"/>
                <w:szCs w:val="21"/>
                <w:highlight w:val="none"/>
                <w:shd w:val="clear" w:color="auto" w:fill="auto"/>
                <w:lang w:val="en-US" w:eastAsia="zh-CN"/>
                <w14:textFill>
                  <w14:solidFill>
                    <w14:schemeClr w14:val="tx1"/>
                  </w14:solidFill>
                </w14:textFill>
              </w:rPr>
              <w:t>65岁以上老人健康管理服务完成人数</w:t>
            </w:r>
          </w:p>
        </w:tc>
        <w:tc>
          <w:tcPr>
            <w:tcW w:w="2141" w:type="dxa"/>
            <w:shd w:val="clear" w:color="auto" w:fill="auto"/>
            <w:vAlign w:val="center"/>
          </w:tcPr>
          <w:p w14:paraId="018063C2">
            <w:pPr>
              <w:pageBreakBefore w:val="0"/>
              <w:widowControl/>
              <w:kinsoku/>
              <w:wordWrap/>
              <w:overflowPunct/>
              <w:topLinePunct w:val="0"/>
              <w:autoSpaceDE/>
              <w:autoSpaceDN/>
              <w:bidi w:val="0"/>
              <w:adjustRightInd/>
              <w:spacing w:line="240" w:lineRule="exact"/>
              <w:ind w:firstLine="0" w:firstLineChars="0"/>
              <w:textAlignment w:val="auto"/>
              <w:rPr>
                <w:rFonts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项目实施的实际产出数与计划产出数的比率，用以反映和考核项目产出数量目标的实现程度。</w:t>
            </w:r>
          </w:p>
        </w:tc>
        <w:tc>
          <w:tcPr>
            <w:tcW w:w="7821" w:type="dxa"/>
            <w:shd w:val="clear" w:color="auto" w:fill="auto"/>
            <w:vAlign w:val="center"/>
          </w:tcPr>
          <w:p w14:paraId="38D7D1A1">
            <w:pPr>
              <w:pageBreakBefore w:val="0"/>
              <w:widowControl/>
              <w:kinsoku/>
              <w:wordWrap/>
              <w:overflowPunct/>
              <w:topLinePunct w:val="0"/>
              <w:autoSpaceDE/>
              <w:autoSpaceDN/>
              <w:bidi w:val="0"/>
              <w:adjustRightInd/>
              <w:spacing w:line="240" w:lineRule="exact"/>
              <w:ind w:firstLine="0" w:firstLineChars="0"/>
              <w:textAlignment w:val="auto"/>
              <w:rPr>
                <w:rFonts w:hint="eastAsia" w:ascii="宋体" w:hAnsi="宋体" w:eastAsia="宋体" w:cs="宋体"/>
                <w:color w:val="auto"/>
                <w:kern w:val="0"/>
                <w:sz w:val="24"/>
                <w:szCs w:val="24"/>
                <w:highlight w:val="none"/>
                <w:lang w:eastAsia="zh-CN"/>
              </w:rPr>
            </w:pPr>
            <w:r>
              <w:rPr>
                <w:rFonts w:hint="eastAsia" w:ascii="宋体" w:hAnsi="宋体" w:eastAsia="宋体" w:cs="宋体"/>
                <w:color w:val="auto"/>
                <w:kern w:val="0"/>
                <w:sz w:val="24"/>
                <w:szCs w:val="24"/>
                <w:highlight w:val="none"/>
              </w:rPr>
              <w:t>实际完成率=（实际产出数/计划产出数）×100%。</w:t>
            </w:r>
          </w:p>
          <w:p w14:paraId="3164DBBB">
            <w:pPr>
              <w:pageBreakBefore w:val="0"/>
              <w:widowControl/>
              <w:kinsoku/>
              <w:wordWrap/>
              <w:overflowPunct/>
              <w:topLinePunct w:val="0"/>
              <w:autoSpaceDE/>
              <w:autoSpaceDN/>
              <w:bidi w:val="0"/>
              <w:adjustRightInd/>
              <w:spacing w:line="240" w:lineRule="exact"/>
              <w:ind w:firstLine="0" w:firstLineChars="0"/>
              <w:textAlignment w:val="auto"/>
              <w:rPr>
                <w:rFonts w:hint="eastAsia" w:ascii="宋体" w:hAnsi="宋体" w:eastAsia="宋体" w:cs="宋体"/>
                <w:color w:val="auto"/>
                <w:kern w:val="0"/>
                <w:sz w:val="24"/>
                <w:szCs w:val="24"/>
                <w:highlight w:val="none"/>
                <w:lang w:eastAsia="zh-CN"/>
              </w:rPr>
            </w:pPr>
            <w:r>
              <w:rPr>
                <w:rFonts w:hint="eastAsia" w:ascii="宋体" w:hAnsi="宋体" w:eastAsia="宋体" w:cs="宋体"/>
                <w:color w:val="auto"/>
                <w:kern w:val="0"/>
                <w:sz w:val="24"/>
                <w:szCs w:val="24"/>
                <w:highlight w:val="none"/>
              </w:rPr>
              <w:t>实际产出数：一定时期（本年度或项目期）内项目实际产出的产品或提供的服务数量。</w:t>
            </w:r>
          </w:p>
          <w:p w14:paraId="540275B6">
            <w:pPr>
              <w:pageBreakBefore w:val="0"/>
              <w:widowControl/>
              <w:kinsoku/>
              <w:wordWrap/>
              <w:overflowPunct/>
              <w:topLinePunct w:val="0"/>
              <w:autoSpaceDE/>
              <w:autoSpaceDN/>
              <w:bidi w:val="0"/>
              <w:adjustRightInd/>
              <w:spacing w:line="240" w:lineRule="exact"/>
              <w:ind w:firstLine="0" w:firstLineChars="0"/>
              <w:textAlignment w:val="auto"/>
              <w:rPr>
                <w:rFonts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计划产出数：项目绩效目标确定的在一定时期（本年度或项目期）内计划产出的产品或提供的服务数量。</w:t>
            </w:r>
          </w:p>
        </w:tc>
        <w:tc>
          <w:tcPr>
            <w:tcW w:w="785" w:type="dxa"/>
            <w:shd w:val="clear" w:color="auto" w:fill="auto"/>
            <w:vAlign w:val="center"/>
          </w:tcPr>
          <w:p w14:paraId="0F6C8A53">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4"/>
                <w:szCs w:val="24"/>
                <w:highlight w:val="none"/>
                <w:lang w:val="en-US" w:eastAsia="zh-CN"/>
              </w:rPr>
            </w:pPr>
            <w:r>
              <w:rPr>
                <w:rFonts w:hint="eastAsia" w:cs="宋体"/>
                <w:color w:val="000000" w:themeColor="text1"/>
                <w:kern w:val="0"/>
                <w:sz w:val="21"/>
                <w:szCs w:val="21"/>
                <w:highlight w:val="none"/>
                <w:shd w:val="clear" w:color="auto" w:fill="auto"/>
                <w:lang w:val="en-US" w:eastAsia="zh-CN"/>
                <w14:textFill>
                  <w14:solidFill>
                    <w14:schemeClr w14:val="tx1"/>
                  </w14:solidFill>
                </w14:textFill>
              </w:rPr>
              <w:t>5</w:t>
            </w:r>
          </w:p>
        </w:tc>
        <w:tc>
          <w:tcPr>
            <w:tcW w:w="769" w:type="dxa"/>
            <w:shd w:val="clear" w:color="auto" w:fill="auto"/>
            <w:vAlign w:val="center"/>
          </w:tcPr>
          <w:p w14:paraId="12B07437">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4"/>
                <w:szCs w:val="24"/>
                <w:highlight w:val="none"/>
                <w:lang w:val="en-US" w:eastAsia="zh-CN"/>
              </w:rPr>
            </w:pPr>
            <w:r>
              <w:rPr>
                <w:rFonts w:hint="eastAsia" w:cs="宋体"/>
                <w:color w:val="auto"/>
                <w:kern w:val="0"/>
                <w:sz w:val="24"/>
                <w:szCs w:val="24"/>
                <w:highlight w:val="none"/>
                <w:lang w:val="en-US" w:eastAsia="zh-CN"/>
              </w:rPr>
              <w:t>4.8</w:t>
            </w:r>
          </w:p>
        </w:tc>
      </w:tr>
      <w:tr w14:paraId="43CCBA3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2434" w:hRule="atLeast"/>
          <w:jc w:val="center"/>
        </w:trPr>
        <w:tc>
          <w:tcPr>
            <w:tcW w:w="861" w:type="dxa"/>
            <w:shd w:val="clear" w:color="auto" w:fill="auto"/>
            <w:vAlign w:val="center"/>
          </w:tcPr>
          <w:p w14:paraId="01A1BE53">
            <w:pPr>
              <w:pageBreakBefore w:val="0"/>
              <w:widowControl/>
              <w:kinsoku/>
              <w:wordWrap/>
              <w:overflowPunct/>
              <w:topLinePunct w:val="0"/>
              <w:autoSpaceDE/>
              <w:autoSpaceDN/>
              <w:bidi w:val="0"/>
              <w:adjustRightInd/>
              <w:spacing w:line="240" w:lineRule="exact"/>
              <w:ind w:firstLine="0" w:firstLineChars="0"/>
              <w:jc w:val="center"/>
              <w:textAlignment w:val="auto"/>
              <w:rPr>
                <w:rFonts w:hint="eastAsia" w:ascii="宋体" w:hAnsi="宋体" w:eastAsia="宋体" w:cs="宋体"/>
                <w:color w:val="auto"/>
                <w:kern w:val="0"/>
                <w:sz w:val="24"/>
                <w:szCs w:val="24"/>
                <w:highlight w:val="none"/>
              </w:rPr>
            </w:pPr>
          </w:p>
        </w:tc>
        <w:tc>
          <w:tcPr>
            <w:tcW w:w="727" w:type="dxa"/>
            <w:vMerge w:val="continue"/>
            <w:shd w:val="clear" w:color="auto" w:fill="auto"/>
            <w:vAlign w:val="center"/>
          </w:tcPr>
          <w:p w14:paraId="7AEDD636">
            <w:pPr>
              <w:pageBreakBefore w:val="0"/>
              <w:widowControl/>
              <w:kinsoku/>
              <w:wordWrap/>
              <w:overflowPunct/>
              <w:topLinePunct w:val="0"/>
              <w:autoSpaceDE/>
              <w:autoSpaceDN/>
              <w:bidi w:val="0"/>
              <w:adjustRightInd/>
              <w:spacing w:line="240" w:lineRule="exact"/>
              <w:ind w:firstLine="0" w:firstLineChars="0"/>
              <w:jc w:val="center"/>
              <w:textAlignment w:val="auto"/>
              <w:rPr>
                <w:rFonts w:hint="eastAsia" w:ascii="宋体" w:hAnsi="宋体" w:eastAsia="宋体" w:cs="宋体"/>
                <w:color w:val="auto"/>
                <w:kern w:val="0"/>
                <w:sz w:val="24"/>
                <w:szCs w:val="24"/>
                <w:highlight w:val="none"/>
              </w:rPr>
            </w:pPr>
          </w:p>
        </w:tc>
        <w:tc>
          <w:tcPr>
            <w:tcW w:w="820" w:type="dxa"/>
            <w:shd w:val="clear" w:color="auto" w:fill="auto"/>
            <w:vAlign w:val="center"/>
          </w:tcPr>
          <w:p w14:paraId="6AC364CC">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ascii="宋体" w:hAnsi="宋体" w:eastAsia="宋体" w:cs="宋体"/>
                <w:color w:val="auto"/>
                <w:kern w:val="0"/>
                <w:sz w:val="24"/>
                <w:szCs w:val="24"/>
                <w:highlight w:val="none"/>
              </w:rPr>
            </w:pPr>
            <w:r>
              <w:rPr>
                <w:rFonts w:hint="eastAsia" w:ascii="宋体" w:hAnsi="宋体" w:eastAsia="宋体" w:cs="宋体"/>
                <w:color w:val="000000" w:themeColor="text1"/>
                <w:kern w:val="0"/>
                <w:sz w:val="21"/>
                <w:szCs w:val="21"/>
                <w:highlight w:val="none"/>
                <w:shd w:val="clear" w:color="auto" w:fill="auto"/>
                <w:lang w:val="en-US" w:eastAsia="zh-CN"/>
                <w14:textFill>
                  <w14:solidFill>
                    <w14:schemeClr w14:val="tx1"/>
                  </w14:solidFill>
                </w14:textFill>
              </w:rPr>
              <w:t>高血压服务人数</w:t>
            </w:r>
          </w:p>
        </w:tc>
        <w:tc>
          <w:tcPr>
            <w:tcW w:w="2141" w:type="dxa"/>
            <w:shd w:val="clear" w:color="auto" w:fill="auto"/>
            <w:vAlign w:val="center"/>
          </w:tcPr>
          <w:p w14:paraId="780DE1C7">
            <w:pPr>
              <w:pageBreakBefore w:val="0"/>
              <w:widowControl/>
              <w:kinsoku/>
              <w:wordWrap/>
              <w:overflowPunct/>
              <w:topLinePunct w:val="0"/>
              <w:autoSpaceDE/>
              <w:autoSpaceDN/>
              <w:bidi w:val="0"/>
              <w:adjustRightInd/>
              <w:spacing w:line="240" w:lineRule="exact"/>
              <w:ind w:firstLine="0" w:firstLineChars="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项目实施的实际产出数与计划产出数的比率，用以反映和考核项目产出数量目标的实现程度。</w:t>
            </w:r>
          </w:p>
        </w:tc>
        <w:tc>
          <w:tcPr>
            <w:tcW w:w="7821" w:type="dxa"/>
            <w:shd w:val="clear" w:color="auto" w:fill="auto"/>
            <w:vAlign w:val="center"/>
          </w:tcPr>
          <w:p w14:paraId="0929A9CA">
            <w:pPr>
              <w:pageBreakBefore w:val="0"/>
              <w:widowControl/>
              <w:kinsoku/>
              <w:wordWrap/>
              <w:overflowPunct/>
              <w:topLinePunct w:val="0"/>
              <w:autoSpaceDE/>
              <w:autoSpaceDN/>
              <w:bidi w:val="0"/>
              <w:adjustRightInd/>
              <w:spacing w:line="240" w:lineRule="exact"/>
              <w:ind w:firstLine="0" w:firstLineChars="0"/>
              <w:textAlignment w:val="auto"/>
              <w:rPr>
                <w:rFonts w:hint="eastAsia" w:ascii="宋体" w:hAnsi="宋体" w:eastAsia="宋体" w:cs="宋体"/>
                <w:color w:val="auto"/>
                <w:kern w:val="0"/>
                <w:sz w:val="24"/>
                <w:szCs w:val="24"/>
                <w:highlight w:val="none"/>
                <w:lang w:eastAsia="zh-CN"/>
              </w:rPr>
            </w:pPr>
            <w:r>
              <w:rPr>
                <w:rFonts w:hint="eastAsia" w:ascii="宋体" w:hAnsi="宋体" w:eastAsia="宋体" w:cs="宋体"/>
                <w:color w:val="auto"/>
                <w:kern w:val="0"/>
                <w:sz w:val="24"/>
                <w:szCs w:val="24"/>
                <w:highlight w:val="none"/>
              </w:rPr>
              <w:t>实际完成率=（实际产出数/计划产出数）×100%。</w:t>
            </w:r>
          </w:p>
          <w:p w14:paraId="32767363">
            <w:pPr>
              <w:pageBreakBefore w:val="0"/>
              <w:widowControl/>
              <w:kinsoku/>
              <w:wordWrap/>
              <w:overflowPunct/>
              <w:topLinePunct w:val="0"/>
              <w:autoSpaceDE/>
              <w:autoSpaceDN/>
              <w:bidi w:val="0"/>
              <w:adjustRightInd/>
              <w:spacing w:line="240" w:lineRule="exact"/>
              <w:ind w:firstLine="0" w:firstLineChars="0"/>
              <w:textAlignment w:val="auto"/>
              <w:rPr>
                <w:rFonts w:hint="eastAsia" w:ascii="宋体" w:hAnsi="宋体" w:eastAsia="宋体" w:cs="宋体"/>
                <w:color w:val="auto"/>
                <w:kern w:val="0"/>
                <w:sz w:val="24"/>
                <w:szCs w:val="24"/>
                <w:highlight w:val="none"/>
                <w:lang w:eastAsia="zh-CN"/>
              </w:rPr>
            </w:pPr>
            <w:r>
              <w:rPr>
                <w:rFonts w:hint="eastAsia" w:ascii="宋体" w:hAnsi="宋体" w:eastAsia="宋体" w:cs="宋体"/>
                <w:color w:val="auto"/>
                <w:kern w:val="0"/>
                <w:sz w:val="24"/>
                <w:szCs w:val="24"/>
                <w:highlight w:val="none"/>
              </w:rPr>
              <w:t>实际产出数：一定时期（本年度或项目期）内项目实际产出的产品或提供的服务数量。</w:t>
            </w:r>
          </w:p>
          <w:p w14:paraId="0536E905">
            <w:pPr>
              <w:pageBreakBefore w:val="0"/>
              <w:widowControl/>
              <w:kinsoku/>
              <w:wordWrap/>
              <w:overflowPunct/>
              <w:topLinePunct w:val="0"/>
              <w:autoSpaceDE/>
              <w:autoSpaceDN/>
              <w:bidi w:val="0"/>
              <w:adjustRightInd/>
              <w:spacing w:line="240" w:lineRule="exact"/>
              <w:ind w:firstLine="0" w:firstLineChars="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计划产出数：项目绩效目标确定的在一定时期（本年度或项目期）内计划产出的产品或提供的服务数量。</w:t>
            </w:r>
          </w:p>
        </w:tc>
        <w:tc>
          <w:tcPr>
            <w:tcW w:w="785" w:type="dxa"/>
            <w:shd w:val="clear" w:color="auto" w:fill="auto"/>
            <w:vAlign w:val="center"/>
          </w:tcPr>
          <w:p w14:paraId="50041492">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cs="宋体"/>
                <w:color w:val="auto"/>
                <w:kern w:val="0"/>
                <w:sz w:val="24"/>
                <w:szCs w:val="24"/>
                <w:highlight w:val="none"/>
                <w:lang w:val="en-US" w:eastAsia="zh-CN"/>
              </w:rPr>
            </w:pPr>
            <w:r>
              <w:rPr>
                <w:rFonts w:hint="eastAsia" w:cs="宋体"/>
                <w:color w:val="000000" w:themeColor="text1"/>
                <w:kern w:val="0"/>
                <w:sz w:val="21"/>
                <w:szCs w:val="21"/>
                <w:highlight w:val="none"/>
                <w:shd w:val="clear" w:color="auto" w:fill="auto"/>
                <w:lang w:val="en-US" w:eastAsia="zh-CN"/>
                <w14:textFill>
                  <w14:solidFill>
                    <w14:schemeClr w14:val="tx1"/>
                  </w14:solidFill>
                </w14:textFill>
              </w:rPr>
              <w:t>5</w:t>
            </w:r>
          </w:p>
        </w:tc>
        <w:tc>
          <w:tcPr>
            <w:tcW w:w="769" w:type="dxa"/>
            <w:shd w:val="clear" w:color="auto" w:fill="auto"/>
            <w:vAlign w:val="center"/>
          </w:tcPr>
          <w:p w14:paraId="5993F434">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cs="宋体"/>
                <w:color w:val="auto"/>
                <w:kern w:val="0"/>
                <w:sz w:val="24"/>
                <w:szCs w:val="24"/>
                <w:highlight w:val="none"/>
                <w:lang w:val="en-US" w:eastAsia="zh-CN"/>
              </w:rPr>
            </w:pPr>
            <w:r>
              <w:rPr>
                <w:rFonts w:hint="eastAsia" w:cs="宋体"/>
                <w:color w:val="000000" w:themeColor="text1"/>
                <w:kern w:val="0"/>
                <w:sz w:val="21"/>
                <w:szCs w:val="21"/>
                <w:highlight w:val="none"/>
                <w:shd w:val="clear" w:color="auto" w:fill="auto"/>
                <w:lang w:val="en-US" w:eastAsia="zh-CN"/>
                <w14:textFill>
                  <w14:solidFill>
                    <w14:schemeClr w14:val="tx1"/>
                  </w14:solidFill>
                </w14:textFill>
              </w:rPr>
              <w:t>4.97</w:t>
            </w:r>
          </w:p>
        </w:tc>
      </w:tr>
      <w:tr w14:paraId="35E7571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434" w:hRule="atLeast"/>
          <w:jc w:val="center"/>
        </w:trPr>
        <w:tc>
          <w:tcPr>
            <w:tcW w:w="861" w:type="dxa"/>
            <w:shd w:val="clear" w:color="auto" w:fill="auto"/>
            <w:vAlign w:val="center"/>
          </w:tcPr>
          <w:p w14:paraId="5D1AE081">
            <w:pPr>
              <w:pageBreakBefore w:val="0"/>
              <w:widowControl/>
              <w:kinsoku/>
              <w:wordWrap/>
              <w:overflowPunct/>
              <w:topLinePunct w:val="0"/>
              <w:autoSpaceDE/>
              <w:autoSpaceDN/>
              <w:bidi w:val="0"/>
              <w:adjustRightInd/>
              <w:spacing w:line="240" w:lineRule="exact"/>
              <w:ind w:firstLine="0" w:firstLineChars="0"/>
              <w:jc w:val="center"/>
              <w:textAlignment w:val="auto"/>
              <w:rPr>
                <w:rFonts w:hint="eastAsia" w:ascii="宋体" w:hAnsi="宋体" w:eastAsia="宋体" w:cs="宋体"/>
                <w:color w:val="auto"/>
                <w:kern w:val="0"/>
                <w:sz w:val="24"/>
                <w:szCs w:val="24"/>
                <w:highlight w:val="none"/>
              </w:rPr>
            </w:pPr>
          </w:p>
        </w:tc>
        <w:tc>
          <w:tcPr>
            <w:tcW w:w="727" w:type="dxa"/>
            <w:vMerge w:val="continue"/>
            <w:shd w:val="clear" w:color="auto" w:fill="auto"/>
            <w:vAlign w:val="center"/>
          </w:tcPr>
          <w:p w14:paraId="1944B43F">
            <w:pPr>
              <w:pageBreakBefore w:val="0"/>
              <w:widowControl/>
              <w:kinsoku/>
              <w:wordWrap/>
              <w:overflowPunct/>
              <w:topLinePunct w:val="0"/>
              <w:autoSpaceDE/>
              <w:autoSpaceDN/>
              <w:bidi w:val="0"/>
              <w:adjustRightInd/>
              <w:spacing w:line="240" w:lineRule="exact"/>
              <w:ind w:firstLine="0" w:firstLineChars="0"/>
              <w:jc w:val="center"/>
              <w:textAlignment w:val="auto"/>
              <w:rPr>
                <w:rFonts w:hint="eastAsia" w:ascii="宋体" w:hAnsi="宋体" w:eastAsia="宋体" w:cs="宋体"/>
                <w:color w:val="auto"/>
                <w:kern w:val="0"/>
                <w:sz w:val="24"/>
                <w:szCs w:val="24"/>
                <w:highlight w:val="none"/>
              </w:rPr>
            </w:pPr>
          </w:p>
        </w:tc>
        <w:tc>
          <w:tcPr>
            <w:tcW w:w="820" w:type="dxa"/>
            <w:shd w:val="clear" w:color="auto" w:fill="auto"/>
            <w:vAlign w:val="center"/>
          </w:tcPr>
          <w:p w14:paraId="6A8C2FA5">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糖尿病服务人数</w:t>
            </w:r>
          </w:p>
        </w:tc>
        <w:tc>
          <w:tcPr>
            <w:tcW w:w="2141" w:type="dxa"/>
            <w:shd w:val="clear" w:color="auto" w:fill="auto"/>
            <w:vAlign w:val="center"/>
          </w:tcPr>
          <w:p w14:paraId="76161122">
            <w:pPr>
              <w:pageBreakBefore w:val="0"/>
              <w:widowControl/>
              <w:kinsoku/>
              <w:wordWrap/>
              <w:overflowPunct/>
              <w:topLinePunct w:val="0"/>
              <w:autoSpaceDE/>
              <w:autoSpaceDN/>
              <w:bidi w:val="0"/>
              <w:adjustRightInd/>
              <w:spacing w:line="240" w:lineRule="exact"/>
              <w:ind w:firstLine="0" w:firstLineChars="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项目实施的实际产出数与计划产出数的比率，用以反映和考核项目产出数量目标的实现程度。</w:t>
            </w:r>
          </w:p>
        </w:tc>
        <w:tc>
          <w:tcPr>
            <w:tcW w:w="7821" w:type="dxa"/>
            <w:shd w:val="clear" w:color="auto" w:fill="auto"/>
            <w:vAlign w:val="center"/>
          </w:tcPr>
          <w:p w14:paraId="4C5C8387">
            <w:pPr>
              <w:pageBreakBefore w:val="0"/>
              <w:widowControl/>
              <w:kinsoku/>
              <w:wordWrap/>
              <w:overflowPunct/>
              <w:topLinePunct w:val="0"/>
              <w:autoSpaceDE/>
              <w:autoSpaceDN/>
              <w:bidi w:val="0"/>
              <w:adjustRightInd/>
              <w:spacing w:line="240" w:lineRule="exact"/>
              <w:ind w:firstLine="0" w:firstLineChars="0"/>
              <w:textAlignment w:val="auto"/>
              <w:rPr>
                <w:rFonts w:hint="eastAsia" w:ascii="宋体" w:hAnsi="宋体" w:eastAsia="宋体" w:cs="宋体"/>
                <w:color w:val="auto"/>
                <w:kern w:val="0"/>
                <w:sz w:val="24"/>
                <w:szCs w:val="24"/>
                <w:highlight w:val="none"/>
                <w:lang w:eastAsia="zh-CN"/>
              </w:rPr>
            </w:pPr>
            <w:r>
              <w:rPr>
                <w:rFonts w:hint="eastAsia" w:ascii="宋体" w:hAnsi="宋体" w:eastAsia="宋体" w:cs="宋体"/>
                <w:color w:val="auto"/>
                <w:kern w:val="0"/>
                <w:sz w:val="24"/>
                <w:szCs w:val="24"/>
                <w:highlight w:val="none"/>
              </w:rPr>
              <w:t>实际完成率=（实际产出数/计划产出数）×100%。</w:t>
            </w:r>
          </w:p>
          <w:p w14:paraId="679959A0">
            <w:pPr>
              <w:pageBreakBefore w:val="0"/>
              <w:widowControl/>
              <w:kinsoku/>
              <w:wordWrap/>
              <w:overflowPunct/>
              <w:topLinePunct w:val="0"/>
              <w:autoSpaceDE/>
              <w:autoSpaceDN/>
              <w:bidi w:val="0"/>
              <w:adjustRightInd/>
              <w:spacing w:line="240" w:lineRule="exact"/>
              <w:ind w:firstLine="0" w:firstLineChars="0"/>
              <w:textAlignment w:val="auto"/>
              <w:rPr>
                <w:rFonts w:hint="eastAsia" w:ascii="宋体" w:hAnsi="宋体" w:eastAsia="宋体" w:cs="宋体"/>
                <w:color w:val="auto"/>
                <w:kern w:val="0"/>
                <w:sz w:val="24"/>
                <w:szCs w:val="24"/>
                <w:highlight w:val="none"/>
                <w:lang w:eastAsia="zh-CN"/>
              </w:rPr>
            </w:pPr>
            <w:r>
              <w:rPr>
                <w:rFonts w:hint="eastAsia" w:ascii="宋体" w:hAnsi="宋体" w:eastAsia="宋体" w:cs="宋体"/>
                <w:color w:val="auto"/>
                <w:kern w:val="0"/>
                <w:sz w:val="24"/>
                <w:szCs w:val="24"/>
                <w:highlight w:val="none"/>
              </w:rPr>
              <w:t>实际产出数：一定时期（本年度或项目期）内项目实际产出的产品或提供的服务数量。</w:t>
            </w:r>
          </w:p>
          <w:p w14:paraId="5348191F">
            <w:pPr>
              <w:pageBreakBefore w:val="0"/>
              <w:widowControl/>
              <w:kinsoku/>
              <w:wordWrap/>
              <w:overflowPunct/>
              <w:topLinePunct w:val="0"/>
              <w:autoSpaceDE/>
              <w:autoSpaceDN/>
              <w:bidi w:val="0"/>
              <w:adjustRightInd/>
              <w:spacing w:line="240" w:lineRule="exact"/>
              <w:ind w:firstLine="0" w:firstLineChars="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计划产出数：项目绩效目标确定的在一定时期（本年度或项目期）内计划产出的产品或提供的服务数量。</w:t>
            </w:r>
          </w:p>
        </w:tc>
        <w:tc>
          <w:tcPr>
            <w:tcW w:w="785" w:type="dxa"/>
            <w:shd w:val="clear" w:color="auto" w:fill="auto"/>
            <w:vAlign w:val="center"/>
          </w:tcPr>
          <w:p w14:paraId="0779678C">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cs="宋体"/>
                <w:color w:val="auto"/>
                <w:kern w:val="0"/>
                <w:sz w:val="24"/>
                <w:szCs w:val="24"/>
                <w:highlight w:val="none"/>
                <w:lang w:val="en-US" w:eastAsia="zh-CN"/>
              </w:rPr>
            </w:pPr>
            <w:r>
              <w:rPr>
                <w:rFonts w:hint="eastAsia" w:cs="宋体"/>
                <w:color w:val="000000" w:themeColor="text1"/>
                <w:kern w:val="0"/>
                <w:sz w:val="21"/>
                <w:szCs w:val="21"/>
                <w:highlight w:val="none"/>
                <w:shd w:val="clear" w:color="auto" w:fill="auto"/>
                <w:lang w:val="en-US" w:eastAsia="zh-CN"/>
                <w14:textFill>
                  <w14:solidFill>
                    <w14:schemeClr w14:val="tx1"/>
                  </w14:solidFill>
                </w14:textFill>
              </w:rPr>
              <w:t>5</w:t>
            </w:r>
          </w:p>
        </w:tc>
        <w:tc>
          <w:tcPr>
            <w:tcW w:w="769" w:type="dxa"/>
            <w:shd w:val="clear" w:color="auto" w:fill="auto"/>
            <w:vAlign w:val="center"/>
          </w:tcPr>
          <w:p w14:paraId="068C1C63">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cs="宋体"/>
                <w:color w:val="auto"/>
                <w:kern w:val="0"/>
                <w:sz w:val="24"/>
                <w:szCs w:val="24"/>
                <w:highlight w:val="none"/>
                <w:lang w:val="en-US" w:eastAsia="zh-CN"/>
              </w:rPr>
            </w:pPr>
            <w:r>
              <w:rPr>
                <w:rFonts w:hint="eastAsia" w:cs="宋体"/>
                <w:color w:val="auto"/>
                <w:kern w:val="0"/>
                <w:sz w:val="24"/>
                <w:szCs w:val="24"/>
                <w:highlight w:val="none"/>
                <w:lang w:val="en-US" w:eastAsia="zh-CN"/>
              </w:rPr>
              <w:t>4.91</w:t>
            </w:r>
          </w:p>
        </w:tc>
      </w:tr>
      <w:tr w14:paraId="1F4CB51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53" w:hRule="atLeast"/>
          <w:jc w:val="center"/>
        </w:trPr>
        <w:tc>
          <w:tcPr>
            <w:tcW w:w="861" w:type="dxa"/>
            <w:vMerge w:val="restart"/>
            <w:shd w:val="clear" w:color="auto" w:fill="auto"/>
            <w:vAlign w:val="center"/>
          </w:tcPr>
          <w:p w14:paraId="20E3D722">
            <w:pPr>
              <w:pageBreakBefore w:val="0"/>
              <w:widowControl/>
              <w:kinsoku/>
              <w:wordWrap/>
              <w:overflowPunct/>
              <w:topLinePunct w:val="0"/>
              <w:autoSpaceDE/>
              <w:autoSpaceDN/>
              <w:bidi w:val="0"/>
              <w:adjustRightInd/>
              <w:spacing w:line="240" w:lineRule="exact"/>
              <w:ind w:firstLine="0" w:firstLineChars="0"/>
              <w:jc w:val="center"/>
              <w:textAlignment w:val="auto"/>
              <w:rPr>
                <w:rFonts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产出</w:t>
            </w:r>
          </w:p>
        </w:tc>
        <w:tc>
          <w:tcPr>
            <w:tcW w:w="727" w:type="dxa"/>
            <w:vMerge w:val="restart"/>
            <w:shd w:val="clear" w:color="auto" w:fill="auto"/>
            <w:vAlign w:val="center"/>
          </w:tcPr>
          <w:p w14:paraId="1A408662">
            <w:pPr>
              <w:pageBreakBefore w:val="0"/>
              <w:widowControl/>
              <w:kinsoku/>
              <w:wordWrap/>
              <w:overflowPunct/>
              <w:topLinePunct w:val="0"/>
              <w:autoSpaceDE/>
              <w:autoSpaceDN/>
              <w:bidi w:val="0"/>
              <w:adjustRightInd/>
              <w:spacing w:line="240" w:lineRule="exact"/>
              <w:ind w:firstLine="0" w:firstLineChars="0"/>
              <w:jc w:val="center"/>
              <w:textAlignment w:val="auto"/>
              <w:rPr>
                <w:rFonts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产出质量</w:t>
            </w:r>
          </w:p>
        </w:tc>
        <w:tc>
          <w:tcPr>
            <w:tcW w:w="820" w:type="dxa"/>
            <w:shd w:val="clear" w:color="auto" w:fill="auto"/>
            <w:vAlign w:val="center"/>
          </w:tcPr>
          <w:p w14:paraId="221AA4F2">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ascii="宋体" w:hAnsi="宋体" w:eastAsia="宋体" w:cs="宋体"/>
                <w:color w:val="000000"/>
                <w:kern w:val="0"/>
                <w:sz w:val="24"/>
                <w:szCs w:val="24"/>
                <w:highlight w:val="none"/>
              </w:rPr>
            </w:pPr>
            <w:r>
              <w:rPr>
                <w:rFonts w:hint="eastAsia" w:ascii="宋体" w:hAnsi="宋体" w:eastAsia="宋体" w:cs="宋体"/>
                <w:color w:val="000000" w:themeColor="text1"/>
                <w:kern w:val="0"/>
                <w:sz w:val="21"/>
                <w:szCs w:val="21"/>
                <w:highlight w:val="none"/>
                <w:shd w:val="clear" w:color="auto" w:fill="auto"/>
                <w:lang w:val="en-US" w:eastAsia="zh-CN"/>
                <w14:textFill>
                  <w14:solidFill>
                    <w14:schemeClr w14:val="tx1"/>
                  </w14:solidFill>
                </w14:textFill>
              </w:rPr>
              <w:t>65岁以上老人健康管理服务合格率</w:t>
            </w:r>
          </w:p>
        </w:tc>
        <w:tc>
          <w:tcPr>
            <w:tcW w:w="2141" w:type="dxa"/>
            <w:shd w:val="clear" w:color="auto" w:fill="auto"/>
            <w:vAlign w:val="center"/>
          </w:tcPr>
          <w:p w14:paraId="23BB21F4">
            <w:pPr>
              <w:pageBreakBefore w:val="0"/>
              <w:widowControl/>
              <w:kinsoku/>
              <w:wordWrap/>
              <w:overflowPunct/>
              <w:topLinePunct w:val="0"/>
              <w:autoSpaceDE/>
              <w:autoSpaceDN/>
              <w:bidi w:val="0"/>
              <w:adjustRightInd/>
              <w:spacing w:line="240" w:lineRule="exact"/>
              <w:ind w:firstLine="0" w:firstLineChars="0"/>
              <w:textAlignment w:val="auto"/>
              <w:rPr>
                <w:rFonts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项目完成的质量达标产出数与实际产出数的比率，用以反映和考核项目产出质量目标的实现程度。</w:t>
            </w:r>
          </w:p>
        </w:tc>
        <w:tc>
          <w:tcPr>
            <w:tcW w:w="7821" w:type="dxa"/>
            <w:shd w:val="clear" w:color="auto" w:fill="auto"/>
            <w:vAlign w:val="center"/>
          </w:tcPr>
          <w:p w14:paraId="2E0362AC">
            <w:pPr>
              <w:pageBreakBefore w:val="0"/>
              <w:widowControl/>
              <w:kinsoku/>
              <w:wordWrap/>
              <w:overflowPunct/>
              <w:topLinePunct w:val="0"/>
              <w:autoSpaceDE/>
              <w:autoSpaceDN/>
              <w:bidi w:val="0"/>
              <w:adjustRightInd/>
              <w:spacing w:line="240" w:lineRule="exact"/>
              <w:ind w:firstLine="0" w:firstLineChars="0"/>
              <w:textAlignment w:val="auto"/>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质量达标率=（质量达标产出数/实际产出数）×100%。</w:t>
            </w:r>
          </w:p>
          <w:p w14:paraId="31467758">
            <w:pPr>
              <w:pageBreakBefore w:val="0"/>
              <w:widowControl/>
              <w:kinsoku/>
              <w:wordWrap/>
              <w:overflowPunct/>
              <w:topLinePunct w:val="0"/>
              <w:autoSpaceDE/>
              <w:autoSpaceDN/>
              <w:bidi w:val="0"/>
              <w:adjustRightInd/>
              <w:spacing w:line="240" w:lineRule="exact"/>
              <w:ind w:firstLine="0" w:firstLineChars="0"/>
              <w:textAlignment w:val="auto"/>
              <w:rPr>
                <w:rFonts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785" w:type="dxa"/>
            <w:shd w:val="clear" w:color="auto" w:fill="auto"/>
            <w:vAlign w:val="center"/>
          </w:tcPr>
          <w:p w14:paraId="2714BDB5">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000000"/>
                <w:kern w:val="0"/>
                <w:sz w:val="24"/>
                <w:szCs w:val="24"/>
                <w:highlight w:val="none"/>
                <w:lang w:val="en-US" w:eastAsia="zh-CN"/>
              </w:rPr>
            </w:pPr>
            <w:r>
              <w:rPr>
                <w:rFonts w:hint="eastAsia" w:cs="宋体"/>
                <w:color w:val="000000" w:themeColor="text1"/>
                <w:kern w:val="0"/>
                <w:sz w:val="21"/>
                <w:szCs w:val="21"/>
                <w:highlight w:val="none"/>
                <w:shd w:val="clear" w:color="auto" w:fill="auto"/>
                <w:lang w:val="en-US" w:eastAsia="zh-CN"/>
                <w14:textFill>
                  <w14:solidFill>
                    <w14:schemeClr w14:val="tx1"/>
                  </w14:solidFill>
                </w14:textFill>
              </w:rPr>
              <w:t>3</w:t>
            </w:r>
          </w:p>
        </w:tc>
        <w:tc>
          <w:tcPr>
            <w:tcW w:w="769" w:type="dxa"/>
            <w:shd w:val="clear" w:color="auto" w:fill="auto"/>
            <w:vAlign w:val="center"/>
          </w:tcPr>
          <w:p w14:paraId="189F3D68">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000000"/>
                <w:kern w:val="0"/>
                <w:sz w:val="24"/>
                <w:szCs w:val="24"/>
                <w:highlight w:val="none"/>
                <w:lang w:val="en-US" w:eastAsia="zh-CN"/>
              </w:rPr>
            </w:pPr>
            <w:r>
              <w:rPr>
                <w:rFonts w:hint="eastAsia" w:cs="宋体"/>
                <w:color w:val="000000" w:themeColor="text1"/>
                <w:kern w:val="0"/>
                <w:sz w:val="21"/>
                <w:szCs w:val="21"/>
                <w:highlight w:val="none"/>
                <w:shd w:val="clear" w:color="auto" w:fill="auto"/>
                <w:lang w:val="en-US" w:eastAsia="zh-CN"/>
                <w14:textFill>
                  <w14:solidFill>
                    <w14:schemeClr w14:val="tx1"/>
                  </w14:solidFill>
                </w14:textFill>
              </w:rPr>
              <w:t>2.08</w:t>
            </w:r>
          </w:p>
        </w:tc>
      </w:tr>
      <w:tr w14:paraId="3B15929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453" w:hRule="atLeast"/>
          <w:jc w:val="center"/>
        </w:trPr>
        <w:tc>
          <w:tcPr>
            <w:tcW w:w="861" w:type="dxa"/>
            <w:vMerge w:val="continue"/>
            <w:shd w:val="clear" w:color="auto" w:fill="auto"/>
            <w:vAlign w:val="center"/>
          </w:tcPr>
          <w:p w14:paraId="04C4E389">
            <w:pPr>
              <w:pageBreakBefore w:val="0"/>
              <w:widowControl/>
              <w:kinsoku/>
              <w:wordWrap/>
              <w:overflowPunct/>
              <w:topLinePunct w:val="0"/>
              <w:autoSpaceDE/>
              <w:autoSpaceDN/>
              <w:bidi w:val="0"/>
              <w:adjustRightInd/>
              <w:spacing w:line="240" w:lineRule="exact"/>
              <w:ind w:firstLine="0" w:firstLineChars="0"/>
              <w:jc w:val="center"/>
              <w:textAlignment w:val="auto"/>
              <w:rPr>
                <w:rFonts w:hint="eastAsia" w:ascii="宋体" w:hAnsi="宋体" w:eastAsia="宋体" w:cs="宋体"/>
                <w:color w:val="000000"/>
                <w:kern w:val="0"/>
                <w:sz w:val="24"/>
                <w:szCs w:val="24"/>
                <w:highlight w:val="none"/>
              </w:rPr>
            </w:pPr>
          </w:p>
        </w:tc>
        <w:tc>
          <w:tcPr>
            <w:tcW w:w="727" w:type="dxa"/>
            <w:vMerge w:val="continue"/>
            <w:shd w:val="clear" w:color="auto" w:fill="auto"/>
            <w:vAlign w:val="center"/>
          </w:tcPr>
          <w:p w14:paraId="4A5BFBCE">
            <w:pPr>
              <w:pageBreakBefore w:val="0"/>
              <w:widowControl/>
              <w:kinsoku/>
              <w:wordWrap/>
              <w:overflowPunct/>
              <w:topLinePunct w:val="0"/>
              <w:autoSpaceDE/>
              <w:autoSpaceDN/>
              <w:bidi w:val="0"/>
              <w:adjustRightInd/>
              <w:spacing w:line="240" w:lineRule="exact"/>
              <w:ind w:firstLine="0" w:firstLineChars="0"/>
              <w:jc w:val="center"/>
              <w:textAlignment w:val="auto"/>
              <w:rPr>
                <w:rFonts w:hint="eastAsia" w:ascii="宋体" w:hAnsi="宋体" w:eastAsia="宋体" w:cs="宋体"/>
                <w:color w:val="000000"/>
                <w:kern w:val="0"/>
                <w:sz w:val="24"/>
                <w:szCs w:val="24"/>
                <w:highlight w:val="none"/>
              </w:rPr>
            </w:pPr>
          </w:p>
        </w:tc>
        <w:tc>
          <w:tcPr>
            <w:tcW w:w="820" w:type="dxa"/>
            <w:shd w:val="clear" w:color="auto" w:fill="auto"/>
            <w:vAlign w:val="center"/>
          </w:tcPr>
          <w:p w14:paraId="420AB1FB">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ascii="宋体" w:hAnsi="宋体" w:eastAsia="宋体" w:cs="宋体"/>
                <w:color w:val="000000"/>
                <w:kern w:val="0"/>
                <w:sz w:val="24"/>
                <w:szCs w:val="24"/>
                <w:highlight w:val="none"/>
              </w:rPr>
            </w:pPr>
            <w:r>
              <w:rPr>
                <w:rFonts w:hint="eastAsia" w:ascii="宋体" w:hAnsi="宋体" w:eastAsia="宋体" w:cs="宋体"/>
                <w:color w:val="000000" w:themeColor="text1"/>
                <w:kern w:val="0"/>
                <w:sz w:val="21"/>
                <w:szCs w:val="21"/>
                <w:highlight w:val="none"/>
                <w:shd w:val="clear" w:color="auto" w:fill="auto"/>
                <w:lang w:val="en-US" w:eastAsia="zh-CN"/>
                <w14:textFill>
                  <w14:solidFill>
                    <w14:schemeClr w14:val="tx1"/>
                  </w14:solidFill>
                </w14:textFill>
              </w:rPr>
              <w:t>高血压服务合格率</w:t>
            </w:r>
          </w:p>
        </w:tc>
        <w:tc>
          <w:tcPr>
            <w:tcW w:w="2141" w:type="dxa"/>
            <w:shd w:val="clear" w:color="auto" w:fill="auto"/>
            <w:vAlign w:val="center"/>
          </w:tcPr>
          <w:p w14:paraId="0D314B98">
            <w:pPr>
              <w:pageBreakBefore w:val="0"/>
              <w:widowControl/>
              <w:kinsoku/>
              <w:wordWrap/>
              <w:overflowPunct/>
              <w:topLinePunct w:val="0"/>
              <w:autoSpaceDE/>
              <w:autoSpaceDN/>
              <w:bidi w:val="0"/>
              <w:adjustRightInd/>
              <w:spacing w:line="240" w:lineRule="exact"/>
              <w:ind w:firstLine="0" w:firstLineChars="0"/>
              <w:textAlignment w:val="auto"/>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项目完成的质量达标产出数与实际产出数的比率，用以反映和考核项目产出质量目标的实现程度。</w:t>
            </w:r>
          </w:p>
        </w:tc>
        <w:tc>
          <w:tcPr>
            <w:tcW w:w="7821" w:type="dxa"/>
            <w:shd w:val="clear" w:color="auto" w:fill="auto"/>
            <w:vAlign w:val="center"/>
          </w:tcPr>
          <w:p w14:paraId="71639135">
            <w:pPr>
              <w:pageBreakBefore w:val="0"/>
              <w:widowControl/>
              <w:kinsoku/>
              <w:wordWrap/>
              <w:overflowPunct/>
              <w:topLinePunct w:val="0"/>
              <w:autoSpaceDE/>
              <w:autoSpaceDN/>
              <w:bidi w:val="0"/>
              <w:adjustRightInd/>
              <w:spacing w:line="240" w:lineRule="exact"/>
              <w:ind w:firstLine="0" w:firstLineChars="0"/>
              <w:textAlignment w:val="auto"/>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质量达标率=（质量达标产出数/实际产出数）×100%。</w:t>
            </w:r>
          </w:p>
          <w:p w14:paraId="42B87BAD">
            <w:pPr>
              <w:pageBreakBefore w:val="0"/>
              <w:widowControl/>
              <w:kinsoku/>
              <w:wordWrap/>
              <w:overflowPunct/>
              <w:topLinePunct w:val="0"/>
              <w:autoSpaceDE/>
              <w:autoSpaceDN/>
              <w:bidi w:val="0"/>
              <w:adjustRightInd/>
              <w:spacing w:line="240" w:lineRule="exact"/>
              <w:ind w:firstLine="0" w:firstLineChars="0"/>
              <w:textAlignment w:val="auto"/>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785" w:type="dxa"/>
            <w:shd w:val="clear" w:color="auto" w:fill="auto"/>
            <w:vAlign w:val="center"/>
          </w:tcPr>
          <w:p w14:paraId="104810EB">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cs="宋体"/>
                <w:color w:val="000000"/>
                <w:kern w:val="0"/>
                <w:sz w:val="24"/>
                <w:szCs w:val="24"/>
                <w:highlight w:val="none"/>
                <w:lang w:val="en-US" w:eastAsia="zh-CN"/>
              </w:rPr>
            </w:pPr>
            <w:r>
              <w:rPr>
                <w:rFonts w:hint="eastAsia" w:cs="宋体"/>
                <w:color w:val="000000" w:themeColor="text1"/>
                <w:kern w:val="0"/>
                <w:sz w:val="21"/>
                <w:szCs w:val="21"/>
                <w:highlight w:val="none"/>
                <w:shd w:val="clear" w:color="auto" w:fill="auto"/>
                <w:lang w:val="en-US" w:eastAsia="zh-CN"/>
                <w14:textFill>
                  <w14:solidFill>
                    <w14:schemeClr w14:val="tx1"/>
                  </w14:solidFill>
                </w14:textFill>
              </w:rPr>
              <w:t>5</w:t>
            </w:r>
          </w:p>
        </w:tc>
        <w:tc>
          <w:tcPr>
            <w:tcW w:w="769" w:type="dxa"/>
            <w:shd w:val="clear" w:color="auto" w:fill="auto"/>
            <w:vAlign w:val="center"/>
          </w:tcPr>
          <w:p w14:paraId="2D488C64">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cs="宋体"/>
                <w:color w:val="000000"/>
                <w:kern w:val="0"/>
                <w:sz w:val="24"/>
                <w:szCs w:val="24"/>
                <w:highlight w:val="none"/>
                <w:lang w:val="en-US" w:eastAsia="zh-CN"/>
              </w:rPr>
            </w:pPr>
            <w:r>
              <w:rPr>
                <w:rFonts w:hint="eastAsia" w:cs="宋体"/>
                <w:color w:val="000000" w:themeColor="text1"/>
                <w:kern w:val="0"/>
                <w:sz w:val="21"/>
                <w:szCs w:val="21"/>
                <w:highlight w:val="none"/>
                <w:shd w:val="clear" w:color="auto" w:fill="auto"/>
                <w:lang w:val="en-US" w:eastAsia="zh-CN"/>
                <w14:textFill>
                  <w14:solidFill>
                    <w14:schemeClr w14:val="tx1"/>
                  </w14:solidFill>
                </w14:textFill>
              </w:rPr>
              <w:t>5</w:t>
            </w:r>
          </w:p>
        </w:tc>
      </w:tr>
      <w:tr w14:paraId="4CB9398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453" w:hRule="atLeast"/>
          <w:jc w:val="center"/>
        </w:trPr>
        <w:tc>
          <w:tcPr>
            <w:tcW w:w="861" w:type="dxa"/>
            <w:vMerge w:val="continue"/>
            <w:shd w:val="clear" w:color="auto" w:fill="auto"/>
            <w:vAlign w:val="center"/>
          </w:tcPr>
          <w:p w14:paraId="4896C44A">
            <w:pPr>
              <w:pageBreakBefore w:val="0"/>
              <w:widowControl/>
              <w:kinsoku/>
              <w:wordWrap/>
              <w:overflowPunct/>
              <w:topLinePunct w:val="0"/>
              <w:autoSpaceDE/>
              <w:autoSpaceDN/>
              <w:bidi w:val="0"/>
              <w:adjustRightInd/>
              <w:spacing w:line="240" w:lineRule="exact"/>
              <w:ind w:firstLine="0" w:firstLineChars="0"/>
              <w:jc w:val="center"/>
              <w:textAlignment w:val="auto"/>
              <w:rPr>
                <w:rFonts w:hint="eastAsia" w:ascii="宋体" w:hAnsi="宋体" w:eastAsia="宋体" w:cs="宋体"/>
                <w:color w:val="000000"/>
                <w:kern w:val="0"/>
                <w:sz w:val="24"/>
                <w:szCs w:val="24"/>
                <w:highlight w:val="none"/>
              </w:rPr>
            </w:pPr>
          </w:p>
        </w:tc>
        <w:tc>
          <w:tcPr>
            <w:tcW w:w="727" w:type="dxa"/>
            <w:vMerge w:val="continue"/>
            <w:shd w:val="clear" w:color="auto" w:fill="auto"/>
            <w:vAlign w:val="center"/>
          </w:tcPr>
          <w:p w14:paraId="3A7774E6">
            <w:pPr>
              <w:pageBreakBefore w:val="0"/>
              <w:widowControl/>
              <w:kinsoku/>
              <w:wordWrap/>
              <w:overflowPunct/>
              <w:topLinePunct w:val="0"/>
              <w:autoSpaceDE/>
              <w:autoSpaceDN/>
              <w:bidi w:val="0"/>
              <w:adjustRightInd/>
              <w:spacing w:line="240" w:lineRule="exact"/>
              <w:ind w:firstLine="0" w:firstLineChars="0"/>
              <w:jc w:val="center"/>
              <w:textAlignment w:val="auto"/>
              <w:rPr>
                <w:rFonts w:hint="eastAsia" w:ascii="宋体" w:hAnsi="宋体" w:eastAsia="宋体" w:cs="宋体"/>
                <w:color w:val="000000"/>
                <w:kern w:val="0"/>
                <w:sz w:val="24"/>
                <w:szCs w:val="24"/>
                <w:highlight w:val="none"/>
              </w:rPr>
            </w:pPr>
          </w:p>
        </w:tc>
        <w:tc>
          <w:tcPr>
            <w:tcW w:w="820" w:type="dxa"/>
            <w:shd w:val="clear" w:color="auto" w:fill="auto"/>
            <w:vAlign w:val="center"/>
          </w:tcPr>
          <w:p w14:paraId="2BCA9BCF">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ascii="宋体" w:hAnsi="宋体" w:eastAsia="宋体" w:cs="宋体"/>
                <w:color w:val="000000"/>
                <w:kern w:val="0"/>
                <w:sz w:val="24"/>
                <w:szCs w:val="24"/>
                <w:highlight w:val="none"/>
              </w:rPr>
            </w:pPr>
            <w:r>
              <w:rPr>
                <w:rFonts w:hint="eastAsia" w:ascii="宋体" w:hAnsi="宋体" w:eastAsia="宋体" w:cs="宋体"/>
                <w:color w:val="000000" w:themeColor="text1"/>
                <w:kern w:val="0"/>
                <w:sz w:val="21"/>
                <w:szCs w:val="21"/>
                <w:highlight w:val="none"/>
                <w:shd w:val="clear" w:color="auto" w:fill="auto"/>
                <w:lang w:val="en-US" w:eastAsia="zh-CN"/>
                <w14:textFill>
                  <w14:solidFill>
                    <w14:schemeClr w14:val="tx1"/>
                  </w14:solidFill>
                </w14:textFill>
              </w:rPr>
              <w:t>糖尿病服务</w:t>
            </w:r>
            <w:r>
              <w:rPr>
                <w:rFonts w:hint="eastAsia" w:cs="宋体"/>
                <w:color w:val="000000" w:themeColor="text1"/>
                <w:kern w:val="0"/>
                <w:sz w:val="21"/>
                <w:szCs w:val="21"/>
                <w:highlight w:val="none"/>
                <w:shd w:val="clear" w:color="auto" w:fill="auto"/>
                <w:lang w:val="en-US" w:eastAsia="zh-CN"/>
                <w14:textFill>
                  <w14:solidFill>
                    <w14:schemeClr w14:val="tx1"/>
                  </w14:solidFill>
                </w14:textFill>
              </w:rPr>
              <w:t>合格</w:t>
            </w:r>
            <w:r>
              <w:rPr>
                <w:rFonts w:hint="eastAsia" w:ascii="宋体" w:hAnsi="宋体" w:eastAsia="宋体" w:cs="宋体"/>
                <w:color w:val="000000" w:themeColor="text1"/>
                <w:kern w:val="0"/>
                <w:sz w:val="21"/>
                <w:szCs w:val="21"/>
                <w:highlight w:val="none"/>
                <w:shd w:val="clear" w:color="auto" w:fill="auto"/>
                <w:lang w:val="en-US" w:eastAsia="zh-CN"/>
                <w14:textFill>
                  <w14:solidFill>
                    <w14:schemeClr w14:val="tx1"/>
                  </w14:solidFill>
                </w14:textFill>
              </w:rPr>
              <w:t>率</w:t>
            </w:r>
          </w:p>
        </w:tc>
        <w:tc>
          <w:tcPr>
            <w:tcW w:w="2141" w:type="dxa"/>
            <w:shd w:val="clear" w:color="auto" w:fill="auto"/>
            <w:vAlign w:val="center"/>
          </w:tcPr>
          <w:p w14:paraId="6112E3C1">
            <w:pPr>
              <w:pageBreakBefore w:val="0"/>
              <w:widowControl/>
              <w:kinsoku/>
              <w:wordWrap/>
              <w:overflowPunct/>
              <w:topLinePunct w:val="0"/>
              <w:autoSpaceDE/>
              <w:autoSpaceDN/>
              <w:bidi w:val="0"/>
              <w:adjustRightInd/>
              <w:spacing w:line="240" w:lineRule="exact"/>
              <w:ind w:firstLine="0" w:firstLineChars="0"/>
              <w:textAlignment w:val="auto"/>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项目完成的质量达标产出数与实际产出数的比率，用以反映和考核项目产出质量目标的实现程度。</w:t>
            </w:r>
          </w:p>
        </w:tc>
        <w:tc>
          <w:tcPr>
            <w:tcW w:w="7821" w:type="dxa"/>
            <w:shd w:val="clear" w:color="auto" w:fill="auto"/>
            <w:vAlign w:val="center"/>
          </w:tcPr>
          <w:p w14:paraId="4613F3AC">
            <w:pPr>
              <w:pageBreakBefore w:val="0"/>
              <w:widowControl/>
              <w:kinsoku/>
              <w:wordWrap/>
              <w:overflowPunct/>
              <w:topLinePunct w:val="0"/>
              <w:autoSpaceDE/>
              <w:autoSpaceDN/>
              <w:bidi w:val="0"/>
              <w:adjustRightInd/>
              <w:spacing w:line="240" w:lineRule="exact"/>
              <w:ind w:firstLine="0" w:firstLineChars="0"/>
              <w:textAlignment w:val="auto"/>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质量达标率=（质量达标产出数/实际产出数）×100%。</w:t>
            </w:r>
          </w:p>
          <w:p w14:paraId="5DC64E9C">
            <w:pPr>
              <w:pageBreakBefore w:val="0"/>
              <w:widowControl/>
              <w:kinsoku/>
              <w:wordWrap/>
              <w:overflowPunct/>
              <w:topLinePunct w:val="0"/>
              <w:autoSpaceDE/>
              <w:autoSpaceDN/>
              <w:bidi w:val="0"/>
              <w:adjustRightInd/>
              <w:spacing w:line="240" w:lineRule="exact"/>
              <w:ind w:firstLine="0" w:firstLineChars="0"/>
              <w:textAlignment w:val="auto"/>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785" w:type="dxa"/>
            <w:shd w:val="clear" w:color="auto" w:fill="auto"/>
            <w:vAlign w:val="center"/>
          </w:tcPr>
          <w:p w14:paraId="064A3AFF">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cs="宋体"/>
                <w:color w:val="000000"/>
                <w:kern w:val="0"/>
                <w:sz w:val="24"/>
                <w:szCs w:val="24"/>
                <w:highlight w:val="none"/>
                <w:lang w:val="en-US" w:eastAsia="zh-CN"/>
              </w:rPr>
            </w:pPr>
            <w:r>
              <w:rPr>
                <w:rFonts w:hint="eastAsia" w:cs="宋体"/>
                <w:color w:val="000000" w:themeColor="text1"/>
                <w:kern w:val="0"/>
                <w:sz w:val="21"/>
                <w:szCs w:val="21"/>
                <w:highlight w:val="none"/>
                <w:shd w:val="clear" w:color="auto" w:fill="auto"/>
                <w:lang w:val="en-US" w:eastAsia="zh-CN"/>
                <w14:textFill>
                  <w14:solidFill>
                    <w14:schemeClr w14:val="tx1"/>
                  </w14:solidFill>
                </w14:textFill>
              </w:rPr>
              <w:t>5</w:t>
            </w:r>
          </w:p>
        </w:tc>
        <w:tc>
          <w:tcPr>
            <w:tcW w:w="769" w:type="dxa"/>
            <w:shd w:val="clear" w:color="auto" w:fill="auto"/>
            <w:vAlign w:val="center"/>
          </w:tcPr>
          <w:p w14:paraId="6A543AD8">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cs="宋体"/>
                <w:color w:val="000000"/>
                <w:kern w:val="0"/>
                <w:sz w:val="24"/>
                <w:szCs w:val="24"/>
                <w:highlight w:val="none"/>
                <w:lang w:val="en-US" w:eastAsia="zh-CN"/>
              </w:rPr>
            </w:pPr>
            <w:r>
              <w:rPr>
                <w:rFonts w:hint="eastAsia" w:cs="宋体"/>
                <w:color w:val="000000" w:themeColor="text1"/>
                <w:kern w:val="0"/>
                <w:sz w:val="21"/>
                <w:szCs w:val="21"/>
                <w:highlight w:val="none"/>
                <w:shd w:val="clear" w:color="auto" w:fill="auto"/>
                <w:lang w:val="en-US" w:eastAsia="zh-CN"/>
                <w14:textFill>
                  <w14:solidFill>
                    <w14:schemeClr w14:val="tx1"/>
                  </w14:solidFill>
                </w14:textFill>
              </w:rPr>
              <w:t>5</w:t>
            </w:r>
          </w:p>
        </w:tc>
      </w:tr>
      <w:tr w14:paraId="09B013C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1506" w:hRule="atLeast"/>
          <w:jc w:val="center"/>
        </w:trPr>
        <w:tc>
          <w:tcPr>
            <w:tcW w:w="861" w:type="dxa"/>
            <w:vMerge w:val="continue"/>
            <w:shd w:val="clear" w:color="auto" w:fill="auto"/>
            <w:vAlign w:val="center"/>
          </w:tcPr>
          <w:p w14:paraId="41385701">
            <w:pPr>
              <w:pageBreakBefore w:val="0"/>
              <w:kinsoku/>
              <w:wordWrap/>
              <w:overflowPunct/>
              <w:topLinePunct w:val="0"/>
              <w:autoSpaceDE/>
              <w:autoSpaceDN/>
              <w:bidi w:val="0"/>
              <w:adjustRightInd/>
              <w:spacing w:line="240" w:lineRule="exact"/>
              <w:ind w:firstLine="0" w:firstLineChars="0"/>
              <w:jc w:val="center"/>
              <w:textAlignment w:val="auto"/>
              <w:rPr>
                <w:rFonts w:ascii="宋体" w:hAnsi="宋体" w:eastAsia="宋体" w:cs="宋体"/>
                <w:color w:val="000000"/>
                <w:kern w:val="0"/>
                <w:sz w:val="24"/>
                <w:szCs w:val="24"/>
                <w:highlight w:val="none"/>
              </w:rPr>
            </w:pPr>
          </w:p>
        </w:tc>
        <w:tc>
          <w:tcPr>
            <w:tcW w:w="727" w:type="dxa"/>
            <w:shd w:val="clear" w:color="auto" w:fill="auto"/>
            <w:vAlign w:val="center"/>
          </w:tcPr>
          <w:p w14:paraId="25A28F5A">
            <w:pPr>
              <w:pageBreakBefore w:val="0"/>
              <w:kinsoku/>
              <w:wordWrap/>
              <w:overflowPunct/>
              <w:topLinePunct w:val="0"/>
              <w:autoSpaceDE/>
              <w:autoSpaceDN/>
              <w:bidi w:val="0"/>
              <w:adjustRightInd/>
              <w:spacing w:line="240" w:lineRule="exact"/>
              <w:ind w:firstLine="0" w:firstLineChars="0"/>
              <w:jc w:val="center"/>
              <w:textAlignment w:val="auto"/>
              <w:rPr>
                <w:rFonts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产出时效</w:t>
            </w:r>
          </w:p>
        </w:tc>
        <w:tc>
          <w:tcPr>
            <w:tcW w:w="820" w:type="dxa"/>
            <w:shd w:val="clear" w:color="auto" w:fill="auto"/>
            <w:vAlign w:val="center"/>
          </w:tcPr>
          <w:p w14:paraId="129CD906">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ascii="宋体" w:hAnsi="宋体" w:eastAsia="宋体" w:cs="宋体"/>
                <w:color w:val="000000"/>
                <w:kern w:val="0"/>
                <w:sz w:val="24"/>
                <w:szCs w:val="24"/>
                <w:highlight w:val="none"/>
              </w:rPr>
            </w:pPr>
            <w:r>
              <w:rPr>
                <w:rFonts w:hint="eastAsia" w:ascii="宋体" w:hAnsi="宋体" w:eastAsia="宋体" w:cs="宋体"/>
                <w:color w:val="000000" w:themeColor="text1"/>
                <w:kern w:val="0"/>
                <w:sz w:val="21"/>
                <w:szCs w:val="21"/>
                <w:highlight w:val="none"/>
                <w:shd w:val="clear" w:color="auto" w:fill="auto"/>
                <w:lang w:val="en-US" w:eastAsia="zh-CN"/>
                <w14:textFill>
                  <w14:solidFill>
                    <w14:schemeClr w14:val="tx1"/>
                  </w14:solidFill>
                </w14:textFill>
              </w:rPr>
              <w:t>项目完成时限</w:t>
            </w:r>
          </w:p>
        </w:tc>
        <w:tc>
          <w:tcPr>
            <w:tcW w:w="2141" w:type="dxa"/>
            <w:shd w:val="clear" w:color="auto" w:fill="auto"/>
            <w:vAlign w:val="center"/>
          </w:tcPr>
          <w:p w14:paraId="0E484802">
            <w:pPr>
              <w:pageBreakBefore w:val="0"/>
              <w:widowControl/>
              <w:kinsoku/>
              <w:wordWrap/>
              <w:overflowPunct/>
              <w:topLinePunct w:val="0"/>
              <w:autoSpaceDE/>
              <w:autoSpaceDN/>
              <w:bidi w:val="0"/>
              <w:adjustRightInd/>
              <w:spacing w:line="240" w:lineRule="exact"/>
              <w:ind w:firstLine="0" w:firstLineChars="0"/>
              <w:textAlignment w:val="auto"/>
              <w:rPr>
                <w:rFonts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项目实际完成时间与计划完成时间的比较，用以反映和考核项目产出时效目标的实现程度。</w:t>
            </w:r>
          </w:p>
        </w:tc>
        <w:tc>
          <w:tcPr>
            <w:tcW w:w="7821" w:type="dxa"/>
            <w:shd w:val="clear" w:color="auto" w:fill="auto"/>
            <w:vAlign w:val="center"/>
          </w:tcPr>
          <w:p w14:paraId="627467D0">
            <w:pPr>
              <w:pageBreakBefore w:val="0"/>
              <w:widowControl/>
              <w:kinsoku/>
              <w:wordWrap/>
              <w:overflowPunct/>
              <w:topLinePunct w:val="0"/>
              <w:autoSpaceDE/>
              <w:autoSpaceDN/>
              <w:bidi w:val="0"/>
              <w:adjustRightInd/>
              <w:spacing w:line="240" w:lineRule="exact"/>
              <w:ind w:firstLine="0" w:firstLineChars="0"/>
              <w:textAlignment w:val="auto"/>
              <w:rPr>
                <w:rFonts w:hint="eastAsia" w:ascii="宋体" w:hAnsi="宋体" w:eastAsia="宋体" w:cs="宋体"/>
                <w:color w:val="000000"/>
                <w:kern w:val="0"/>
                <w:sz w:val="24"/>
                <w:szCs w:val="24"/>
                <w:highlight w:val="none"/>
                <w:lang w:eastAsia="zh-CN"/>
              </w:rPr>
            </w:pPr>
            <w:r>
              <w:rPr>
                <w:rFonts w:hint="eastAsia" w:ascii="宋体" w:hAnsi="宋体" w:eastAsia="宋体" w:cs="宋体"/>
                <w:color w:val="000000"/>
                <w:kern w:val="0"/>
                <w:sz w:val="24"/>
                <w:szCs w:val="24"/>
                <w:highlight w:val="none"/>
              </w:rPr>
              <w:t>实际完成时间：项目实施单位完成该项目实际所耗用的时间。</w:t>
            </w:r>
          </w:p>
          <w:p w14:paraId="66AB04E4">
            <w:pPr>
              <w:pageBreakBefore w:val="0"/>
              <w:widowControl/>
              <w:kinsoku/>
              <w:wordWrap/>
              <w:overflowPunct/>
              <w:topLinePunct w:val="0"/>
              <w:autoSpaceDE/>
              <w:autoSpaceDN/>
              <w:bidi w:val="0"/>
              <w:adjustRightInd/>
              <w:spacing w:line="240" w:lineRule="exact"/>
              <w:ind w:firstLine="0" w:firstLineChars="0"/>
              <w:textAlignment w:val="auto"/>
              <w:rPr>
                <w:rFonts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计划完成时间：按照项目实施计划或相关规定完成该项目所需的时间。</w:t>
            </w:r>
          </w:p>
        </w:tc>
        <w:tc>
          <w:tcPr>
            <w:tcW w:w="785" w:type="dxa"/>
            <w:shd w:val="clear" w:color="auto" w:fill="auto"/>
            <w:vAlign w:val="center"/>
          </w:tcPr>
          <w:p w14:paraId="49E9E05D">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000000"/>
                <w:kern w:val="0"/>
                <w:sz w:val="24"/>
                <w:szCs w:val="24"/>
                <w:highlight w:val="none"/>
                <w:lang w:val="en-US" w:eastAsia="zh-CN"/>
              </w:rPr>
            </w:pPr>
            <w:r>
              <w:rPr>
                <w:rFonts w:hint="eastAsia" w:cs="宋体"/>
                <w:color w:val="000000" w:themeColor="text1"/>
                <w:kern w:val="0"/>
                <w:sz w:val="21"/>
                <w:szCs w:val="21"/>
                <w:highlight w:val="none"/>
                <w:shd w:val="clear" w:color="auto" w:fill="auto"/>
                <w:lang w:val="en-US" w:eastAsia="zh-CN"/>
                <w14:textFill>
                  <w14:solidFill>
                    <w14:schemeClr w14:val="tx1"/>
                  </w14:solidFill>
                </w14:textFill>
              </w:rPr>
              <w:t>5</w:t>
            </w:r>
          </w:p>
        </w:tc>
        <w:tc>
          <w:tcPr>
            <w:tcW w:w="769" w:type="dxa"/>
            <w:shd w:val="clear" w:color="auto" w:fill="auto"/>
            <w:vAlign w:val="center"/>
          </w:tcPr>
          <w:p w14:paraId="33780AA0">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000000"/>
                <w:kern w:val="0"/>
                <w:sz w:val="24"/>
                <w:szCs w:val="24"/>
                <w:highlight w:val="none"/>
                <w:lang w:val="en-US" w:eastAsia="zh-CN"/>
              </w:rPr>
            </w:pPr>
            <w:r>
              <w:rPr>
                <w:rFonts w:hint="eastAsia" w:cs="宋体"/>
                <w:color w:val="000000" w:themeColor="text1"/>
                <w:kern w:val="0"/>
                <w:sz w:val="21"/>
                <w:szCs w:val="21"/>
                <w:highlight w:val="none"/>
                <w:shd w:val="clear" w:color="auto" w:fill="auto"/>
                <w:lang w:val="en-US" w:eastAsia="zh-CN"/>
                <w14:textFill>
                  <w14:solidFill>
                    <w14:schemeClr w14:val="tx1"/>
                  </w14:solidFill>
                </w14:textFill>
              </w:rPr>
              <w:t>5</w:t>
            </w:r>
          </w:p>
        </w:tc>
      </w:tr>
      <w:tr w14:paraId="2E3BF45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861" w:type="dxa"/>
            <w:vMerge w:val="continue"/>
            <w:shd w:val="clear" w:color="auto" w:fill="auto"/>
            <w:vAlign w:val="center"/>
          </w:tcPr>
          <w:p w14:paraId="2654A661">
            <w:pPr>
              <w:pageBreakBefore w:val="0"/>
              <w:widowControl/>
              <w:kinsoku/>
              <w:wordWrap/>
              <w:overflowPunct/>
              <w:topLinePunct w:val="0"/>
              <w:autoSpaceDE/>
              <w:autoSpaceDN/>
              <w:bidi w:val="0"/>
              <w:adjustRightInd/>
              <w:spacing w:line="240" w:lineRule="exact"/>
              <w:ind w:firstLine="0" w:firstLineChars="0"/>
              <w:jc w:val="center"/>
              <w:textAlignment w:val="auto"/>
              <w:rPr>
                <w:rFonts w:ascii="宋体" w:hAnsi="宋体" w:eastAsia="宋体" w:cs="宋体"/>
                <w:color w:val="000000"/>
                <w:kern w:val="0"/>
                <w:sz w:val="24"/>
                <w:szCs w:val="24"/>
                <w:highlight w:val="none"/>
              </w:rPr>
            </w:pPr>
          </w:p>
        </w:tc>
        <w:tc>
          <w:tcPr>
            <w:tcW w:w="727" w:type="dxa"/>
            <w:shd w:val="clear" w:color="auto" w:fill="auto"/>
            <w:vAlign w:val="center"/>
          </w:tcPr>
          <w:p w14:paraId="6E26AE9E">
            <w:pPr>
              <w:pageBreakBefore w:val="0"/>
              <w:widowControl/>
              <w:kinsoku/>
              <w:wordWrap/>
              <w:overflowPunct/>
              <w:topLinePunct w:val="0"/>
              <w:autoSpaceDE/>
              <w:autoSpaceDN/>
              <w:bidi w:val="0"/>
              <w:adjustRightInd/>
              <w:spacing w:line="240" w:lineRule="exact"/>
              <w:ind w:firstLine="0" w:firstLineChars="0"/>
              <w:jc w:val="center"/>
              <w:textAlignment w:val="auto"/>
              <w:rPr>
                <w:rFonts w:hint="default" w:ascii="宋体" w:hAnsi="宋体" w:eastAsia="宋体" w:cs="宋体"/>
                <w:color w:val="000000"/>
                <w:kern w:val="0"/>
                <w:sz w:val="24"/>
                <w:szCs w:val="24"/>
                <w:highlight w:val="none"/>
                <w:lang w:val="en-US" w:eastAsia="zh-CN"/>
              </w:rPr>
            </w:pPr>
            <w:r>
              <w:rPr>
                <w:rFonts w:hint="eastAsia" w:cs="宋体"/>
                <w:color w:val="000000"/>
                <w:kern w:val="0"/>
                <w:sz w:val="24"/>
                <w:szCs w:val="24"/>
                <w:highlight w:val="none"/>
                <w:lang w:val="en-US" w:eastAsia="zh-CN"/>
              </w:rPr>
              <w:t>成本指标</w:t>
            </w:r>
          </w:p>
        </w:tc>
        <w:tc>
          <w:tcPr>
            <w:tcW w:w="820" w:type="dxa"/>
            <w:shd w:val="clear" w:color="auto" w:fill="auto"/>
            <w:vAlign w:val="center"/>
          </w:tcPr>
          <w:p w14:paraId="5F095BB9">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cs="宋体"/>
                <w:color w:val="000000" w:themeColor="text1"/>
                <w:kern w:val="0"/>
                <w:sz w:val="21"/>
                <w:szCs w:val="21"/>
                <w:highlight w:val="none"/>
                <w:shd w:val="clear" w:color="auto" w:fill="auto"/>
                <w:lang w:val="en-US" w:eastAsia="zh-CN"/>
                <w14:textFill>
                  <w14:solidFill>
                    <w14:schemeClr w14:val="tx1"/>
                  </w14:solidFill>
                </w14:textFill>
              </w:rPr>
            </w:pPr>
            <w:r>
              <w:rPr>
                <w:rFonts w:hint="eastAsia" w:cs="宋体"/>
                <w:color w:val="000000" w:themeColor="text1"/>
                <w:kern w:val="0"/>
                <w:sz w:val="21"/>
                <w:szCs w:val="21"/>
                <w:highlight w:val="none"/>
                <w:shd w:val="clear" w:color="auto" w:fill="auto"/>
                <w:lang w:val="en-US" w:eastAsia="zh-CN"/>
                <w14:textFill>
                  <w14:solidFill>
                    <w14:schemeClr w14:val="tx1"/>
                  </w14:solidFill>
                </w14:textFill>
              </w:rPr>
              <w:t>补助资金</w:t>
            </w:r>
          </w:p>
        </w:tc>
        <w:tc>
          <w:tcPr>
            <w:tcW w:w="2141" w:type="dxa"/>
            <w:shd w:val="clear" w:color="auto" w:fill="auto"/>
            <w:vAlign w:val="center"/>
          </w:tcPr>
          <w:p w14:paraId="20432CA2">
            <w:pPr>
              <w:pageBreakBefore w:val="0"/>
              <w:widowControl/>
              <w:kinsoku/>
              <w:wordWrap/>
              <w:overflowPunct/>
              <w:topLinePunct w:val="0"/>
              <w:autoSpaceDE/>
              <w:autoSpaceDN/>
              <w:bidi w:val="0"/>
              <w:adjustRightInd/>
              <w:spacing w:line="240" w:lineRule="exact"/>
              <w:ind w:firstLine="0" w:firstLineChars="0"/>
              <w:textAlignment w:val="auto"/>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完成项目计划工作目标的实际节约成本与计划成本的比率，用以反映和考核项目的成本节约程度。</w:t>
            </w:r>
          </w:p>
        </w:tc>
        <w:tc>
          <w:tcPr>
            <w:tcW w:w="7821" w:type="dxa"/>
            <w:shd w:val="clear" w:color="auto" w:fill="auto"/>
            <w:vAlign w:val="center"/>
          </w:tcPr>
          <w:p w14:paraId="7399AC76">
            <w:pPr>
              <w:pageBreakBefore w:val="0"/>
              <w:widowControl/>
              <w:kinsoku/>
              <w:wordWrap/>
              <w:overflowPunct/>
              <w:topLinePunct w:val="0"/>
              <w:autoSpaceDE/>
              <w:autoSpaceDN/>
              <w:bidi w:val="0"/>
              <w:adjustRightInd/>
              <w:spacing w:line="240" w:lineRule="exact"/>
              <w:ind w:firstLine="0" w:firstLineChars="0"/>
              <w:textAlignment w:val="auto"/>
              <w:rPr>
                <w:rFonts w:hint="eastAsia" w:ascii="宋体" w:hAnsi="宋体" w:eastAsia="宋体" w:cs="宋体"/>
                <w:color w:val="000000"/>
                <w:kern w:val="0"/>
                <w:sz w:val="24"/>
                <w:szCs w:val="24"/>
                <w:highlight w:val="none"/>
                <w:lang w:eastAsia="zh-CN"/>
              </w:rPr>
            </w:pPr>
            <w:r>
              <w:rPr>
                <w:rFonts w:hint="eastAsia" w:ascii="宋体" w:hAnsi="宋体" w:eastAsia="宋体" w:cs="宋体"/>
                <w:color w:val="000000"/>
                <w:kern w:val="0"/>
                <w:sz w:val="24"/>
                <w:szCs w:val="24"/>
                <w:highlight w:val="none"/>
              </w:rPr>
              <w:t>成本节约率=[（计划成本-实际成本）/计划成本]×100%。</w:t>
            </w:r>
          </w:p>
          <w:p w14:paraId="1A5C707D">
            <w:pPr>
              <w:pageBreakBefore w:val="0"/>
              <w:widowControl/>
              <w:kinsoku/>
              <w:wordWrap/>
              <w:overflowPunct/>
              <w:topLinePunct w:val="0"/>
              <w:autoSpaceDE/>
              <w:autoSpaceDN/>
              <w:bidi w:val="0"/>
              <w:adjustRightInd/>
              <w:spacing w:line="240" w:lineRule="exact"/>
              <w:ind w:firstLine="0" w:firstLineChars="0"/>
              <w:textAlignment w:val="auto"/>
              <w:rPr>
                <w:rFonts w:hint="eastAsia" w:ascii="宋体" w:hAnsi="宋体" w:eastAsia="宋体" w:cs="宋体"/>
                <w:color w:val="000000"/>
                <w:kern w:val="0"/>
                <w:sz w:val="24"/>
                <w:szCs w:val="24"/>
                <w:highlight w:val="none"/>
                <w:lang w:eastAsia="zh-CN"/>
              </w:rPr>
            </w:pPr>
            <w:r>
              <w:rPr>
                <w:rFonts w:hint="eastAsia" w:ascii="宋体" w:hAnsi="宋体" w:eastAsia="宋体" w:cs="宋体"/>
                <w:color w:val="000000"/>
                <w:kern w:val="0"/>
                <w:sz w:val="24"/>
                <w:szCs w:val="24"/>
                <w:highlight w:val="none"/>
              </w:rPr>
              <w:t>实际成本：项目实施单位如期、保质、保量完成既定工作目标实际所耗费的支出。</w:t>
            </w:r>
          </w:p>
          <w:p w14:paraId="22D4F918">
            <w:pPr>
              <w:pageBreakBefore w:val="0"/>
              <w:widowControl/>
              <w:kinsoku/>
              <w:wordWrap/>
              <w:overflowPunct/>
              <w:topLinePunct w:val="0"/>
              <w:autoSpaceDE/>
              <w:autoSpaceDN/>
              <w:bidi w:val="0"/>
              <w:adjustRightInd/>
              <w:spacing w:line="240" w:lineRule="exact"/>
              <w:ind w:firstLine="0" w:firstLineChars="0"/>
              <w:textAlignment w:val="auto"/>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计划成本：项目实施单位为完成工作目标计划安排的支出，一般以项目预算为参考。</w:t>
            </w:r>
          </w:p>
        </w:tc>
        <w:tc>
          <w:tcPr>
            <w:tcW w:w="785" w:type="dxa"/>
            <w:shd w:val="clear" w:color="auto" w:fill="auto"/>
            <w:vAlign w:val="center"/>
          </w:tcPr>
          <w:p w14:paraId="0306210A">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cs="宋体"/>
                <w:color w:val="000000" w:themeColor="text1"/>
                <w:kern w:val="0"/>
                <w:sz w:val="21"/>
                <w:szCs w:val="21"/>
                <w:highlight w:val="none"/>
                <w:shd w:val="clear" w:color="auto" w:fill="auto"/>
                <w:lang w:val="en-US" w:eastAsia="zh-CN"/>
                <w14:textFill>
                  <w14:solidFill>
                    <w14:schemeClr w14:val="tx1"/>
                  </w14:solidFill>
                </w14:textFill>
              </w:rPr>
            </w:pPr>
            <w:r>
              <w:rPr>
                <w:rFonts w:hint="eastAsia" w:cs="宋体"/>
                <w:color w:val="000000" w:themeColor="text1"/>
                <w:kern w:val="0"/>
                <w:sz w:val="21"/>
                <w:szCs w:val="21"/>
                <w:highlight w:val="none"/>
                <w:shd w:val="clear" w:color="auto" w:fill="auto"/>
                <w:lang w:val="en-US" w:eastAsia="zh-CN"/>
                <w14:textFill>
                  <w14:solidFill>
                    <w14:schemeClr w14:val="tx1"/>
                  </w14:solidFill>
                </w14:textFill>
              </w:rPr>
              <w:t>5</w:t>
            </w:r>
          </w:p>
        </w:tc>
        <w:tc>
          <w:tcPr>
            <w:tcW w:w="769" w:type="dxa"/>
            <w:shd w:val="clear" w:color="auto" w:fill="auto"/>
            <w:vAlign w:val="center"/>
          </w:tcPr>
          <w:p w14:paraId="67A61D03">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cs="宋体"/>
                <w:color w:val="000000" w:themeColor="text1"/>
                <w:kern w:val="0"/>
                <w:sz w:val="21"/>
                <w:szCs w:val="21"/>
                <w:highlight w:val="none"/>
                <w:shd w:val="clear" w:color="auto" w:fill="auto"/>
                <w:lang w:val="en-US" w:eastAsia="zh-CN"/>
                <w14:textFill>
                  <w14:solidFill>
                    <w14:schemeClr w14:val="tx1"/>
                  </w14:solidFill>
                </w14:textFill>
              </w:rPr>
            </w:pPr>
            <w:r>
              <w:rPr>
                <w:rFonts w:hint="eastAsia" w:cs="宋体"/>
                <w:color w:val="000000" w:themeColor="text1"/>
                <w:kern w:val="0"/>
                <w:sz w:val="21"/>
                <w:szCs w:val="21"/>
                <w:highlight w:val="none"/>
                <w:shd w:val="clear" w:color="auto" w:fill="auto"/>
                <w:lang w:val="en-US" w:eastAsia="zh-CN"/>
                <w14:textFill>
                  <w14:solidFill>
                    <w14:schemeClr w14:val="tx1"/>
                  </w14:solidFill>
                </w14:textFill>
              </w:rPr>
              <w:t>5</w:t>
            </w:r>
          </w:p>
        </w:tc>
      </w:tr>
      <w:tr w14:paraId="0E07ABB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861" w:type="dxa"/>
            <w:vMerge w:val="continue"/>
            <w:shd w:val="clear" w:color="auto" w:fill="auto"/>
            <w:vAlign w:val="center"/>
          </w:tcPr>
          <w:p w14:paraId="6CE0CA83">
            <w:pPr>
              <w:pageBreakBefore w:val="0"/>
              <w:widowControl/>
              <w:kinsoku/>
              <w:wordWrap/>
              <w:overflowPunct/>
              <w:topLinePunct w:val="0"/>
              <w:autoSpaceDE/>
              <w:autoSpaceDN/>
              <w:bidi w:val="0"/>
              <w:adjustRightInd/>
              <w:spacing w:line="240" w:lineRule="exact"/>
              <w:ind w:firstLine="0" w:firstLineChars="0"/>
              <w:jc w:val="center"/>
              <w:textAlignment w:val="auto"/>
              <w:rPr>
                <w:rFonts w:ascii="宋体" w:hAnsi="宋体" w:eastAsia="宋体" w:cs="宋体"/>
                <w:color w:val="000000"/>
                <w:kern w:val="0"/>
                <w:sz w:val="24"/>
                <w:szCs w:val="24"/>
                <w:highlight w:val="none"/>
              </w:rPr>
            </w:pPr>
          </w:p>
        </w:tc>
        <w:tc>
          <w:tcPr>
            <w:tcW w:w="727" w:type="dxa"/>
            <w:shd w:val="clear" w:color="auto" w:fill="auto"/>
            <w:vAlign w:val="center"/>
          </w:tcPr>
          <w:p w14:paraId="667F7322">
            <w:pPr>
              <w:pageBreakBefore w:val="0"/>
              <w:widowControl/>
              <w:kinsoku/>
              <w:wordWrap/>
              <w:overflowPunct/>
              <w:topLinePunct w:val="0"/>
              <w:autoSpaceDE/>
              <w:autoSpaceDN/>
              <w:bidi w:val="0"/>
              <w:adjustRightInd/>
              <w:spacing w:line="240" w:lineRule="exact"/>
              <w:ind w:firstLine="0" w:firstLineChars="0"/>
              <w:jc w:val="center"/>
              <w:textAlignment w:val="auto"/>
              <w:rPr>
                <w:rFonts w:hint="default" w:ascii="宋体" w:hAnsi="宋体" w:eastAsia="宋体" w:cs="宋体"/>
                <w:color w:val="000000"/>
                <w:kern w:val="0"/>
                <w:sz w:val="24"/>
                <w:szCs w:val="24"/>
                <w:highlight w:val="none"/>
                <w:lang w:val="en-US" w:eastAsia="zh-CN"/>
              </w:rPr>
            </w:pPr>
            <w:r>
              <w:rPr>
                <w:rFonts w:hint="eastAsia" w:cs="宋体"/>
                <w:color w:val="000000"/>
                <w:kern w:val="0"/>
                <w:sz w:val="24"/>
                <w:szCs w:val="24"/>
                <w:highlight w:val="none"/>
                <w:lang w:val="en-US" w:eastAsia="zh-CN"/>
              </w:rPr>
              <w:t>成本指标</w:t>
            </w:r>
          </w:p>
        </w:tc>
        <w:tc>
          <w:tcPr>
            <w:tcW w:w="820" w:type="dxa"/>
            <w:shd w:val="clear" w:color="auto" w:fill="auto"/>
            <w:vAlign w:val="center"/>
          </w:tcPr>
          <w:p w14:paraId="51106DAA">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000000"/>
                <w:kern w:val="0"/>
                <w:sz w:val="24"/>
                <w:szCs w:val="24"/>
                <w:highlight w:val="none"/>
                <w:lang w:val="en-US"/>
              </w:rPr>
            </w:pPr>
            <w:r>
              <w:rPr>
                <w:rFonts w:hint="eastAsia" w:cs="宋体"/>
                <w:color w:val="000000" w:themeColor="text1"/>
                <w:kern w:val="0"/>
                <w:sz w:val="21"/>
                <w:szCs w:val="21"/>
                <w:highlight w:val="none"/>
                <w:shd w:val="clear" w:color="auto" w:fill="auto"/>
                <w:lang w:val="en-US" w:eastAsia="zh-CN"/>
                <w14:textFill>
                  <w14:solidFill>
                    <w14:schemeClr w14:val="tx1"/>
                  </w14:solidFill>
                </w14:textFill>
              </w:rPr>
              <w:t>其他经费支出</w:t>
            </w:r>
          </w:p>
        </w:tc>
        <w:tc>
          <w:tcPr>
            <w:tcW w:w="2141" w:type="dxa"/>
            <w:shd w:val="clear" w:color="auto" w:fill="auto"/>
            <w:vAlign w:val="center"/>
          </w:tcPr>
          <w:p w14:paraId="554ECDAA">
            <w:pPr>
              <w:pageBreakBefore w:val="0"/>
              <w:widowControl/>
              <w:kinsoku/>
              <w:wordWrap/>
              <w:overflowPunct/>
              <w:topLinePunct w:val="0"/>
              <w:autoSpaceDE/>
              <w:autoSpaceDN/>
              <w:bidi w:val="0"/>
              <w:adjustRightInd/>
              <w:spacing w:line="240" w:lineRule="exact"/>
              <w:ind w:firstLine="0" w:firstLineChars="0"/>
              <w:textAlignment w:val="auto"/>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完成项目计划工作目标的实际节约成本与计划成本的比率，用以反映和考核项目的成本节约程度。</w:t>
            </w:r>
          </w:p>
        </w:tc>
        <w:tc>
          <w:tcPr>
            <w:tcW w:w="7821" w:type="dxa"/>
            <w:shd w:val="clear" w:color="auto" w:fill="auto"/>
            <w:vAlign w:val="center"/>
          </w:tcPr>
          <w:p w14:paraId="79E6B767">
            <w:pPr>
              <w:pageBreakBefore w:val="0"/>
              <w:widowControl/>
              <w:kinsoku/>
              <w:wordWrap/>
              <w:overflowPunct/>
              <w:topLinePunct w:val="0"/>
              <w:autoSpaceDE/>
              <w:autoSpaceDN/>
              <w:bidi w:val="0"/>
              <w:adjustRightInd/>
              <w:spacing w:line="240" w:lineRule="exact"/>
              <w:ind w:firstLine="0" w:firstLineChars="0"/>
              <w:textAlignment w:val="auto"/>
              <w:rPr>
                <w:rFonts w:hint="eastAsia" w:ascii="宋体" w:hAnsi="宋体" w:eastAsia="宋体" w:cs="宋体"/>
                <w:color w:val="000000"/>
                <w:kern w:val="0"/>
                <w:sz w:val="24"/>
                <w:szCs w:val="24"/>
                <w:highlight w:val="none"/>
                <w:lang w:eastAsia="zh-CN"/>
              </w:rPr>
            </w:pPr>
          </w:p>
          <w:p w14:paraId="6E2C12C6">
            <w:pPr>
              <w:pageBreakBefore w:val="0"/>
              <w:widowControl/>
              <w:kinsoku/>
              <w:wordWrap/>
              <w:overflowPunct/>
              <w:topLinePunct w:val="0"/>
              <w:autoSpaceDE/>
              <w:autoSpaceDN/>
              <w:bidi w:val="0"/>
              <w:adjustRightInd/>
              <w:spacing w:line="240" w:lineRule="exact"/>
              <w:ind w:firstLine="0" w:firstLineChars="0"/>
              <w:textAlignment w:val="auto"/>
              <w:rPr>
                <w:rFonts w:hint="eastAsia" w:ascii="宋体" w:hAnsi="宋体" w:eastAsia="宋体" w:cs="宋体"/>
                <w:color w:val="000000"/>
                <w:kern w:val="0"/>
                <w:sz w:val="24"/>
                <w:szCs w:val="24"/>
                <w:highlight w:val="none"/>
                <w:lang w:eastAsia="zh-CN"/>
              </w:rPr>
            </w:pPr>
            <w:r>
              <w:rPr>
                <w:rFonts w:hint="eastAsia" w:ascii="宋体" w:hAnsi="宋体" w:eastAsia="宋体" w:cs="宋体"/>
                <w:color w:val="000000"/>
                <w:kern w:val="0"/>
                <w:sz w:val="24"/>
                <w:szCs w:val="24"/>
                <w:highlight w:val="none"/>
              </w:rPr>
              <w:t>成本节约率=[（计划成本-实际成本）/计划成本]×100%。</w:t>
            </w:r>
          </w:p>
          <w:p w14:paraId="7F923B91">
            <w:pPr>
              <w:pageBreakBefore w:val="0"/>
              <w:widowControl/>
              <w:kinsoku/>
              <w:wordWrap/>
              <w:overflowPunct/>
              <w:topLinePunct w:val="0"/>
              <w:autoSpaceDE/>
              <w:autoSpaceDN/>
              <w:bidi w:val="0"/>
              <w:adjustRightInd/>
              <w:spacing w:line="240" w:lineRule="exact"/>
              <w:ind w:firstLine="0" w:firstLineChars="0"/>
              <w:textAlignment w:val="auto"/>
              <w:rPr>
                <w:rFonts w:hint="eastAsia" w:ascii="宋体" w:hAnsi="宋体" w:eastAsia="宋体" w:cs="宋体"/>
                <w:color w:val="000000"/>
                <w:kern w:val="0"/>
                <w:sz w:val="24"/>
                <w:szCs w:val="24"/>
                <w:highlight w:val="none"/>
                <w:lang w:eastAsia="zh-CN"/>
              </w:rPr>
            </w:pPr>
            <w:r>
              <w:rPr>
                <w:rFonts w:hint="eastAsia" w:ascii="宋体" w:hAnsi="宋体" w:eastAsia="宋体" w:cs="宋体"/>
                <w:color w:val="000000"/>
                <w:kern w:val="0"/>
                <w:sz w:val="24"/>
                <w:szCs w:val="24"/>
                <w:highlight w:val="none"/>
              </w:rPr>
              <w:t>实际成本：项目实施单位如期、保质、保量完成既定工作目标实际所耗费的支出。</w:t>
            </w:r>
          </w:p>
          <w:p w14:paraId="739C4800">
            <w:pPr>
              <w:pageBreakBefore w:val="0"/>
              <w:widowControl/>
              <w:kinsoku/>
              <w:wordWrap/>
              <w:overflowPunct/>
              <w:topLinePunct w:val="0"/>
              <w:autoSpaceDE/>
              <w:autoSpaceDN/>
              <w:bidi w:val="0"/>
              <w:adjustRightInd/>
              <w:spacing w:line="240" w:lineRule="exact"/>
              <w:ind w:firstLine="0" w:firstLineChars="0"/>
              <w:textAlignment w:val="auto"/>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计划成本：项目实施单位为完成工作目标计划安排的支出，一般以项目预算为参考。</w:t>
            </w:r>
          </w:p>
        </w:tc>
        <w:tc>
          <w:tcPr>
            <w:tcW w:w="785" w:type="dxa"/>
            <w:shd w:val="clear" w:color="auto" w:fill="auto"/>
            <w:vAlign w:val="center"/>
          </w:tcPr>
          <w:p w14:paraId="2EDC6F17">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cs="宋体"/>
                <w:color w:val="000000"/>
                <w:kern w:val="0"/>
                <w:sz w:val="24"/>
                <w:szCs w:val="24"/>
                <w:highlight w:val="none"/>
                <w:lang w:val="en-US" w:eastAsia="zh-CN"/>
              </w:rPr>
            </w:pPr>
            <w:r>
              <w:rPr>
                <w:rFonts w:hint="eastAsia" w:cs="宋体"/>
                <w:color w:val="000000" w:themeColor="text1"/>
                <w:kern w:val="0"/>
                <w:sz w:val="21"/>
                <w:szCs w:val="21"/>
                <w:highlight w:val="none"/>
                <w:shd w:val="clear" w:color="auto" w:fill="auto"/>
                <w:lang w:val="en-US" w:eastAsia="zh-CN"/>
                <w14:textFill>
                  <w14:solidFill>
                    <w14:schemeClr w14:val="tx1"/>
                  </w14:solidFill>
                </w14:textFill>
              </w:rPr>
              <w:t>2</w:t>
            </w:r>
          </w:p>
        </w:tc>
        <w:tc>
          <w:tcPr>
            <w:tcW w:w="769" w:type="dxa"/>
            <w:shd w:val="clear" w:color="auto" w:fill="auto"/>
            <w:vAlign w:val="center"/>
          </w:tcPr>
          <w:p w14:paraId="02D16641">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cs="宋体"/>
                <w:color w:val="000000"/>
                <w:kern w:val="0"/>
                <w:sz w:val="24"/>
                <w:szCs w:val="24"/>
                <w:highlight w:val="none"/>
                <w:lang w:val="en-US" w:eastAsia="zh-CN"/>
              </w:rPr>
            </w:pPr>
            <w:r>
              <w:rPr>
                <w:rFonts w:hint="eastAsia" w:cs="宋体"/>
                <w:color w:val="000000" w:themeColor="text1"/>
                <w:kern w:val="0"/>
                <w:sz w:val="21"/>
                <w:szCs w:val="21"/>
                <w:highlight w:val="none"/>
                <w:shd w:val="clear" w:color="auto" w:fill="auto"/>
                <w:lang w:val="en-US" w:eastAsia="zh-CN"/>
                <w14:textFill>
                  <w14:solidFill>
                    <w14:schemeClr w14:val="tx1"/>
                  </w14:solidFill>
                </w14:textFill>
              </w:rPr>
              <w:t>2</w:t>
            </w:r>
          </w:p>
        </w:tc>
      </w:tr>
      <w:tr w14:paraId="499BB11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1403" w:hRule="atLeast"/>
          <w:jc w:val="center"/>
        </w:trPr>
        <w:tc>
          <w:tcPr>
            <w:tcW w:w="861" w:type="dxa"/>
            <w:vMerge w:val="restart"/>
            <w:shd w:val="clear" w:color="auto" w:fill="auto"/>
            <w:vAlign w:val="center"/>
          </w:tcPr>
          <w:p w14:paraId="42604777">
            <w:pPr>
              <w:pageBreakBefore w:val="0"/>
              <w:widowControl/>
              <w:kinsoku/>
              <w:wordWrap/>
              <w:overflowPunct/>
              <w:topLinePunct w:val="0"/>
              <w:autoSpaceDE/>
              <w:autoSpaceDN/>
              <w:bidi w:val="0"/>
              <w:adjustRightInd/>
              <w:spacing w:line="240" w:lineRule="exact"/>
              <w:ind w:firstLine="0" w:firstLineChars="0"/>
              <w:jc w:val="center"/>
              <w:textAlignment w:val="auto"/>
              <w:rPr>
                <w:rFonts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效益　</w:t>
            </w:r>
          </w:p>
        </w:tc>
        <w:tc>
          <w:tcPr>
            <w:tcW w:w="727" w:type="dxa"/>
            <w:vMerge w:val="restart"/>
            <w:shd w:val="clear" w:color="auto" w:fill="auto"/>
            <w:vAlign w:val="center"/>
          </w:tcPr>
          <w:p w14:paraId="4E9DE557">
            <w:pPr>
              <w:pageBreakBefore w:val="0"/>
              <w:widowControl/>
              <w:kinsoku/>
              <w:wordWrap/>
              <w:overflowPunct/>
              <w:topLinePunct w:val="0"/>
              <w:autoSpaceDE/>
              <w:autoSpaceDN/>
              <w:bidi w:val="0"/>
              <w:adjustRightInd/>
              <w:spacing w:line="240" w:lineRule="exact"/>
              <w:ind w:firstLine="0" w:firstLineChars="0"/>
              <w:jc w:val="center"/>
              <w:textAlignment w:val="auto"/>
              <w:rPr>
                <w:rFonts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项目效益　</w:t>
            </w:r>
          </w:p>
        </w:tc>
        <w:tc>
          <w:tcPr>
            <w:tcW w:w="820" w:type="dxa"/>
            <w:shd w:val="clear" w:color="auto" w:fill="auto"/>
            <w:vAlign w:val="center"/>
          </w:tcPr>
          <w:p w14:paraId="7EE43340">
            <w:pPr>
              <w:pageBreakBefore w:val="0"/>
              <w:widowControl/>
              <w:kinsoku/>
              <w:wordWrap/>
              <w:overflowPunct/>
              <w:topLinePunct w:val="0"/>
              <w:autoSpaceDE/>
              <w:autoSpaceDN/>
              <w:bidi w:val="0"/>
              <w:adjustRightInd/>
              <w:spacing w:line="240" w:lineRule="exact"/>
              <w:ind w:firstLine="0" w:firstLineChars="0"/>
              <w:jc w:val="center"/>
              <w:textAlignment w:val="auto"/>
              <w:rPr>
                <w:rFonts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基本公共卫生服务水平</w:t>
            </w:r>
          </w:p>
        </w:tc>
        <w:tc>
          <w:tcPr>
            <w:tcW w:w="2141" w:type="dxa"/>
            <w:shd w:val="clear" w:color="auto" w:fill="auto"/>
            <w:vAlign w:val="center"/>
          </w:tcPr>
          <w:p w14:paraId="65A9D506">
            <w:pPr>
              <w:pageBreakBefore w:val="0"/>
              <w:widowControl/>
              <w:kinsoku/>
              <w:wordWrap/>
              <w:overflowPunct/>
              <w:topLinePunct w:val="0"/>
              <w:autoSpaceDE/>
              <w:autoSpaceDN/>
              <w:bidi w:val="0"/>
              <w:adjustRightInd/>
              <w:spacing w:line="240" w:lineRule="exact"/>
              <w:ind w:firstLine="0" w:firstLineChars="0"/>
              <w:jc w:val="left"/>
              <w:textAlignment w:val="auto"/>
              <w:rPr>
                <w:rFonts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项目实施所产生的效益。</w:t>
            </w:r>
          </w:p>
        </w:tc>
        <w:tc>
          <w:tcPr>
            <w:tcW w:w="7821" w:type="dxa"/>
            <w:shd w:val="clear" w:color="auto" w:fill="auto"/>
            <w:vAlign w:val="center"/>
          </w:tcPr>
          <w:p w14:paraId="142C3F7F">
            <w:pPr>
              <w:pageBreakBefore w:val="0"/>
              <w:widowControl/>
              <w:kinsoku/>
              <w:wordWrap/>
              <w:overflowPunct/>
              <w:topLinePunct w:val="0"/>
              <w:autoSpaceDE/>
              <w:autoSpaceDN/>
              <w:bidi w:val="0"/>
              <w:adjustRightInd/>
              <w:spacing w:line="240" w:lineRule="exact"/>
              <w:ind w:firstLine="0" w:firstLineChars="0"/>
              <w:textAlignment w:val="auto"/>
              <w:rPr>
                <w:rFonts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项目实施所产生的社会效益、经济效益、生态效益、可持续影响等。可根据项目实际情况有选择地设置和细化。</w:t>
            </w:r>
          </w:p>
        </w:tc>
        <w:tc>
          <w:tcPr>
            <w:tcW w:w="785" w:type="dxa"/>
            <w:shd w:val="clear" w:color="auto" w:fill="auto"/>
            <w:vAlign w:val="center"/>
          </w:tcPr>
          <w:p w14:paraId="2E92C4C7">
            <w:pPr>
              <w:pageBreakBefore w:val="0"/>
              <w:widowControl/>
              <w:kinsoku/>
              <w:wordWrap/>
              <w:overflowPunct/>
              <w:topLinePunct w:val="0"/>
              <w:autoSpaceDE/>
              <w:autoSpaceDN/>
              <w:bidi w:val="0"/>
              <w:adjustRightInd/>
              <w:spacing w:line="240" w:lineRule="exact"/>
              <w:ind w:firstLine="0" w:firstLineChars="0"/>
              <w:textAlignment w:val="auto"/>
              <w:rPr>
                <w:rFonts w:hint="eastAsia" w:ascii="宋体" w:hAnsi="宋体" w:eastAsia="宋体" w:cs="宋体"/>
                <w:color w:val="000000"/>
                <w:kern w:val="0"/>
                <w:sz w:val="24"/>
                <w:szCs w:val="24"/>
                <w:highlight w:val="none"/>
                <w:lang w:val="en-US" w:eastAsia="zh-CN"/>
              </w:rPr>
            </w:pPr>
            <w:r>
              <w:rPr>
                <w:rFonts w:hint="eastAsia" w:cs="宋体"/>
                <w:color w:val="000000"/>
                <w:kern w:val="0"/>
                <w:sz w:val="24"/>
                <w:szCs w:val="24"/>
                <w:highlight w:val="none"/>
                <w:lang w:val="en-US" w:eastAsia="zh-CN"/>
              </w:rPr>
              <w:t>5</w:t>
            </w:r>
          </w:p>
        </w:tc>
        <w:tc>
          <w:tcPr>
            <w:tcW w:w="769" w:type="dxa"/>
            <w:shd w:val="clear" w:color="auto" w:fill="auto"/>
            <w:vAlign w:val="center"/>
          </w:tcPr>
          <w:p w14:paraId="43A8F58E">
            <w:pPr>
              <w:pageBreakBefore w:val="0"/>
              <w:widowControl/>
              <w:kinsoku/>
              <w:wordWrap/>
              <w:overflowPunct/>
              <w:topLinePunct w:val="0"/>
              <w:autoSpaceDE/>
              <w:autoSpaceDN/>
              <w:bidi w:val="0"/>
              <w:adjustRightInd/>
              <w:spacing w:line="240" w:lineRule="exact"/>
              <w:ind w:firstLine="0" w:firstLineChars="0"/>
              <w:textAlignment w:val="auto"/>
              <w:rPr>
                <w:rFonts w:hint="eastAsia" w:ascii="宋体" w:hAnsi="宋体" w:eastAsia="宋体" w:cs="宋体"/>
                <w:color w:val="000000"/>
                <w:kern w:val="0"/>
                <w:sz w:val="24"/>
                <w:szCs w:val="24"/>
                <w:highlight w:val="none"/>
                <w:lang w:val="en-US" w:eastAsia="zh-CN"/>
              </w:rPr>
            </w:pPr>
            <w:r>
              <w:rPr>
                <w:rFonts w:hint="eastAsia" w:cs="宋体"/>
                <w:color w:val="000000"/>
                <w:kern w:val="0"/>
                <w:sz w:val="24"/>
                <w:szCs w:val="24"/>
                <w:highlight w:val="none"/>
                <w:lang w:val="en-US" w:eastAsia="zh-CN"/>
              </w:rPr>
              <w:t>5</w:t>
            </w:r>
          </w:p>
        </w:tc>
      </w:tr>
      <w:tr w14:paraId="6607064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03" w:hRule="atLeast"/>
          <w:jc w:val="center"/>
        </w:trPr>
        <w:tc>
          <w:tcPr>
            <w:tcW w:w="861" w:type="dxa"/>
            <w:vMerge w:val="continue"/>
            <w:shd w:val="clear" w:color="auto" w:fill="auto"/>
            <w:vAlign w:val="center"/>
          </w:tcPr>
          <w:p w14:paraId="65D12723">
            <w:pPr>
              <w:pageBreakBefore w:val="0"/>
              <w:widowControl/>
              <w:kinsoku/>
              <w:wordWrap/>
              <w:overflowPunct/>
              <w:topLinePunct w:val="0"/>
              <w:autoSpaceDE/>
              <w:autoSpaceDN/>
              <w:bidi w:val="0"/>
              <w:adjustRightInd/>
              <w:spacing w:line="240" w:lineRule="exact"/>
              <w:ind w:firstLine="0" w:firstLineChars="0"/>
              <w:jc w:val="center"/>
              <w:textAlignment w:val="auto"/>
              <w:rPr>
                <w:rFonts w:hint="eastAsia" w:ascii="宋体" w:hAnsi="宋体" w:eastAsia="宋体" w:cs="宋体"/>
                <w:color w:val="000000"/>
                <w:kern w:val="0"/>
                <w:sz w:val="24"/>
                <w:szCs w:val="24"/>
                <w:highlight w:val="none"/>
              </w:rPr>
            </w:pPr>
          </w:p>
        </w:tc>
        <w:tc>
          <w:tcPr>
            <w:tcW w:w="727" w:type="dxa"/>
            <w:vMerge w:val="continue"/>
            <w:shd w:val="clear" w:color="auto" w:fill="auto"/>
            <w:vAlign w:val="center"/>
          </w:tcPr>
          <w:p w14:paraId="69CA8CA4">
            <w:pPr>
              <w:pageBreakBefore w:val="0"/>
              <w:widowControl/>
              <w:kinsoku/>
              <w:wordWrap/>
              <w:overflowPunct/>
              <w:topLinePunct w:val="0"/>
              <w:autoSpaceDE/>
              <w:autoSpaceDN/>
              <w:bidi w:val="0"/>
              <w:adjustRightInd/>
              <w:spacing w:line="240" w:lineRule="exact"/>
              <w:ind w:firstLine="0" w:firstLineChars="0"/>
              <w:jc w:val="center"/>
              <w:textAlignment w:val="auto"/>
              <w:rPr>
                <w:rFonts w:hint="eastAsia" w:ascii="宋体" w:hAnsi="宋体" w:eastAsia="宋体" w:cs="宋体"/>
                <w:color w:val="000000"/>
                <w:kern w:val="0"/>
                <w:sz w:val="24"/>
                <w:szCs w:val="24"/>
                <w:highlight w:val="none"/>
              </w:rPr>
            </w:pPr>
          </w:p>
        </w:tc>
        <w:tc>
          <w:tcPr>
            <w:tcW w:w="820" w:type="dxa"/>
            <w:shd w:val="clear" w:color="auto" w:fill="auto"/>
            <w:vAlign w:val="center"/>
          </w:tcPr>
          <w:p w14:paraId="7758D171">
            <w:pPr>
              <w:pageBreakBefore w:val="0"/>
              <w:widowControl/>
              <w:kinsoku/>
              <w:wordWrap/>
              <w:overflowPunct/>
              <w:topLinePunct w:val="0"/>
              <w:autoSpaceDE/>
              <w:autoSpaceDN/>
              <w:bidi w:val="0"/>
              <w:adjustRightInd/>
              <w:spacing w:line="240" w:lineRule="exact"/>
              <w:ind w:firstLine="0" w:firstLineChars="0"/>
              <w:jc w:val="center"/>
              <w:textAlignment w:val="auto"/>
              <w:rPr>
                <w:rFonts w:hint="eastAsia" w:ascii="宋体" w:hAnsi="宋体" w:eastAsia="宋体" w:cs="宋体"/>
                <w:color w:val="000000"/>
                <w:kern w:val="0"/>
                <w:sz w:val="24"/>
                <w:szCs w:val="24"/>
                <w:highlight w:val="none"/>
              </w:rPr>
            </w:pPr>
            <w:r>
              <w:rPr>
                <w:rFonts w:hint="eastAsia" w:ascii="宋体" w:hAnsi="宋体" w:eastAsia="宋体" w:cs="宋体"/>
                <w:color w:val="auto"/>
                <w:kern w:val="0"/>
                <w:sz w:val="21"/>
                <w:szCs w:val="21"/>
                <w:highlight w:val="none"/>
                <w:shd w:val="clear" w:color="auto" w:fill="auto"/>
                <w:lang w:val="en-US" w:eastAsia="zh-CN"/>
              </w:rPr>
              <w:t>老年人健康服务水平</w:t>
            </w:r>
          </w:p>
        </w:tc>
        <w:tc>
          <w:tcPr>
            <w:tcW w:w="2141" w:type="dxa"/>
            <w:shd w:val="clear" w:color="auto" w:fill="auto"/>
            <w:vAlign w:val="center"/>
          </w:tcPr>
          <w:p w14:paraId="48263DBB">
            <w:pPr>
              <w:pageBreakBefore w:val="0"/>
              <w:widowControl/>
              <w:kinsoku/>
              <w:wordWrap/>
              <w:overflowPunct/>
              <w:topLinePunct w:val="0"/>
              <w:autoSpaceDE/>
              <w:autoSpaceDN/>
              <w:bidi w:val="0"/>
              <w:adjustRightInd/>
              <w:spacing w:line="240" w:lineRule="exact"/>
              <w:ind w:firstLine="0" w:firstLineChars="0"/>
              <w:jc w:val="left"/>
              <w:textAlignment w:val="auto"/>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项目实施所产生的效益。</w:t>
            </w:r>
          </w:p>
        </w:tc>
        <w:tc>
          <w:tcPr>
            <w:tcW w:w="7821" w:type="dxa"/>
            <w:shd w:val="clear" w:color="auto" w:fill="auto"/>
            <w:vAlign w:val="center"/>
          </w:tcPr>
          <w:p w14:paraId="01E56784">
            <w:pPr>
              <w:pageBreakBefore w:val="0"/>
              <w:widowControl/>
              <w:kinsoku/>
              <w:wordWrap/>
              <w:overflowPunct/>
              <w:topLinePunct w:val="0"/>
              <w:autoSpaceDE/>
              <w:autoSpaceDN/>
              <w:bidi w:val="0"/>
              <w:adjustRightInd/>
              <w:spacing w:line="240" w:lineRule="exact"/>
              <w:ind w:firstLine="0" w:firstLineChars="0"/>
              <w:textAlignment w:val="auto"/>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项目实施所产生的社会效益、经济效益、生态效益、可持续影响等。可根据项目实际情况有选择地设置和细化。</w:t>
            </w:r>
          </w:p>
        </w:tc>
        <w:tc>
          <w:tcPr>
            <w:tcW w:w="785" w:type="dxa"/>
            <w:shd w:val="clear" w:color="auto" w:fill="auto"/>
            <w:vAlign w:val="center"/>
          </w:tcPr>
          <w:p w14:paraId="7317FD6D">
            <w:pPr>
              <w:pageBreakBefore w:val="0"/>
              <w:widowControl/>
              <w:kinsoku/>
              <w:wordWrap/>
              <w:overflowPunct/>
              <w:topLinePunct w:val="0"/>
              <w:autoSpaceDE/>
              <w:autoSpaceDN/>
              <w:bidi w:val="0"/>
              <w:adjustRightInd/>
              <w:spacing w:line="240" w:lineRule="exact"/>
              <w:ind w:firstLine="0" w:firstLineChars="0"/>
              <w:textAlignment w:val="auto"/>
              <w:rPr>
                <w:rFonts w:hint="default" w:cs="宋体"/>
                <w:color w:val="000000"/>
                <w:kern w:val="0"/>
                <w:sz w:val="24"/>
                <w:szCs w:val="24"/>
                <w:highlight w:val="none"/>
                <w:lang w:val="en-US" w:eastAsia="zh-CN"/>
              </w:rPr>
            </w:pPr>
            <w:r>
              <w:rPr>
                <w:rFonts w:hint="eastAsia" w:cs="宋体"/>
                <w:color w:val="000000"/>
                <w:kern w:val="0"/>
                <w:sz w:val="24"/>
                <w:szCs w:val="24"/>
                <w:highlight w:val="none"/>
                <w:lang w:val="en-US" w:eastAsia="zh-CN"/>
              </w:rPr>
              <w:t>5</w:t>
            </w:r>
          </w:p>
        </w:tc>
        <w:tc>
          <w:tcPr>
            <w:tcW w:w="769" w:type="dxa"/>
            <w:shd w:val="clear" w:color="auto" w:fill="auto"/>
            <w:vAlign w:val="center"/>
          </w:tcPr>
          <w:p w14:paraId="45AA4269">
            <w:pPr>
              <w:pageBreakBefore w:val="0"/>
              <w:widowControl/>
              <w:kinsoku/>
              <w:wordWrap/>
              <w:overflowPunct/>
              <w:topLinePunct w:val="0"/>
              <w:autoSpaceDE/>
              <w:autoSpaceDN/>
              <w:bidi w:val="0"/>
              <w:adjustRightInd/>
              <w:spacing w:line="240" w:lineRule="exact"/>
              <w:ind w:firstLine="0" w:firstLineChars="0"/>
              <w:textAlignment w:val="auto"/>
              <w:rPr>
                <w:rFonts w:hint="default" w:cs="宋体"/>
                <w:color w:val="000000"/>
                <w:kern w:val="0"/>
                <w:sz w:val="24"/>
                <w:szCs w:val="24"/>
                <w:highlight w:val="none"/>
                <w:lang w:val="en-US" w:eastAsia="zh-CN"/>
              </w:rPr>
            </w:pPr>
            <w:r>
              <w:rPr>
                <w:rFonts w:hint="eastAsia" w:cs="宋体"/>
                <w:color w:val="000000"/>
                <w:kern w:val="0"/>
                <w:sz w:val="24"/>
                <w:szCs w:val="24"/>
                <w:highlight w:val="none"/>
                <w:lang w:val="en-US" w:eastAsia="zh-CN"/>
              </w:rPr>
              <w:t>5</w:t>
            </w:r>
          </w:p>
        </w:tc>
      </w:tr>
      <w:tr w14:paraId="064067A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37" w:hRule="atLeast"/>
          <w:jc w:val="center"/>
        </w:trPr>
        <w:tc>
          <w:tcPr>
            <w:tcW w:w="861" w:type="dxa"/>
            <w:vMerge w:val="continue"/>
            <w:shd w:val="clear" w:color="auto" w:fill="auto"/>
            <w:vAlign w:val="center"/>
          </w:tcPr>
          <w:p w14:paraId="0A313E78">
            <w:pPr>
              <w:pageBreakBefore w:val="0"/>
              <w:widowControl/>
              <w:kinsoku/>
              <w:wordWrap/>
              <w:overflowPunct/>
              <w:topLinePunct w:val="0"/>
              <w:autoSpaceDE/>
              <w:autoSpaceDN/>
              <w:bidi w:val="0"/>
              <w:adjustRightInd/>
              <w:spacing w:line="240" w:lineRule="exact"/>
              <w:ind w:firstLine="0" w:firstLineChars="0"/>
              <w:jc w:val="center"/>
              <w:textAlignment w:val="auto"/>
              <w:rPr>
                <w:rFonts w:ascii="宋体" w:hAnsi="宋体" w:eastAsia="宋体" w:cs="宋体"/>
                <w:color w:val="000000"/>
                <w:kern w:val="0"/>
                <w:sz w:val="24"/>
                <w:szCs w:val="24"/>
                <w:highlight w:val="none"/>
              </w:rPr>
            </w:pPr>
          </w:p>
        </w:tc>
        <w:tc>
          <w:tcPr>
            <w:tcW w:w="727" w:type="dxa"/>
            <w:vMerge w:val="continue"/>
            <w:shd w:val="clear" w:color="auto" w:fill="auto"/>
            <w:vAlign w:val="center"/>
          </w:tcPr>
          <w:p w14:paraId="20DC446B">
            <w:pPr>
              <w:pageBreakBefore w:val="0"/>
              <w:widowControl/>
              <w:kinsoku/>
              <w:wordWrap/>
              <w:overflowPunct/>
              <w:topLinePunct w:val="0"/>
              <w:autoSpaceDE/>
              <w:autoSpaceDN/>
              <w:bidi w:val="0"/>
              <w:adjustRightInd/>
              <w:spacing w:line="240" w:lineRule="exact"/>
              <w:ind w:firstLine="0" w:firstLineChars="0"/>
              <w:jc w:val="center"/>
              <w:textAlignment w:val="auto"/>
              <w:rPr>
                <w:rFonts w:ascii="宋体" w:hAnsi="宋体" w:eastAsia="宋体" w:cs="宋体"/>
                <w:color w:val="000000"/>
                <w:kern w:val="0"/>
                <w:sz w:val="24"/>
                <w:szCs w:val="24"/>
                <w:highlight w:val="none"/>
              </w:rPr>
            </w:pPr>
          </w:p>
        </w:tc>
        <w:tc>
          <w:tcPr>
            <w:tcW w:w="820" w:type="dxa"/>
            <w:shd w:val="clear" w:color="auto" w:fill="auto"/>
            <w:vAlign w:val="center"/>
          </w:tcPr>
          <w:p w14:paraId="0E29C476">
            <w:pPr>
              <w:pageBreakBefore w:val="0"/>
              <w:widowControl/>
              <w:kinsoku/>
              <w:wordWrap/>
              <w:overflowPunct/>
              <w:topLinePunct w:val="0"/>
              <w:autoSpaceDE/>
              <w:autoSpaceDN/>
              <w:bidi w:val="0"/>
              <w:adjustRightInd/>
              <w:spacing w:line="240" w:lineRule="exact"/>
              <w:ind w:firstLine="0" w:firstLineChars="0"/>
              <w:jc w:val="center"/>
              <w:textAlignment w:val="auto"/>
              <w:rPr>
                <w:rFonts w:hint="default" w:ascii="宋体" w:hAnsi="宋体" w:eastAsia="宋体" w:cs="宋体"/>
                <w:color w:val="000000"/>
                <w:kern w:val="0"/>
                <w:sz w:val="24"/>
                <w:szCs w:val="24"/>
                <w:highlight w:val="none"/>
                <w:lang w:val="en-US" w:eastAsia="zh-CN"/>
              </w:rPr>
            </w:pPr>
            <w:r>
              <w:rPr>
                <w:rFonts w:hint="eastAsia" w:cs="宋体"/>
                <w:color w:val="000000"/>
                <w:kern w:val="0"/>
                <w:sz w:val="24"/>
                <w:szCs w:val="24"/>
                <w:highlight w:val="none"/>
                <w:lang w:val="en-US" w:eastAsia="zh-CN"/>
              </w:rPr>
              <w:t>居民满意度</w:t>
            </w:r>
          </w:p>
        </w:tc>
        <w:tc>
          <w:tcPr>
            <w:tcW w:w="2141" w:type="dxa"/>
            <w:shd w:val="clear" w:color="auto" w:fill="auto"/>
            <w:vAlign w:val="center"/>
          </w:tcPr>
          <w:p w14:paraId="2071E9B1">
            <w:pPr>
              <w:pageBreakBefore w:val="0"/>
              <w:widowControl/>
              <w:kinsoku/>
              <w:wordWrap/>
              <w:overflowPunct/>
              <w:topLinePunct w:val="0"/>
              <w:autoSpaceDE/>
              <w:autoSpaceDN/>
              <w:bidi w:val="0"/>
              <w:adjustRightInd/>
              <w:spacing w:line="240" w:lineRule="exact"/>
              <w:ind w:firstLine="0" w:firstLineChars="0"/>
              <w:textAlignment w:val="auto"/>
              <w:rPr>
                <w:rFonts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社会公众或服务对象对项目实施效果的满意程度。</w:t>
            </w:r>
          </w:p>
        </w:tc>
        <w:tc>
          <w:tcPr>
            <w:tcW w:w="7821" w:type="dxa"/>
            <w:shd w:val="clear" w:color="auto" w:fill="auto"/>
            <w:vAlign w:val="center"/>
          </w:tcPr>
          <w:p w14:paraId="1B5D3917">
            <w:pPr>
              <w:pageBreakBefore w:val="0"/>
              <w:widowControl/>
              <w:kinsoku/>
              <w:wordWrap/>
              <w:overflowPunct/>
              <w:topLinePunct w:val="0"/>
              <w:autoSpaceDE/>
              <w:autoSpaceDN/>
              <w:bidi w:val="0"/>
              <w:adjustRightInd/>
              <w:spacing w:line="240" w:lineRule="exact"/>
              <w:ind w:firstLine="0" w:firstLineChars="0"/>
              <w:textAlignment w:val="auto"/>
              <w:rPr>
                <w:rFonts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社会公众或服务对象是指因该项目实施而受到影响的部门（单位）、群体或个人。一般采取社会调查的方式。</w:t>
            </w:r>
          </w:p>
        </w:tc>
        <w:tc>
          <w:tcPr>
            <w:tcW w:w="785" w:type="dxa"/>
            <w:shd w:val="clear" w:color="auto" w:fill="auto"/>
            <w:vAlign w:val="center"/>
          </w:tcPr>
          <w:p w14:paraId="485AF6DA">
            <w:pPr>
              <w:pageBreakBefore w:val="0"/>
              <w:widowControl/>
              <w:kinsoku/>
              <w:wordWrap/>
              <w:overflowPunct/>
              <w:topLinePunct w:val="0"/>
              <w:autoSpaceDE/>
              <w:autoSpaceDN/>
              <w:bidi w:val="0"/>
              <w:adjustRightInd/>
              <w:spacing w:line="240" w:lineRule="exact"/>
              <w:ind w:firstLine="0" w:firstLineChars="0"/>
              <w:textAlignment w:val="auto"/>
              <w:rPr>
                <w:rFonts w:hint="default" w:ascii="宋体" w:hAnsi="宋体" w:eastAsia="宋体" w:cs="宋体"/>
                <w:color w:val="000000"/>
                <w:kern w:val="0"/>
                <w:sz w:val="24"/>
                <w:szCs w:val="24"/>
                <w:highlight w:val="none"/>
                <w:lang w:val="en-US" w:eastAsia="zh-CN"/>
              </w:rPr>
            </w:pPr>
            <w:r>
              <w:rPr>
                <w:rFonts w:hint="eastAsia" w:cs="宋体"/>
                <w:color w:val="000000"/>
                <w:kern w:val="0"/>
                <w:sz w:val="24"/>
                <w:szCs w:val="24"/>
                <w:highlight w:val="none"/>
                <w:lang w:val="en-US" w:eastAsia="zh-CN"/>
              </w:rPr>
              <w:t>10</w:t>
            </w:r>
          </w:p>
        </w:tc>
        <w:tc>
          <w:tcPr>
            <w:tcW w:w="769" w:type="dxa"/>
            <w:shd w:val="clear" w:color="auto" w:fill="auto"/>
            <w:vAlign w:val="center"/>
          </w:tcPr>
          <w:p w14:paraId="5C748EC7">
            <w:pPr>
              <w:pageBreakBefore w:val="0"/>
              <w:widowControl/>
              <w:kinsoku/>
              <w:wordWrap/>
              <w:overflowPunct/>
              <w:topLinePunct w:val="0"/>
              <w:autoSpaceDE/>
              <w:autoSpaceDN/>
              <w:bidi w:val="0"/>
              <w:adjustRightInd/>
              <w:spacing w:line="240" w:lineRule="exact"/>
              <w:ind w:firstLine="0" w:firstLineChars="0"/>
              <w:textAlignment w:val="auto"/>
              <w:rPr>
                <w:rFonts w:hint="default" w:ascii="宋体" w:hAnsi="宋体" w:eastAsia="宋体" w:cs="宋体"/>
                <w:color w:val="000000"/>
                <w:kern w:val="0"/>
                <w:sz w:val="24"/>
                <w:szCs w:val="24"/>
                <w:highlight w:val="none"/>
                <w:lang w:val="en-US" w:eastAsia="zh-CN"/>
              </w:rPr>
            </w:pPr>
            <w:r>
              <w:rPr>
                <w:rFonts w:hint="eastAsia" w:cs="宋体"/>
                <w:color w:val="000000"/>
                <w:kern w:val="0"/>
                <w:sz w:val="24"/>
                <w:szCs w:val="24"/>
                <w:highlight w:val="none"/>
                <w:lang w:val="en-US" w:eastAsia="zh-CN"/>
              </w:rPr>
              <w:t>10</w:t>
            </w:r>
          </w:p>
        </w:tc>
      </w:tr>
      <w:tr w14:paraId="58E39C5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417" w:hRule="atLeast"/>
          <w:jc w:val="center"/>
        </w:trPr>
        <w:tc>
          <w:tcPr>
            <w:tcW w:w="4549" w:type="dxa"/>
            <w:gridSpan w:val="4"/>
            <w:shd w:val="clear" w:color="auto" w:fill="auto"/>
            <w:vAlign w:val="center"/>
          </w:tcPr>
          <w:p w14:paraId="3B663D75">
            <w:pPr>
              <w:pageBreakBefore w:val="0"/>
              <w:widowControl/>
              <w:kinsoku/>
              <w:wordWrap/>
              <w:overflowPunct/>
              <w:topLinePunct w:val="0"/>
              <w:autoSpaceDE/>
              <w:autoSpaceDN/>
              <w:bidi w:val="0"/>
              <w:adjustRightInd/>
              <w:spacing w:line="240" w:lineRule="exact"/>
              <w:ind w:firstLine="0" w:firstLineChars="0"/>
              <w:jc w:val="center"/>
              <w:textAlignment w:val="auto"/>
              <w:rPr>
                <w:rFonts w:hint="eastAsia" w:ascii="宋体" w:hAnsi="宋体" w:eastAsia="宋体" w:cs="宋体"/>
                <w:color w:val="000000"/>
                <w:kern w:val="0"/>
                <w:sz w:val="24"/>
                <w:szCs w:val="24"/>
                <w:highlight w:val="none"/>
                <w:lang w:val="en-US" w:eastAsia="zh-CN"/>
              </w:rPr>
            </w:pPr>
            <w:r>
              <w:rPr>
                <w:rFonts w:hint="eastAsia" w:ascii="宋体" w:hAnsi="宋体" w:eastAsia="宋体" w:cs="宋体"/>
                <w:color w:val="000000"/>
                <w:kern w:val="0"/>
                <w:sz w:val="24"/>
                <w:szCs w:val="24"/>
                <w:highlight w:val="none"/>
                <w:lang w:val="en-US" w:eastAsia="zh-CN"/>
              </w:rPr>
              <w:t>合计</w:t>
            </w:r>
          </w:p>
        </w:tc>
        <w:tc>
          <w:tcPr>
            <w:tcW w:w="7821" w:type="dxa"/>
            <w:shd w:val="clear" w:color="auto" w:fill="auto"/>
            <w:vAlign w:val="center"/>
          </w:tcPr>
          <w:p w14:paraId="7FB64754">
            <w:pPr>
              <w:pageBreakBefore w:val="0"/>
              <w:widowControl/>
              <w:kinsoku/>
              <w:wordWrap/>
              <w:overflowPunct/>
              <w:topLinePunct w:val="0"/>
              <w:autoSpaceDE/>
              <w:autoSpaceDN/>
              <w:bidi w:val="0"/>
              <w:adjustRightInd/>
              <w:spacing w:line="240" w:lineRule="exact"/>
              <w:ind w:firstLine="0" w:firstLineChars="0"/>
              <w:textAlignment w:val="auto"/>
              <w:rPr>
                <w:rFonts w:hint="eastAsia" w:ascii="宋体" w:hAnsi="宋体" w:eastAsia="宋体" w:cs="宋体"/>
                <w:color w:val="000000"/>
                <w:kern w:val="0"/>
                <w:sz w:val="24"/>
                <w:szCs w:val="24"/>
                <w:highlight w:val="none"/>
              </w:rPr>
            </w:pPr>
          </w:p>
        </w:tc>
        <w:tc>
          <w:tcPr>
            <w:tcW w:w="785" w:type="dxa"/>
            <w:shd w:val="clear" w:color="auto" w:fill="auto"/>
            <w:vAlign w:val="center"/>
          </w:tcPr>
          <w:p w14:paraId="4C45A55C">
            <w:pPr>
              <w:pageBreakBefore w:val="0"/>
              <w:widowControl/>
              <w:kinsoku/>
              <w:wordWrap/>
              <w:overflowPunct/>
              <w:topLinePunct w:val="0"/>
              <w:autoSpaceDE/>
              <w:autoSpaceDN/>
              <w:bidi w:val="0"/>
              <w:adjustRightInd/>
              <w:spacing w:line="240" w:lineRule="exact"/>
              <w:ind w:firstLine="0" w:firstLineChars="0"/>
              <w:jc w:val="center"/>
              <w:textAlignment w:val="auto"/>
              <w:rPr>
                <w:rFonts w:hint="default" w:ascii="宋体" w:hAnsi="宋体" w:eastAsia="宋体" w:cs="宋体"/>
                <w:color w:val="000000"/>
                <w:kern w:val="0"/>
                <w:sz w:val="24"/>
                <w:szCs w:val="24"/>
                <w:highlight w:val="none"/>
                <w:lang w:val="en-US" w:eastAsia="zh-CN"/>
              </w:rPr>
            </w:pPr>
            <w:r>
              <w:rPr>
                <w:rFonts w:hint="eastAsia" w:cs="宋体"/>
                <w:color w:val="000000"/>
                <w:kern w:val="0"/>
                <w:sz w:val="24"/>
                <w:szCs w:val="24"/>
                <w:highlight w:val="none"/>
                <w:lang w:val="en-US" w:eastAsia="zh-CN"/>
              </w:rPr>
              <w:t>100</w:t>
            </w:r>
          </w:p>
        </w:tc>
        <w:tc>
          <w:tcPr>
            <w:tcW w:w="769" w:type="dxa"/>
            <w:shd w:val="clear" w:color="auto" w:fill="auto"/>
            <w:vAlign w:val="center"/>
          </w:tcPr>
          <w:p w14:paraId="3508CC09">
            <w:pPr>
              <w:pageBreakBefore w:val="0"/>
              <w:widowControl/>
              <w:kinsoku/>
              <w:wordWrap/>
              <w:overflowPunct/>
              <w:topLinePunct w:val="0"/>
              <w:autoSpaceDE/>
              <w:autoSpaceDN/>
              <w:bidi w:val="0"/>
              <w:adjustRightInd/>
              <w:spacing w:line="240" w:lineRule="exact"/>
              <w:ind w:firstLine="0" w:firstLineChars="0"/>
              <w:textAlignment w:val="auto"/>
              <w:rPr>
                <w:rFonts w:hint="default" w:ascii="宋体" w:hAnsi="宋体" w:eastAsia="宋体" w:cs="宋体"/>
                <w:color w:val="000000"/>
                <w:kern w:val="0"/>
                <w:sz w:val="24"/>
                <w:szCs w:val="24"/>
                <w:highlight w:val="none"/>
                <w:lang w:val="en-US" w:eastAsia="zh-CN"/>
              </w:rPr>
            </w:pPr>
            <w:r>
              <w:rPr>
                <w:rFonts w:hint="eastAsia" w:cs="宋体"/>
                <w:color w:val="000000"/>
                <w:kern w:val="0"/>
                <w:sz w:val="24"/>
                <w:szCs w:val="24"/>
                <w:highlight w:val="none"/>
                <w:lang w:val="en-US" w:eastAsia="zh-CN"/>
              </w:rPr>
              <w:t>97.96</w:t>
            </w:r>
          </w:p>
        </w:tc>
      </w:tr>
    </w:tbl>
    <w:p w14:paraId="611D5927">
      <w:pPr>
        <w:pageBreakBefore w:val="0"/>
        <w:kinsoku/>
        <w:wordWrap/>
        <w:overflowPunct/>
        <w:topLinePunct w:val="0"/>
        <w:autoSpaceDE/>
        <w:autoSpaceDN/>
        <w:bidi w:val="0"/>
        <w:adjustRightInd/>
        <w:spacing w:line="240" w:lineRule="exact"/>
        <w:ind w:firstLine="0" w:firstLineChars="0"/>
        <w:textAlignment w:val="auto"/>
        <w:rPr>
          <w:rFonts w:ascii="Times New Roman" w:hAnsi="Times New Roman" w:eastAsia="仿宋_GB2312" w:cs="Times New Roman"/>
          <w:sz w:val="30"/>
          <w:szCs w:val="24"/>
          <w:highlight w:val="none"/>
        </w:rPr>
      </w:pPr>
    </w:p>
    <w:p w14:paraId="0F52A84C">
      <w:pPr>
        <w:pageBreakBefore w:val="0"/>
        <w:kinsoku/>
        <w:wordWrap/>
        <w:overflowPunct/>
        <w:topLinePunct w:val="0"/>
        <w:autoSpaceDE/>
        <w:autoSpaceDN/>
        <w:bidi w:val="0"/>
        <w:adjustRightInd/>
        <w:spacing w:line="240" w:lineRule="exact"/>
        <w:textAlignment w:val="auto"/>
        <w:rPr>
          <w:rFonts w:hint="default"/>
          <w:highlight w:val="none"/>
          <w:lang w:val="en-US" w:eastAsia="zh-CN"/>
        </w:rPr>
      </w:pPr>
    </w:p>
    <w:sectPr>
      <w:pgSz w:w="16838" w:h="11906" w:orient="landscape"/>
      <w:pgMar w:top="1800" w:right="1440" w:bottom="1800" w:left="1440" w:header="737" w:footer="851" w:gutter="0"/>
      <w:pgNumType w:fmt="decimal"/>
      <w:cols w:space="720" w:num="1"/>
      <w:docGrid w:type="lines" w:linePitch="408"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560"/>
      </w:pPr>
      <w:r>
        <w:separator/>
      </w:r>
    </w:p>
  </w:endnote>
  <w:endnote w:type="continuationSeparator" w:id="1">
    <w:p>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decorative"/>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swiss"/>
    <w:pitch w:val="default"/>
    <w:sig w:usb0="00000000" w:usb1="00000000" w:usb2="00000000" w:usb3="00000000" w:csb0="00040000" w:csb1="00000000"/>
  </w:font>
  <w:font w:name="MS Sans Serif">
    <w:altName w:val="Arial"/>
    <w:panose1 w:val="00000000000000000000"/>
    <w:charset w:val="00"/>
    <w:family w:val="decorative"/>
    <w:pitch w:val="default"/>
    <w:sig w:usb0="00000000" w:usb1="00000000" w:usb2="00000000" w:usb3="00000000" w:csb0="00000001" w:csb1="00000000"/>
  </w:font>
  <w:font w:name="Arial Unicode MS">
    <w:panose1 w:val="020B0604020202020204"/>
    <w:charset w:val="86"/>
    <w:family w:val="decorative"/>
    <w:pitch w:val="default"/>
    <w:sig w:usb0="FFFFFFFF" w:usb1="E9FFFFFF" w:usb2="0000003F" w:usb3="00000000" w:csb0="603F01FF" w:csb1="FFFF0000"/>
  </w:font>
  <w:font w:name="楷体_GB2312">
    <w:altName w:val="楷体"/>
    <w:panose1 w:val="02010609030101010101"/>
    <w:charset w:val="86"/>
    <w:family w:val="auto"/>
    <w:pitch w:val="default"/>
    <w:sig w:usb0="00000000" w:usb1="00000000" w:usb2="00000000" w:usb3="00000000" w:csb0="00040000" w:csb1="00000000"/>
  </w:font>
  <w:font w:name="方正仿宋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B78F3A">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3A24B5A">
                          <w:pPr>
                            <w:pStyle w:val="8"/>
                            <w:rPr>
                              <w:rFonts w:hint="eastAsia" w:eastAsia="仿宋_GB2312"/>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63A24B5A">
                    <w:pPr>
                      <w:pStyle w:val="8"/>
                      <w:rPr>
                        <w:rFonts w:hint="eastAsia" w:eastAsia="仿宋_GB2312"/>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560"/>
      </w:pPr>
      <w:r>
        <w:separator/>
      </w:r>
    </w:p>
  </w:footnote>
  <w:footnote w:type="continuationSeparator" w:id="1">
    <w:p>
      <w:pPr>
        <w:spacing w:line="360" w:lineRule="auto"/>
        <w:ind w:firstLine="56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0EAAA83"/>
    <w:multiLevelType w:val="singleLevel"/>
    <w:tmpl w:val="D0EAAA83"/>
    <w:lvl w:ilvl="0" w:tentative="0">
      <w:start w:val="1"/>
      <w:numFmt w:val="decimal"/>
      <w:suff w:val="nothing"/>
      <w:lvlText w:val="（%1）"/>
      <w:lvlJc w:val="left"/>
    </w:lvl>
  </w:abstractNum>
  <w:abstractNum w:abstractNumId="1">
    <w:nsid w:val="F4CD2B0F"/>
    <w:multiLevelType w:val="singleLevel"/>
    <w:tmpl w:val="F4CD2B0F"/>
    <w:lvl w:ilvl="0" w:tentative="0">
      <w:start w:val="1"/>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7"/>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doNotExpandShiftReturn/>
    <w:adjustLineHeightInTable/>
    <w:doNotBreakWrappedTables/>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NlZTAzNzU1YTMxMTkxNjU2ZDE5MmUzYjgzNzAyMTcifQ=="/>
  </w:docVars>
  <w:rsids>
    <w:rsidRoot w:val="68291A1A"/>
    <w:rsid w:val="006C1CC0"/>
    <w:rsid w:val="007D6A04"/>
    <w:rsid w:val="00A00AC0"/>
    <w:rsid w:val="00E23C81"/>
    <w:rsid w:val="01253350"/>
    <w:rsid w:val="01282E62"/>
    <w:rsid w:val="014029CF"/>
    <w:rsid w:val="01470C4C"/>
    <w:rsid w:val="01BC06E8"/>
    <w:rsid w:val="021F4739"/>
    <w:rsid w:val="02200440"/>
    <w:rsid w:val="02284B43"/>
    <w:rsid w:val="02847038"/>
    <w:rsid w:val="02B015E2"/>
    <w:rsid w:val="02DC08FA"/>
    <w:rsid w:val="033B569D"/>
    <w:rsid w:val="03701033"/>
    <w:rsid w:val="039C3BA0"/>
    <w:rsid w:val="03A845BB"/>
    <w:rsid w:val="03B45AD1"/>
    <w:rsid w:val="04D12EE4"/>
    <w:rsid w:val="04D63993"/>
    <w:rsid w:val="04EA264E"/>
    <w:rsid w:val="04F41533"/>
    <w:rsid w:val="05277080"/>
    <w:rsid w:val="0565310E"/>
    <w:rsid w:val="05B943F0"/>
    <w:rsid w:val="07890F4F"/>
    <w:rsid w:val="082F067D"/>
    <w:rsid w:val="08892439"/>
    <w:rsid w:val="08A53B3F"/>
    <w:rsid w:val="08EA5BC5"/>
    <w:rsid w:val="08EB30F3"/>
    <w:rsid w:val="08F713B1"/>
    <w:rsid w:val="08FF54D2"/>
    <w:rsid w:val="09237408"/>
    <w:rsid w:val="092D1499"/>
    <w:rsid w:val="09781BD6"/>
    <w:rsid w:val="09AF4AC6"/>
    <w:rsid w:val="09F359DF"/>
    <w:rsid w:val="09F81E67"/>
    <w:rsid w:val="0A575E65"/>
    <w:rsid w:val="0ACA0AB6"/>
    <w:rsid w:val="0B8178FC"/>
    <w:rsid w:val="0C032502"/>
    <w:rsid w:val="0C27698C"/>
    <w:rsid w:val="0C961836"/>
    <w:rsid w:val="0D4452F3"/>
    <w:rsid w:val="0E19612F"/>
    <w:rsid w:val="0E1A3BB0"/>
    <w:rsid w:val="0F5E5042"/>
    <w:rsid w:val="0FE95707"/>
    <w:rsid w:val="10510571"/>
    <w:rsid w:val="10787A20"/>
    <w:rsid w:val="108672DE"/>
    <w:rsid w:val="10A27D57"/>
    <w:rsid w:val="10EC685A"/>
    <w:rsid w:val="116260A2"/>
    <w:rsid w:val="11FA6155"/>
    <w:rsid w:val="12041F1C"/>
    <w:rsid w:val="121421B7"/>
    <w:rsid w:val="12CF0947"/>
    <w:rsid w:val="12F1313F"/>
    <w:rsid w:val="136C678E"/>
    <w:rsid w:val="137B0804"/>
    <w:rsid w:val="13EB2FF5"/>
    <w:rsid w:val="14ED4CAC"/>
    <w:rsid w:val="15A46B04"/>
    <w:rsid w:val="160B3E0B"/>
    <w:rsid w:val="165825BC"/>
    <w:rsid w:val="16BC5D73"/>
    <w:rsid w:val="17681CF4"/>
    <w:rsid w:val="17697775"/>
    <w:rsid w:val="176F36D7"/>
    <w:rsid w:val="1795226D"/>
    <w:rsid w:val="18456B1E"/>
    <w:rsid w:val="1BC420C9"/>
    <w:rsid w:val="1C1171C5"/>
    <w:rsid w:val="1C387059"/>
    <w:rsid w:val="1C8D7DE8"/>
    <w:rsid w:val="1D265138"/>
    <w:rsid w:val="1D7B6BCA"/>
    <w:rsid w:val="1DA41A79"/>
    <w:rsid w:val="1DF53469"/>
    <w:rsid w:val="1E2F24F2"/>
    <w:rsid w:val="1E58492F"/>
    <w:rsid w:val="1E5B6757"/>
    <w:rsid w:val="1E77318B"/>
    <w:rsid w:val="1ED10AC6"/>
    <w:rsid w:val="1F89225F"/>
    <w:rsid w:val="1F900A1F"/>
    <w:rsid w:val="1FC0575D"/>
    <w:rsid w:val="1FC93A32"/>
    <w:rsid w:val="203E4CF5"/>
    <w:rsid w:val="206132C7"/>
    <w:rsid w:val="216C3969"/>
    <w:rsid w:val="21B00C1D"/>
    <w:rsid w:val="23031BEB"/>
    <w:rsid w:val="23917691"/>
    <w:rsid w:val="244D65B8"/>
    <w:rsid w:val="245E1E24"/>
    <w:rsid w:val="247316DE"/>
    <w:rsid w:val="24EB78DC"/>
    <w:rsid w:val="255F0B60"/>
    <w:rsid w:val="25AD5E5D"/>
    <w:rsid w:val="260215D7"/>
    <w:rsid w:val="262D6C2F"/>
    <w:rsid w:val="2732478D"/>
    <w:rsid w:val="27661469"/>
    <w:rsid w:val="276D1523"/>
    <w:rsid w:val="27900EAD"/>
    <w:rsid w:val="279B538A"/>
    <w:rsid w:val="283C7871"/>
    <w:rsid w:val="286F545C"/>
    <w:rsid w:val="29314FBC"/>
    <w:rsid w:val="29502FD4"/>
    <w:rsid w:val="2969197F"/>
    <w:rsid w:val="2A982071"/>
    <w:rsid w:val="2AA2081A"/>
    <w:rsid w:val="2AF15F83"/>
    <w:rsid w:val="2B7E39F7"/>
    <w:rsid w:val="2C024B86"/>
    <w:rsid w:val="2C1C1661"/>
    <w:rsid w:val="2C927671"/>
    <w:rsid w:val="2CC6306F"/>
    <w:rsid w:val="2CF95886"/>
    <w:rsid w:val="2D7C5CD6"/>
    <w:rsid w:val="2E483E7E"/>
    <w:rsid w:val="2E690493"/>
    <w:rsid w:val="2E9854BD"/>
    <w:rsid w:val="2EB4662E"/>
    <w:rsid w:val="2EEB0D06"/>
    <w:rsid w:val="2F0D407F"/>
    <w:rsid w:val="2F454B19"/>
    <w:rsid w:val="30950D9D"/>
    <w:rsid w:val="30CB379B"/>
    <w:rsid w:val="310224D9"/>
    <w:rsid w:val="3172522D"/>
    <w:rsid w:val="31B4621C"/>
    <w:rsid w:val="31E3230A"/>
    <w:rsid w:val="326822C2"/>
    <w:rsid w:val="32981347"/>
    <w:rsid w:val="32B25BB9"/>
    <w:rsid w:val="330957E0"/>
    <w:rsid w:val="33356F64"/>
    <w:rsid w:val="333643AC"/>
    <w:rsid w:val="333A2D06"/>
    <w:rsid w:val="33944516"/>
    <w:rsid w:val="34B62907"/>
    <w:rsid w:val="353558D8"/>
    <w:rsid w:val="35494647"/>
    <w:rsid w:val="36BD137C"/>
    <w:rsid w:val="37E551C2"/>
    <w:rsid w:val="38053EDF"/>
    <w:rsid w:val="380812A4"/>
    <w:rsid w:val="38521037"/>
    <w:rsid w:val="385D37E7"/>
    <w:rsid w:val="38782EDD"/>
    <w:rsid w:val="3A2B5C51"/>
    <w:rsid w:val="3B42664A"/>
    <w:rsid w:val="3C6D68AF"/>
    <w:rsid w:val="3CAD1E92"/>
    <w:rsid w:val="3CE57F6B"/>
    <w:rsid w:val="3D836A4E"/>
    <w:rsid w:val="3EA37E97"/>
    <w:rsid w:val="3F0019BE"/>
    <w:rsid w:val="3FBE0BC5"/>
    <w:rsid w:val="400E0FA4"/>
    <w:rsid w:val="403A3DE5"/>
    <w:rsid w:val="4048103A"/>
    <w:rsid w:val="40736643"/>
    <w:rsid w:val="40D24A7A"/>
    <w:rsid w:val="412C397A"/>
    <w:rsid w:val="41DB2819"/>
    <w:rsid w:val="42621029"/>
    <w:rsid w:val="435241E2"/>
    <w:rsid w:val="43975C51"/>
    <w:rsid w:val="439E3FA7"/>
    <w:rsid w:val="44B32266"/>
    <w:rsid w:val="44FC64F4"/>
    <w:rsid w:val="45531B4B"/>
    <w:rsid w:val="45AB21DA"/>
    <w:rsid w:val="46317EB5"/>
    <w:rsid w:val="467F4585"/>
    <w:rsid w:val="4683443C"/>
    <w:rsid w:val="470628CB"/>
    <w:rsid w:val="4729480B"/>
    <w:rsid w:val="47555BD4"/>
    <w:rsid w:val="47BC2DB1"/>
    <w:rsid w:val="47E96399"/>
    <w:rsid w:val="47F76025"/>
    <w:rsid w:val="482E66B6"/>
    <w:rsid w:val="486A20DE"/>
    <w:rsid w:val="486E33F5"/>
    <w:rsid w:val="48E12B50"/>
    <w:rsid w:val="499441BE"/>
    <w:rsid w:val="499A6C1C"/>
    <w:rsid w:val="4A195607"/>
    <w:rsid w:val="4A2138F0"/>
    <w:rsid w:val="4A583887"/>
    <w:rsid w:val="4B9F6E02"/>
    <w:rsid w:val="4BD81F08"/>
    <w:rsid w:val="4C154C91"/>
    <w:rsid w:val="4C89637B"/>
    <w:rsid w:val="4D067A9D"/>
    <w:rsid w:val="4D8352B9"/>
    <w:rsid w:val="4E2C65E9"/>
    <w:rsid w:val="4E567490"/>
    <w:rsid w:val="4E6E48A8"/>
    <w:rsid w:val="4EEC036B"/>
    <w:rsid w:val="4F5627E5"/>
    <w:rsid w:val="4F714FA1"/>
    <w:rsid w:val="4F8F1E96"/>
    <w:rsid w:val="4FA316C0"/>
    <w:rsid w:val="501D2673"/>
    <w:rsid w:val="50C80BF1"/>
    <w:rsid w:val="51852833"/>
    <w:rsid w:val="51EF28F9"/>
    <w:rsid w:val="52316BE6"/>
    <w:rsid w:val="52F11AC8"/>
    <w:rsid w:val="532F6B09"/>
    <w:rsid w:val="534F49D9"/>
    <w:rsid w:val="53555F0F"/>
    <w:rsid w:val="535D23D5"/>
    <w:rsid w:val="54E23F51"/>
    <w:rsid w:val="556E1F78"/>
    <w:rsid w:val="56F4341A"/>
    <w:rsid w:val="575A7321"/>
    <w:rsid w:val="57C16588"/>
    <w:rsid w:val="580C3AB9"/>
    <w:rsid w:val="58211E24"/>
    <w:rsid w:val="583C7AE0"/>
    <w:rsid w:val="586C1E9A"/>
    <w:rsid w:val="586E0800"/>
    <w:rsid w:val="59216F96"/>
    <w:rsid w:val="598C4145"/>
    <w:rsid w:val="59957D1B"/>
    <w:rsid w:val="59D4294E"/>
    <w:rsid w:val="5B0322F8"/>
    <w:rsid w:val="5B220213"/>
    <w:rsid w:val="5B4403C8"/>
    <w:rsid w:val="5B634312"/>
    <w:rsid w:val="5B9D2CCD"/>
    <w:rsid w:val="5B9E71EA"/>
    <w:rsid w:val="5BF32AEA"/>
    <w:rsid w:val="5C9D65C5"/>
    <w:rsid w:val="5D2A05E8"/>
    <w:rsid w:val="5E226FBC"/>
    <w:rsid w:val="5EE75ADF"/>
    <w:rsid w:val="5FE72BD2"/>
    <w:rsid w:val="5FFA2985"/>
    <w:rsid w:val="60120613"/>
    <w:rsid w:val="6055781B"/>
    <w:rsid w:val="6071095D"/>
    <w:rsid w:val="618D5292"/>
    <w:rsid w:val="622E78FA"/>
    <w:rsid w:val="62490F50"/>
    <w:rsid w:val="63343F70"/>
    <w:rsid w:val="636022D7"/>
    <w:rsid w:val="638F59E4"/>
    <w:rsid w:val="64296E1C"/>
    <w:rsid w:val="64386FCC"/>
    <w:rsid w:val="64844FF7"/>
    <w:rsid w:val="649E64A2"/>
    <w:rsid w:val="65CC4A02"/>
    <w:rsid w:val="65E5270A"/>
    <w:rsid w:val="663D3C54"/>
    <w:rsid w:val="666F7BCA"/>
    <w:rsid w:val="667A6962"/>
    <w:rsid w:val="66862C89"/>
    <w:rsid w:val="66BB486D"/>
    <w:rsid w:val="66C60A29"/>
    <w:rsid w:val="66DE79E9"/>
    <w:rsid w:val="67286249"/>
    <w:rsid w:val="67394C7D"/>
    <w:rsid w:val="68126B38"/>
    <w:rsid w:val="68291A1A"/>
    <w:rsid w:val="68352BB8"/>
    <w:rsid w:val="688D14E7"/>
    <w:rsid w:val="691327EB"/>
    <w:rsid w:val="691B1594"/>
    <w:rsid w:val="693A016B"/>
    <w:rsid w:val="6A17429C"/>
    <w:rsid w:val="6A567EA3"/>
    <w:rsid w:val="6B4B4368"/>
    <w:rsid w:val="6B4D7F19"/>
    <w:rsid w:val="6B79100E"/>
    <w:rsid w:val="6BE82315"/>
    <w:rsid w:val="6C621FDF"/>
    <w:rsid w:val="6C844C00"/>
    <w:rsid w:val="6D0462C9"/>
    <w:rsid w:val="6D41164D"/>
    <w:rsid w:val="6DE211D7"/>
    <w:rsid w:val="6E10212C"/>
    <w:rsid w:val="6E420D05"/>
    <w:rsid w:val="6E43561A"/>
    <w:rsid w:val="6E557973"/>
    <w:rsid w:val="6E9568DB"/>
    <w:rsid w:val="6F0D6C22"/>
    <w:rsid w:val="6F47657F"/>
    <w:rsid w:val="6FAF23D9"/>
    <w:rsid w:val="7006657A"/>
    <w:rsid w:val="70452BBF"/>
    <w:rsid w:val="70635CF6"/>
    <w:rsid w:val="70670707"/>
    <w:rsid w:val="720E3691"/>
    <w:rsid w:val="7249173A"/>
    <w:rsid w:val="724E244C"/>
    <w:rsid w:val="72DA6946"/>
    <w:rsid w:val="732764B3"/>
    <w:rsid w:val="738D3920"/>
    <w:rsid w:val="74026044"/>
    <w:rsid w:val="74325A77"/>
    <w:rsid w:val="74746410"/>
    <w:rsid w:val="74E9530C"/>
    <w:rsid w:val="75571680"/>
    <w:rsid w:val="759D6F04"/>
    <w:rsid w:val="75C8506C"/>
    <w:rsid w:val="75E5007C"/>
    <w:rsid w:val="766E39D9"/>
    <w:rsid w:val="77636B63"/>
    <w:rsid w:val="77813724"/>
    <w:rsid w:val="77861774"/>
    <w:rsid w:val="78F31435"/>
    <w:rsid w:val="790D1244"/>
    <w:rsid w:val="79300B45"/>
    <w:rsid w:val="794D3E18"/>
    <w:rsid w:val="79F3729A"/>
    <w:rsid w:val="7A6029D5"/>
    <w:rsid w:val="7A880722"/>
    <w:rsid w:val="7ABE6120"/>
    <w:rsid w:val="7ACB0498"/>
    <w:rsid w:val="7AED0B4D"/>
    <w:rsid w:val="7B556AA0"/>
    <w:rsid w:val="7B8D29D1"/>
    <w:rsid w:val="7BB65505"/>
    <w:rsid w:val="7BB85EB6"/>
    <w:rsid w:val="7BBF4419"/>
    <w:rsid w:val="7C1E4487"/>
    <w:rsid w:val="7C215E02"/>
    <w:rsid w:val="7CE51F23"/>
    <w:rsid w:val="7CF23764"/>
    <w:rsid w:val="7D851A94"/>
    <w:rsid w:val="7E022E96"/>
    <w:rsid w:val="7E713BDC"/>
    <w:rsid w:val="7E797F74"/>
    <w:rsid w:val="7E9B3FC3"/>
    <w:rsid w:val="7EB625EF"/>
    <w:rsid w:val="7F38184C"/>
    <w:rsid w:val="7F924011"/>
    <w:rsid w:val="7FC52DC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60" w:lineRule="auto"/>
      <w:ind w:firstLine="723" w:firstLineChars="200"/>
      <w:jc w:val="both"/>
    </w:pPr>
    <w:rPr>
      <w:rFonts w:ascii="宋体" w:hAnsi="宋体" w:eastAsia="宋体" w:cs="宋体"/>
      <w:kern w:val="2"/>
      <w:sz w:val="28"/>
      <w:szCs w:val="28"/>
      <w:lang w:val="en-US" w:eastAsia="zh-CN" w:bidi="ar-SA"/>
    </w:rPr>
  </w:style>
  <w:style w:type="paragraph" w:styleId="3">
    <w:name w:val="heading 1"/>
    <w:basedOn w:val="1"/>
    <w:next w:val="1"/>
    <w:qFormat/>
    <w:uiPriority w:val="0"/>
    <w:pPr>
      <w:keepNext/>
      <w:keepLines/>
      <w:spacing w:beforeLines="0" w:beforeAutospacing="0" w:afterLines="0" w:afterAutospacing="0" w:line="560" w:lineRule="exact"/>
      <w:ind w:firstLine="964" w:firstLineChars="200"/>
      <w:outlineLvl w:val="0"/>
    </w:pPr>
    <w:rPr>
      <w:rFonts w:ascii="Times New Roman" w:hAnsi="Times New Roman" w:eastAsia="黑体"/>
      <w:kern w:val="44"/>
      <w:sz w:val="32"/>
      <w:szCs w:val="22"/>
    </w:rPr>
  </w:style>
  <w:style w:type="paragraph" w:styleId="4">
    <w:name w:val="heading 2"/>
    <w:basedOn w:val="1"/>
    <w:next w:val="1"/>
    <w:link w:val="19"/>
    <w:unhideWhenUsed/>
    <w:qFormat/>
    <w:uiPriority w:val="0"/>
    <w:pPr>
      <w:keepNext/>
      <w:keepLines/>
      <w:spacing w:beforeLines="0" w:beforeAutospacing="0" w:afterLines="0" w:afterAutospacing="0" w:line="560" w:lineRule="exact"/>
      <w:ind w:firstLine="964" w:firstLineChars="200"/>
      <w:outlineLvl w:val="1"/>
    </w:pPr>
    <w:rPr>
      <w:rFonts w:ascii="Arial" w:hAnsi="Arial" w:eastAsia="楷体"/>
      <w:b/>
      <w:sz w:val="32"/>
    </w:rPr>
  </w:style>
  <w:style w:type="paragraph" w:styleId="5">
    <w:name w:val="heading 3"/>
    <w:basedOn w:val="1"/>
    <w:next w:val="1"/>
    <w:qFormat/>
    <w:uiPriority w:val="99"/>
    <w:pPr>
      <w:keepNext/>
      <w:keepLines/>
      <w:spacing w:line="560" w:lineRule="exact"/>
      <w:ind w:firstLine="883" w:firstLineChars="200"/>
      <w:outlineLvl w:val="2"/>
    </w:pPr>
    <w:rPr>
      <w:rFonts w:ascii="仿宋_GB2312" w:hAnsi="仿宋_GB2312" w:eastAsia="仿宋_GB2312"/>
      <w:b/>
      <w:bCs/>
      <w:kern w:val="0"/>
      <w:sz w:val="28"/>
      <w:szCs w:val="32"/>
    </w:rPr>
  </w:style>
  <w:style w:type="character" w:default="1" w:styleId="17">
    <w:name w:val="Default Paragraph Font"/>
    <w:semiHidden/>
    <w:qFormat/>
    <w:uiPriority w:val="0"/>
  </w:style>
  <w:style w:type="table" w:default="1" w:styleId="16">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spacing w:before="240" w:after="240" w:line="360" w:lineRule="auto"/>
      <w:jc w:val="center"/>
    </w:pPr>
    <w:rPr>
      <w:b/>
      <w:sz w:val="44"/>
    </w:rPr>
  </w:style>
  <w:style w:type="paragraph" w:styleId="6">
    <w:name w:val="annotation text"/>
    <w:basedOn w:val="1"/>
    <w:qFormat/>
    <w:uiPriority w:val="0"/>
    <w:pPr>
      <w:jc w:val="left"/>
    </w:pPr>
  </w:style>
  <w:style w:type="paragraph" w:styleId="7">
    <w:name w:val="toc 3"/>
    <w:basedOn w:val="1"/>
    <w:next w:val="1"/>
    <w:qFormat/>
    <w:uiPriority w:val="0"/>
    <w:pPr>
      <w:ind w:left="840" w:leftChars="400"/>
    </w:pPr>
  </w:style>
  <w:style w:type="paragraph" w:styleId="8">
    <w:name w:val="footer"/>
    <w:basedOn w:val="1"/>
    <w:qFormat/>
    <w:uiPriority w:val="0"/>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0">
    <w:name w:val="toc 1"/>
    <w:basedOn w:val="1"/>
    <w:next w:val="1"/>
    <w:qFormat/>
    <w:uiPriority w:val="0"/>
  </w:style>
  <w:style w:type="paragraph" w:styleId="11">
    <w:name w:val="toc 2"/>
    <w:basedOn w:val="1"/>
    <w:next w:val="1"/>
    <w:qFormat/>
    <w:uiPriority w:val="0"/>
    <w:pPr>
      <w:ind w:left="420" w:leftChars="200"/>
    </w:pPr>
  </w:style>
  <w:style w:type="paragraph" w:styleId="12">
    <w:name w:val="Body Text 2"/>
    <w:basedOn w:val="1"/>
    <w:qFormat/>
    <w:uiPriority w:val="0"/>
    <w:pPr>
      <w:spacing w:after="120" w:line="480" w:lineRule="auto"/>
    </w:pPr>
    <w:rPr>
      <w:rFonts w:ascii="Times New Roman" w:hAnsi="Times New Roman" w:eastAsia="宋体" w:cs="Times New Roman"/>
    </w:rPr>
  </w:style>
  <w:style w:type="paragraph" w:styleId="13">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4">
    <w:name w:val="Title"/>
    <w:basedOn w:val="1"/>
    <w:next w:val="1"/>
    <w:qFormat/>
    <w:uiPriority w:val="0"/>
    <w:pPr>
      <w:spacing w:before="240" w:beforeLines="0" w:after="60" w:afterLines="0"/>
      <w:jc w:val="left"/>
      <w:outlineLvl w:val="0"/>
    </w:pPr>
    <w:rPr>
      <w:rFonts w:ascii="MS Sans Serif" w:hAnsi="MS Sans Serif" w:eastAsia="宋体" w:cs="MS Sans Serif"/>
      <w:b/>
      <w:bCs/>
      <w:sz w:val="24"/>
      <w:szCs w:val="32"/>
    </w:rPr>
  </w:style>
  <w:style w:type="paragraph" w:styleId="15">
    <w:name w:val="Body Text First Indent"/>
    <w:basedOn w:val="2"/>
    <w:qFormat/>
    <w:uiPriority w:val="0"/>
    <w:pPr>
      <w:spacing w:after="0"/>
      <w:ind w:firstLine="200" w:firstLineChars="200"/>
    </w:pPr>
  </w:style>
  <w:style w:type="paragraph" w:customStyle="1" w:styleId="18">
    <w:name w:val="正文 A"/>
    <w:qFormat/>
    <w:uiPriority w:val="99"/>
    <w:pPr>
      <w:widowControl w:val="0"/>
      <w:spacing w:before="50" w:after="50" w:line="360" w:lineRule="auto"/>
    </w:pPr>
    <w:rPr>
      <w:rFonts w:ascii="Times New Roman" w:hAnsi="Arial Unicode MS" w:eastAsia="Arial Unicode MS" w:cs="Arial Unicode MS"/>
      <w:color w:val="000000"/>
      <w:kern w:val="2"/>
      <w:sz w:val="28"/>
      <w:szCs w:val="28"/>
      <w:u w:color="000000"/>
      <w:lang w:val="en-US" w:eastAsia="zh-CN" w:bidi="ar-SA"/>
    </w:rPr>
  </w:style>
  <w:style w:type="character" w:customStyle="1" w:styleId="19">
    <w:name w:val="标题 2 Char"/>
    <w:link w:val="4"/>
    <w:qFormat/>
    <w:uiPriority w:val="0"/>
    <w:rPr>
      <w:rFonts w:ascii="Arial" w:hAnsi="Arial" w:eastAsia="楷体"/>
      <w:b/>
      <w:sz w:val="32"/>
    </w:rPr>
  </w:style>
  <w:style w:type="paragraph" w:customStyle="1" w:styleId="20">
    <w:name w:val="WPSOffice手动目录 1"/>
    <w:qFormat/>
    <w:uiPriority w:val="0"/>
    <w:pPr>
      <w:ind w:leftChars="0"/>
    </w:pPr>
    <w:rPr>
      <w:rFonts w:ascii="Times New Roman" w:hAnsi="Times New Roman" w:eastAsia="宋体" w:cs="Times New Roman"/>
      <w:sz w:val="20"/>
      <w:szCs w:val="20"/>
    </w:rPr>
  </w:style>
  <w:style w:type="paragraph" w:customStyle="1" w:styleId="21">
    <w:name w:val="WPSOffice手动目录 2"/>
    <w:qFormat/>
    <w:uiPriority w:val="0"/>
    <w:pPr>
      <w:ind w:leftChars="200"/>
    </w:pPr>
    <w:rPr>
      <w:rFonts w:ascii="Times New Roman" w:hAnsi="Times New Roman" w:eastAsia="宋体" w:cs="Times New Roman"/>
      <w:sz w:val="20"/>
      <w:szCs w:val="20"/>
    </w:rPr>
  </w:style>
  <w:style w:type="paragraph" w:customStyle="1" w:styleId="22">
    <w:name w:val="WPSOffice手动目录 3"/>
    <w:qFormat/>
    <w:uiPriority w:val="0"/>
    <w:pPr>
      <w:ind w:leftChars="400"/>
    </w:pPr>
    <w:rPr>
      <w:rFonts w:ascii="Times New Roman" w:hAnsi="Times New Roman" w:eastAsia="宋体" w:cs="Times New Roman"/>
      <w:sz w:val="20"/>
      <w:szCs w:val="20"/>
    </w:rPr>
  </w:style>
  <w:style w:type="character" w:customStyle="1" w:styleId="23">
    <w:name w:val="font11"/>
    <w:basedOn w:val="17"/>
    <w:qFormat/>
    <w:uiPriority w:val="0"/>
    <w:rPr>
      <w:rFonts w:hint="eastAsia" w:ascii="宋体" w:hAnsi="宋体" w:eastAsia="宋体" w:cs="宋体"/>
      <w:color w:val="000000"/>
      <w:sz w:val="20"/>
      <w:szCs w:val="20"/>
      <w:u w:val="none"/>
    </w:rPr>
  </w:style>
  <w:style w:type="character" w:customStyle="1" w:styleId="24">
    <w:name w:val="font41"/>
    <w:basedOn w:val="17"/>
    <w:qFormat/>
    <w:uiPriority w:val="0"/>
    <w:rPr>
      <w:rFonts w:hint="eastAsia" w:ascii="宋体" w:hAnsi="宋体" w:eastAsia="宋体" w:cs="宋体"/>
      <w:color w:val="000000"/>
      <w:sz w:val="20"/>
      <w:szCs w:val="20"/>
      <w:u w:val="non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45</Pages>
  <Words>12224</Words>
  <Characters>12926</Characters>
  <Lines>0</Lines>
  <Paragraphs>0</Paragraphs>
  <TotalTime>1</TotalTime>
  <ScaleCrop>false</ScaleCrop>
  <LinksUpToDate>false</LinksUpToDate>
  <CharactersWithSpaces>13085</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2020-04-01T11:28:00Z</dcterms:created>
  <dc:creator>驰远天合-柴万顺-18690160103</dc:creator>
  <cp:lastModifiedBy>苞米</cp:lastModifiedBy>
  <dcterms:modified xsi:type="dcterms:W3CDTF">2025-10-24T04:12:41Z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1D17C581B7B649E79D2BCA767FA9A472_13</vt:lpwstr>
  </property>
  <property fmtid="{D5CDD505-2E9C-101B-9397-08002B2CF9AE}" pid="4" name="KSOTemplateDocerSaveRecord">
    <vt:lpwstr>eyJoZGlkIjoiNTY3MmI4ODZmMjljZWZhNGFkN2U2N2Y4ODgwYjM5ZGIiLCJ1c2VySWQiOiIzNjI1MzY3NzcifQ==</vt:lpwstr>
  </property>
</Properties>
</file>