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15679"/>
      <w:bookmarkStart w:id="1" w:name="_Toc1949"/>
      <w:bookmarkStart w:id="2" w:name="_Toc25575"/>
      <w:bookmarkStart w:id="3" w:name="_Toc29123"/>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历年陈欠工程项目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hint="eastAsia" w:ascii="黑体" w:hAnsi="Times New Roman" w:eastAsia="黑体"/>
          <w:b w:val="0"/>
          <w:bCs/>
          <w:color w:val="000000" w:themeColor="text1"/>
          <w:sz w:val="30"/>
          <w:szCs w:val="30"/>
          <w:highlight w:val="none"/>
          <w14:textFill>
            <w14:solidFill>
              <w14:schemeClr w14:val="tx1"/>
            </w14:solidFill>
          </w14:textFill>
        </w:rPr>
      </w:pPr>
      <w:r>
        <w:rPr>
          <w:rFonts w:hint="eastAsia" w:ascii="黑体" w:hAnsi="Times New Roman" w:eastAsia="黑体"/>
          <w:b w:val="0"/>
          <w:bCs/>
          <w:color w:val="000000" w:themeColor="text1"/>
          <w:sz w:val="30"/>
          <w:szCs w:val="30"/>
          <w:highlight w:val="none"/>
          <w14:textFill>
            <w14:solidFill>
              <w14:schemeClr w14:val="tx1"/>
            </w14:solidFill>
          </w14:textFill>
        </w:rPr>
        <w:t>项目名称：</w:t>
      </w:r>
      <w:r>
        <w:rPr>
          <w:rFonts w:hint="eastAsia" w:ascii="黑体" w:hAnsi="Times New Roman" w:eastAsia="黑体"/>
          <w:b w:val="0"/>
          <w:bCs/>
          <w:color w:val="000000" w:themeColor="text1"/>
          <w:sz w:val="30"/>
          <w:szCs w:val="30"/>
          <w:highlight w:val="none"/>
          <w:lang w:val="en-US" w:eastAsia="zh-CN"/>
          <w14:textFill>
            <w14:solidFill>
              <w14:schemeClr w14:val="tx1"/>
            </w14:solidFill>
          </w14:textFill>
        </w:rPr>
        <w:t>历年陈欠工程项目</w:t>
      </w:r>
    </w:p>
    <w:p w14:paraId="7CB8A243">
      <w:pPr>
        <w:spacing w:line="360" w:lineRule="auto"/>
        <w:ind w:firstLine="0" w:firstLineChars="0"/>
        <w:jc w:val="left"/>
        <w:rPr>
          <w:rFonts w:hint="eastAsia" w:ascii="黑体" w:hAnsi="Times New Roman" w:eastAsia="黑体"/>
          <w:b w:val="0"/>
          <w:bCs/>
          <w:color w:val="000000" w:themeColor="text1"/>
          <w:sz w:val="30"/>
          <w:szCs w:val="30"/>
          <w:highlight w:val="none"/>
          <w14:textFill>
            <w14:solidFill>
              <w14:schemeClr w14:val="tx1"/>
            </w14:solidFill>
          </w14:textFill>
        </w:rPr>
      </w:pPr>
      <w:r>
        <w:rPr>
          <w:rFonts w:hint="eastAsia" w:ascii="黑体" w:hAnsi="Times New Roman" w:eastAsia="黑体"/>
          <w:b w:val="0"/>
          <w:bCs/>
          <w:color w:val="000000" w:themeColor="text1"/>
          <w:sz w:val="30"/>
          <w:szCs w:val="30"/>
          <w:highlight w:val="none"/>
          <w14:textFill>
            <w14:solidFill>
              <w14:schemeClr w14:val="tx1"/>
            </w14:solidFill>
          </w14:textFill>
        </w:rPr>
        <w:t>实施单位：</w:t>
      </w:r>
      <w:r>
        <w:rPr>
          <w:rFonts w:hint="eastAsia" w:ascii="黑体" w:hAnsi="Times New Roman" w:eastAsia="黑体"/>
          <w:b w:val="0"/>
          <w:bCs/>
          <w:color w:val="000000" w:themeColor="text1"/>
          <w:sz w:val="30"/>
          <w:szCs w:val="30"/>
          <w:highlight w:val="none"/>
          <w:lang w:val="en-US" w:eastAsia="zh-CN"/>
          <w14:textFill>
            <w14:solidFill>
              <w14:schemeClr w14:val="tx1"/>
            </w14:solidFill>
          </w14:textFill>
        </w:rPr>
        <w:t>阜康市住房和城乡建设局</w:t>
      </w:r>
    </w:p>
    <w:p w14:paraId="1CD13478">
      <w:pPr>
        <w:spacing w:line="360" w:lineRule="auto"/>
        <w:ind w:firstLine="0" w:firstLineChars="0"/>
        <w:jc w:val="left"/>
        <w:rPr>
          <w:rFonts w:hint="eastAsia" w:ascii="黑体" w:hAnsi="Times New Roman" w:eastAsia="黑体"/>
          <w:b w:val="0"/>
          <w:bCs/>
          <w:color w:val="000000" w:themeColor="text1"/>
          <w:sz w:val="30"/>
          <w:szCs w:val="30"/>
          <w:highlight w:val="none"/>
          <w14:textFill>
            <w14:solidFill>
              <w14:schemeClr w14:val="tx1"/>
            </w14:solidFill>
          </w14:textFill>
        </w:rPr>
      </w:pPr>
      <w:r>
        <w:rPr>
          <w:rFonts w:hint="eastAsia" w:ascii="黑体" w:hAnsi="Times New Roman" w:eastAsia="黑体"/>
          <w:b w:val="0"/>
          <w:bCs/>
          <w:color w:val="000000" w:themeColor="text1"/>
          <w:sz w:val="30"/>
          <w:szCs w:val="30"/>
          <w:highlight w:val="none"/>
          <w14:textFill>
            <w14:solidFill>
              <w14:schemeClr w14:val="tx1"/>
            </w14:solidFill>
          </w14:textFill>
        </w:rPr>
        <w:t>主管部门：</w:t>
      </w:r>
      <w:r>
        <w:rPr>
          <w:rFonts w:hint="eastAsia" w:ascii="黑体" w:hAnsi="Times New Roman" w:eastAsia="黑体"/>
          <w:b w:val="0"/>
          <w:bCs/>
          <w:color w:val="000000" w:themeColor="text1"/>
          <w:sz w:val="30"/>
          <w:szCs w:val="30"/>
          <w:highlight w:val="none"/>
          <w:lang w:val="en-US" w:eastAsia="zh-CN"/>
          <w14:textFill>
            <w14:solidFill>
              <w14:schemeClr w14:val="tx1"/>
            </w14:solidFill>
          </w14:textFill>
        </w:rPr>
        <w:t>阜康市住房和城乡建设局</w:t>
      </w:r>
    </w:p>
    <w:p w14:paraId="065BEE39">
      <w:pPr>
        <w:spacing w:line="360" w:lineRule="auto"/>
        <w:ind w:firstLine="0" w:firstLineChars="0"/>
        <w:jc w:val="left"/>
        <w:rPr>
          <w:rFonts w:hint="default" w:ascii="黑体" w:hAnsi="Times New Roman" w:eastAsia="黑体"/>
          <w:b w:val="0"/>
          <w:bCs/>
          <w:color w:val="000000" w:themeColor="text1"/>
          <w:sz w:val="30"/>
          <w:szCs w:val="30"/>
          <w:highlight w:val="none"/>
          <w:lang w:val="en-US" w:eastAsia="zh-CN"/>
          <w14:textFill>
            <w14:solidFill>
              <w14:schemeClr w14:val="tx1"/>
            </w14:solidFill>
          </w14:textFill>
        </w:rPr>
      </w:pPr>
      <w:r>
        <w:rPr>
          <w:rFonts w:hint="eastAsia" w:ascii="黑体" w:hAnsi="Times New Roman" w:eastAsia="黑体"/>
          <w:b w:val="0"/>
          <w:bCs/>
          <w:color w:val="000000" w:themeColor="text1"/>
          <w:sz w:val="30"/>
          <w:szCs w:val="30"/>
          <w:highlight w:val="none"/>
          <w:lang w:eastAsia="zh-CN"/>
          <w14:textFill>
            <w14:solidFill>
              <w14:schemeClr w14:val="tx1"/>
            </w14:solidFill>
          </w14:textFill>
        </w:rPr>
        <w:t>项目负责人：</w:t>
      </w:r>
      <w:r>
        <w:rPr>
          <w:rFonts w:hint="eastAsia" w:ascii="黑体" w:hAnsi="Times New Roman" w:eastAsia="黑体"/>
          <w:b w:val="0"/>
          <w:bCs/>
          <w:color w:val="000000" w:themeColor="text1"/>
          <w:sz w:val="30"/>
          <w:szCs w:val="30"/>
          <w:highlight w:val="none"/>
          <w:lang w:val="en-US" w:eastAsia="zh-CN"/>
          <w14:textFill>
            <w14:solidFill>
              <w14:schemeClr w14:val="tx1"/>
            </w14:solidFill>
          </w14:textFill>
        </w:rPr>
        <w:t>任俊新</w:t>
      </w:r>
    </w:p>
    <w:p w14:paraId="50706B4B">
      <w:pPr>
        <w:spacing w:line="360" w:lineRule="auto"/>
        <w:ind w:firstLine="0" w:firstLineChars="0"/>
        <w:jc w:val="left"/>
        <w:rPr>
          <w:rFonts w:hint="default"/>
          <w:b w:val="0"/>
          <w:bCs/>
          <w:color w:val="000000" w:themeColor="text1"/>
          <w:highlight w:val="none"/>
          <w:lang w:val="en-US" w:eastAsia="zh-CN"/>
          <w14:textFill>
            <w14:solidFill>
              <w14:schemeClr w14:val="tx1"/>
            </w14:solidFill>
          </w14:textFill>
        </w:rPr>
      </w:pPr>
      <w:r>
        <w:rPr>
          <w:rFonts w:hint="eastAsia" w:ascii="黑体" w:hAnsi="Times New Roman" w:eastAsia="黑体"/>
          <w:b w:val="0"/>
          <w:bCs/>
          <w:color w:val="000000" w:themeColor="text1"/>
          <w:sz w:val="30"/>
          <w:szCs w:val="30"/>
          <w:highlight w:val="none"/>
          <w:lang w:eastAsia="zh-CN"/>
          <w14:textFill>
            <w14:solidFill>
              <w14:schemeClr w14:val="tx1"/>
            </w14:solidFill>
          </w14:textFill>
        </w:rPr>
        <w:t>填报时间：</w:t>
      </w:r>
      <w:r>
        <w:rPr>
          <w:rFonts w:hint="eastAsia" w:ascii="黑体" w:hAnsi="Times New Roman" w:eastAsia="黑体"/>
          <w:b w:val="0"/>
          <w:bCs/>
          <w:color w:val="000000" w:themeColor="text1"/>
          <w:sz w:val="30"/>
          <w:szCs w:val="30"/>
          <w:highlight w:val="none"/>
          <w:lang w:val="en-US" w:eastAsia="zh-CN"/>
          <w14:textFill>
            <w14:solidFill>
              <w14:schemeClr w14:val="tx1"/>
            </w14:solidFill>
          </w14:textFill>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br w:type="page"/>
      </w:r>
    </w:p>
    <w:p w14:paraId="48C440DF">
      <w:pPr>
        <w:pageBreakBefore w:val="0"/>
        <w:kinsoku/>
        <w:wordWrap/>
        <w:overflowPunct/>
        <w:topLinePunct w:val="0"/>
        <w:autoSpaceDE/>
        <w:autoSpaceDN/>
        <w:bidi w:val="0"/>
        <w:spacing w:line="560" w:lineRule="exact"/>
        <w:textAlignment w:val="auto"/>
        <w:rPr>
          <w:rFonts w:hint="eastAsia"/>
          <w:color w:val="000000" w:themeColor="text1"/>
          <w:highlight w:val="none"/>
          <w:lang w:val="en-US" w:eastAsia="zh-CN"/>
          <w14:textFill>
            <w14:solidFill>
              <w14:schemeClr w14:val="tx1"/>
            </w14:solidFill>
          </w14:textFill>
        </w:rPr>
      </w:pPr>
    </w:p>
    <w:sdt>
      <w:sdtPr>
        <w:rPr>
          <w:rFonts w:ascii="宋体" w:hAnsi="宋体" w:eastAsia="宋体" w:cs="宋体"/>
          <w:b/>
          <w:bCs/>
          <w:color w:val="000000" w:themeColor="text1"/>
          <w:kern w:val="2"/>
          <w:sz w:val="28"/>
          <w:szCs w:val="40"/>
          <w:highlight w:val="none"/>
          <w:lang w:val="en-US" w:eastAsia="zh-CN" w:bidi="ar-SA"/>
          <w14:textFill>
            <w14:solidFill>
              <w14:schemeClr w14:val="tx1"/>
            </w14:solidFill>
          </w14:textFill>
        </w:rPr>
        <w:id w:val="147474046"/>
        <w15:color w:val="DBDBDB"/>
        <w:docPartObj>
          <w:docPartGallery w:val="Table of Contents"/>
          <w:docPartUnique/>
        </w:docPartObj>
      </w:sdtPr>
      <w:sdtEndP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000000" w:themeColor="text1"/>
              <w:sz w:val="40"/>
              <w:szCs w:val="40"/>
              <w:highlight w:val="none"/>
              <w14:textFill>
                <w14:solidFill>
                  <w14:schemeClr w14:val="tx1"/>
                </w14:solidFill>
              </w14:textFill>
            </w:rPr>
          </w:pPr>
          <w:r>
            <w:rPr>
              <w:rFonts w:ascii="宋体" w:hAnsi="宋体" w:eastAsia="宋体"/>
              <w:b/>
              <w:bCs/>
              <w:color w:val="000000" w:themeColor="text1"/>
              <w:sz w:val="40"/>
              <w:szCs w:val="40"/>
              <w:highlight w:val="none"/>
              <w14:textFill>
                <w14:solidFill>
                  <w14:schemeClr w14:val="tx1"/>
                </w14:solidFill>
              </w14:textFill>
            </w:rPr>
            <w:t>目录</w:t>
          </w:r>
        </w:p>
        <w:p w14:paraId="7A85C49B">
          <w:pPr>
            <w:pStyle w:val="10"/>
            <w:tabs>
              <w:tab w:val="right" w:leader="dot" w:pos="8844"/>
            </w:tabs>
            <w:rPr>
              <w:color w:val="000000" w:themeColor="text1"/>
              <w:highlight w:val="none"/>
              <w14:textFill>
                <w14:solidFill>
                  <w14:schemeClr w14:val="tx1"/>
                </w14:solidFill>
              </w14:textFill>
            </w:rPr>
          </w:pPr>
          <w:r>
            <w:rPr>
              <w:rFonts w:hint="eastAsia"/>
              <w:color w:val="000000" w:themeColor="text1"/>
              <w:sz w:val="28"/>
              <w:szCs w:val="28"/>
              <w:highlight w:val="none"/>
              <w:lang w:val="en-US" w:eastAsia="zh-CN"/>
              <w14:textFill>
                <w14:solidFill>
                  <w14:schemeClr w14:val="tx1"/>
                </w14:solidFill>
              </w14:textFill>
            </w:rPr>
            <w:fldChar w:fldCharType="begin"/>
          </w:r>
          <w:r>
            <w:rPr>
              <w:rFonts w:hint="eastAsia"/>
              <w:color w:val="000000" w:themeColor="text1"/>
              <w:sz w:val="28"/>
              <w:szCs w:val="28"/>
              <w:highlight w:val="none"/>
              <w:lang w:val="en-US" w:eastAsia="zh-CN"/>
              <w14:textFill>
                <w14:solidFill>
                  <w14:schemeClr w14:val="tx1"/>
                </w14:solidFill>
              </w14:textFill>
            </w:rPr>
            <w:instrText xml:space="preserve">TOC \o "1-3" \h \u </w:instrText>
          </w:r>
          <w:r>
            <w:rPr>
              <w:rFonts w:hint="eastAsia"/>
              <w:color w:val="000000" w:themeColor="text1"/>
              <w:sz w:val="28"/>
              <w:szCs w:val="28"/>
              <w:highlight w:val="none"/>
              <w:lang w:val="en-US" w:eastAsia="zh-CN"/>
              <w14:textFill>
                <w14:solidFill>
                  <w14:schemeClr w14:val="tx1"/>
                </w14:solidFill>
              </w14:textFill>
            </w:rPr>
            <w:fldChar w:fldCharType="separate"/>
          </w:r>
        </w:p>
        <w:p w14:paraId="2212584B">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_Toc18485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14:textFill>
                <w14:solidFill>
                  <w14:schemeClr w14:val="tx1"/>
                </w14:solidFill>
              </w14:textFill>
            </w:rPr>
            <w:t>一、基本情况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_Toc18485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3912E34D">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_Toc23184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（一）项目概况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_Toc23184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17B41E73">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_Toc9109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（二）项目绩效目标</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_Toc9109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37F756E6">
          <w:pPr>
            <w:pStyle w:val="10"/>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_Toc26567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color w:val="000000" w:themeColor="text1"/>
              <w:highlight w:val="none"/>
              <w:shd w:val="clear" w:color="auto" w:fill="auto"/>
              <w14:textFill>
                <w14:solidFill>
                  <w14:schemeClr w14:val="tx1"/>
                </w14:solidFill>
              </w14:textFill>
            </w:rPr>
            <w:t>二、绩效评价工作开展情况</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_Toc26567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13</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4ED330E9">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_Toc22839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（一）绩效评价的目的、对象和范围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_Toc22839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13</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41477607">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_Toc29785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（二）绩效评价原则、评价指标体系（</w:t>
          </w:r>
          <w:r>
            <w:rPr>
              <w:rFonts w:hint="default" w:ascii="Times New Roman" w:hAnsi="Times New Roman" w:eastAsia="楷体_GB2312" w:cs="Times New Roman"/>
              <w:color w:val="000000" w:themeColor="text1"/>
              <w:kern w:val="28"/>
              <w:highlight w:val="none"/>
              <w:lang w:val="en-US" w:eastAsia="zh-CN"/>
              <w14:textFill>
                <w14:solidFill>
                  <w14:schemeClr w14:val="tx1"/>
                </w14:solidFill>
              </w14:textFill>
            </w:rPr>
            <w:t>详情见</w:t>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附件二）、评价方法、评价标准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_Toc29785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17</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556FEB0C">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_Toc21435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（三）绩效评价工作过程</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_Toc21435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20</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3B815655">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_Toc19261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Cs w:val="0"/>
              <w:color w:val="000000" w:themeColor="text1"/>
              <w:highlight w:val="none"/>
              <w:shd w:val="clear" w:color="auto" w:fill="auto"/>
              <w14:textFill>
                <w14:solidFill>
                  <w14:schemeClr w14:val="tx1"/>
                </w14:solidFill>
              </w14:textFill>
            </w:rPr>
            <w:t>综合评价情况及评价结论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_Toc19261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0A9E6E01">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_Toc23319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（一）综合评价情况及评价结论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_Toc23319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59A17E56">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_Toc11863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（二）相关评分表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_Toc11863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41287B22">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_Toc14941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四、绩效评价指标分析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_Toc14941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4403B4F1">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_Toc6759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14:textFill>
                <w14:solidFill>
                  <w14:schemeClr w14:val="tx1"/>
                </w14:solidFill>
              </w14:textFill>
            </w:rPr>
            <w:t>（一）项目决策情况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_Toc6759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5BC5DC5C">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_Toc10564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 w:cs="Times New Roman"/>
              <w:color w:val="000000" w:themeColor="text1"/>
              <w:kern w:val="28"/>
              <w:highlight w:val="none"/>
              <w:lang w:eastAsia="zh-CN"/>
              <w14:textFill>
                <w14:solidFill>
                  <w14:schemeClr w14:val="tx1"/>
                </w14:solidFill>
              </w14:textFill>
            </w:rPr>
            <w:t>（</w:t>
          </w:r>
          <w:r>
            <w:rPr>
              <w:rFonts w:hint="eastAsia" w:ascii="Times New Roman" w:hAnsi="Times New Roman" w:eastAsia="楷体" w:cs="Times New Roman"/>
              <w:color w:val="000000" w:themeColor="text1"/>
              <w:kern w:val="28"/>
              <w:highlight w:val="none"/>
              <w:lang w:val="en-US" w:eastAsia="zh-CN"/>
              <w14:textFill>
                <w14:solidFill>
                  <w14:schemeClr w14:val="tx1"/>
                </w14:solidFill>
              </w14:textFill>
            </w:rPr>
            <w:t>二</w:t>
          </w:r>
          <w:r>
            <w:rPr>
              <w:rFonts w:hint="eastAsia" w:ascii="Times New Roman" w:hAnsi="Times New Roman" w:eastAsia="楷体" w:cs="Times New Roman"/>
              <w:color w:val="000000" w:themeColor="text1"/>
              <w:kern w:val="28"/>
              <w:highlight w:val="none"/>
              <w:lang w:eastAsia="zh-CN"/>
              <w14:textFill>
                <w14:solidFill>
                  <w14:schemeClr w14:val="tx1"/>
                </w14:solidFill>
              </w14:textFill>
            </w:rPr>
            <w:t>）</w:t>
          </w:r>
          <w:r>
            <w:rPr>
              <w:rFonts w:hint="eastAsia" w:ascii="Times New Roman" w:hAnsi="Times New Roman" w:eastAsia="楷体" w:cs="Times New Roman"/>
              <w:color w:val="000000" w:themeColor="text1"/>
              <w:kern w:val="28"/>
              <w:highlight w:val="none"/>
              <w14:textFill>
                <w14:solidFill>
                  <w14:schemeClr w14:val="tx1"/>
                </w14:solidFill>
              </w14:textFill>
            </w:rPr>
            <w:t>项目过程情况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_Toc10564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27</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639A1B48">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_Toc2441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（三）项目产出情况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_Toc2441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30</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285AC912">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_Toc19424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color w:val="000000" w:themeColor="text1"/>
              <w:kern w:val="28"/>
              <w:highlight w:val="none"/>
              <w:lang w:val="en-US" w:eastAsia="zh-CN"/>
              <w14:textFill>
                <w14:solidFill>
                  <w14:schemeClr w14:val="tx1"/>
                </w14:solidFill>
              </w14:textFill>
            </w:rPr>
            <w:t>（四）项目效益情况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_Toc19424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32</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28EABBB7">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_Toc23313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bCs/>
              <w:color w:val="000000" w:themeColor="text1"/>
              <w:kern w:val="28"/>
              <w:highlight w:val="none"/>
              <w:lang w:val="en-US" w:eastAsia="zh-CN"/>
              <w14:textFill>
                <w14:solidFill>
                  <w14:schemeClr w14:val="tx1"/>
                </w14:solidFill>
              </w14:textFill>
            </w:rPr>
            <w:t>（五）满意度指标完成情况分析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_Toc23313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33</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1E847F20">
          <w:pPr>
            <w:pStyle w:val="10"/>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_Toc6622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五、主要经验及做法、存在的问题及原因分析</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_Toc6622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33</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7F56B39E">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_Toc15449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bCs/>
              <w:color w:val="000000" w:themeColor="text1"/>
              <w:kern w:val="28"/>
              <w:highlight w:val="none"/>
              <w:lang w:val="en-US" w:eastAsia="zh-CN"/>
              <w14:textFill>
                <w14:solidFill>
                  <w14:schemeClr w14:val="tx1"/>
                </w14:solidFill>
              </w14:textFill>
            </w:rPr>
            <w:t>（一）主要经验及做法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_Toc15449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33</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1991B234">
          <w:pPr>
            <w:pStyle w:val="10"/>
            <w:tabs>
              <w:tab w:val="right" w:leader="dot" w:pos="8844"/>
            </w:tabs>
            <w:rPr>
              <w:color w:val="000000" w:themeColor="text1"/>
              <w:highlight w:val="none"/>
              <w14:textFill>
                <w14:solidFill>
                  <w14:schemeClr w14:val="tx1"/>
                </w14:solidFill>
              </w14:textFill>
            </w:rPr>
          </w:pPr>
          <w:r>
            <w:rPr>
              <w:rFonts w:hint="eastAsia"/>
              <w:color w:val="000000" w:themeColor="text1"/>
              <w:szCs w:val="28"/>
              <w:highlight w:val="none"/>
              <w:lang w:val="en-US" w:eastAsia="zh-CN"/>
              <w14:textFill>
                <w14:solidFill>
                  <w14:schemeClr w14:val="tx1"/>
                </w14:solidFill>
              </w14:textFill>
            </w:rPr>
            <w:fldChar w:fldCharType="begin"/>
          </w:r>
          <w:r>
            <w:rPr>
              <w:rFonts w:hint="eastAsia"/>
              <w:color w:val="000000" w:themeColor="text1"/>
              <w:szCs w:val="28"/>
              <w:highlight w:val="none"/>
              <w:lang w:val="en-US" w:eastAsia="zh-CN"/>
              <w14:textFill>
                <w14:solidFill>
                  <w14:schemeClr w14:val="tx1"/>
                </w14:solidFill>
              </w14:textFill>
            </w:rPr>
            <w:instrText xml:space="preserve"> HYPERLINK \l _Toc29168 </w:instrText>
          </w:r>
          <w:r>
            <w:rPr>
              <w:rFonts w:hint="eastAsia"/>
              <w:color w:val="000000" w:themeColor="text1"/>
              <w:szCs w:val="28"/>
              <w:highlight w:val="none"/>
              <w:lang w:val="en-US" w:eastAsia="zh-CN"/>
              <w14:textFill>
                <w14:solidFill>
                  <w14:schemeClr w14:val="tx1"/>
                </w14:solidFill>
              </w14:textFill>
            </w:rPr>
            <w:fldChar w:fldCharType="separate"/>
          </w:r>
          <w:r>
            <w:rPr>
              <w:rFonts w:hint="eastAsia" w:ascii="Times New Roman" w:hAnsi="Times New Roman" w:eastAsia="楷体_GB2312" w:cs="Times New Roman"/>
              <w:bCs/>
              <w:color w:val="000000" w:themeColor="text1"/>
              <w:kern w:val="28"/>
              <w:highlight w:val="none"/>
              <w:lang w:val="en-US" w:eastAsia="zh-CN"/>
              <w14:textFill>
                <w14:solidFill>
                  <w14:schemeClr w14:val="tx1"/>
                </w14:solidFill>
              </w14:textFill>
            </w:rPr>
            <w:t>（二）存在的问题及原因分析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_Toc29168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33</w:t>
          </w:r>
          <w:r>
            <w:rPr>
              <w:color w:val="000000" w:themeColor="text1"/>
              <w:highlight w:val="none"/>
              <w14:textFill>
                <w14:solidFill>
                  <w14:schemeClr w14:val="tx1"/>
                </w14:solidFill>
              </w14:textFill>
            </w:rPr>
            <w:fldChar w:fldCharType="end"/>
          </w:r>
          <w:r>
            <w:rPr>
              <w:rFonts w:hint="eastAsia"/>
              <w:color w:val="000000" w:themeColor="text1"/>
              <w:szCs w:val="28"/>
              <w:highlight w:val="none"/>
              <w:lang w:val="en-US" w:eastAsia="zh-CN"/>
              <w14:textFill>
                <w14:solidFill>
                  <w14:schemeClr w14:val="tx1"/>
                </w14:solidFill>
              </w14:textFill>
            </w:rPr>
            <w:fldChar w:fldCharType="end"/>
          </w:r>
        </w:p>
        <w:p w14:paraId="740F1495">
          <w:pPr>
            <w:pStyle w:val="10"/>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_Toc3333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六、有关建议</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_Toc3333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33</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2DBAE4F1">
          <w:pPr>
            <w:pStyle w:val="10"/>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_Toc14256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val="0"/>
              <w:color w:val="000000" w:themeColor="text1"/>
              <w:highlight w:val="none"/>
              <w:shd w:val="clear" w:color="auto" w:fill="auto"/>
              <w:lang w:val="en-US" w:eastAsia="zh-CN"/>
              <w14:textFill>
                <w14:solidFill>
                  <w14:schemeClr w14:val="tx1"/>
                </w14:solidFill>
              </w14:textFill>
            </w:rPr>
            <w:t>七、其他需要说明的问题</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_Toc14256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33</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57FE964F">
          <w:pPr>
            <w:pStyle w:val="10"/>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_Toc28971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color w:val="000000" w:themeColor="text1"/>
              <w:highlight w:val="none"/>
              <w:shd w:val="clear" w:color="auto" w:fill="auto"/>
              <w:lang w:val="en-US" w:eastAsia="zh-CN"/>
              <w14:textFill>
                <w14:solidFill>
                  <w14:schemeClr w14:val="tx1"/>
                </w14:solidFill>
              </w14:textFill>
            </w:rPr>
            <w:t>附件一、项目支出绩效自评表</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_Toc28971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35</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792CC8F2">
          <w:pPr>
            <w:pStyle w:val="10"/>
            <w:tabs>
              <w:tab w:val="right" w:leader="dot" w:pos="8844"/>
            </w:tabs>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begin"/>
          </w:r>
          <w:r>
            <w:rPr>
              <w:rFonts w:hint="eastAsia" w:ascii="黑体" w:hAnsi="黑体" w:eastAsia="黑体" w:cs="黑体"/>
              <w:color w:val="000000" w:themeColor="text1"/>
              <w:szCs w:val="28"/>
              <w:highlight w:val="none"/>
              <w:lang w:val="en-US" w:eastAsia="zh-CN"/>
              <w14:textFill>
                <w14:solidFill>
                  <w14:schemeClr w14:val="tx1"/>
                </w14:solidFill>
              </w14:textFill>
            </w:rPr>
            <w:instrText xml:space="preserve"> HYPERLINK \l _Toc11223 </w:instrText>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separate"/>
          </w:r>
          <w:r>
            <w:rPr>
              <w:rFonts w:hint="eastAsia" w:ascii="黑体" w:hAnsi="黑体" w:eastAsia="黑体" w:cs="黑体"/>
              <w:bCs/>
              <w:color w:val="000000" w:themeColor="text1"/>
              <w:highlight w:val="none"/>
              <w:shd w:val="clear" w:color="auto" w:fill="auto"/>
              <w:lang w:val="en-US" w:eastAsia="zh-CN"/>
              <w14:textFill>
                <w14:solidFill>
                  <w14:schemeClr w14:val="tx1"/>
                </w14:solidFill>
              </w14:textFill>
            </w:rPr>
            <w:t>附件二、项目支出绩效评价指标体系打分表</w:t>
          </w:r>
          <w:r>
            <w:rPr>
              <w:rFonts w:hint="eastAsia" w:ascii="黑体" w:hAnsi="黑体" w:eastAsia="黑体" w:cs="黑体"/>
              <w:color w:val="000000" w:themeColor="text1"/>
              <w:highlight w:val="none"/>
              <w14:textFill>
                <w14:solidFill>
                  <w14:schemeClr w14:val="tx1"/>
                </w14:solidFill>
              </w14:textFill>
            </w:rPr>
            <w:tab/>
          </w:r>
          <w:r>
            <w:rPr>
              <w:rFonts w:hint="eastAsia" w:ascii="黑体" w:hAnsi="黑体" w:eastAsia="黑体" w:cs="黑体"/>
              <w:color w:val="000000" w:themeColor="text1"/>
              <w:highlight w:val="none"/>
              <w14:textFill>
                <w14:solidFill>
                  <w14:schemeClr w14:val="tx1"/>
                </w14:solidFill>
              </w14:textFill>
            </w:rPr>
            <w:fldChar w:fldCharType="begin"/>
          </w:r>
          <w:r>
            <w:rPr>
              <w:rFonts w:hint="eastAsia" w:ascii="黑体" w:hAnsi="黑体" w:eastAsia="黑体" w:cs="黑体"/>
              <w:color w:val="000000" w:themeColor="text1"/>
              <w:highlight w:val="none"/>
              <w14:textFill>
                <w14:solidFill>
                  <w14:schemeClr w14:val="tx1"/>
                </w14:solidFill>
              </w14:textFill>
            </w:rPr>
            <w:instrText xml:space="preserve"> PAGEREF _Toc11223 \h </w:instrText>
          </w:r>
          <w:r>
            <w:rPr>
              <w:rFonts w:hint="eastAsia" w:ascii="黑体" w:hAnsi="黑体" w:eastAsia="黑体" w:cs="黑体"/>
              <w:color w:val="000000" w:themeColor="text1"/>
              <w:highlight w:val="none"/>
              <w14:textFill>
                <w14:solidFill>
                  <w14:schemeClr w14:val="tx1"/>
                </w14:solidFill>
              </w14:textFill>
            </w:rPr>
            <w:fldChar w:fldCharType="separate"/>
          </w:r>
          <w:r>
            <w:rPr>
              <w:rFonts w:hint="eastAsia" w:ascii="黑体" w:hAnsi="黑体" w:eastAsia="黑体" w:cs="黑体"/>
              <w:color w:val="000000" w:themeColor="text1"/>
              <w:highlight w:val="none"/>
              <w14:textFill>
                <w14:solidFill>
                  <w14:schemeClr w14:val="tx1"/>
                </w14:solidFill>
              </w14:textFill>
            </w:rPr>
            <w:t>39</w:t>
          </w:r>
          <w:r>
            <w:rPr>
              <w:rFonts w:hint="eastAsia" w:ascii="黑体" w:hAnsi="黑体" w:eastAsia="黑体" w:cs="黑体"/>
              <w:color w:val="000000" w:themeColor="text1"/>
              <w:highlight w:val="none"/>
              <w14:textFill>
                <w14:solidFill>
                  <w14:schemeClr w14:val="tx1"/>
                </w14:solidFill>
              </w14:textFill>
            </w:rPr>
            <w:fldChar w:fldCharType="end"/>
          </w:r>
          <w:r>
            <w:rPr>
              <w:rFonts w:hint="eastAsia" w:ascii="黑体" w:hAnsi="黑体" w:eastAsia="黑体" w:cs="黑体"/>
              <w:color w:val="000000" w:themeColor="text1"/>
              <w:szCs w:val="28"/>
              <w:highlight w:val="none"/>
              <w:lang w:val="en-US" w:eastAsia="zh-CN"/>
              <w14:textFill>
                <w14:solidFill>
                  <w14:schemeClr w14:val="tx1"/>
                </w14:solidFill>
              </w14:textFill>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000000" w:themeColor="text1"/>
              <w:highlight w:val="none"/>
              <w:lang w:val="en-US" w:eastAsia="zh-CN"/>
              <w14:textFill>
                <w14:solidFill>
                  <w14:schemeClr w14:val="tx1"/>
                </w14:solidFill>
              </w14:textFill>
            </w:rPr>
            <w:sectPr>
              <w:pgSz w:w="11906" w:h="16838"/>
              <w:pgMar w:top="1928" w:right="1531" w:bottom="1701" w:left="1531" w:header="737" w:footer="851" w:gutter="0"/>
              <w:cols w:space="720" w:num="1"/>
              <w:docGrid w:type="lines" w:linePitch="408" w:charSpace="0"/>
            </w:sectPr>
          </w:pPr>
          <w:r>
            <w:rPr>
              <w:rFonts w:hint="eastAsia"/>
              <w:color w:val="000000" w:themeColor="text1"/>
              <w:szCs w:val="28"/>
              <w:highlight w:val="none"/>
              <w:lang w:val="en-US" w:eastAsia="zh-CN"/>
              <w14:textFill>
                <w14:solidFill>
                  <w14:schemeClr w14:val="tx1"/>
                </w14:solidFill>
              </w14:textFill>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3663"/>
      <w:bookmarkStart w:id="5" w:name="_Toc1194"/>
      <w:bookmarkStart w:id="6" w:name="_Toc20432"/>
      <w:bookmarkStart w:id="7" w:name="_Toc22946"/>
      <w:r>
        <w:rPr>
          <w:rFonts w:hint="eastAsia" w:cs="宋体"/>
          <w:b/>
          <w:bCs/>
          <w:color w:val="000000" w:themeColor="text1"/>
          <w:sz w:val="36"/>
          <w:szCs w:val="36"/>
          <w:highlight w:val="none"/>
          <w:shd w:val="clear" w:color="auto" w:fill="auto"/>
          <w:lang w:val="en-US" w:eastAsia="zh-CN"/>
          <w14:textFill>
            <w14:solidFill>
              <w14:schemeClr w14:val="tx1"/>
            </w14:solidFill>
          </w14:textFill>
        </w:rPr>
        <w:t>历年陈欠工程</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9" w:name="_Toc23184"/>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5043"/>
      <w:bookmarkStart w:id="11" w:name="_Toc29812"/>
      <w:bookmarkStart w:id="12" w:name="_Toc10645"/>
      <w:bookmarkStart w:id="13" w:name="_Toc2234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154C2D8E">
      <w:pPr>
        <w:bidi w:val="0"/>
        <w:ind w:left="0" w:leftChars="0" w:firstLine="562" w:firstLineChars="200"/>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（1）2016年棚户区改造项目</w:t>
      </w:r>
    </w:p>
    <w:p w14:paraId="4457289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党的十六届四中全会提出全面构建和谐社会，按照民主法治、科学发展、安定有序、维稳优先的方针，加快推进和谐社会建设。加快城市和国有工矿棚户区以及农场、林场、牧场危旧房的改造，是保障性安居工程建设的重要内容。是扩内需、保增长、惠民生的重要措施。加快棚户区改造步伐，尽快改善棚户区居民的居住条件，对进一步改善低收入居民的住房条件，保障居民生命财产安全，提高城市抗震防灾综合能力，改善城市风貌，促进经济和社会各项事业又快又好发展具有重大的现实意义。</w:t>
      </w:r>
    </w:p>
    <w:p w14:paraId="7D57A94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从2007年以来，中央加大了对中西部地区城市住房保障工作的支持力度，各地区高度重视、抓住机遇、认真研究政策，做到保障项目贯彻落实、资金足额投入，争取得到国家城市住房保障投资和补助资金；税收、金融等部门研究制定相关政策，支持自治区城市住房保障制度建设。同时，发改、财政、建设、国土、民政等部门加强协调沟通，共同做好中央预算内投资补助中央财政住房保障专项补助资金的申报落实工作。</w:t>
      </w:r>
    </w:p>
    <w:p w14:paraId="47A6BD7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自实施住房制度改革以来.新疆维吾尔自治区城市住房建设持续快速发展，以经济适用住房（安居工程）、公共租赁住房、解危解困住房、住房公积金等为主要内容的住房保障制度建设力度不断加大，保障水平进一步提高，城市居民住房条件得到明显改善。但是城市住房保障制度建设相对滞后，主要是公租住房保障范围小、覆盖面低，城市低收入家庭住房仍然比较困难，为了贯彻《国务院关于解决城市低收入家庭住房困难的若干意见》国发［2007］24号）的精神，自治区人民政府发布了《贯彻国务院关于解决城市低收入家庭住房困难若干意见的实施意见》（新政发［2007］73号），切实解决城市低收入家庭住房困难问题，加快建立和完善城市住房保障体系，满足城市低收入家庭住房基本要求，全面建设小康社会和构建和谐新疆。</w:t>
      </w:r>
    </w:p>
    <w:p w14:paraId="600D73C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新疆维吾尔自治区在“十二五”期间开始全面推进棚户区的改造，决心大，气魄大，投入力度也越来越大。通过近两年多来的扎实工作，“政府主导、先征后拆、连片开发”的棚户区改造已取得突破性的进展，改变了一大批困难群众恶劣的居住和生活条件，显著提高了他们的生活质量。在推进棚户区的改造中，探索出许多值得借鉴的好经验、好做法，得到了棚户区居民的肯定，如：先安置，后拆迁，最大限度节约搬迁户的生活成本；把棚户区改造与基础设施建设、环境治理结合起来；召开听证会，问计于民，使以人为本的理念体现在棚户区改造的每个环节；努力创造宜居环境，实现现代人与现代居住环境的一体化。自治区还要组织开展棚户区改造的住房制度的检查，重点检查工作规划和制度的制定实施情况。许多棚户区在改造前，开门就是垃圾堆，污水横流，苍蝇蚊子成群，重建后的社区，不仅市容环境发生了翻天覆地的变化，人们的精神风貌也不可同日而语。</w:t>
      </w:r>
    </w:p>
    <w:p w14:paraId="609D434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前阜康市城区依然存在大量的棚户区，房屋基础设施较为落后，多数房屋由于使用年限久，建设标准低，年久失修，基本上已成为危旧房，存在居住安全隐患；多数房屋户均面积狭小，不成套，基本没有排水设施，没有集中供暖，没有卫生间，生活条件简陋，居住环境较为恶劣，排水不畅、阴暗潮湿、乱搭乱建、乱堆垃圾，烧饭取暖用煤，冬不保暖，夏不挡风遮雨，环境污染十分严重；道路狭窄，无法硬化，雨天泥泞不堪；给阜康市各族人民群众生活带来严重威胁和隐患。</w:t>
      </w:r>
    </w:p>
    <w:p w14:paraId="1E208A1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近年来，阜康市经济和社会发展速度加快，城市建设日新月异。但是在城市还有相当一部分群众却始终多年生活在恶劣的条件下，与绝大多数群众日益提高的生活水平特别是居住水平反差极大。同时这些危旧房的存在，与城市整体形象、文明档次极不协调，使城市人居环境大打折扣。所以本次项目建设作为阜康市城镇保障性安居工程的一个重要组成部分，已经势在必行。</w:t>
      </w:r>
    </w:p>
    <w:p w14:paraId="0F719C07">
      <w:pPr>
        <w:keepNext w:val="0"/>
        <w:keepLines w:val="0"/>
        <w:pageBreakBefore w:val="0"/>
        <w:widowControl w:val="0"/>
        <w:kinsoku/>
        <w:wordWrap/>
        <w:overflowPunct/>
        <w:topLinePunct w:val="0"/>
        <w:autoSpaceDE/>
        <w:autoSpaceDN/>
        <w:bidi w:val="0"/>
        <w:adjustRightInd/>
        <w:snapToGrid/>
        <w:spacing w:line="560" w:lineRule="exact"/>
        <w:ind w:left="0" w:leftChars="0" w:firstLine="56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（2）2017年棚户区改造项目</w:t>
      </w:r>
    </w:p>
    <w:p w14:paraId="375C2A2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十八大以来，党和国家按照民主法治、科学发展、安定有序、维稳优先的方针，加快推进和谐社会建设。加快城市和国有工矿棚户区以及农场、林场、牧场危旧房的改造，是保障性安居工程建设的重要内容。是扩内需、保增长、惠民生的重要措施。加快棚户区改造步伐，尽快改善棚户区居民的居住条件，对进一步改善低收入居民的住房条件，保障居民生命财产安全，提高城市抗震防灾综合能力，改善城市风貌，促进经济和社会各项事业又快又好发展具有重大的现实意义。</w:t>
      </w:r>
    </w:p>
    <w:p w14:paraId="2EE2B63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从2007年以来，中央加大了对中西部地区城市住房保障工作的支持力度，各地区高度重视、抓住机遇、认真研究政策，做到保障项目贯彻落实、资金足额投入，争取得到国家城市住房保障投资和补助资金；税收、金融等部门研究制定相关政策，支持自治区城市住房保障制度建设。同时，发改、财政、建设、国土、民政等部门加强协调沟通，共同做好中央预算内投资补助中央财政住房保障专项补助资金的申报落实工作。</w:t>
      </w:r>
    </w:p>
    <w:p w14:paraId="2B8AB8A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自实施住房制度改革以来.新疆维吾尔自治区城市住房建设持续快速发展，以经济适用住房（安居工程）、公共租赁住房、解危解困住房、住房公积金等为主要内容的住房保障制度建设力度不断加大，保障水平进一步提高，城市居民住房条件得到明显改善。但是城市住房保障制度建设相对滞后，主要是公租住房保障范围小、覆盖面低，城市低收入家庭住房仍然比较困难，为了贯彻《国务院关于解决城市低收入家庭住房困难的若干意见》国发［2007］24号）的精神，自治区人民政府发布了《贯彻国务院关于解决城市低收入家庭住房困难若干意见的实施意见》（新政发［2007］73号），切实解决城市低收入家庭住房困难问题，加快建立和完善城市住房保障体系，满足城市低收入家庭住房基本要求，全面建设小康社会和构建和谐新疆。</w:t>
      </w:r>
    </w:p>
    <w:p w14:paraId="2A22E6D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新疆维吾尔自治区在“十三五”期间开始全面推进棚户区的改造，决心大，气魄大，投入力度也越来越大。通过近两年多来的扎实工作，“政府主导、先征后拆、连片开发”的棚户区改造已取得突破性的进展，改变了一大批困难群众恶劣的居住和生活条件，显著提高了他们的生活质量。在推进棚户区的改造中，探索出许多值得借鉴的好经验、好做法，得到了棚户区居民的肯定，如：先安置，后拆迁，最大限度节约搬迁户的生活成本；把棚户区改造与基础设施建设、环境治理结合起来；召开听证会，问计于民，使以人为本的理念体现在棚户区改造的每个环节；努力创造宜居环境，实现现代人与现代居住环境的一体化。自治区还要组织开展棚户区改造的住房制度的检查，重点检查工作规划和制度的制定实施情况。许多棚户区在改造前，开门就是垃圾堆，污水横流，苍蝇蚊子成群，重建后的社区，不仅市容环境发生了翻天覆地的变化，人们的精神风貌也不可同日而语。</w:t>
      </w:r>
    </w:p>
    <w:p w14:paraId="298DACD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前阜康市城区依然存在大量的棚户区，房屋基础设施较为落后，多数房屋由于使用年限久，建设标准低，年久失修，基本上已成为危旧房，存在居住安全隐患；多数房屋户均面积狭小，不成套，基本没有排水设施，没有集中供暖，没有卫生间，生活条件简陋，居住</w:t>
      </w:r>
    </w:p>
    <w:p w14:paraId="5B22BFA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环境较为恶劣，排水不畅、阴暗潮湿、乱搭乱建、乱堆垃圾，烧饭取暖用煤，冬不保暖，夏不挡风遮雨，环境污染十分严重；道路狭窄，无法硬化，雨天泥泞不堪；给阜康市各族人民群众生活带来严重威胁和隐患。</w:t>
      </w:r>
    </w:p>
    <w:p w14:paraId="378CE6B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近年来，阜康市经济和社会发展速度加快，城市建设日新月异。但是在城市还有相当一部分群众却始终多年生活在恶劣的条件下，与绝大多数群众日益提高的生活水平特别是居住水平反差极大。同时这些危旧房的存在，与城市整体形象、文明档次极不协调，使城市人居环境大打折扣。所以本次项目建设作为阜康市城镇保障性安居工程的一个重要组成部分，已经势在必行。</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630"/>
      <w:bookmarkStart w:id="15" w:name="_Toc17880"/>
      <w:bookmarkStart w:id="16" w:name="_Toc27343"/>
      <w:bookmarkStart w:id="17" w:name="_Toc107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7941B85">
      <w:pPr>
        <w:bidi w:val="0"/>
        <w:ind w:left="0" w:leftChars="0" w:firstLine="640" w:firstLineChars="200"/>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18" w:name="_Toc27409"/>
      <w:bookmarkStart w:id="19" w:name="_Toc27245"/>
      <w:bookmarkStart w:id="20" w:name="_Toc21898"/>
      <w:bookmarkStart w:id="21" w:name="_Toc1659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项目主要内容：</w:t>
      </w:r>
      <w:bookmarkEnd w:id="18"/>
      <w:bookmarkEnd w:id="19"/>
      <w:bookmarkEnd w:id="20"/>
      <w:bookmarkEnd w:id="21"/>
    </w:p>
    <w:p w14:paraId="07382A1A">
      <w:pPr>
        <w:bidi w:val="0"/>
        <w:ind w:left="0" w:leftChars="0" w:firstLine="562" w:firstLineChars="200"/>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（1）2016年棚户区改造项目</w:t>
      </w:r>
    </w:p>
    <w:p w14:paraId="4EB186A0">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根据《关于印发2016年自治区城镇保障性安居工程建设计划的通知》（新住保办［2016］1号）、《关于将阜康市2016-2017年棚户区改造工程列入全国棚户区改造计划的确认函》（新住保办函［2016］7号），本次棚户区改造计划为2000户。</w:t>
      </w:r>
    </w:p>
    <w:p w14:paraId="4C66EC0D">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本次棚户区改造片区占地面积444123.61㎡（666.18亩），征收户数2000户，群众人数7263人；征收房屋总建筑面积305943.00㎡，其中砖混结构201706.10㎡、砖木结构104236.90㎡。</w:t>
      </w:r>
    </w:p>
    <w:p w14:paraId="0FF4AA65">
      <w:pPr>
        <w:bidi w:val="0"/>
        <w:ind w:left="0" w:leftChars="0" w:firstLine="562" w:firstLineChars="200"/>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（2）2017年棚户区改造项目</w:t>
      </w:r>
    </w:p>
    <w:p w14:paraId="514B0EA2">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根据《自治区实施国有土地上房屋征收与补偿办法》、《关于印发2017年自治区城镇保障性安居工程建设计划的通知》（阜政函［2016］96号）、《关于将阜康市2016-2017年棚户区改造工程列入全国棚户区改造计划的确认函》（阜政函［2016］129号），本次棚户区改造计划为一期2000户及其棚户区红线范围内市政基础设施。</w:t>
      </w:r>
    </w:p>
    <w:p w14:paraId="46B9F3A3">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①棚户区房屋征收工程</w:t>
      </w:r>
    </w:p>
    <w:p w14:paraId="24E7035C">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根据阜康市2017年棚户区改造计划，本项目棚户区改造户数为2000户，安置方式均采用纯货币补偿方式。</w:t>
      </w:r>
    </w:p>
    <w:p w14:paraId="06A1E3DA">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本次棚户区改造片区占地面积738666.67㎡，约1108亩，征收群众户数2000户，征收人数7195人，征收房屋总建筑面积289810.00㎡，其中：城市危房改造量为544户／套、老旧棚户为1056户／套，全国重点镇棚户区为200户／套，阜康市已将2017年棚户区一期改造项目列入2017年重点民生项目。</w:t>
      </w:r>
    </w:p>
    <w:p w14:paraId="69902BB5">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②配套基础设施工程</w:t>
      </w:r>
    </w:p>
    <w:p w14:paraId="7E165E56">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本项目配套基础设施包括项目区红线内道路及人行道、亮化、绿化工程、供排水、电力、通讯、供热、燃气、绿化灌溉渠道、硬化工程等。达到土地七通一平的建设标准</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w:t>
      </w:r>
    </w:p>
    <w:p w14:paraId="3155AA3C">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shd w:val="clear" w:color="auto" w:fill="auto"/>
          <w:lang w:val="en-US" w:eastAsia="zh-CN"/>
          <w14:textFill>
            <w14:solidFill>
              <w14:schemeClr w14:val="tx1"/>
            </w14:solidFill>
          </w14:textFill>
        </w:rPr>
        <w:t>项目实施情况：</w:t>
      </w:r>
      <w:r>
        <w:rPr>
          <w:rFonts w:hint="eastAsia" w:ascii="Times New Roman" w:hAnsi="Times New Roman" w:eastAsia="仿宋_GB2312" w:cs="Times New Roman"/>
          <w:b w:val="0"/>
          <w:bCs w:val="0"/>
          <w:color w:val="000000" w:themeColor="text1"/>
          <w:kern w:val="2"/>
          <w:sz w:val="32"/>
          <w:szCs w:val="32"/>
          <w:highlight w:val="none"/>
          <w:lang w:val="en-US" w:eastAsia="zh-CN" w:bidi="ar-SA"/>
          <w14:textFill>
            <w14:solidFill>
              <w14:schemeClr w14:val="tx1"/>
            </w14:solidFill>
          </w14:textFill>
        </w:rPr>
        <w:t>本</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项目自2016年4月29日，经局党组会议，确定了项目领导小组，明确了责任分工：组长为孔其峰，副组长为杨立勇，项目负责人为任俊新，组员为邵红燕、何刚，其中：孙建荣负责监管工作，杨佳鹏负责项目档案资料，张茜负责资金拨付工作</w:t>
      </w:r>
      <w:bookmarkStart w:id="22" w:name="_Toc12348"/>
      <w:bookmarkStart w:id="23" w:name="_Toc569"/>
      <w:bookmarkStart w:id="24" w:name="_Toc10240"/>
      <w:bookmarkStart w:id="25" w:name="_Toc1858"/>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w:t>
      </w:r>
    </w:p>
    <w:p w14:paraId="6DB630F1">
      <w:pPr>
        <w:pStyle w:val="5"/>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26" w:name="_Toc26369"/>
      <w:bookmarkStart w:id="27" w:name="_Toc23509"/>
      <w:bookmarkStart w:id="28" w:name="_Toc694"/>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（1）资金投入情况</w:t>
      </w:r>
      <w:bookmarkEnd w:id="26"/>
      <w:bookmarkEnd w:id="27"/>
      <w:bookmarkEnd w:id="28"/>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29" w:name="_Toc29190"/>
      <w:bookmarkStart w:id="30" w:name="_Toc5573"/>
      <w:bookmarkStart w:id="31" w:name="_Toc9464"/>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该项目年初预算数99864.40万元，全年预算数42981.70万元，该项目资金已全部落实到位，资金来源为财政拨款。</w:t>
      </w:r>
      <w:bookmarkEnd w:id="29"/>
      <w:bookmarkEnd w:id="30"/>
      <w:bookmarkEnd w:id="31"/>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32" w:name="_Toc3409"/>
      <w:bookmarkStart w:id="33" w:name="_Toc28187"/>
      <w:bookmarkStart w:id="34" w:name="_Toc1166"/>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35" w:name="_Toc29121"/>
      <w:bookmarkStart w:id="36" w:name="_Toc1430"/>
      <w:bookmarkStart w:id="37" w:name="_Toc11647"/>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该项目年初预算数99864.40万元，全年预算数42981.70万元，</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截至2024年12月31日，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全年执行数42981.70万元，预算执行率为100%，主要用于：</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偿还阜康市2015年棚户区改造项目资金，阜康市2016年棚户区改造项目资金，阜康市2017年棚户区改造项目资金，化解阳光花园小区工程欠款。</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38" w:name="_Toc9109"/>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4758"/>
      <w:bookmarkStart w:id="40" w:name="_Toc2547"/>
      <w:bookmarkStart w:id="41" w:name="_Toc10047"/>
      <w:bookmarkStart w:id="42" w:name="_Toc852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历年陈欠工程项目绩效总体目标为：阜康市住房和城乡建设局2024年预计完成：1.阜康市2015年棚户区改造项目资金74.93万元。2.阜康市2016年棚户区改造项目资金1120万元。3.阜康市2017年棚户区改造项目资金41436.29万元。4.化解阳光花园小区工程欠款350.48万元。计划共化解工程项目4个，化解项目涉及企业3个，项目的实施预计达到化解单位债务，提升单位和政府形象，完善政府债务化解机制。</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487"/>
      <w:bookmarkStart w:id="44" w:name="_Toc4007"/>
      <w:bookmarkStart w:id="45" w:name="_Toc3255"/>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16A61C6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化解债务项目数量”指标，预期目标值为&lt;=4个；</w:t>
      </w:r>
    </w:p>
    <w:p w14:paraId="5C496B48">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化解项目涉及企业”指</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预期目标值为&lt;=3个</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14:paraId="7363FD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18D083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“资金使用合规率”指标，预期目标值为=100%；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122795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“任务完成时间”指标，预期目标值为=2024年8月；</w:t>
      </w:r>
    </w:p>
    <w:p w14:paraId="2356E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“资金支付及时率”指标，预期目标值为=100%；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0ED89B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“阜康市2015年棚户区改造项目资金”指标，预期目标值为&lt;=74.93万元；</w:t>
      </w:r>
    </w:p>
    <w:p w14:paraId="6BDB69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“阜康市2016年棚户区改造项目资金”指标，预期目标值为&lt;=1120万元；</w:t>
      </w:r>
    </w:p>
    <w:p w14:paraId="66B564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“阜康市2017年棚户区改造项目资金”指标，预期目标值为&lt;=41436.29万元；</w:t>
      </w:r>
    </w:p>
    <w:p w14:paraId="5394F3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“化解阳光花园小区工程欠款”指标，预期目标值为&lt;=350.48万元；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1C7333F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本项目不涉及经济效益指标；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化解单位债务，提升单位和政府形象”指标，预期目标值为=100%；</w:t>
      </w:r>
    </w:p>
    <w:p w14:paraId="05BC6059">
      <w:pPr>
        <w:pageBreakBefore w:val="0"/>
        <w:widowControl w:val="0"/>
        <w:kinsoku/>
        <w:wordWrap/>
        <w:overflowPunct/>
        <w:topLinePunct w:val="0"/>
        <w:autoSpaceDE/>
        <w:autoSpaceDN/>
        <w:bidi w:val="0"/>
        <w:adjustRightInd/>
        <w:snapToGrid/>
        <w:spacing w:line="560" w:lineRule="exact"/>
        <w:textAlignment w:val="auto"/>
        <w:rPr>
          <w:rFonts w:hint="eastAsia"/>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完善政府债务化解机制”指标，预期目标值为=100%；</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③生态效益指标</w:t>
      </w:r>
    </w:p>
    <w:p w14:paraId="6C0380D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本项目不涉及生态效益指标；</w:t>
      </w:r>
    </w:p>
    <w:p w14:paraId="7FD2AC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④可持续影响</w:t>
      </w:r>
    </w:p>
    <w:p w14:paraId="52C5E1A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本项目不涉及可持续影响；</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⑤满意度指标</w:t>
      </w:r>
    </w:p>
    <w:p w14:paraId="3FEE70E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7" w:name="_Toc2656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本项目不涉及满意度指标。</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48" w:name="_Toc480473081"/>
      <w:bookmarkStart w:id="49" w:name="_Toc5462343"/>
      <w:bookmarkStart w:id="50" w:name="_Toc22169_WPSOffice_Level2"/>
      <w:bookmarkStart w:id="51" w:name="_Toc21664"/>
      <w:bookmarkStart w:id="52" w:name="_Toc22922"/>
      <w:bookmarkStart w:id="53" w:name="_Toc12868"/>
      <w:bookmarkStart w:id="54" w:name="_Toc5258"/>
      <w:bookmarkStart w:id="55" w:name="_Toc26632"/>
      <w:bookmarkStart w:id="56" w:name="_Toc22839"/>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pPr>
      <w:bookmarkStart w:id="57" w:name="_Toc15732"/>
      <w:r>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bookmarkStart w:id="60" w:name="_Toc30609"/>
      <w:r>
        <w:rPr>
          <w:rFonts w:hint="default" w:ascii="Times New Roman" w:hAnsi="Times New Roman" w:eastAsia="仿宋_GB2312" w:cs="Times New Roman"/>
          <w:color w:val="000000" w:themeColor="text1"/>
          <w:sz w:val="32"/>
          <w:szCs w:val="32"/>
          <w:highlight w:val="none"/>
          <w14:textFill>
            <w14:solidFill>
              <w14:schemeClr w14:val="tx1"/>
            </w14:solidFill>
          </w14:textFill>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文件要求对2024年度我单位实施的历年陈欠工程项目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该项目由</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阜康市住房和城乡建设局</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负责实施，旨在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简述项目目标或预期成果</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。项目预算涵盖从</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2024年3月20日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42981.7</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000000" w:themeColor="text1"/>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65" w:name="_Toc1286"/>
      <w:bookmarkStart w:id="66" w:name="_Toc29785"/>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（二）绩效评价原则、评价指标体系（</w:t>
      </w:r>
      <w:r>
        <w:rPr>
          <w:rFonts w:hint="default" w:ascii="Times New Roman" w:hAnsi="Times New Roman" w:eastAsia="楷体_GB2312" w:cs="Times New Roman"/>
          <w:color w:val="000000" w:themeColor="text1"/>
          <w:kern w:val="28"/>
          <w:sz w:val="32"/>
          <w:highlight w:val="none"/>
          <w:lang w:val="en-US" w:eastAsia="zh-CN"/>
          <w14:textFill>
            <w14:solidFill>
              <w14:schemeClr w14:val="tx1"/>
            </w14:solidFill>
          </w14:textFill>
        </w:rPr>
        <w:t>详情见</w:t>
      </w:r>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pPr>
      <w:bookmarkStart w:id="67" w:name="_Toc13694"/>
      <w:bookmarkStart w:id="68" w:name="_Toc24506"/>
      <w:bookmarkStart w:id="69" w:name="_Toc5354"/>
      <w:r>
        <w:rPr>
          <w:rFonts w:hint="eastAsia"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依据《财政支出绩效评价管理暂行办法》（财预〔20</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20</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10</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历年陈欠工程项目</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pPr>
      <w:bookmarkStart w:id="70" w:name="_Toc24396"/>
      <w:bookmarkStart w:id="71" w:name="_Toc26131"/>
      <w:bookmarkStart w:id="72" w:name="_Toc419984722"/>
      <w:bookmarkStart w:id="73" w:name="_Toc1913"/>
      <w:bookmarkStart w:id="74" w:name="_Toc428278230"/>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bookmarkStart w:id="75" w:name="_Toc9941"/>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我单位</w:t>
      </w:r>
      <w:r>
        <w:rPr>
          <w:rFonts w:hint="eastAsia" w:ascii="仿宋_GB2312" w:hAnsi="仿宋_GB2312" w:eastAsia="仿宋_GB2312" w:cs="仿宋_GB2312"/>
          <w:color w:val="000000" w:themeColor="text1"/>
          <w:sz w:val="32"/>
          <w:szCs w:val="32"/>
          <w:highlight w:val="none"/>
          <w:lang w:val="zh-TW" w:eastAsia="zh-TW"/>
          <w14:textFill>
            <w14:solidFill>
              <w14:schemeClr w14:val="tx1"/>
            </w14:solidFill>
          </w14:textFill>
        </w:rPr>
        <w:t>根据项目的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实施</w:t>
      </w:r>
      <w:r>
        <w:rPr>
          <w:rFonts w:hint="eastAsia" w:ascii="仿宋_GB2312" w:hAnsi="仿宋_GB2312" w:eastAsia="仿宋_GB2312" w:cs="仿宋_GB2312"/>
          <w:color w:val="000000" w:themeColor="text1"/>
          <w:sz w:val="32"/>
          <w:szCs w:val="32"/>
          <w:highlight w:val="none"/>
          <w:lang w:val="zh-TW" w:eastAsia="zh-TW"/>
          <w14:textFill>
            <w14:solidFill>
              <w14:schemeClr w14:val="tx1"/>
            </w14:solidFill>
          </w14:textFill>
        </w:rPr>
        <w:t>资料研读及前期调研，结合项目的实际开展情况，最终形成了项目绩效评价指标体系</w:t>
      </w:r>
      <w:r>
        <w:rPr>
          <w:rFonts w:hint="eastAsia" w:ascii="仿宋_GB2312" w:hAnsi="仿宋_GB2312" w:eastAsia="仿宋_GB2312" w:cs="仿宋_GB2312"/>
          <w:color w:val="000000" w:themeColor="text1"/>
          <w:sz w:val="32"/>
          <w:szCs w:val="32"/>
          <w:highlight w:val="none"/>
          <w:lang w:val="zh-TW"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bookmarkStart w:id="78" w:name="_Toc25391"/>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绩效评价从项目决策、项目过程、项目产出、项目效益四个维度进行评价。评价对象为项目目标实施情况</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本次评价指标中，既有定性指标又有定量指标，各类指标因考核内容不同和客观标准不同存在较大差异，因此核定具体指标时采用了不同方法，具体评价方法如下：</w:t>
      </w:r>
    </w:p>
    <w:p w14:paraId="081FB388">
      <w:pPr>
        <w:numPr>
          <w:ilvl w:val="0"/>
          <w:numId w:val="0"/>
        </w:numPr>
        <w:spacing w:line="560" w:lineRule="exact"/>
        <w:rPr>
          <w:rFonts w:hint="default" w:ascii="Times New Roman" w:hAnsi="Times New Roman" w:eastAsia="仿宋_GB2312" w:cs="Times New Roman"/>
          <w:b w:val="0"/>
          <w:color w:val="000000" w:themeColor="text1"/>
          <w:spacing w:val="17"/>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比较法。是指将实施情况与绩效目标、历史情况、不同部门和地区同类支出情况进行比较的方法。</w:t>
      </w:r>
      <w:r>
        <w:rPr>
          <w:rFonts w:hint="default" w:ascii="Times New Roman" w:hAnsi="Times New Roman" w:eastAsia="仿宋_GB2312" w:cs="Times New Roman"/>
          <w:b w:val="0"/>
          <w:color w:val="000000" w:themeColor="text1"/>
          <w:spacing w:val="17"/>
          <w:kern w:val="2"/>
          <w:sz w:val="32"/>
          <w:szCs w:val="32"/>
          <w:highlight w:val="none"/>
          <w:lang w:val="en-US" w:eastAsia="zh-CN" w:bidi="ar-SA"/>
          <w14:textFill>
            <w14:solidFill>
              <w14:schemeClr w14:val="tx1"/>
            </w14:solidFill>
          </w14:textFill>
        </w:rPr>
        <w:t>通过将化债项目的实际效果与预定目标进行对比，能直观地反映出项目的绩效情况。</w:t>
      </w:r>
    </w:p>
    <w:p w14:paraId="162233C4">
      <w:pPr>
        <w:numPr>
          <w:ilvl w:val="0"/>
          <w:numId w:val="2"/>
        </w:numPr>
        <w:spacing w:line="560" w:lineRule="exact"/>
        <w:ind w:left="0" w:leftChars="0" w:firstLine="708" w:firstLineChars="200"/>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因素分析法。是指综合分析影响绩效目标实现、实施效果的内外部因素的方法。</w:t>
      </w:r>
    </w:p>
    <w:p w14:paraId="1A926D1E">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r>
        <w:rPr>
          <w:rFonts w:hint="default" w:ascii="Times New Roman" w:hAnsi="Times New Roman" w:eastAsia="仿宋_GB2312" w:cs="Times New Roman"/>
          <w:b w:val="0"/>
          <w:color w:val="000000" w:themeColor="text1"/>
          <w:spacing w:val="17"/>
          <w:kern w:val="2"/>
          <w:sz w:val="32"/>
          <w:szCs w:val="32"/>
          <w:highlight w:val="none"/>
          <w:lang w:val="en-US" w:eastAsia="zh-CN" w:bidi="ar-SA"/>
          <w14:textFill>
            <w14:solidFill>
              <w14:schemeClr w14:val="tx1"/>
            </w14:solidFill>
          </w14:textFill>
        </w:rPr>
        <w:t>化债项目涉及多个影响因素，如化债资金的使用效率、化债方案的合理性、政策环境的变化等。因素分析法可以将这些因素进行分解和分析，确定每个因素对项目绩效的影响程度。</w:t>
      </w:r>
    </w:p>
    <w:p w14:paraId="70DCCE3A">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）其他评价方法。</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绩效评价标准通常包括计划标准、行业标准、历史标准等，用于对绩效指标完成情况进行比较、分析、评价。</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本次评价主要采用了计划标准和其他标准。</w:t>
      </w:r>
    </w:p>
    <w:p w14:paraId="67322669">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计划标准。指以预先制定的目标、计划、预算、定额等作为评价标准。</w:t>
      </w:r>
    </w:p>
    <w:p w14:paraId="200FF264">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财政部门和预算部门确认或认可的其他标准。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81" w:name="_Toc21435"/>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pPr>
      <w:bookmarkStart w:id="82" w:name="_Toc12862"/>
      <w:r>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t>1.前期准备</w:t>
      </w:r>
      <w:bookmarkEnd w:id="82"/>
    </w:p>
    <w:p w14:paraId="793607DC">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（1）成立绩效评价项目小组</w:t>
      </w:r>
    </w:p>
    <w:p w14:paraId="445CAEA8">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83" w:name="_Toc3157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84" w:name="_Toc21240"/>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绩效评价项目小组依据此次绩效评价受委托内容，对拟评价的项目实施前期调研。通过调研对历年陈欠工程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85" w:name="_Toc27977"/>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86" w:name="_Toc19659"/>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pPr>
      <w:bookmarkStart w:id="87" w:name="_Toc11353"/>
      <w:r>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t>2.具体实施</w:t>
      </w:r>
      <w:bookmarkEnd w:id="87"/>
    </w:p>
    <w:p w14:paraId="6048500C">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88" w:name="_Toc1411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89" w:name="_Toc28524"/>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0" w:name="_Toc32216"/>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1" w:name="_Toc10505"/>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2" w:name="_Toc28365"/>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3" w:name="_Toc1009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4" w:name="_Toc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5" w:name="_Toc20059"/>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6" w:name="_Toc3191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7" w:name="_Toc167"/>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pPr>
      <w:bookmarkStart w:id="98" w:name="_Toc30513"/>
      <w:r>
        <w:rPr>
          <w:rFonts w:hint="eastAsia" w:ascii="Times New Roman" w:hAnsi="Times New Roman" w:eastAsia="仿宋_GB2312" w:cs="Times New Roman"/>
          <w:b/>
          <w:bCs/>
          <w:color w:val="000000" w:themeColor="text1"/>
          <w:spacing w:val="17"/>
          <w:sz w:val="32"/>
          <w:szCs w:val="32"/>
          <w:highlight w:val="none"/>
          <w:lang w:val="en-US" w:eastAsia="zh-CN"/>
          <w14:textFill>
            <w14:solidFill>
              <w14:schemeClr w14:val="tx1"/>
            </w14:solidFill>
          </w14:textFill>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99" w:name="_Toc15974"/>
      <w:r>
        <w:rPr>
          <w:rFonts w:hint="eastAsia"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0" w:name="_Toc4352"/>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1" w:name="_Toc26231"/>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2" w:name="_Toc27759"/>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（2）撰写报告</w:t>
      </w:r>
      <w:bookmarkEnd w:id="102"/>
    </w:p>
    <w:p w14:paraId="27760CBC">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pPr>
      <w:bookmarkStart w:id="103" w:name="_Toc15579"/>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05" w:name="_Toc23319"/>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本项目的综合评价基于对项目各方面绩效的深入分析与评估。从项目目标的达成情况来看，</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历年陈欠工程项目</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在</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项目产出方面完成较好</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在项目管理方面，</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阜康市住房和城乡建设局</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从项目效益的角度来看，本项目不仅实现了预期的社会效益方面产生了积极的影响。具体而言，</w:t>
      </w:r>
      <w:r>
        <w:rPr>
          <w:rFonts w:hint="eastAsia" w:ascii="Times New Roman" w:hAnsi="Times New Roman" w:eastAsia="仿宋_GB2312" w:cs="Times New Roman"/>
          <w:color w:val="000000" w:themeColor="text1"/>
          <w:sz w:val="32"/>
          <w:szCs w:val="32"/>
          <w:highlight w:val="none"/>
          <w14:textFill>
            <w14:solidFill>
              <w14:schemeClr w14:val="tx1"/>
            </w14:solidFill>
          </w14:textFill>
        </w:rPr>
        <w:t>化解单位债务，提升单位和政府形象</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14:textFill>
            <w14:solidFill>
              <w14:schemeClr w14:val="tx1"/>
            </w14:solidFill>
          </w14:textFill>
        </w:rPr>
        <w:t>完善政府债务化解机制</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综上所述，</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历年陈欠工程项目</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在绩效评价中表现出色，达到了项目的预期目标，并在多个方面取得了显著的成效</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评价等级为优</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06" w:name="_Toc11863"/>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（二）相关评分表</w:t>
      </w:r>
      <w:bookmarkEnd w:id="106"/>
    </w:p>
    <w:p w14:paraId="4DD2BB49">
      <w:pPr>
        <w:spacing w:line="560" w:lineRule="exact"/>
        <w:ind w:firstLine="708" w:firstLineChars="200"/>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pP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此次绩效评价</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通过组论证的评价指标体系及评分标准，</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采用的方法比较法、因素分析法、公众评判法，</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对</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历年陈欠工程项目</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绩效进行客观评价，最终评分结果：</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总得分为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分，属于“优”。其中，项目决策类指标权重为20分，得分为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19</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95</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%。项目过程类指标权重为20分，得分为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%。项目产出类指标权重为40分，得分为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40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%。项目效益类指标权重为20分，得分为</w:t>
      </w:r>
      <w:r>
        <w:rPr>
          <w:rFonts w:hint="eastAsia" w:ascii="Times New Roman" w:hAnsi="Times New Roman" w:eastAsia="仿宋_GB2312" w:cs="Times New Roman"/>
          <w:color w:val="000000" w:themeColor="text1"/>
          <w:spacing w:val="17"/>
          <w:sz w:val="32"/>
          <w:szCs w:val="32"/>
          <w:highlight w:val="none"/>
          <w:shd w:val="clear"/>
          <w:lang w:val="en-US" w:eastAsia="zh-CN"/>
          <w14:textFill>
            <w14:solidFill>
              <w14:schemeClr w14:val="tx1"/>
            </w14:solidFill>
          </w14:textFill>
        </w:rPr>
        <w:t>20</w:t>
      </w:r>
      <w:r>
        <w:rPr>
          <w:rFonts w:hint="default" w:ascii="Times New Roman" w:hAnsi="Times New Roman" w:eastAsia="仿宋_GB2312" w:cs="Times New Roman"/>
          <w:color w:val="000000" w:themeColor="text1"/>
          <w:spacing w:val="17"/>
          <w:sz w:val="32"/>
          <w:szCs w:val="32"/>
          <w:highlight w:val="none"/>
          <w:shd w:val="clear"/>
          <w:lang w:val="en-US" w:eastAsia="zh-CN"/>
          <w14:textFill>
            <w14:solidFill>
              <w14:schemeClr w14:val="tx1"/>
            </w14:solidFill>
          </w14:textFill>
        </w:rPr>
        <w:t>分，</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各部分权重和绩效</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汇总</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分值如下表</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3-1</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所示</w:t>
      </w:r>
      <w:r>
        <w:rPr>
          <w:rFonts w:hint="eastAsia" w:ascii="Times New Roman" w:hAnsi="Times New Roman" w:eastAsia="仿宋_GB2312" w:cs="Times New Roman"/>
          <w:color w:val="000000" w:themeColor="text1"/>
          <w:spacing w:val="17"/>
          <w:sz w:val="32"/>
          <w:szCs w:val="32"/>
          <w:highlight w:val="none"/>
          <w:lang w:val="zh-TW"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详见上传的附件</w:t>
      </w:r>
      <w:r>
        <w:rPr>
          <w:rFonts w:hint="eastAsia" w:ascii="Times New Roman" w:hAnsi="Times New Roman" w:eastAsia="仿宋_GB2312" w:cs="Times New Roman"/>
          <w:color w:val="000000" w:themeColor="text1"/>
          <w:spacing w:val="17"/>
          <w:sz w:val="32"/>
          <w:szCs w:val="32"/>
          <w:highlight w:val="none"/>
          <w:lang w:val="zh-TW"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1BAFA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表3-1：历年陈欠工程项目得分表</w:t>
            </w:r>
          </w:p>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1A0D520A">
        <w:tblPrEx>
          <w:tblCellMar>
            <w:top w:w="0" w:type="dxa"/>
            <w:left w:w="0" w:type="dxa"/>
            <w:bottom w:w="0" w:type="dxa"/>
            <w:right w:w="0" w:type="dxa"/>
          </w:tblCellMar>
        </w:tblPrEx>
        <w:trPr>
          <w:trHeight w:val="9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99</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000000" w:themeColor="text1"/>
          <w:kern w:val="28"/>
          <w:sz w:val="32"/>
          <w:highlight w:val="none"/>
          <w14:textFill>
            <w14:solidFill>
              <w14:schemeClr w14:val="tx1"/>
            </w14:solidFill>
          </w14:textFill>
        </w:rPr>
      </w:pPr>
      <w:bookmarkStart w:id="108" w:name="_Toc6759"/>
      <w:r>
        <w:rPr>
          <w:rFonts w:hint="eastAsia" w:ascii="Times New Roman" w:hAnsi="Times New Roman" w:eastAsia="楷体_GB2312" w:cs="Times New Roman"/>
          <w:color w:val="000000" w:themeColor="text1"/>
          <w:kern w:val="28"/>
          <w:sz w:val="32"/>
          <w:highlight w:val="none"/>
          <w14:textFill>
            <w14:solidFill>
              <w14:schemeClr w14:val="tx1"/>
            </w14:solidFill>
          </w14:textFill>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项目决策由3个二级指标和6个三级指标构成，权重分20分，实际得分19分，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各指标业绩值和绩效分值如表</w:t>
      </w:r>
      <w:r>
        <w:rPr>
          <w:rFonts w:hint="eastAsia" w:ascii="仿宋_GB2312" w:hAnsi="仿宋_GB2312" w:eastAsia="仿宋_GB2312" w:cs="仿宋_GB2312"/>
          <w:b/>
          <w:bCs/>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b/>
          <w:bCs/>
          <w:color w:val="000000" w:themeColor="text1"/>
          <w:kern w:val="2"/>
          <w:sz w:val="32"/>
          <w:szCs w:val="32"/>
          <w:highlight w:val="none"/>
          <w:u w:color="000000"/>
          <w:shd w:val="clear" w:color="auto" w:fill="auto"/>
          <w:lang w:eastAsia="zh-CN"/>
          <w14:textFill>
            <w14:solidFill>
              <w14:schemeClr w14:val="tx1"/>
            </w14:solidFill>
          </w14:textFill>
        </w:rPr>
        <w:t>-1</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所示</w:t>
      </w:r>
      <w:r>
        <w:rPr>
          <w:rFonts w:hint="eastAsia" w:ascii="仿宋_GB2312" w:hAnsi="仿宋_GB2312" w:eastAsia="仿宋_GB2312" w:cs="仿宋_GB2312"/>
          <w:b/>
          <w:bCs/>
          <w:color w:val="000000" w:themeColor="text1"/>
          <w:sz w:val="32"/>
          <w:szCs w:val="32"/>
          <w:highlight w:val="none"/>
          <w:shd w:val="clear" w:color="auto" w:fill="auto"/>
          <w:lang w:val="zh-TW" w:eastAsia="zh-CN"/>
          <w14:textFill>
            <w14:solidFill>
              <w14:schemeClr w14:val="tx1"/>
            </w14:solidFill>
          </w14:textFill>
        </w:rPr>
        <w:t>（</w:t>
      </w:r>
      <w:r>
        <w:rPr>
          <w:rFonts w:hint="eastAsia" w:ascii="仿宋_GB2312" w:hAnsi="仿宋_GB2312" w:eastAsia="仿宋_GB2312" w:cs="仿宋_GB2312"/>
          <w:b/>
          <w:bCs/>
          <w:color w:val="000000" w:themeColor="text1"/>
          <w:sz w:val="32"/>
          <w:szCs w:val="32"/>
          <w:highlight w:val="none"/>
          <w:shd w:val="clear" w:color="auto" w:fill="auto"/>
          <w:lang w:val="en-US" w:eastAsia="zh-CN"/>
          <w14:textFill>
            <w14:solidFill>
              <w14:schemeClr w14:val="tx1"/>
            </w14:solidFill>
          </w14:textFill>
        </w:rPr>
        <w:t>详见上传的附件二</w:t>
      </w:r>
      <w:r>
        <w:rPr>
          <w:rFonts w:hint="eastAsia" w:ascii="仿宋_GB2312" w:hAnsi="仿宋_GB2312" w:eastAsia="仿宋_GB2312" w:cs="仿宋_GB2312"/>
          <w:b/>
          <w:bCs/>
          <w:color w:val="000000" w:themeColor="text1"/>
          <w:sz w:val="32"/>
          <w:szCs w:val="32"/>
          <w:highlight w:val="none"/>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09" w:name="_Toc28069"/>
      <w:bookmarkStart w:id="110" w:name="_Toc13522"/>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①项目立项符合国家法律法规、国民经济发展规划和</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关于印发2016年自治区城镇保障性安居工程建设计划的通知》（新住保办［2016］1号）、</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《关于印发2017年自治区城镇保障性安居工程建设计划的通知》（阜政函［2016］96号）</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文件精神</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②项目立项符合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城镇保障性安居工程建设行业发展规划和《关于将阜康市2016-2017年棚户区改造工程列入全国棚户区改造计划的确认函》（新住保办函［2016］7号）、</w:t>
      </w:r>
      <w:r>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t>《关于将阜康市2016-2017年棚户区改造工程列入全国棚户区改造计划的确认函》（阜政函［2016］129号）</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文件要求；</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③项目立项与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工程管理部工程建设、技术质量、安全等职责范围</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⑤项目与相关部门同类项目、部门内部相关项目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不</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11" w:name="_Toc23240"/>
      <w:bookmarkStart w:id="112" w:name="_Toc2197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②审批文件、材料符合相关要求；</w:t>
      </w:r>
    </w:p>
    <w:p w14:paraId="54F2D6F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③事前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没有</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经过必要的可行性研究、专家论证、风险评估、绩效评估、集体决策。</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扣1分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13" w:name="_Toc23542"/>
      <w:bookmarkStart w:id="114" w:name="_Toc15382"/>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②该项目实际工作内容为：完成偿还往年项目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个。绩效目标与实际工作内容一致，两者具有相关性。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该项目按照绩效目标完成数量指标、质量指标、时效指标、成本指标，完成了阜康市2015年棚户区改造项目资金74.93万元、阜康市2016年棚户区改造项目资金1120万元、阜康市2017年棚户区改造项目资金41436.29万元、化解阳光花园小区工程欠款350.48万元。资金使用合规率达到100%、资金支付及时率达到100%，达到化解单位债务，有效提升单位和政府形象，完善政府债务化解机制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④《项目支出绩效目标表》中预算金额为42981.7万元，预算确定的项目资金与预算确定的项目投资额相匹配。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15" w:name="_Toc10650"/>
      <w:bookmarkStart w:id="116" w:name="_Toc18198"/>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①将项目绩效目标细化分解为具体的绩效指标，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其中三级指标共计11个</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②通过清晰、可衡量的指标值予以体现，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量化率达到100%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17" w:name="_Toc8296"/>
      <w:bookmarkStart w:id="118" w:name="_Toc19401"/>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根据项目预算批复，项目的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②</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预算申请内容为还往年项目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个，项目实际内容为阜康市2015年棚户区改造项目资金74.93万元、阜康市2016年棚户区改造项目资金1120万元、阜康市2017年棚户区改造项目资金41436.29万元、化解阳光花园小区工程欠款350.48万元，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项目预算申请资金</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42981.7</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元，我单位在预算申请中严格按照项目实施内容及测算标准进行核算，其中：阜康市2015年棚户区改造项目资金74.93万元、阜康市2016年棚户区改造项目资金1120万元、阜康市2017年棚户区改造项目资金41436.29万元、化解阳光花园小区工程欠款350.48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④</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预算确定资金量与实际工作任务相匹配。项目预算额度测算依据充分，严格按照标准编制，项目资金量与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项目实施内容</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19" w:name="_Toc20556"/>
      <w:bookmarkStart w:id="120" w:name="_Toc697"/>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①项目实际分配资金以</w:t>
      </w:r>
      <w:r>
        <w:rPr>
          <w:rFonts w:hint="eastAsia" w:ascii="仿宋_GB2312" w:hAnsi="仿宋_GB2312" w:eastAsia="仿宋_GB2312" w:cs="仿宋_GB2312"/>
          <w:color w:val="000000" w:themeColor="text1"/>
          <w:sz w:val="32"/>
          <w:szCs w:val="32"/>
          <w:highlight w:val="none"/>
          <w:lang w:eastAsia="zh-Hans"/>
          <w14:textFill>
            <w14:solidFill>
              <w14:schemeClr w14:val="tx1"/>
            </w14:solidFill>
          </w14:textFill>
        </w:rPr>
        <w:t>《关于</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申请</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历年陈欠工程项目</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项目资金的请示</w:t>
      </w:r>
      <w:r>
        <w:rPr>
          <w:rFonts w:hint="eastAsia" w:ascii="仿宋_GB2312" w:hAnsi="仿宋_GB2312" w:eastAsia="仿宋_GB2312" w:cs="仿宋_GB2312"/>
          <w:color w:val="000000" w:themeColor="text1"/>
          <w:sz w:val="32"/>
          <w:szCs w:val="32"/>
          <w:highlight w:val="none"/>
          <w:lang w:eastAsia="zh-Hans"/>
          <w14:textFill>
            <w14:solidFill>
              <w14:schemeClr w14:val="tx1"/>
            </w14:solidFill>
          </w14:textFill>
        </w:rPr>
        <w:t>》为依据进行资金分配，预算资金分配依据充分</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②项目实际到位资金</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42981.7</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万元，资金分配额度合理，与项目单位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及项目实际实施情况相</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适应。</w:t>
      </w:r>
    </w:p>
    <w:p w14:paraId="683C57FD">
      <w:pPr>
        <w:pageBreakBefore w:val="0"/>
        <w:kinsoku/>
        <w:wordWrap/>
        <w:overflowPunct/>
        <w:topLinePunct w:val="0"/>
        <w:autoSpaceDE/>
        <w:autoSpaceDN/>
        <w:bidi w:val="0"/>
        <w:spacing w:line="560" w:lineRule="exact"/>
        <w:textAlignment w:val="auto"/>
        <w:rPr>
          <w:rFonts w:hint="eastAsia"/>
          <w:color w:val="000000" w:themeColor="text1"/>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000000" w:themeColor="text1"/>
          <w:kern w:val="28"/>
          <w:sz w:val="32"/>
          <w:highlight w:val="none"/>
          <w14:textFill>
            <w14:solidFill>
              <w14:schemeClr w14:val="tx1"/>
            </w14:solidFill>
          </w14:textFill>
        </w:rPr>
      </w:pPr>
      <w:bookmarkStart w:id="121" w:name="_Toc10564"/>
      <w:r>
        <w:rPr>
          <w:rFonts w:hint="eastAsia" w:ascii="Times New Roman" w:hAnsi="Times New Roman" w:eastAsia="楷体" w:cs="Times New Roman"/>
          <w:color w:val="000000" w:themeColor="text1"/>
          <w:kern w:val="28"/>
          <w:sz w:val="32"/>
          <w:highlight w:val="none"/>
          <w:lang w:eastAsia="zh-CN"/>
          <w14:textFill>
            <w14:solidFill>
              <w14:schemeClr w14:val="tx1"/>
            </w14:solidFill>
          </w14:textFill>
        </w:rPr>
        <w:t>（</w:t>
      </w:r>
      <w:r>
        <w:rPr>
          <w:rFonts w:hint="eastAsia" w:ascii="Times New Roman" w:hAnsi="Times New Roman" w:eastAsia="楷体" w:cs="Times New Roman"/>
          <w:color w:val="000000" w:themeColor="text1"/>
          <w:kern w:val="28"/>
          <w:sz w:val="32"/>
          <w:highlight w:val="none"/>
          <w:lang w:val="en-US" w:eastAsia="zh-CN"/>
          <w14:textFill>
            <w14:solidFill>
              <w14:schemeClr w14:val="tx1"/>
            </w14:solidFill>
          </w14:textFill>
        </w:rPr>
        <w:t>二</w:t>
      </w:r>
      <w:r>
        <w:rPr>
          <w:rFonts w:hint="eastAsia" w:ascii="Times New Roman" w:hAnsi="Times New Roman" w:eastAsia="楷体" w:cs="Times New Roman"/>
          <w:color w:val="000000" w:themeColor="text1"/>
          <w:kern w:val="28"/>
          <w:sz w:val="32"/>
          <w:highlight w:val="none"/>
          <w:lang w:eastAsia="zh-CN"/>
          <w14:textFill>
            <w14:solidFill>
              <w14:schemeClr w14:val="tx1"/>
            </w14:solidFill>
          </w14:textFill>
        </w:rPr>
        <w:t>）</w:t>
      </w:r>
      <w:r>
        <w:rPr>
          <w:rFonts w:hint="eastAsia" w:ascii="Times New Roman" w:hAnsi="Times New Roman" w:eastAsia="楷体" w:cs="Times New Roman"/>
          <w:color w:val="000000" w:themeColor="text1"/>
          <w:kern w:val="28"/>
          <w:sz w:val="32"/>
          <w:highlight w:val="none"/>
          <w14:textFill>
            <w14:solidFill>
              <w14:schemeClr w14:val="tx1"/>
            </w14:solidFill>
          </w14:textFill>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过程</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管理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类指标由</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2</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二</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级指标和</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5</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三</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级指标构成，权重分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分，实际得分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各指标业绩值和绩效分值如表</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-2</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所示</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b/>
          <w:bCs/>
          <w:color w:val="000000" w:themeColor="text1"/>
          <w:kern w:val="2"/>
          <w:sz w:val="32"/>
          <w:szCs w:val="32"/>
          <w:highlight w:val="none"/>
          <w:u w:color="000000"/>
          <w:shd w:val="clear" w:color="auto" w:fill="auto"/>
          <w:lang w:val="en-US" w:eastAsia="zh-CN"/>
          <w14:textFill>
            <w14:solidFill>
              <w14:schemeClr w14:val="tx1"/>
            </w14:solidFill>
          </w14:textFill>
        </w:rPr>
        <w:t>详见上传的附件二</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22" w:name="_Toc20449"/>
      <w:bookmarkStart w:id="123" w:name="_Toc388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项目预算资金为42981.7万元，其中：财政安排资金42981.7万元，其他资金</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资金到位率=（</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42981.7万元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42981.7万元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）×100%</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24" w:name="_Toc9705"/>
      <w:bookmarkStart w:id="125" w:name="_Toc17709"/>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截至2024年12月31日，项目实际支出</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42981.7万元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w:t>
      </w:r>
    </w:p>
    <w:p w14:paraId="7233E9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预算执行率=（</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42981.7万元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42981.7万元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）×100%</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26" w:name="_Toc18691"/>
      <w:bookmarkStart w:id="127" w:name="_Toc28875"/>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①本项目资金支出符合国家财经法规、《政府会计制度》《阜康市住房和城乡建设局资金管理办法》《阜康市住房和城乡建设局专项资金管理办法》；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④</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不</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kern w:val="2"/>
          <w:sz w:val="32"/>
          <w:szCs w:val="32"/>
          <w:highlight w:val="none"/>
          <w:lang w:val="en-US" w:eastAsia="zh-CN" w:bidi="ar-SA"/>
          <w14:textFill>
            <w14:solidFill>
              <w14:schemeClr w14:val="tx1"/>
            </w14:solidFill>
          </w14:textFill>
        </w:rPr>
        <w:t>4.</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①</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我单位已制定《阜康市住房和城乡建设局资金管理办法》《阜康市住房和城乡建设局收支业务管理制度》《阜康市住房和城乡建设局政府采购业务管理制度》《阜康市住房和城乡建设局合同管理制度》，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相关</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②已制定的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28" w:name="_Toc13984"/>
      <w:bookmarkStart w:id="129" w:name="_Toc31684"/>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历年陈欠工程</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项目的实施</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遵守相关法律法规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及</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相关管理规定，</w:t>
      </w:r>
      <w:r>
        <w:rPr>
          <w:rFonts w:hint="eastAsia" w:ascii="仿宋_GB2312" w:hAnsi="仿宋_GB2312" w:eastAsia="仿宋_GB2312" w:cs="仿宋_GB2312"/>
          <w:color w:val="000000" w:themeColor="text1"/>
          <w:sz w:val="32"/>
          <w:szCs w:val="32"/>
          <w:highlight w:val="none"/>
          <w14:textFill>
            <w14:solidFill>
              <w14:schemeClr w14:val="tx1"/>
            </w14:solidFill>
          </w14:textFill>
        </w:rPr>
        <w:t>符合《</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阜康市住房和城乡建设局</w:t>
      </w:r>
      <w:r>
        <w:rPr>
          <w:rFonts w:hint="eastAsia" w:ascii="仿宋_GB2312" w:hAnsi="仿宋_GB2312" w:eastAsia="仿宋_GB2312" w:cs="仿宋_GB2312"/>
          <w:color w:val="000000" w:themeColor="text1"/>
          <w:sz w:val="32"/>
          <w:szCs w:val="32"/>
          <w:highlight w:val="none"/>
          <w14:textFill>
            <w14:solidFill>
              <w14:schemeClr w14:val="tx1"/>
            </w14:solidFill>
          </w14:textFill>
        </w:rPr>
        <w:t>办法》《</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阜康市住房和城乡建设局</w:t>
      </w:r>
      <w:r>
        <w:rPr>
          <w:rFonts w:hint="eastAsia" w:ascii="仿宋_GB2312" w:hAnsi="仿宋_GB2312" w:eastAsia="仿宋_GB2312" w:cs="仿宋_GB2312"/>
          <w:color w:val="000000" w:themeColor="text1"/>
          <w:sz w:val="32"/>
          <w:szCs w:val="32"/>
          <w:highlight w:val="none"/>
          <w14:textFill>
            <w14:solidFill>
              <w14:schemeClr w14:val="tx1"/>
            </w14:solidFill>
          </w14:textFill>
        </w:rPr>
        <w:t>管理制度》《</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阜康市住房和城乡建设局</w:t>
      </w:r>
      <w:r>
        <w:rPr>
          <w:rFonts w:hint="eastAsia" w:ascii="仿宋_GB2312" w:hAnsi="仿宋_GB2312" w:eastAsia="仿宋_GB2312" w:cs="仿宋_GB2312"/>
          <w:color w:val="000000" w:themeColor="text1"/>
          <w:sz w:val="32"/>
          <w:szCs w:val="32"/>
          <w:highlight w:val="none"/>
          <w14:textFill>
            <w14:solidFill>
              <w14:schemeClr w14:val="tx1"/>
            </w14:solidFill>
          </w14:textFill>
        </w:rPr>
        <w:t>采购业务管理制度》《</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阜康市住房和城乡建设局</w:t>
      </w:r>
      <w:r>
        <w:rPr>
          <w:rFonts w:hint="eastAsia" w:ascii="仿宋_GB2312" w:hAnsi="仿宋_GB2312" w:eastAsia="仿宋_GB2312" w:cs="仿宋_GB2312"/>
          <w:color w:val="000000" w:themeColor="text1"/>
          <w:sz w:val="32"/>
          <w:szCs w:val="32"/>
          <w:highlight w:val="none"/>
          <w14:textFill>
            <w14:solidFill>
              <w14:schemeClr w14:val="tx1"/>
            </w14:solidFill>
          </w14:textFill>
        </w:rPr>
        <w:t>合同管理制度》等管理规定</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②</w:t>
      </w:r>
      <w:r>
        <w:rPr>
          <w:rFonts w:hint="eastAsia" w:ascii="仿宋_GB2312" w:hAnsi="仿宋_GB2312" w:eastAsia="仿宋_GB2312" w:cs="仿宋_GB2312"/>
          <w:color w:val="000000" w:themeColor="text1"/>
          <w:sz w:val="32"/>
          <w:szCs w:val="32"/>
          <w:highlight w:val="none"/>
          <w14:textFill>
            <w14:solidFill>
              <w14:schemeClr w14:val="tx1"/>
            </w14:solidFill>
          </w14:textFill>
        </w:rPr>
        <w:t>该项目实施过程中不存在调整事项</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③</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历年陈欠工程</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项目工作领导小组，由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孔其峰</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任组长，负责项目的组织工作；</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杨立勇</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任副组长，负责项目的实施工作；组员包括</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：邵红燕、何刚</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孙建荣</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30" w:name="_Toc2441"/>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产出</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类指标</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包括产出数量、产出质量、产出时效、产出成本四方面的内容，</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共</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二</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级指标和</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9</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三</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级指标构成，权重分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分，实际得分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各指标业绩值和绩效分值如表</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所示</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b/>
          <w:bCs/>
          <w:color w:val="000000" w:themeColor="text1"/>
          <w:kern w:val="2"/>
          <w:sz w:val="32"/>
          <w:szCs w:val="32"/>
          <w:highlight w:val="none"/>
          <w:u w:color="000000"/>
          <w:shd w:val="clear" w:color="auto" w:fill="auto"/>
          <w:lang w:val="en-US" w:eastAsia="zh-CN"/>
          <w14:textFill>
            <w14:solidFill>
              <w14:schemeClr w14:val="tx1"/>
            </w14:solidFill>
          </w14:textFill>
        </w:rPr>
        <w:t>详见上传的附件</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p w14:paraId="1E91F717">
      <w:pPr>
        <w:keepNext w:val="0"/>
        <w:keepLines w:val="0"/>
        <w:pageBreakBefore w:val="0"/>
        <w:widowControl/>
        <w:kinsoku/>
        <w:wordWrap/>
        <w:overflowPunct/>
        <w:topLinePunct w:val="0"/>
        <w:autoSpaceDE/>
        <w:autoSpaceDN/>
        <w:bidi w:val="0"/>
        <w:adjustRightInd/>
        <w:snapToGrid w:val="0"/>
        <w:spacing w:line="560" w:lineRule="exact"/>
        <w:ind w:firstLine="0" w:firstLineChars="0"/>
        <w:jc w:val="both"/>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635B5B3">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&lt;=4个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01691B2F">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C1836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737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791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化解项目涉及企业</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A1A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&lt;=3个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1A3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47B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3个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B1D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684F9CA2">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FAF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i w:val="0"/>
                <w:iCs w:val="0"/>
                <w:color w:val="000000" w:themeColor="text1"/>
                <w:sz w:val="22"/>
                <w:szCs w:val="22"/>
                <w:highlight w:val="none"/>
                <w:u w:val="none"/>
                <w:lang w:val="en-US" w:eastAsia="zh-CN"/>
                <w14:textFill>
                  <w14:solidFill>
                    <w14:schemeClr w14:val="tx1"/>
                  </w14:solidFill>
                </w14:textFill>
              </w:rPr>
              <w:t>=</w:t>
            </w:r>
            <w:r>
              <w:rPr>
                <w:rFonts w:hint="eastAsia" w:ascii="宋体" w:hAnsi="宋体" w:eastAsia="宋体" w:cs="宋体"/>
                <w:i w:val="0"/>
                <w:iCs w:val="0"/>
                <w:color w:val="000000" w:themeColor="text1"/>
                <w:sz w:val="22"/>
                <w:szCs w:val="22"/>
                <w:highlight w:val="none"/>
                <w:u w:val="none"/>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=2024年8月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2024年8月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2D2A7AE2">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B3C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E8D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E68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FA6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&lt;=100%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844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6B9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68E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3AEEFAD2">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B2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阜康市2015年棚户区改造项目资金</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&lt;=74.93万元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p w14:paraId="73C050E8">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000000" w:themeColor="text1"/>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74.93万元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52EBA46B">
        <w:tblPrEx>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46DA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8C29F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341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阜康市2016年棚户区改造项目资金</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667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&lt;=1120万元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8D3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7539E">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000000" w:themeColor="text1"/>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1120万元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6C1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67EAA06E">
        <w:tblPrEx>
          <w:shd w:val="clear" w:color="auto" w:fill="auto"/>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709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E3377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158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阜康市2017年棚户区改造项目资金</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BEF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&lt;=41436.29万元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1C0F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692D5">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000000" w:themeColor="text1"/>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41436.2</w:t>
            </w:r>
            <w:r>
              <w:rPr>
                <w:rFonts w:hint="eastAsia" w:cs="宋体"/>
                <w:i w:val="0"/>
                <w:iCs w:val="0"/>
                <w:color w:val="000000" w:themeColor="text1"/>
                <w:sz w:val="22"/>
                <w:szCs w:val="22"/>
                <w:highlight w:val="none"/>
                <w:u w:val="none"/>
                <w:lang w:val="en-US" w:eastAsia="zh-CN"/>
                <w14:textFill>
                  <w14:solidFill>
                    <w14:schemeClr w14:val="tx1"/>
                  </w14:solidFill>
                </w14:textFill>
              </w:rPr>
              <w:t>9</w:t>
            </w:r>
            <w:r>
              <w:rPr>
                <w:rFonts w:hint="eastAsia" w:ascii="宋体" w:hAnsi="宋体" w:eastAsia="宋体" w:cs="宋体"/>
                <w:i w:val="0"/>
                <w:iCs w:val="0"/>
                <w:color w:val="000000" w:themeColor="text1"/>
                <w:sz w:val="22"/>
                <w:szCs w:val="22"/>
                <w:highlight w:val="none"/>
                <w:u w:val="none"/>
                <w14:textFill>
                  <w14:solidFill>
                    <w14:schemeClr w14:val="tx1"/>
                  </w14:solidFill>
                </w14:textFill>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AB1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33B0FFAD">
        <w:tblPrEx>
          <w:tblCellMar>
            <w:top w:w="0" w:type="dxa"/>
            <w:left w:w="0" w:type="dxa"/>
            <w:bottom w:w="0" w:type="dxa"/>
            <w:right w:w="0" w:type="dxa"/>
          </w:tblCellMar>
        </w:tblPrEx>
        <w:trPr>
          <w:trHeight w:val="428"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42F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C13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597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化解阳光花园小区工程欠款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689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&lt;=350.48万元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BEE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F9047">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000000" w:themeColor="text1"/>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350.48万元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DC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567D231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40</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31" w:name="_Toc11067"/>
      <w:bookmarkStart w:id="132" w:name="_Toc26689"/>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化解债务项目数量</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指标，预期目标值为&lt;=4个，实际完成为4个。实际完成率=（实际完成/预期完成）×100%=100%。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化解项目涉及企业</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指标，预期目标值为&lt;=3个，实际完成为3个。实际完成率=（实际完成/预期完成）×100%=100%。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综上，该项指标满分8分，得分8分。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33" w:name="_Toc31739"/>
      <w:bookmarkStart w:id="134" w:name="_Toc14255"/>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w:t>
      </w:r>
      <w:bookmarkEnd w:id="133"/>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资金使用合规率</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综上，该项指标满分4分，得分4分。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35" w:name="_Toc18307"/>
      <w:bookmarkStart w:id="136" w:name="_Toc28885"/>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w:t>
      </w:r>
      <w:bookmarkEnd w:id="135"/>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任务完成时间</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指标，预期目标值为=2024年8月，实际完成为2024年8月。实际完成率100%。</w:t>
      </w:r>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资金支付及时率</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指标，预期目标值为100%，实际完成为100%。实际完成率100%。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综上，该项指标满分8分，得分8分。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37" w:name="_Toc32765"/>
      <w:bookmarkStart w:id="138" w:name="_Toc20607"/>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4.项目</w:t>
      </w:r>
      <w:bookmarkEnd w:id="137"/>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经济</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阜康市2015年棚户区改造项目资金</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指标，预期目标值为≤74.93万元，实际完成为74.93万元。实际完成率=（74.93万元/74.93万元）×100%=100%。</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阜康市2016年棚户区改造项目资金</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指标，预期目标值为≤1120万元，实际完成为1120万元。实际完成率=（1120万元/1120万元）×100%=100%。</w:t>
      </w:r>
    </w:p>
    <w:p w14:paraId="53EFC73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阜康市2017年棚户区改造项目资金</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指标，预期目标值为≤41436.29万元，实际完成为41436.29万元。实际完成率=（41436.29万元/41436.29万元）×100%=100%。</w:t>
      </w:r>
    </w:p>
    <w:p w14:paraId="675E27BA">
      <w:pPr>
        <w:pageBreakBefore w:val="0"/>
        <w:kinsoku/>
        <w:wordWrap/>
        <w:overflowPunct/>
        <w:topLinePunct w:val="0"/>
        <w:autoSpaceDE/>
        <w:autoSpaceDN/>
        <w:bidi w:val="0"/>
        <w:spacing w:line="560" w:lineRule="exact"/>
        <w:textAlignment w:val="auto"/>
        <w:rPr>
          <w:rFonts w:hint="eastAsia"/>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化解阳光花园小区工程欠款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指标，预期目标值为≤350.48万元，实际完成为350.48万元。实际完成率=（350.48万元/350.48万元）×100%=100%。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综上，该项指标满分20分，得分20分。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pPr>
      <w:bookmarkStart w:id="139" w:name="_Toc19424"/>
      <w:r>
        <w:rPr>
          <w:rFonts w:hint="eastAsia" w:ascii="Times New Roman" w:hAnsi="Times New Roman" w:eastAsia="楷体_GB2312" w:cs="Times New Roman"/>
          <w:color w:val="000000" w:themeColor="text1"/>
          <w:kern w:val="28"/>
          <w:sz w:val="32"/>
          <w:highlight w:val="none"/>
          <w:lang w:val="en-US" w:eastAsia="zh-CN"/>
          <w14:textFill>
            <w14:solidFill>
              <w14:schemeClr w14:val="tx1"/>
            </w14:solidFill>
          </w14:textFill>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效益</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类指标</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包括项目实施效益和满意度两方面的内容，</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由</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二</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级指标和</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个</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三</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级指标构成，权重分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分，实际得分</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20</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分</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各指标业绩值和绩效分值如表</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en-US" w:eastAsia="zh-CN"/>
          <w14:textFill>
            <w14:solidFill>
              <w14:schemeClr w14:val="tx1"/>
            </w14:solidFill>
          </w14:textFill>
        </w:rPr>
        <w:t>4</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所示</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b/>
          <w:bCs/>
          <w:color w:val="000000" w:themeColor="text1"/>
          <w:kern w:val="2"/>
          <w:sz w:val="32"/>
          <w:szCs w:val="32"/>
          <w:highlight w:val="none"/>
          <w:u w:color="000000"/>
          <w:shd w:val="clear" w:color="auto" w:fill="auto"/>
          <w:lang w:val="en-US" w:eastAsia="zh-CN"/>
          <w14:textFill>
            <w14:solidFill>
              <w14:schemeClr w14:val="tx1"/>
            </w14:solidFill>
          </w14:textFill>
        </w:rPr>
        <w:t>详见上传的附件</w:t>
      </w:r>
      <w:r>
        <w:rPr>
          <w:rFonts w:hint="eastAsia" w:ascii="仿宋_GB2312" w:hAnsi="仿宋_GB2312" w:eastAsia="仿宋_GB2312" w:cs="仿宋_GB2312"/>
          <w:b/>
          <w:bCs/>
          <w:color w:val="000000" w:themeColor="text1"/>
          <w:kern w:val="2"/>
          <w:sz w:val="32"/>
          <w:szCs w:val="32"/>
          <w:highlight w:val="none"/>
          <w:u w:color="000000"/>
          <w:shd w:val="clear" w:color="auto" w:fill="auto"/>
          <w:lang w:val="zh-TW" w:eastAsia="zh-CN"/>
          <w14:textFill>
            <w14:solidFill>
              <w14:schemeClr w14:val="tx1"/>
            </w14:solidFill>
          </w14:textFill>
        </w:rPr>
        <w:t>）</w:t>
      </w:r>
      <w:r>
        <w:rPr>
          <w:rFonts w:hint="eastAsia" w:ascii="仿宋_GB2312" w:hAnsi="仿宋_GB2312" w:eastAsia="仿宋_GB2312" w:cs="仿宋_GB2312"/>
          <w:color w:val="000000" w:themeColor="text1"/>
          <w:kern w:val="2"/>
          <w:sz w:val="32"/>
          <w:szCs w:val="32"/>
          <w:highlight w:val="none"/>
          <w:u w:color="000000"/>
          <w:shd w:val="clear" w:color="auto" w:fill="auto"/>
          <w:lang w:val="zh-TW" w:eastAsia="zh-TW"/>
          <w14:textFill>
            <w14:solidFill>
              <w14:schemeClr w14:val="tx1"/>
            </w14:solidFill>
          </w14:textFill>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8</w:t>
            </w:r>
          </w:p>
        </w:tc>
      </w:tr>
      <w:tr w14:paraId="749CAB83">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0401B5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CD9A1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C22CB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6C86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E7A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03E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3E9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7</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棚户区居民满意度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bookmarkStart w:id="140" w:name="_Toc5170"/>
      <w:bookmarkStart w:id="141" w:name="_Toc8010"/>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w:t>
      </w:r>
      <w:bookmarkEnd w:id="140"/>
      <w:bookmarkEnd w:id="141"/>
      <w:bookmarkStart w:id="142" w:name="_Toc27006"/>
      <w:bookmarkStart w:id="143" w:name="_Toc29606"/>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社会效益指标</w:t>
      </w:r>
      <w:bookmarkEnd w:id="142"/>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完成情况</w:t>
      </w:r>
      <w:bookmarkEnd w:id="143"/>
    </w:p>
    <w:p w14:paraId="51D747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“化解单位债务，提升单位和政府形象”指标，预期目标值为=100%，实际完成为100%。</w:t>
      </w:r>
    </w:p>
    <w:p w14:paraId="1CFD406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通过项目的实施，达到化解单位债务，有效提升单位和政府形象，完善政府债务化解机制效益。</w:t>
      </w:r>
    </w:p>
    <w:p w14:paraId="68ED0A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（2）“完善政府债务化解机制”指标，预期目标值为=100%，实际完成为100%。</w:t>
      </w:r>
    </w:p>
    <w:p w14:paraId="7FE239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通过项目的实施，达到化解单位债务，有效提升单位和政府形象，完善政府债务化解机制效益。</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综上，该项指标满分15分，得分15分。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pPr>
      <w:bookmarkStart w:id="144" w:name="_Toc23313"/>
      <w:r>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t>（五）满意度指标完成情况分析</w:t>
      </w:r>
      <w:bookmarkEnd w:id="144"/>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棚户区居民满意度</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指标，预期目标值为100%，实际完成为100%。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综上，该项指标满分5分，得分5分。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pPr>
      <w:bookmarkStart w:id="146" w:name="_Toc15449"/>
      <w:bookmarkStart w:id="147" w:name="_Toc1921"/>
      <w:bookmarkStart w:id="148" w:name="_Toc28290"/>
      <w:r>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历年陈欠工程项目</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20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年预算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数</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42981.7</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截至2024年12月31日共</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42981.7</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万元，预算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执行</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率为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阜康市住房和城乡建设局</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阜康市住房和城乡建设局</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事业发展中关系民生与稳定的项目，切实优化资源配置，提高了资金使用的效率和效果。</w:t>
      </w:r>
    </w:p>
    <w:bookmarkEnd w:id="147"/>
    <w:bookmarkEnd w:id="148"/>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pPr>
      <w:bookmarkStart w:id="149" w:name="_Toc29168"/>
      <w:r>
        <w:rPr>
          <w:rFonts w:hint="eastAsia" w:ascii="Times New Roman" w:hAnsi="Times New Roman" w:eastAsia="楷体_GB2312" w:cs="Times New Roman"/>
          <w:b/>
          <w:bCs/>
          <w:color w:val="000000" w:themeColor="text1"/>
          <w:kern w:val="28"/>
          <w:sz w:val="32"/>
          <w:highlight w:val="none"/>
          <w:lang w:val="en-US" w:eastAsia="zh-CN"/>
          <w14:textFill>
            <w14:solidFill>
              <w14:schemeClr w14:val="tx1"/>
            </w14:solidFill>
          </w14:textFill>
        </w:rPr>
        <w:t>（二）存在的问题及原因分析</w:t>
      </w:r>
      <w:bookmarkEnd w:id="149"/>
    </w:p>
    <w:p w14:paraId="44871644">
      <w:pPr>
        <w:pageBreakBefore w:val="0"/>
        <w:kinsoku/>
        <w:wordWrap/>
        <w:overflowPunct/>
        <w:topLinePunct w:val="0"/>
        <w:autoSpaceDE/>
        <w:autoSpaceDN/>
        <w:bidi w:val="0"/>
        <w:adjustRightInd/>
        <w:spacing w:line="560" w:lineRule="exact"/>
        <w:ind w:firstLine="560"/>
        <w:textAlignment w:val="auto"/>
        <w:rPr>
          <w:rFonts w:hint="eastAsia"/>
          <w:b/>
          <w:bCs/>
          <w:color w:val="000000" w:themeColor="text1"/>
          <w:sz w:val="24"/>
          <w:szCs w:val="24"/>
          <w:highlight w:val="none"/>
          <w:lang w:eastAsia="zh-CN"/>
          <w14:textFill>
            <w14:solidFill>
              <w14:schemeClr w14:val="tx1"/>
            </w14:solidFill>
          </w14:textFill>
        </w:rPr>
      </w:pPr>
      <w:bookmarkStart w:id="150" w:name="_Toc3333"/>
      <w:r>
        <w:rPr>
          <w:rFonts w:hint="eastAsia"/>
          <w:b/>
          <w:bCs/>
          <w:color w:val="000000" w:themeColor="text1"/>
          <w:highlight w:val="none"/>
          <w:lang w:val="en-US" w:eastAsia="zh-CN"/>
          <w14:textFill>
            <w14:solidFill>
              <w14:schemeClr w14:val="tx1"/>
            </w14:solidFill>
          </w14:textFill>
        </w:rPr>
        <w:t>1.预算认识不够充分，缺乏管理专业人员</w:t>
      </w:r>
    </w:p>
    <w:p w14:paraId="566A863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对考核工作的目的不理解，不能明确工作目标，降低考核工作的时效。</w:t>
      </w:r>
    </w:p>
    <w:p w14:paraId="143B02DC">
      <w:pPr>
        <w:pageBreakBefore w:val="0"/>
        <w:numPr>
          <w:ilvl w:val="0"/>
          <w:numId w:val="0"/>
        </w:numPr>
        <w:kinsoku/>
        <w:wordWrap/>
        <w:overflowPunct/>
        <w:topLinePunct w:val="0"/>
        <w:autoSpaceDE/>
        <w:autoSpaceDN/>
        <w:bidi w:val="0"/>
        <w:adjustRightInd/>
        <w:spacing w:line="560" w:lineRule="exact"/>
        <w:ind w:left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2、单位内部工作推动机制不全</w:t>
      </w:r>
    </w:p>
    <w:p w14:paraId="50CDE5D6">
      <w:pPr>
        <w:pageBreakBefore w:val="0"/>
        <w:numPr>
          <w:ilvl w:val="0"/>
          <w:numId w:val="0"/>
        </w:numPr>
        <w:kinsoku/>
        <w:wordWrap/>
        <w:overflowPunct/>
        <w:topLinePunct w:val="0"/>
        <w:autoSpaceDE/>
        <w:autoSpaceDN/>
        <w:bidi w:val="0"/>
        <w:adjustRightInd/>
        <w:spacing w:line="560" w:lineRule="exact"/>
        <w:ind w:firstLine="320" w:firstLineChars="100"/>
        <w:textAlignment w:val="auto"/>
        <w:rPr>
          <w:rFonts w:hint="default"/>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单位内部项目管理工作力量薄弱，多数以财务人员牵头，项目职工对工作内容不够充分了解</w:t>
      </w:r>
      <w:r>
        <w:rPr>
          <w:rFonts w:hint="eastAsia"/>
          <w:color w:val="000000" w:themeColor="text1"/>
          <w:highlight w:val="none"/>
          <w:lang w:val="en-US" w:eastAsia="zh-CN"/>
          <w14:textFill>
            <w14:solidFill>
              <w14:schemeClr w14:val="tx1"/>
            </w14:solidFill>
          </w14:textFill>
        </w:rPr>
        <w:t>。</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0"/>
    </w:p>
    <w:p w14:paraId="42B2D1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b/>
          <w:bCs/>
          <w:color w:val="000000" w:themeColor="text1"/>
          <w:highlight w:val="none"/>
          <w:lang w:eastAsia="zh-CN"/>
          <w14:textFill>
            <w14:solidFill>
              <w14:schemeClr w14:val="tx1"/>
            </w14:solidFill>
          </w14:textFill>
        </w:rPr>
      </w:pPr>
      <w:bookmarkStart w:id="151" w:name="_Toc14256"/>
      <w:r>
        <w:rPr>
          <w:rFonts w:hint="eastAsia"/>
          <w:b/>
          <w:bCs/>
          <w:color w:val="000000" w:themeColor="text1"/>
          <w:highlight w:val="none"/>
          <w:lang w:val="en-US" w:eastAsia="zh-CN"/>
          <w14:textFill>
            <w14:solidFill>
              <w14:schemeClr w14:val="tx1"/>
            </w14:solidFill>
          </w14:textFill>
        </w:rPr>
        <w:t>（一）</w:t>
      </w:r>
      <w:r>
        <w:rPr>
          <w:rFonts w:hint="eastAsia"/>
          <w:b/>
          <w:bCs/>
          <w:color w:val="000000" w:themeColor="text1"/>
          <w:highlight w:val="none"/>
          <w:lang w:eastAsia="zh-CN"/>
          <w14:textFill>
            <w14:solidFill>
              <w14:schemeClr w14:val="tx1"/>
            </w14:solidFill>
          </w14:textFill>
        </w:rPr>
        <w:t>加强培训，提高相关人员工作水平。</w:t>
      </w:r>
    </w:p>
    <w:p w14:paraId="6408A8AE">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采取培训形式对相关工作人员进行集中培训，有足够的理解，并能明确工作目标，提高业务水平。</w:t>
      </w:r>
    </w:p>
    <w:p w14:paraId="20E644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 xml:space="preserve"> （二）加强管理，高度重视</w:t>
      </w:r>
    </w:p>
    <w:p w14:paraId="386AC7AF">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项目领导小组对评价工作进行指导、监督、检查，确保项目小组了解项目完成真实情况。</w:t>
      </w:r>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1"/>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000000" w:themeColor="text1"/>
          <w:highlight w:val="none"/>
          <w14:textFill>
            <w14:solidFill>
              <w14:schemeClr w14:val="tx1"/>
            </w14:solidFill>
          </w14:textFill>
        </w:rPr>
      </w:pPr>
      <w:bookmarkStart w:id="152" w:name="_Toc11349"/>
      <w:bookmarkStart w:id="153"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8"/>
        <w:gridCol w:w="848"/>
        <w:gridCol w:w="848"/>
        <w:gridCol w:w="848"/>
        <w:gridCol w:w="1308"/>
        <w:gridCol w:w="1462"/>
        <w:gridCol w:w="1385"/>
        <w:gridCol w:w="1001"/>
        <w:gridCol w:w="1155"/>
        <w:gridCol w:w="848"/>
        <w:gridCol w:w="848"/>
        <w:gridCol w:w="848"/>
        <w:gridCol w:w="848"/>
        <w:gridCol w:w="1079"/>
      </w:tblGrid>
      <w:tr w14:paraId="673CA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66C792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97E3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27206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C8C1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EA947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7F9DD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历年陈欠工程项目</w:t>
            </w:r>
          </w:p>
        </w:tc>
      </w:tr>
      <w:tr w14:paraId="2DC2E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D37F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C542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阜康市住房和城乡建设局</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6A81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B0E7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阜康市住房和城乡建设局</w:t>
            </w:r>
          </w:p>
        </w:tc>
      </w:tr>
      <w:tr w14:paraId="39914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AC2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E8282">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BBC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1AA3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98A8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CAB5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405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C9B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3438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2D08C">
            <w:pPr>
              <w:jc w:val="center"/>
              <w:rPr>
                <w:rFonts w:hint="eastAsia" w:ascii="宋体" w:hAnsi="宋体" w:eastAsia="宋体" w:cs="宋体"/>
                <w:b/>
                <w:bCs/>
                <w:i w:val="0"/>
                <w:iCs w:val="0"/>
                <w:color w:val="000000"/>
                <w:sz w:val="18"/>
                <w:szCs w:val="18"/>
                <w:u w:val="none"/>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671C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050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99864.40</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C160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42981.70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8C9E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42981.70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3CF2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E8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EE4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FCFD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95657">
            <w:pPr>
              <w:jc w:val="center"/>
              <w:rPr>
                <w:rFonts w:hint="eastAsia" w:ascii="宋体" w:hAnsi="宋体" w:eastAsia="宋体" w:cs="宋体"/>
                <w:b/>
                <w:bCs/>
                <w:i w:val="0"/>
                <w:iCs w:val="0"/>
                <w:color w:val="000000"/>
                <w:sz w:val="18"/>
                <w:szCs w:val="18"/>
                <w:u w:val="none"/>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543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CF5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99864.40</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B62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42981.70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B03C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42981.70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888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750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F6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517D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9CAFF">
            <w:pPr>
              <w:jc w:val="center"/>
              <w:rPr>
                <w:rFonts w:hint="eastAsia" w:ascii="宋体" w:hAnsi="宋体" w:eastAsia="宋体" w:cs="宋体"/>
                <w:b/>
                <w:bCs/>
                <w:i w:val="0"/>
                <w:iCs w:val="0"/>
                <w:color w:val="000000"/>
                <w:sz w:val="18"/>
                <w:szCs w:val="18"/>
                <w:u w:val="none"/>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156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63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43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61F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FC6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CB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DC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D253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6DCD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04C65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0F3B9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4DE7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711B3">
            <w:pPr>
              <w:jc w:val="center"/>
              <w:rPr>
                <w:rFonts w:hint="eastAsia" w:ascii="宋体" w:hAnsi="宋体" w:eastAsia="宋体" w:cs="宋体"/>
                <w:b/>
                <w:bCs/>
                <w:i w:val="0"/>
                <w:iCs w:val="0"/>
                <w:color w:val="000000"/>
                <w:sz w:val="18"/>
                <w:szCs w:val="18"/>
                <w:u w:val="none"/>
              </w:rPr>
            </w:pPr>
          </w:p>
        </w:tc>
        <w:tc>
          <w:tcPr>
            <w:tcW w:w="19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EDFBA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住房和城乡建设局2024年预计完成：1.阜康市2015年棚户区改造项目资金74.93万元。2.阜康市2016年棚户区改造项目资金1120.00万元。3.阜康市2017年棚户区改造项目资金41436.29万元。4.化解阳光花园小区工程欠款350.48万元。计划共化解工程项目4个，化解项目涉及企业3个，项目的实施预计达到化解单位债务，提升单位和政府形象，完善政府债务化解机制。</w:t>
            </w:r>
          </w:p>
        </w:tc>
        <w:tc>
          <w:tcPr>
            <w:tcW w:w="285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F8DB2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阜康市2015年棚户区改造项目资金74.93万元、阜康市2016年棚户区改造项目资金1120.00万元、阜康市2017年棚户区改造项目资金41436.29万元、化解阳光花园小区工程欠款350.48万元。资金使用合规率达到100%、资金支付及时率达到100%。项目的实施达到化解单位债务，有效提升单位和政府形象，完善政府债务化解机制效益。</w:t>
            </w:r>
          </w:p>
        </w:tc>
      </w:tr>
      <w:tr w14:paraId="05C54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20DF6">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603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170D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5650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559D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65C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355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FBCE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E60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74A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0E5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8E3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2AF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B38F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44FF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6F2EC">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44A47">
            <w:pPr>
              <w:jc w:val="center"/>
              <w:rPr>
                <w:rFonts w:hint="eastAsia" w:ascii="宋体" w:hAnsi="宋体" w:eastAsia="宋体" w:cs="宋体"/>
                <w:b/>
                <w:bCs/>
                <w:i w:val="0"/>
                <w:iCs w:val="0"/>
                <w:color w:val="000000"/>
                <w:sz w:val="18"/>
                <w:szCs w:val="18"/>
                <w:u w:val="none"/>
              </w:rPr>
            </w:pPr>
          </w:p>
        </w:tc>
        <w:tc>
          <w:tcPr>
            <w:tcW w:w="2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5F1AC">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6E7C9">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063D0">
            <w:pPr>
              <w:jc w:val="center"/>
              <w:rPr>
                <w:rFonts w:hint="eastAsia" w:ascii="宋体" w:hAnsi="宋体" w:eastAsia="宋体" w:cs="宋体"/>
                <w:b/>
                <w:bCs/>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A6DB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D6B44">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F5BBA">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90F9A">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69063">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32704">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03D1A">
            <w:pPr>
              <w:jc w:val="center"/>
              <w:rPr>
                <w:rFonts w:hint="eastAsia" w:ascii="宋体" w:hAnsi="宋体" w:eastAsia="宋体" w:cs="宋体"/>
                <w:b/>
                <w:bCs/>
                <w:i w:val="0"/>
                <w:iCs w:val="0"/>
                <w:color w:val="000000"/>
                <w:sz w:val="18"/>
                <w:szCs w:val="18"/>
                <w:u w:val="none"/>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C2BCF">
            <w:pPr>
              <w:jc w:val="center"/>
              <w:rPr>
                <w:rFonts w:hint="eastAsia" w:ascii="宋体" w:hAnsi="宋体" w:eastAsia="宋体" w:cs="宋体"/>
                <w:b/>
                <w:bCs/>
                <w:i w:val="0"/>
                <w:iCs w:val="0"/>
                <w:color w:val="000000"/>
                <w:sz w:val="18"/>
                <w:szCs w:val="18"/>
                <w:u w:val="none"/>
              </w:rPr>
            </w:pP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CCE4C">
            <w:pPr>
              <w:jc w:val="center"/>
              <w:rPr>
                <w:rFonts w:hint="eastAsia" w:ascii="宋体" w:hAnsi="宋体" w:eastAsia="宋体" w:cs="宋体"/>
                <w:b/>
                <w:bCs/>
                <w:i w:val="0"/>
                <w:iCs w:val="0"/>
                <w:color w:val="000000"/>
                <w:sz w:val="18"/>
                <w:szCs w:val="18"/>
                <w:u w:val="none"/>
              </w:rPr>
            </w:pPr>
          </w:p>
        </w:tc>
      </w:tr>
      <w:tr w14:paraId="54676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AB15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C99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DF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A41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49E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8AA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C1A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=4个</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AAA1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E84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F6E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EBE7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E04B8">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40358">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C007D">
            <w:pPr>
              <w:jc w:val="center"/>
              <w:rPr>
                <w:rFonts w:hint="eastAsia" w:ascii="宋体" w:hAnsi="宋体" w:eastAsia="宋体" w:cs="宋体"/>
                <w:i w:val="0"/>
                <w:iCs w:val="0"/>
                <w:color w:val="000000"/>
                <w:sz w:val="18"/>
                <w:szCs w:val="18"/>
                <w:u w:val="none"/>
              </w:rPr>
            </w:pPr>
          </w:p>
        </w:tc>
      </w:tr>
      <w:tr w14:paraId="5D41E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366B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9040F">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10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02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化解项目涉及企业</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F3B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0E7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33F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4555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CB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A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5645A">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11768">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74656">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17DF9">
            <w:pPr>
              <w:jc w:val="center"/>
              <w:rPr>
                <w:rFonts w:hint="eastAsia" w:ascii="宋体" w:hAnsi="宋体" w:eastAsia="宋体" w:cs="宋体"/>
                <w:i w:val="0"/>
                <w:iCs w:val="0"/>
                <w:color w:val="000000"/>
                <w:sz w:val="18"/>
                <w:szCs w:val="18"/>
                <w:u w:val="none"/>
              </w:rPr>
            </w:pPr>
          </w:p>
        </w:tc>
      </w:tr>
      <w:tr w14:paraId="52E67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C767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6C125">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27B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67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9F4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EEA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E6D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FE1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581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CB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A18E1">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DEC8C">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267E1">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0E959">
            <w:pPr>
              <w:jc w:val="center"/>
              <w:rPr>
                <w:rFonts w:hint="eastAsia" w:ascii="宋体" w:hAnsi="宋体" w:eastAsia="宋体" w:cs="宋体"/>
                <w:i w:val="0"/>
                <w:iCs w:val="0"/>
                <w:color w:val="000000"/>
                <w:sz w:val="18"/>
                <w:szCs w:val="18"/>
                <w:u w:val="none"/>
              </w:rPr>
            </w:pPr>
          </w:p>
        </w:tc>
      </w:tr>
      <w:tr w14:paraId="3BC48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F3EA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E78C3">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45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89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任务完成时间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111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596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1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1476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29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9A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24CD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F6514">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231A">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54750">
            <w:pPr>
              <w:jc w:val="center"/>
              <w:rPr>
                <w:rFonts w:hint="eastAsia" w:ascii="宋体" w:hAnsi="宋体" w:eastAsia="宋体" w:cs="宋体"/>
                <w:i w:val="0"/>
                <w:iCs w:val="0"/>
                <w:color w:val="000000"/>
                <w:sz w:val="18"/>
                <w:szCs w:val="18"/>
                <w:u w:val="none"/>
              </w:rPr>
            </w:pPr>
          </w:p>
        </w:tc>
      </w:tr>
      <w:tr w14:paraId="3404C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4715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FDE5E">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1A1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BB4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21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06D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CE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57A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56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321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A57FC">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36363">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D0BBE">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D9FA5">
            <w:pPr>
              <w:jc w:val="center"/>
              <w:rPr>
                <w:rFonts w:hint="eastAsia" w:ascii="宋体" w:hAnsi="宋体" w:eastAsia="宋体" w:cs="宋体"/>
                <w:i w:val="0"/>
                <w:iCs w:val="0"/>
                <w:color w:val="000000"/>
                <w:sz w:val="18"/>
                <w:szCs w:val="18"/>
                <w:u w:val="none"/>
              </w:rPr>
            </w:pPr>
          </w:p>
        </w:tc>
      </w:tr>
      <w:tr w14:paraId="50C17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D5238">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4A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03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2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阜康市2015年棚户区改造项目资金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195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8E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&lt;=74.93万元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2A2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=74.93万元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194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73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F8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76BB9">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DB06B">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E6BCB">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442AE">
            <w:pPr>
              <w:jc w:val="center"/>
              <w:rPr>
                <w:rFonts w:hint="eastAsia" w:ascii="宋体" w:hAnsi="宋体" w:eastAsia="宋体" w:cs="宋体"/>
                <w:i w:val="0"/>
                <w:iCs w:val="0"/>
                <w:color w:val="000000"/>
                <w:sz w:val="18"/>
                <w:szCs w:val="18"/>
                <w:u w:val="none"/>
              </w:rPr>
            </w:pPr>
          </w:p>
        </w:tc>
      </w:tr>
      <w:tr w14:paraId="4419E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E92E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C9734">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943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EBB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阜康市2016年棚户区改造项目资金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F21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BA6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&lt;=1120万元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024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=1120万元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52C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E7E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0D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AD2B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1496">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7AF3F">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BF8AE">
            <w:pPr>
              <w:jc w:val="center"/>
              <w:rPr>
                <w:rFonts w:hint="eastAsia" w:ascii="宋体" w:hAnsi="宋体" w:eastAsia="宋体" w:cs="宋体"/>
                <w:i w:val="0"/>
                <w:iCs w:val="0"/>
                <w:color w:val="000000"/>
                <w:sz w:val="18"/>
                <w:szCs w:val="18"/>
                <w:u w:val="none"/>
              </w:rPr>
            </w:pPr>
          </w:p>
        </w:tc>
      </w:tr>
      <w:tr w14:paraId="64D79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31248">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69A26">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483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687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阜康市2017年棚户区改造项目资金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333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4D7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&lt;=41436.29万元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5B9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=41436.29万元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442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4A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2B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D76FA">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67E2E">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D6ED9">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23C10">
            <w:pPr>
              <w:jc w:val="center"/>
              <w:rPr>
                <w:rFonts w:hint="eastAsia" w:ascii="宋体" w:hAnsi="宋体" w:eastAsia="宋体" w:cs="宋体"/>
                <w:i w:val="0"/>
                <w:iCs w:val="0"/>
                <w:color w:val="000000"/>
                <w:sz w:val="18"/>
                <w:szCs w:val="18"/>
                <w:u w:val="none"/>
              </w:rPr>
            </w:pPr>
          </w:p>
        </w:tc>
      </w:tr>
      <w:tr w14:paraId="5212A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3256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31E35">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4C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41A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化解阳光花园小区工程欠款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D00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2C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&lt;=350.48万元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A55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=350.48万元</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A60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A49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3F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4D57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75E5">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B784">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5860">
            <w:pPr>
              <w:jc w:val="center"/>
              <w:rPr>
                <w:rFonts w:hint="eastAsia" w:ascii="宋体" w:hAnsi="宋体" w:eastAsia="宋体" w:cs="宋体"/>
                <w:i w:val="0"/>
                <w:iCs w:val="0"/>
                <w:color w:val="000000"/>
                <w:sz w:val="18"/>
                <w:szCs w:val="18"/>
                <w:u w:val="none"/>
              </w:rPr>
            </w:pPr>
          </w:p>
        </w:tc>
      </w:tr>
      <w:tr w14:paraId="6C826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DC32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45B44">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9C8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7637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04E69">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1DAE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B671C">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3BD3F">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409C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1090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D02A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E9140">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92C5">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6912E">
            <w:pPr>
              <w:jc w:val="center"/>
              <w:rPr>
                <w:rFonts w:hint="eastAsia" w:ascii="宋体" w:hAnsi="宋体" w:eastAsia="宋体" w:cs="宋体"/>
                <w:i w:val="0"/>
                <w:iCs w:val="0"/>
                <w:color w:val="000000"/>
                <w:sz w:val="18"/>
                <w:szCs w:val="18"/>
                <w:u w:val="none"/>
              </w:rPr>
            </w:pPr>
          </w:p>
        </w:tc>
      </w:tr>
      <w:tr w14:paraId="637D3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C2AB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90796">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51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B044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6FEB7">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2383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6C88A">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A876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BA74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E640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129D">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EE640">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B231C">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D30C8">
            <w:pPr>
              <w:jc w:val="center"/>
              <w:rPr>
                <w:rFonts w:hint="eastAsia" w:ascii="宋体" w:hAnsi="宋体" w:eastAsia="宋体" w:cs="宋体"/>
                <w:i w:val="0"/>
                <w:iCs w:val="0"/>
                <w:color w:val="000000"/>
                <w:sz w:val="18"/>
                <w:szCs w:val="18"/>
                <w:u w:val="none"/>
              </w:rPr>
            </w:pPr>
          </w:p>
        </w:tc>
      </w:tr>
      <w:tr w14:paraId="7B22B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007E2">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304A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33E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331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824C6">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47A8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6AE26">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0644F">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78EA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1D01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92D2A">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5C764">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DD312">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6302D">
            <w:pPr>
              <w:jc w:val="center"/>
              <w:rPr>
                <w:rFonts w:hint="eastAsia" w:ascii="宋体" w:hAnsi="宋体" w:eastAsia="宋体" w:cs="宋体"/>
                <w:i w:val="0"/>
                <w:iCs w:val="0"/>
                <w:color w:val="000000"/>
                <w:sz w:val="18"/>
                <w:szCs w:val="18"/>
                <w:u w:val="none"/>
              </w:rPr>
            </w:pPr>
          </w:p>
        </w:tc>
      </w:tr>
      <w:tr w14:paraId="64645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B181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7BA9A">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F2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5B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8FB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19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D8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4B7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705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43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F4A3B">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8F965">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44E01">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301FD">
            <w:pPr>
              <w:jc w:val="center"/>
              <w:rPr>
                <w:rFonts w:hint="eastAsia" w:ascii="宋体" w:hAnsi="宋体" w:eastAsia="宋体" w:cs="宋体"/>
                <w:i w:val="0"/>
                <w:iCs w:val="0"/>
                <w:color w:val="000000"/>
                <w:sz w:val="18"/>
                <w:szCs w:val="18"/>
                <w:u w:val="none"/>
              </w:rPr>
            </w:pPr>
          </w:p>
        </w:tc>
      </w:tr>
      <w:tr w14:paraId="277DA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68E5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C8D27">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8A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5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69E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79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BFC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91F9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663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6" w:name="_GoBack"/>
            <w:bookmarkEnd w:id="156"/>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EC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4F3B9">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C6A37">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7C6D1">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2B21E">
            <w:pPr>
              <w:jc w:val="center"/>
              <w:rPr>
                <w:rFonts w:hint="eastAsia" w:ascii="宋体" w:hAnsi="宋体" w:eastAsia="宋体" w:cs="宋体"/>
                <w:i w:val="0"/>
                <w:iCs w:val="0"/>
                <w:color w:val="000000"/>
                <w:sz w:val="18"/>
                <w:szCs w:val="18"/>
                <w:u w:val="none"/>
              </w:rPr>
            </w:pPr>
          </w:p>
        </w:tc>
      </w:tr>
      <w:tr w14:paraId="17113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FEE2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039D8">
            <w:pPr>
              <w:jc w:val="center"/>
              <w:rPr>
                <w:rFonts w:hint="eastAsia" w:ascii="宋体" w:hAnsi="宋体" w:eastAsia="宋体" w:cs="宋体"/>
                <w:i w:val="0"/>
                <w:iCs w:val="0"/>
                <w:color w:val="000000"/>
                <w:sz w:val="18"/>
                <w:szCs w:val="18"/>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2A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19C3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1CCF8">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C173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B9E94">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8A00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49C0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87DA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2F9B3">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F58D8">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7C717">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598ED">
            <w:pPr>
              <w:jc w:val="center"/>
              <w:rPr>
                <w:rFonts w:hint="eastAsia" w:ascii="宋体" w:hAnsi="宋体" w:eastAsia="宋体" w:cs="宋体"/>
                <w:i w:val="0"/>
                <w:iCs w:val="0"/>
                <w:color w:val="000000"/>
                <w:sz w:val="18"/>
                <w:szCs w:val="18"/>
                <w:u w:val="none"/>
              </w:rPr>
            </w:pPr>
          </w:p>
        </w:tc>
      </w:tr>
      <w:tr w14:paraId="04492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2F530">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041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5B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A955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86E2E">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A6F4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E918D">
            <w:pPr>
              <w:jc w:val="center"/>
              <w:rPr>
                <w:rFonts w:hint="eastAsia" w:ascii="宋体" w:hAnsi="宋体" w:eastAsia="宋体" w:cs="宋体"/>
                <w:i w:val="0"/>
                <w:iCs w:val="0"/>
                <w:color w:val="000000"/>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634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2667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6DA5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4CD19">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362C0">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A92AE">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D9C22">
            <w:pPr>
              <w:jc w:val="center"/>
              <w:rPr>
                <w:rFonts w:hint="eastAsia" w:ascii="宋体" w:hAnsi="宋体" w:eastAsia="宋体" w:cs="宋体"/>
                <w:i w:val="0"/>
                <w:iCs w:val="0"/>
                <w:color w:val="000000"/>
                <w:sz w:val="18"/>
                <w:szCs w:val="18"/>
                <w:u w:val="none"/>
              </w:rPr>
            </w:pPr>
          </w:p>
        </w:tc>
      </w:tr>
      <w:tr w14:paraId="73D8F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50" w:type="pct"/>
            <w:gridSpan w:val="4"/>
            <w:tcBorders>
              <w:top w:val="single" w:color="000000" w:sz="4" w:space="0"/>
              <w:left w:val="single" w:color="000000" w:sz="4" w:space="0"/>
              <w:bottom w:val="single" w:color="000000" w:sz="4" w:space="0"/>
              <w:right w:val="nil"/>
            </w:tcBorders>
            <w:shd w:val="clear" w:color="auto" w:fill="auto"/>
            <w:vAlign w:val="center"/>
          </w:tcPr>
          <w:p w14:paraId="111671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16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3" w:type="pct"/>
            <w:tcBorders>
              <w:top w:val="single" w:color="000000" w:sz="4" w:space="0"/>
              <w:left w:val="nil"/>
              <w:bottom w:val="single" w:color="000000" w:sz="4" w:space="0"/>
              <w:right w:val="single" w:color="000000" w:sz="4" w:space="0"/>
            </w:tcBorders>
            <w:shd w:val="clear" w:color="auto" w:fill="auto"/>
            <w:vAlign w:val="center"/>
          </w:tcPr>
          <w:p w14:paraId="1DDF2682">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2166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6E71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10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FB7E8">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9D9AB">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99E12">
            <w:pP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46416">
            <w:pP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902DD">
            <w:pPr>
              <w:rPr>
                <w:rFonts w:hint="eastAsia" w:ascii="宋体" w:hAnsi="宋体" w:eastAsia="宋体" w:cs="宋体"/>
                <w:i w:val="0"/>
                <w:iCs w:val="0"/>
                <w:color w:val="000000"/>
                <w:sz w:val="18"/>
                <w:szCs w:val="18"/>
                <w:u w:val="none"/>
              </w:rPr>
            </w:pPr>
          </w:p>
        </w:tc>
      </w:tr>
    </w:tbl>
    <w:p w14:paraId="0D2C1648">
      <w:pPr>
        <w:ind w:left="0" w:leftChars="0" w:firstLine="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4" w:name="_Toc11223"/>
      <w:bookmarkStart w:id="155"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933"/>
        <w:gridCol w:w="2028"/>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themeColor="text1"/>
                <w:kern w:val="0"/>
                <w:sz w:val="22"/>
                <w:szCs w:val="22"/>
                <w:highlight w:val="none"/>
                <w14:textFill>
                  <w14:solidFill>
                    <w14:schemeClr w14:val="tx1"/>
                  </w14:solidFill>
                </w14:textFill>
              </w:rPr>
            </w:pPr>
            <w:r>
              <w:rPr>
                <w:rFonts w:hint="eastAsia" w:ascii="宋体" w:hAnsi="宋体" w:eastAsia="宋体" w:cs="宋体"/>
                <w:b/>
                <w:bCs/>
                <w:color w:val="000000" w:themeColor="text1"/>
                <w:kern w:val="0"/>
                <w:sz w:val="22"/>
                <w:szCs w:val="22"/>
                <w:highlight w:val="none"/>
                <w14:textFill>
                  <w14:solidFill>
                    <w14:schemeClr w14:val="tx1"/>
                  </w14:solidFill>
                </w14:textFill>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themeColor="text1"/>
                <w:kern w:val="0"/>
                <w:sz w:val="22"/>
                <w:szCs w:val="22"/>
                <w:highlight w:val="none"/>
                <w14:textFill>
                  <w14:solidFill>
                    <w14:schemeClr w14:val="tx1"/>
                  </w14:solidFill>
                </w14:textFill>
              </w:rPr>
            </w:pPr>
            <w:r>
              <w:rPr>
                <w:rFonts w:hint="eastAsia" w:ascii="宋体" w:hAnsi="宋体" w:eastAsia="宋体" w:cs="宋体"/>
                <w:b/>
                <w:bCs/>
                <w:color w:val="000000" w:themeColor="text1"/>
                <w:kern w:val="0"/>
                <w:sz w:val="22"/>
                <w:szCs w:val="22"/>
                <w:highlight w:val="none"/>
                <w14:textFill>
                  <w14:solidFill>
                    <w14:schemeClr w14:val="tx1"/>
                  </w14:solidFill>
                </w14:textFill>
              </w:rPr>
              <w:t>二级指标</w:t>
            </w:r>
          </w:p>
        </w:tc>
        <w:tc>
          <w:tcPr>
            <w:tcW w:w="933"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themeColor="text1"/>
                <w:kern w:val="0"/>
                <w:sz w:val="22"/>
                <w:szCs w:val="22"/>
                <w:highlight w:val="none"/>
                <w14:textFill>
                  <w14:solidFill>
                    <w14:schemeClr w14:val="tx1"/>
                  </w14:solidFill>
                </w14:textFill>
              </w:rPr>
            </w:pPr>
            <w:r>
              <w:rPr>
                <w:rFonts w:hint="eastAsia" w:ascii="宋体" w:hAnsi="宋体" w:eastAsia="宋体" w:cs="宋体"/>
                <w:b/>
                <w:bCs/>
                <w:color w:val="000000" w:themeColor="text1"/>
                <w:kern w:val="0"/>
                <w:sz w:val="22"/>
                <w:szCs w:val="22"/>
                <w:highlight w:val="none"/>
                <w14:textFill>
                  <w14:solidFill>
                    <w14:schemeClr w14:val="tx1"/>
                  </w14:solidFill>
                </w14:textFill>
              </w:rPr>
              <w:t>三级指标</w:t>
            </w:r>
          </w:p>
        </w:tc>
        <w:tc>
          <w:tcPr>
            <w:tcW w:w="2028"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themeColor="text1"/>
                <w:kern w:val="0"/>
                <w:sz w:val="22"/>
                <w:szCs w:val="22"/>
                <w:highlight w:val="none"/>
                <w14:textFill>
                  <w14:solidFill>
                    <w14:schemeClr w14:val="tx1"/>
                  </w14:solidFill>
                </w14:textFill>
              </w:rPr>
            </w:pPr>
            <w:r>
              <w:rPr>
                <w:rFonts w:hint="eastAsia" w:ascii="宋体" w:hAnsi="宋体" w:eastAsia="宋体" w:cs="宋体"/>
                <w:b/>
                <w:bCs/>
                <w:color w:val="000000" w:themeColor="text1"/>
                <w:kern w:val="0"/>
                <w:sz w:val="22"/>
                <w:szCs w:val="22"/>
                <w:highlight w:val="none"/>
                <w14:textFill>
                  <w14:solidFill>
                    <w14:schemeClr w14:val="tx1"/>
                  </w14:solidFill>
                </w14:textFill>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themeColor="text1"/>
                <w:kern w:val="0"/>
                <w:sz w:val="22"/>
                <w:szCs w:val="22"/>
                <w:highlight w:val="none"/>
                <w14:textFill>
                  <w14:solidFill>
                    <w14:schemeClr w14:val="tx1"/>
                  </w14:solidFill>
                </w14:textFill>
              </w:rPr>
            </w:pPr>
            <w:r>
              <w:rPr>
                <w:rFonts w:hint="eastAsia" w:ascii="宋体" w:hAnsi="宋体" w:eastAsia="宋体" w:cs="宋体"/>
                <w:b/>
                <w:bCs/>
                <w:color w:val="000000" w:themeColor="text1"/>
                <w:kern w:val="0"/>
                <w:sz w:val="22"/>
                <w:szCs w:val="22"/>
                <w:highlight w:val="none"/>
                <w14:textFill>
                  <w14:solidFill>
                    <w14:schemeClr w14:val="tx1"/>
                  </w14:solidFill>
                </w14:textFill>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themeColor="text1"/>
                <w:kern w:val="0"/>
                <w:sz w:val="22"/>
                <w:szCs w:val="22"/>
                <w:highlight w:val="none"/>
                <w:lang w:val="en-US" w:eastAsia="zh-CN"/>
                <w14:textFill>
                  <w14:solidFill>
                    <w14:schemeClr w14:val="tx1"/>
                  </w14:solidFill>
                </w14:textFill>
              </w:rPr>
            </w:pPr>
            <w:r>
              <w:rPr>
                <w:rFonts w:hint="eastAsia" w:ascii="宋体" w:hAnsi="宋体" w:eastAsia="宋体" w:cs="宋体"/>
                <w:b/>
                <w:bCs/>
                <w:color w:val="000000" w:themeColor="text1"/>
                <w:kern w:val="0"/>
                <w:sz w:val="22"/>
                <w:szCs w:val="22"/>
                <w:highlight w:val="none"/>
                <w:lang w:val="en-US" w:eastAsia="zh-CN"/>
                <w14:textFill>
                  <w14:solidFill>
                    <w14:schemeClr w14:val="tx1"/>
                  </w14:solidFill>
                </w14:textFill>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themeColor="text1"/>
                <w:kern w:val="0"/>
                <w:sz w:val="22"/>
                <w:szCs w:val="22"/>
                <w:highlight w:val="none"/>
                <w:lang w:val="en-US" w:eastAsia="zh-CN"/>
                <w14:textFill>
                  <w14:solidFill>
                    <w14:schemeClr w14:val="tx1"/>
                  </w14:solidFill>
                </w14:textFill>
              </w:rPr>
            </w:pPr>
            <w:r>
              <w:rPr>
                <w:rFonts w:hint="eastAsia" w:ascii="宋体" w:hAnsi="宋体" w:eastAsia="宋体" w:cs="宋体"/>
                <w:b/>
                <w:bCs/>
                <w:color w:val="000000" w:themeColor="text1"/>
                <w:kern w:val="0"/>
                <w:sz w:val="22"/>
                <w:szCs w:val="22"/>
                <w:highlight w:val="none"/>
                <w:lang w:val="en-US" w:eastAsia="zh-CN"/>
                <w14:textFill>
                  <w14:solidFill>
                    <w14:schemeClr w14:val="tx1"/>
                  </w14:solidFill>
                </w14:textFill>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项目立项　</w:t>
            </w:r>
          </w:p>
        </w:tc>
        <w:tc>
          <w:tcPr>
            <w:tcW w:w="933"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充分性</w:t>
            </w:r>
          </w:p>
        </w:tc>
        <w:tc>
          <w:tcPr>
            <w:tcW w:w="2028"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933"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规范性</w:t>
            </w:r>
          </w:p>
        </w:tc>
        <w:tc>
          <w:tcPr>
            <w:tcW w:w="2028"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绩效目标　</w:t>
            </w:r>
          </w:p>
        </w:tc>
        <w:tc>
          <w:tcPr>
            <w:tcW w:w="933"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合理性</w:t>
            </w:r>
          </w:p>
        </w:tc>
        <w:tc>
          <w:tcPr>
            <w:tcW w:w="2028"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绩效目标</w:t>
            </w:r>
          </w:p>
        </w:tc>
        <w:tc>
          <w:tcPr>
            <w:tcW w:w="933"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明确性</w:t>
            </w:r>
          </w:p>
        </w:tc>
        <w:tc>
          <w:tcPr>
            <w:tcW w:w="2028"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　</w:t>
            </w:r>
          </w:p>
        </w:tc>
        <w:tc>
          <w:tcPr>
            <w:tcW w:w="933"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科学性</w:t>
            </w:r>
          </w:p>
        </w:tc>
        <w:tc>
          <w:tcPr>
            <w:tcW w:w="2028"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933"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合理性</w:t>
            </w:r>
          </w:p>
        </w:tc>
        <w:tc>
          <w:tcPr>
            <w:tcW w:w="2028"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资金管理</w:t>
            </w:r>
          </w:p>
        </w:tc>
        <w:tc>
          <w:tcPr>
            <w:tcW w:w="933"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资金到位率</w:t>
            </w:r>
          </w:p>
        </w:tc>
        <w:tc>
          <w:tcPr>
            <w:tcW w:w="2028"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p>
        </w:tc>
        <w:tc>
          <w:tcPr>
            <w:tcW w:w="933"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预算执行率</w:t>
            </w:r>
          </w:p>
        </w:tc>
        <w:tc>
          <w:tcPr>
            <w:tcW w:w="2028"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资金管理</w:t>
            </w:r>
          </w:p>
        </w:tc>
        <w:tc>
          <w:tcPr>
            <w:tcW w:w="933"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合规性</w:t>
            </w:r>
          </w:p>
        </w:tc>
        <w:tc>
          <w:tcPr>
            <w:tcW w:w="2028"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　</w:t>
            </w:r>
          </w:p>
        </w:tc>
        <w:tc>
          <w:tcPr>
            <w:tcW w:w="933"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健全性</w:t>
            </w:r>
          </w:p>
        </w:tc>
        <w:tc>
          <w:tcPr>
            <w:tcW w:w="2028"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60"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933"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有效性</w:t>
            </w:r>
          </w:p>
        </w:tc>
        <w:tc>
          <w:tcPr>
            <w:tcW w:w="2028"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产出数量</w:t>
            </w:r>
          </w:p>
        </w:tc>
        <w:tc>
          <w:tcPr>
            <w:tcW w:w="933"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化解债务项目数量</w:t>
            </w:r>
          </w:p>
        </w:tc>
        <w:tc>
          <w:tcPr>
            <w:tcW w:w="2028"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17E31E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shd w:val="clear" w:color="auto" w:fill="auto"/>
            <w:noWrap w:val="0"/>
            <w:vAlign w:val="center"/>
          </w:tcPr>
          <w:p w14:paraId="3B56F21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w:t>
            </w:r>
          </w:p>
        </w:tc>
        <w:tc>
          <w:tcPr>
            <w:tcW w:w="727" w:type="dxa"/>
            <w:shd w:val="clear" w:color="auto" w:fill="auto"/>
            <w:noWrap w:val="0"/>
            <w:vAlign w:val="center"/>
          </w:tcPr>
          <w:p w14:paraId="52F3ACE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产出数量</w:t>
            </w:r>
          </w:p>
        </w:tc>
        <w:tc>
          <w:tcPr>
            <w:tcW w:w="933" w:type="dxa"/>
            <w:shd w:val="clear" w:color="auto" w:fill="auto"/>
            <w:noWrap w:val="0"/>
            <w:vAlign w:val="center"/>
          </w:tcPr>
          <w:p w14:paraId="3CD7473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化解项目涉及企业</w:t>
            </w:r>
          </w:p>
        </w:tc>
        <w:tc>
          <w:tcPr>
            <w:tcW w:w="2028" w:type="dxa"/>
            <w:shd w:val="clear" w:color="auto" w:fill="auto"/>
            <w:noWrap w:val="0"/>
            <w:vAlign w:val="center"/>
          </w:tcPr>
          <w:p w14:paraId="752B5E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项目实施的实际产出数与计划产出数的比率，用以反映和考核项目产出数量目标的实现程度。</w:t>
            </w:r>
          </w:p>
        </w:tc>
        <w:tc>
          <w:tcPr>
            <w:tcW w:w="7821" w:type="dxa"/>
            <w:shd w:val="clear" w:color="auto" w:fill="auto"/>
            <w:noWrap w:val="0"/>
            <w:vAlign w:val="center"/>
          </w:tcPr>
          <w:p w14:paraId="6A5C41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实际完成率=（实际产出数/计划产出数）×100%。</w:t>
            </w:r>
          </w:p>
          <w:p w14:paraId="0AACCA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实际产出数：一定时期（本年度或项目期）内项目实际产出的产品或提供的服务数量。</w:t>
            </w:r>
          </w:p>
          <w:p w14:paraId="677B0B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计划产出数：项目绩效目标确定的在一定时期（本年度或项目期）内计划产出的产品或提供的服务数量。</w:t>
            </w:r>
          </w:p>
        </w:tc>
        <w:tc>
          <w:tcPr>
            <w:tcW w:w="785" w:type="dxa"/>
            <w:shd w:val="clear" w:color="auto" w:fill="auto"/>
            <w:noWrap w:val="0"/>
            <w:vAlign w:val="center"/>
          </w:tcPr>
          <w:p w14:paraId="3BE0F40C">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c>
          <w:tcPr>
            <w:tcW w:w="769" w:type="dxa"/>
            <w:shd w:val="clear" w:color="auto" w:fill="auto"/>
            <w:noWrap w:val="0"/>
            <w:vAlign w:val="center"/>
          </w:tcPr>
          <w:p w14:paraId="3F36FBF4">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w:t>
            </w:r>
          </w:p>
        </w:tc>
        <w:tc>
          <w:tcPr>
            <w:tcW w:w="727" w:type="dxa"/>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产出质量</w:t>
            </w:r>
          </w:p>
        </w:tc>
        <w:tc>
          <w:tcPr>
            <w:tcW w:w="933"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资金使用合规率</w:t>
            </w:r>
          </w:p>
        </w:tc>
        <w:tc>
          <w:tcPr>
            <w:tcW w:w="2028"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产出时效</w:t>
            </w:r>
          </w:p>
        </w:tc>
        <w:tc>
          <w:tcPr>
            <w:tcW w:w="933"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任务完成时间</w:t>
            </w:r>
          </w:p>
        </w:tc>
        <w:tc>
          <w:tcPr>
            <w:tcW w:w="2028"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11D67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453510D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shd w:val="clear" w:color="auto" w:fill="auto"/>
            <w:noWrap w:val="0"/>
            <w:vAlign w:val="center"/>
          </w:tcPr>
          <w:p w14:paraId="780A5AEB">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产出时效</w:t>
            </w:r>
          </w:p>
        </w:tc>
        <w:tc>
          <w:tcPr>
            <w:tcW w:w="933" w:type="dxa"/>
            <w:shd w:val="clear" w:color="auto" w:fill="auto"/>
            <w:noWrap w:val="0"/>
            <w:vAlign w:val="center"/>
          </w:tcPr>
          <w:p w14:paraId="436A027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资金支付及时率</w:t>
            </w:r>
          </w:p>
        </w:tc>
        <w:tc>
          <w:tcPr>
            <w:tcW w:w="2028" w:type="dxa"/>
            <w:shd w:val="clear" w:color="auto" w:fill="auto"/>
            <w:noWrap w:val="0"/>
            <w:vAlign w:val="center"/>
          </w:tcPr>
          <w:p w14:paraId="51CC5EB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项目实际完成时间与计划完成时间的比较，用以反映和考核项目产出时效目标的实现程度</w:t>
            </w:r>
          </w:p>
        </w:tc>
        <w:tc>
          <w:tcPr>
            <w:tcW w:w="7821" w:type="dxa"/>
            <w:shd w:val="clear" w:color="auto" w:fill="auto"/>
            <w:noWrap w:val="0"/>
            <w:vAlign w:val="center"/>
          </w:tcPr>
          <w:p w14:paraId="29B52C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实际完成时间：项目实施单位完成该项目实际所耗用的时间。</w:t>
            </w:r>
          </w:p>
          <w:p w14:paraId="26C438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计划完成时间：按照项目实施计划或相关规定完成该项目所需的时间。</w:t>
            </w:r>
          </w:p>
        </w:tc>
        <w:tc>
          <w:tcPr>
            <w:tcW w:w="785" w:type="dxa"/>
            <w:shd w:val="clear" w:color="auto" w:fill="auto"/>
            <w:noWrap w:val="0"/>
            <w:vAlign w:val="center"/>
          </w:tcPr>
          <w:p w14:paraId="20A57409">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c>
          <w:tcPr>
            <w:tcW w:w="769" w:type="dxa"/>
            <w:shd w:val="clear" w:color="auto" w:fill="auto"/>
            <w:noWrap w:val="0"/>
            <w:vAlign w:val="center"/>
          </w:tcPr>
          <w:p w14:paraId="01C51D46">
            <w:pPr>
              <w:pageBreakBefore w:val="0"/>
              <w:widowControl/>
              <w:kinsoku/>
              <w:wordWrap/>
              <w:overflowPunct/>
              <w:topLinePunct w:val="0"/>
              <w:autoSpaceDE/>
              <w:autoSpaceDN/>
              <w:bidi w:val="0"/>
              <w:spacing w:line="240" w:lineRule="auto"/>
              <w:ind w:firstLine="0" w:firstLineChars="0"/>
              <w:textAlignment w:val="auto"/>
              <w:rPr>
                <w:rFonts w:hint="default"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4</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20E929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产出成本</w:t>
            </w:r>
          </w:p>
        </w:tc>
        <w:tc>
          <w:tcPr>
            <w:tcW w:w="933"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阜康市2015年棚户区改造项目资金</w:t>
            </w:r>
          </w:p>
        </w:tc>
        <w:tc>
          <w:tcPr>
            <w:tcW w:w="2028"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r>
      <w:tr w14:paraId="09001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2098D09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continue"/>
            <w:shd w:val="clear" w:color="auto" w:fill="auto"/>
            <w:noWrap w:val="0"/>
            <w:vAlign w:val="center"/>
          </w:tcPr>
          <w:p w14:paraId="2087C1E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p>
        </w:tc>
        <w:tc>
          <w:tcPr>
            <w:tcW w:w="933" w:type="dxa"/>
            <w:shd w:val="clear" w:color="auto" w:fill="auto"/>
            <w:noWrap w:val="0"/>
            <w:vAlign w:val="center"/>
          </w:tcPr>
          <w:p w14:paraId="419B23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阜康市2015年棚户区改造项目资金</w:t>
            </w:r>
          </w:p>
        </w:tc>
        <w:tc>
          <w:tcPr>
            <w:tcW w:w="2028" w:type="dxa"/>
            <w:shd w:val="clear" w:color="auto" w:fill="auto"/>
            <w:noWrap w:val="0"/>
            <w:vAlign w:val="center"/>
          </w:tcPr>
          <w:p w14:paraId="145ABC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完成项目计划工作目标的实际节约成本与计划成本的比率，用以反映和考核项目的成本节约程度。</w:t>
            </w:r>
          </w:p>
        </w:tc>
        <w:tc>
          <w:tcPr>
            <w:tcW w:w="7821" w:type="dxa"/>
            <w:shd w:val="clear" w:color="auto" w:fill="auto"/>
            <w:noWrap w:val="0"/>
            <w:vAlign w:val="center"/>
          </w:tcPr>
          <w:p w14:paraId="2938DA2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p>
          <w:p w14:paraId="6946C4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成本节约率=[（计划成本-实际成本）/计划成本]×100%。</w:t>
            </w:r>
          </w:p>
          <w:p w14:paraId="5594A1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实际成本：项目实施单位如期、保质、保量完成既定工作目标实际所耗费的支出。</w:t>
            </w:r>
          </w:p>
          <w:p w14:paraId="6D2138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计划成本：项目实施单位为完成工作目标计划安排的支出，一般以项目预算为参考。</w:t>
            </w:r>
          </w:p>
        </w:tc>
        <w:tc>
          <w:tcPr>
            <w:tcW w:w="785" w:type="dxa"/>
            <w:shd w:val="clear" w:color="auto" w:fill="auto"/>
            <w:noWrap w:val="0"/>
            <w:vAlign w:val="center"/>
          </w:tcPr>
          <w:p w14:paraId="1ACA65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c>
          <w:tcPr>
            <w:tcW w:w="769" w:type="dxa"/>
            <w:shd w:val="clear" w:color="auto" w:fill="auto"/>
            <w:noWrap w:val="0"/>
            <w:vAlign w:val="center"/>
          </w:tcPr>
          <w:p w14:paraId="0A5DF4B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cs="宋体"/>
                <w:color w:val="000000" w:themeColor="text1"/>
                <w:kern w:val="0"/>
                <w:sz w:val="22"/>
                <w:szCs w:val="22"/>
                <w:highlight w:val="none"/>
                <w:lang w:val="en-US" w:eastAsia="zh-CN" w:bidi="ar-SA"/>
                <w14:textFill>
                  <w14:solidFill>
                    <w14:schemeClr w14:val="tx1"/>
                  </w14:solidFill>
                </w14:textFill>
              </w:rPr>
              <w:t>5</w:t>
            </w:r>
          </w:p>
        </w:tc>
      </w:tr>
      <w:tr w14:paraId="16F7C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restart"/>
            <w:shd w:val="clear" w:color="auto" w:fill="auto"/>
            <w:noWrap w:val="0"/>
            <w:vAlign w:val="center"/>
          </w:tcPr>
          <w:p w14:paraId="077F0BF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restart"/>
            <w:shd w:val="clear" w:color="auto" w:fill="auto"/>
            <w:noWrap w:val="0"/>
            <w:vAlign w:val="center"/>
          </w:tcPr>
          <w:p w14:paraId="2ABF2DC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产出成本</w:t>
            </w:r>
          </w:p>
        </w:tc>
        <w:tc>
          <w:tcPr>
            <w:tcW w:w="933" w:type="dxa"/>
            <w:shd w:val="clear" w:color="auto" w:fill="auto"/>
            <w:noWrap w:val="0"/>
            <w:vAlign w:val="center"/>
          </w:tcPr>
          <w:p w14:paraId="2BB6637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阜康市2015年棚户区改造项目资金</w:t>
            </w:r>
          </w:p>
        </w:tc>
        <w:tc>
          <w:tcPr>
            <w:tcW w:w="2028" w:type="dxa"/>
            <w:shd w:val="clear" w:color="auto" w:fill="auto"/>
            <w:noWrap w:val="0"/>
            <w:vAlign w:val="center"/>
          </w:tcPr>
          <w:p w14:paraId="32633E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完成项目计划工作目标的实际节约成本与计划成本的比率，用以反映和考核项目的成本节约程度。</w:t>
            </w:r>
          </w:p>
        </w:tc>
        <w:tc>
          <w:tcPr>
            <w:tcW w:w="7821" w:type="dxa"/>
            <w:shd w:val="clear" w:color="auto" w:fill="auto"/>
            <w:noWrap w:val="0"/>
            <w:vAlign w:val="center"/>
          </w:tcPr>
          <w:p w14:paraId="562AFC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p>
          <w:p w14:paraId="6804F2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成本节约率=[（计划成本-实际成本）/计划成本]×100%。</w:t>
            </w:r>
          </w:p>
          <w:p w14:paraId="46CEE4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实际成本：项目实施单位如期、保质、保量完成既定工作目标实际所耗费的支出。</w:t>
            </w:r>
          </w:p>
          <w:p w14:paraId="3A56FC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计划成本：项目实施单位为完成工作目标计划安排的支出，一般以项目预算为参考。</w:t>
            </w:r>
          </w:p>
        </w:tc>
        <w:tc>
          <w:tcPr>
            <w:tcW w:w="785" w:type="dxa"/>
            <w:shd w:val="clear" w:color="auto" w:fill="auto"/>
            <w:noWrap w:val="0"/>
            <w:vAlign w:val="center"/>
          </w:tcPr>
          <w:p w14:paraId="79A485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c>
          <w:tcPr>
            <w:tcW w:w="769" w:type="dxa"/>
            <w:shd w:val="clear" w:color="auto" w:fill="auto"/>
            <w:noWrap w:val="0"/>
            <w:vAlign w:val="center"/>
          </w:tcPr>
          <w:p w14:paraId="6C8323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r>
      <w:tr w14:paraId="44C698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175451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continue"/>
            <w:shd w:val="clear" w:color="auto" w:fill="auto"/>
            <w:noWrap w:val="0"/>
            <w:vAlign w:val="center"/>
          </w:tcPr>
          <w:p w14:paraId="1CAFCB0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p>
        </w:tc>
        <w:tc>
          <w:tcPr>
            <w:tcW w:w="933" w:type="dxa"/>
            <w:shd w:val="clear" w:color="auto" w:fill="auto"/>
            <w:noWrap w:val="0"/>
            <w:vAlign w:val="center"/>
          </w:tcPr>
          <w:p w14:paraId="02086E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化解阳光花园小区工程欠款</w:t>
            </w:r>
          </w:p>
        </w:tc>
        <w:tc>
          <w:tcPr>
            <w:tcW w:w="2028" w:type="dxa"/>
            <w:shd w:val="clear" w:color="auto" w:fill="auto"/>
            <w:noWrap w:val="0"/>
            <w:vAlign w:val="center"/>
          </w:tcPr>
          <w:p w14:paraId="1E3DCA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完成项目计划工作目标的实际节约成本与计划成本的比率，用以反映和考核项目的成本节约程度。</w:t>
            </w:r>
          </w:p>
        </w:tc>
        <w:tc>
          <w:tcPr>
            <w:tcW w:w="7821" w:type="dxa"/>
            <w:shd w:val="clear" w:color="auto" w:fill="auto"/>
            <w:noWrap w:val="0"/>
            <w:vAlign w:val="center"/>
          </w:tcPr>
          <w:p w14:paraId="3359E6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p>
          <w:p w14:paraId="28F783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成本节约率=[（计划成本-实际成本）/计划成本]×100%。</w:t>
            </w:r>
          </w:p>
          <w:p w14:paraId="6EFA4C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eastAsia="zh-CN"/>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实际成本：项目实施单位如期、保质、保量完成既定工作目标实际所耗费的支出。</w:t>
            </w:r>
          </w:p>
          <w:p w14:paraId="692A8D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计划成本：项目实施单位为完成工作目标计划安排的支出，一般以项目预算为参考。</w:t>
            </w:r>
          </w:p>
        </w:tc>
        <w:tc>
          <w:tcPr>
            <w:tcW w:w="785" w:type="dxa"/>
            <w:shd w:val="clear" w:color="auto" w:fill="auto"/>
            <w:noWrap w:val="0"/>
            <w:vAlign w:val="center"/>
          </w:tcPr>
          <w:p w14:paraId="3135DE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c>
          <w:tcPr>
            <w:tcW w:w="769" w:type="dxa"/>
            <w:shd w:val="clear" w:color="auto" w:fill="auto"/>
            <w:noWrap w:val="0"/>
            <w:vAlign w:val="center"/>
          </w:tcPr>
          <w:p w14:paraId="55CF8A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998"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项目效益　</w:t>
            </w:r>
          </w:p>
        </w:tc>
        <w:tc>
          <w:tcPr>
            <w:tcW w:w="933"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化解单位债务，提升单位和政府形象</w:t>
            </w:r>
          </w:p>
        </w:tc>
        <w:tc>
          <w:tcPr>
            <w:tcW w:w="2028"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8</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8</w:t>
            </w:r>
          </w:p>
        </w:tc>
      </w:tr>
      <w:tr w14:paraId="66FA0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77DC92B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p>
        </w:tc>
        <w:tc>
          <w:tcPr>
            <w:tcW w:w="727" w:type="dxa"/>
            <w:vMerge w:val="continue"/>
            <w:shd w:val="clear" w:color="auto" w:fill="auto"/>
            <w:noWrap w:val="0"/>
            <w:vAlign w:val="center"/>
          </w:tcPr>
          <w:p w14:paraId="4C5AE39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14:textFill>
                  <w14:solidFill>
                    <w14:schemeClr w14:val="tx1"/>
                  </w14:solidFill>
                </w14:textFill>
              </w:rPr>
            </w:pPr>
          </w:p>
        </w:tc>
        <w:tc>
          <w:tcPr>
            <w:tcW w:w="933" w:type="dxa"/>
            <w:shd w:val="clear" w:color="auto" w:fill="auto"/>
            <w:noWrap w:val="0"/>
            <w:vAlign w:val="center"/>
          </w:tcPr>
          <w:p w14:paraId="27D0F49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i w:val="0"/>
                <w:iCs w:val="0"/>
                <w:color w:val="000000" w:themeColor="text1"/>
                <w:sz w:val="22"/>
                <w:szCs w:val="22"/>
                <w:highlight w:val="none"/>
                <w:u w:val="none"/>
                <w14:textFill>
                  <w14:solidFill>
                    <w14:schemeClr w14:val="tx1"/>
                  </w14:solidFill>
                </w14:textFill>
              </w:rPr>
              <w:t>完善政府债务化解机制</w:t>
            </w:r>
          </w:p>
        </w:tc>
        <w:tc>
          <w:tcPr>
            <w:tcW w:w="2028" w:type="dxa"/>
            <w:shd w:val="clear" w:color="auto" w:fill="auto"/>
            <w:noWrap w:val="0"/>
            <w:vAlign w:val="center"/>
          </w:tcPr>
          <w:p w14:paraId="7E9E1C5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项目实施所产生的效益。</w:t>
            </w:r>
          </w:p>
        </w:tc>
        <w:tc>
          <w:tcPr>
            <w:tcW w:w="7821" w:type="dxa"/>
            <w:shd w:val="clear" w:color="auto" w:fill="auto"/>
            <w:noWrap w:val="0"/>
            <w:vAlign w:val="center"/>
          </w:tcPr>
          <w:p w14:paraId="45CDA8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项目实施所产生的社会效益、经济效益、生态效益、可持续影响等。可根据项目实际情况有选择地设置和细化。</w:t>
            </w:r>
          </w:p>
        </w:tc>
        <w:tc>
          <w:tcPr>
            <w:tcW w:w="785" w:type="dxa"/>
            <w:shd w:val="clear" w:color="auto" w:fill="auto"/>
            <w:noWrap w:val="0"/>
            <w:vAlign w:val="center"/>
          </w:tcPr>
          <w:p w14:paraId="39247C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7</w:t>
            </w:r>
          </w:p>
        </w:tc>
        <w:tc>
          <w:tcPr>
            <w:tcW w:w="769" w:type="dxa"/>
            <w:shd w:val="clear" w:color="auto" w:fill="auto"/>
            <w:noWrap w:val="0"/>
            <w:vAlign w:val="center"/>
          </w:tcPr>
          <w:p w14:paraId="79B699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lang w:val="en-US" w:eastAsia="zh-CN" w:bidi="ar-SA"/>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7</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FB668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themeColor="text1"/>
                <w:kern w:val="0"/>
                <w:sz w:val="22"/>
                <w:szCs w:val="22"/>
                <w:highlight w:val="none"/>
                <w14:textFill>
                  <w14:solidFill>
                    <w14:schemeClr w14:val="tx1"/>
                  </w14:solidFill>
                </w14:textFill>
              </w:rPr>
            </w:pPr>
          </w:p>
        </w:tc>
        <w:tc>
          <w:tcPr>
            <w:tcW w:w="933"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棚户区居民满意度</w:t>
            </w:r>
          </w:p>
        </w:tc>
        <w:tc>
          <w:tcPr>
            <w:tcW w:w="2028"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themeColor="text1"/>
                <w:kern w:val="0"/>
                <w:sz w:val="22"/>
                <w:szCs w:val="22"/>
                <w:highlight w:val="none"/>
                <w14:textFill>
                  <w14:solidFill>
                    <w14:schemeClr w14:val="tx1"/>
                  </w14:solidFill>
                </w14:textFill>
              </w:rPr>
            </w:pPr>
            <w:r>
              <w:rPr>
                <w:rFonts w:hint="eastAsia" w:ascii="宋体" w:hAnsi="宋体" w:eastAsia="宋体" w:cs="宋体"/>
                <w:color w:val="000000" w:themeColor="text1"/>
                <w:kern w:val="0"/>
                <w:sz w:val="22"/>
                <w:szCs w:val="22"/>
                <w:highlight w:val="none"/>
                <w14:textFill>
                  <w14:solidFill>
                    <w14:schemeClr w14:val="tx1"/>
                  </w14:solidFill>
                </w14:textFill>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5</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ascii="宋体" w:hAnsi="宋体" w:eastAsia="宋体" w:cs="宋体"/>
                <w:color w:val="000000" w:themeColor="text1"/>
                <w:kern w:val="0"/>
                <w:sz w:val="22"/>
                <w:szCs w:val="22"/>
                <w:highlight w:val="none"/>
                <w:lang w:val="en-US" w:eastAsia="zh-CN"/>
                <w14:textFill>
                  <w14:solidFill>
                    <w14:schemeClr w14:val="tx1"/>
                  </w14:solidFill>
                </w14:textFill>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themeColor="text1"/>
                <w:kern w:val="0"/>
                <w:sz w:val="22"/>
                <w:szCs w:val="22"/>
                <w:highlight w:val="none"/>
                <w14:textFill>
                  <w14:solidFill>
                    <w14:schemeClr w14:val="tx1"/>
                  </w14:solidFill>
                </w14:textFill>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themeColor="text1"/>
                <w:kern w:val="0"/>
                <w:sz w:val="22"/>
                <w:szCs w:val="22"/>
                <w:highlight w:val="none"/>
                <w:lang w:val="en-US" w:eastAsia="zh-CN"/>
                <w14:textFill>
                  <w14:solidFill>
                    <w14:schemeClr w14:val="tx1"/>
                  </w14:solidFill>
                </w14:textFill>
              </w:rPr>
            </w:pPr>
            <w:r>
              <w:rPr>
                <w:rFonts w:hint="eastAsia" w:cs="宋体"/>
                <w:color w:val="000000" w:themeColor="text1"/>
                <w:kern w:val="0"/>
                <w:sz w:val="22"/>
                <w:szCs w:val="22"/>
                <w:highlight w:val="none"/>
                <w:lang w:val="en-US" w:eastAsia="zh-CN"/>
                <w14:textFill>
                  <w14:solidFill>
                    <w14:schemeClr w14:val="tx1"/>
                  </w14:solidFill>
                </w14:textFill>
              </w:rPr>
              <w:t>99</w:t>
            </w:r>
          </w:p>
        </w:tc>
      </w:tr>
    </w:tbl>
    <w:p w14:paraId="336B3C9F">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color w:val="000000" w:themeColor="text1"/>
          <w:sz w:val="30"/>
          <w:szCs w:val="24"/>
          <w:highlight w:val="none"/>
          <w:lang w:val="en-US" w:eastAsia="zh-CN"/>
          <w14:textFill>
            <w14:solidFill>
              <w14:schemeClr w14:val="tx1"/>
            </w14:solidFill>
          </w14:textFill>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6CA89E3A"/>
    <w:multiLevelType w:val="singleLevel"/>
    <w:tmpl w:val="6CA89E3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3863E6"/>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5685F23"/>
    <w:rsid w:val="05AD24F9"/>
    <w:rsid w:val="06B84AF3"/>
    <w:rsid w:val="077961C6"/>
    <w:rsid w:val="07890F4F"/>
    <w:rsid w:val="08892439"/>
    <w:rsid w:val="08EB30F3"/>
    <w:rsid w:val="0910169A"/>
    <w:rsid w:val="091F1668"/>
    <w:rsid w:val="09237408"/>
    <w:rsid w:val="09781BD6"/>
    <w:rsid w:val="09F359DF"/>
    <w:rsid w:val="0A575E65"/>
    <w:rsid w:val="0A6C6551"/>
    <w:rsid w:val="0ACA0AB6"/>
    <w:rsid w:val="0C032502"/>
    <w:rsid w:val="0C27698C"/>
    <w:rsid w:val="0C7D6F3F"/>
    <w:rsid w:val="0D4452F3"/>
    <w:rsid w:val="0D474670"/>
    <w:rsid w:val="0D5D1325"/>
    <w:rsid w:val="0E302745"/>
    <w:rsid w:val="0F1D7B09"/>
    <w:rsid w:val="0F5E5042"/>
    <w:rsid w:val="0FC7512F"/>
    <w:rsid w:val="0FE95707"/>
    <w:rsid w:val="103C5FE2"/>
    <w:rsid w:val="10510571"/>
    <w:rsid w:val="10787A20"/>
    <w:rsid w:val="108672DE"/>
    <w:rsid w:val="10EC685A"/>
    <w:rsid w:val="11FA6155"/>
    <w:rsid w:val="12CF0947"/>
    <w:rsid w:val="12F1313F"/>
    <w:rsid w:val="136C678E"/>
    <w:rsid w:val="13EB2FF5"/>
    <w:rsid w:val="14ED4CAC"/>
    <w:rsid w:val="155E63D4"/>
    <w:rsid w:val="15A46B04"/>
    <w:rsid w:val="15B4486D"/>
    <w:rsid w:val="15CB7079"/>
    <w:rsid w:val="160426D1"/>
    <w:rsid w:val="163C7B84"/>
    <w:rsid w:val="165825BC"/>
    <w:rsid w:val="16BC5D73"/>
    <w:rsid w:val="173542BC"/>
    <w:rsid w:val="176F36D7"/>
    <w:rsid w:val="1795226D"/>
    <w:rsid w:val="18456B1E"/>
    <w:rsid w:val="1A9B67A5"/>
    <w:rsid w:val="1BC36126"/>
    <w:rsid w:val="1C1171C5"/>
    <w:rsid w:val="1D265138"/>
    <w:rsid w:val="1D7B6BCA"/>
    <w:rsid w:val="1DA41A79"/>
    <w:rsid w:val="1DF53469"/>
    <w:rsid w:val="1E2F24F2"/>
    <w:rsid w:val="1E456FD0"/>
    <w:rsid w:val="1E58492F"/>
    <w:rsid w:val="1E5B6757"/>
    <w:rsid w:val="1ED10AC6"/>
    <w:rsid w:val="1F89225F"/>
    <w:rsid w:val="1F900A1F"/>
    <w:rsid w:val="1FC0575D"/>
    <w:rsid w:val="1FC15EAE"/>
    <w:rsid w:val="206132C7"/>
    <w:rsid w:val="207F020A"/>
    <w:rsid w:val="21B00C1D"/>
    <w:rsid w:val="220A23E4"/>
    <w:rsid w:val="22530783"/>
    <w:rsid w:val="229155A4"/>
    <w:rsid w:val="22F369D5"/>
    <w:rsid w:val="23031BEB"/>
    <w:rsid w:val="234A5B03"/>
    <w:rsid w:val="23516AAB"/>
    <w:rsid w:val="23917691"/>
    <w:rsid w:val="244D65B8"/>
    <w:rsid w:val="245E1E24"/>
    <w:rsid w:val="25AD5E5D"/>
    <w:rsid w:val="2732478D"/>
    <w:rsid w:val="27661469"/>
    <w:rsid w:val="27900EAD"/>
    <w:rsid w:val="279B538A"/>
    <w:rsid w:val="27E1557D"/>
    <w:rsid w:val="2818512F"/>
    <w:rsid w:val="28345367"/>
    <w:rsid w:val="286F545C"/>
    <w:rsid w:val="29314FBC"/>
    <w:rsid w:val="2AA2081A"/>
    <w:rsid w:val="2C024B86"/>
    <w:rsid w:val="2C927671"/>
    <w:rsid w:val="2CC6306F"/>
    <w:rsid w:val="2CF1765F"/>
    <w:rsid w:val="2D7C5CD6"/>
    <w:rsid w:val="2E483E7E"/>
    <w:rsid w:val="2E690493"/>
    <w:rsid w:val="2E9854BD"/>
    <w:rsid w:val="2ED57C09"/>
    <w:rsid w:val="2F0D407F"/>
    <w:rsid w:val="2F454B19"/>
    <w:rsid w:val="2F59687A"/>
    <w:rsid w:val="2F9D0C7C"/>
    <w:rsid w:val="2FD8668F"/>
    <w:rsid w:val="30B462FF"/>
    <w:rsid w:val="310224D9"/>
    <w:rsid w:val="312E32CE"/>
    <w:rsid w:val="31B4621C"/>
    <w:rsid w:val="31E3230A"/>
    <w:rsid w:val="330957E0"/>
    <w:rsid w:val="33356F64"/>
    <w:rsid w:val="338D077F"/>
    <w:rsid w:val="33944516"/>
    <w:rsid w:val="343B01DB"/>
    <w:rsid w:val="34B62907"/>
    <w:rsid w:val="35AA2A65"/>
    <w:rsid w:val="36387814"/>
    <w:rsid w:val="36BD137C"/>
    <w:rsid w:val="38053EDF"/>
    <w:rsid w:val="380812A4"/>
    <w:rsid w:val="385D37E7"/>
    <w:rsid w:val="38782EDD"/>
    <w:rsid w:val="39CC0A7C"/>
    <w:rsid w:val="3A7F4D05"/>
    <w:rsid w:val="3AD267CC"/>
    <w:rsid w:val="3B42664A"/>
    <w:rsid w:val="3B820781"/>
    <w:rsid w:val="3CAD1E92"/>
    <w:rsid w:val="3CBE62EC"/>
    <w:rsid w:val="3D836A4E"/>
    <w:rsid w:val="3E6B1752"/>
    <w:rsid w:val="3EA37E97"/>
    <w:rsid w:val="3FBE0BC5"/>
    <w:rsid w:val="403D123D"/>
    <w:rsid w:val="4048103A"/>
    <w:rsid w:val="40736643"/>
    <w:rsid w:val="40D24A7A"/>
    <w:rsid w:val="42621029"/>
    <w:rsid w:val="43472672"/>
    <w:rsid w:val="435241E2"/>
    <w:rsid w:val="43975C51"/>
    <w:rsid w:val="439E3FA7"/>
    <w:rsid w:val="44355830"/>
    <w:rsid w:val="44B32266"/>
    <w:rsid w:val="44FC64F4"/>
    <w:rsid w:val="45531C5C"/>
    <w:rsid w:val="457C66B9"/>
    <w:rsid w:val="467F4585"/>
    <w:rsid w:val="470628CB"/>
    <w:rsid w:val="4729480B"/>
    <w:rsid w:val="47555BD4"/>
    <w:rsid w:val="47BC2DB1"/>
    <w:rsid w:val="47E96399"/>
    <w:rsid w:val="47F76025"/>
    <w:rsid w:val="48284B47"/>
    <w:rsid w:val="486E33F5"/>
    <w:rsid w:val="48E12B50"/>
    <w:rsid w:val="499441BE"/>
    <w:rsid w:val="499A6C1C"/>
    <w:rsid w:val="4A195607"/>
    <w:rsid w:val="4A2138F0"/>
    <w:rsid w:val="4A583887"/>
    <w:rsid w:val="4B9F6E02"/>
    <w:rsid w:val="4C89637B"/>
    <w:rsid w:val="4CBD57DA"/>
    <w:rsid w:val="4E6E48A8"/>
    <w:rsid w:val="4EEC036B"/>
    <w:rsid w:val="4F714FA1"/>
    <w:rsid w:val="501D2673"/>
    <w:rsid w:val="50C80BF1"/>
    <w:rsid w:val="51072716"/>
    <w:rsid w:val="51852833"/>
    <w:rsid w:val="52E13127"/>
    <w:rsid w:val="52F11AC8"/>
    <w:rsid w:val="534F49D9"/>
    <w:rsid w:val="53555F0F"/>
    <w:rsid w:val="535D23D5"/>
    <w:rsid w:val="55E97640"/>
    <w:rsid w:val="56F4341A"/>
    <w:rsid w:val="57424AEA"/>
    <w:rsid w:val="575A7321"/>
    <w:rsid w:val="578A469A"/>
    <w:rsid w:val="580C3AB9"/>
    <w:rsid w:val="583C7AE0"/>
    <w:rsid w:val="586C1E9A"/>
    <w:rsid w:val="586E0800"/>
    <w:rsid w:val="588D1703"/>
    <w:rsid w:val="58C959B7"/>
    <w:rsid w:val="59216F96"/>
    <w:rsid w:val="598C4145"/>
    <w:rsid w:val="59957D1B"/>
    <w:rsid w:val="59D4294E"/>
    <w:rsid w:val="5B634312"/>
    <w:rsid w:val="5B9D2CCD"/>
    <w:rsid w:val="5B9E71EA"/>
    <w:rsid w:val="5E226FBC"/>
    <w:rsid w:val="5E9E488C"/>
    <w:rsid w:val="5FAA23A3"/>
    <w:rsid w:val="5FE72BD2"/>
    <w:rsid w:val="60120613"/>
    <w:rsid w:val="611B344F"/>
    <w:rsid w:val="61864AEB"/>
    <w:rsid w:val="618D5292"/>
    <w:rsid w:val="622E78FA"/>
    <w:rsid w:val="63343F70"/>
    <w:rsid w:val="64296E1C"/>
    <w:rsid w:val="64371CD5"/>
    <w:rsid w:val="64386FCC"/>
    <w:rsid w:val="648A252F"/>
    <w:rsid w:val="648A76E6"/>
    <w:rsid w:val="649E64A2"/>
    <w:rsid w:val="65E5270A"/>
    <w:rsid w:val="663D3C54"/>
    <w:rsid w:val="667A6962"/>
    <w:rsid w:val="66862C89"/>
    <w:rsid w:val="66BB486D"/>
    <w:rsid w:val="67394C7D"/>
    <w:rsid w:val="68126B38"/>
    <w:rsid w:val="68291A1A"/>
    <w:rsid w:val="68352BB8"/>
    <w:rsid w:val="691327EB"/>
    <w:rsid w:val="691B1594"/>
    <w:rsid w:val="693A016B"/>
    <w:rsid w:val="695C17CB"/>
    <w:rsid w:val="6A17429C"/>
    <w:rsid w:val="6A3C1FDC"/>
    <w:rsid w:val="6A567EA3"/>
    <w:rsid w:val="6AF55285"/>
    <w:rsid w:val="6B4B4368"/>
    <w:rsid w:val="6B783072"/>
    <w:rsid w:val="6B79100E"/>
    <w:rsid w:val="6BDC267A"/>
    <w:rsid w:val="6C844C00"/>
    <w:rsid w:val="6E10212C"/>
    <w:rsid w:val="6E43561A"/>
    <w:rsid w:val="6E557973"/>
    <w:rsid w:val="6E9568DB"/>
    <w:rsid w:val="6F0D6C22"/>
    <w:rsid w:val="6F11770C"/>
    <w:rsid w:val="6F47657F"/>
    <w:rsid w:val="6FAF23D9"/>
    <w:rsid w:val="70635CF6"/>
    <w:rsid w:val="70670707"/>
    <w:rsid w:val="71BB3721"/>
    <w:rsid w:val="71F36B4D"/>
    <w:rsid w:val="720E3691"/>
    <w:rsid w:val="722E23A6"/>
    <w:rsid w:val="7249173A"/>
    <w:rsid w:val="724E244C"/>
    <w:rsid w:val="727019F3"/>
    <w:rsid w:val="72DA6946"/>
    <w:rsid w:val="73260519"/>
    <w:rsid w:val="732764B3"/>
    <w:rsid w:val="74026044"/>
    <w:rsid w:val="74325A77"/>
    <w:rsid w:val="74746410"/>
    <w:rsid w:val="75573B30"/>
    <w:rsid w:val="75C8506C"/>
    <w:rsid w:val="75E5007C"/>
    <w:rsid w:val="77262EE6"/>
    <w:rsid w:val="77636B63"/>
    <w:rsid w:val="77813724"/>
    <w:rsid w:val="77861774"/>
    <w:rsid w:val="78F31435"/>
    <w:rsid w:val="79300B45"/>
    <w:rsid w:val="794D3E18"/>
    <w:rsid w:val="79A75A82"/>
    <w:rsid w:val="79F3729A"/>
    <w:rsid w:val="7A880722"/>
    <w:rsid w:val="7ABE6120"/>
    <w:rsid w:val="7ACB0498"/>
    <w:rsid w:val="7AED0B4D"/>
    <w:rsid w:val="7C1E4487"/>
    <w:rsid w:val="7C215E02"/>
    <w:rsid w:val="7CF23764"/>
    <w:rsid w:val="7D453638"/>
    <w:rsid w:val="7D851A94"/>
    <w:rsid w:val="7DCF5654"/>
    <w:rsid w:val="7E797F74"/>
    <w:rsid w:val="7F1255AA"/>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14107</Words>
  <Characters>15151</Characters>
  <Lines>0</Lines>
  <Paragraphs>0</Paragraphs>
  <TotalTime>1</TotalTime>
  <ScaleCrop>false</ScaleCrop>
  <LinksUpToDate>false</LinksUpToDate>
  <CharactersWithSpaces>15223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2025-10-24T03:57:30Z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