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44D066">
      <w:pPr>
        <w:spacing w:line="560" w:lineRule="exact"/>
        <w:ind w:firstLine="1142" w:firstLineChars="316"/>
        <w:jc w:val="center"/>
        <w:rPr>
          <w:rFonts w:hint="eastAsia"/>
          <w:b/>
          <w:bCs/>
          <w:color w:val="auto"/>
          <w:sz w:val="36"/>
          <w:szCs w:val="36"/>
        </w:rPr>
      </w:pPr>
    </w:p>
    <w:p w14:paraId="46FB95F9">
      <w:pPr>
        <w:spacing w:line="560" w:lineRule="exact"/>
        <w:jc w:val="center"/>
        <w:rPr>
          <w:rFonts w:hint="eastAsia"/>
          <w:b/>
          <w:bCs/>
          <w:color w:val="auto"/>
          <w:sz w:val="36"/>
          <w:szCs w:val="36"/>
        </w:rPr>
      </w:pPr>
    </w:p>
    <w:p w14:paraId="3CB53EC9">
      <w:pPr>
        <w:spacing w:line="560" w:lineRule="exact"/>
        <w:jc w:val="center"/>
        <w:rPr>
          <w:rFonts w:hint="eastAsia"/>
          <w:b/>
          <w:bCs/>
          <w:color w:val="auto"/>
          <w:sz w:val="36"/>
          <w:szCs w:val="36"/>
        </w:rPr>
      </w:pPr>
    </w:p>
    <w:p w14:paraId="103669E2">
      <w:pPr>
        <w:spacing w:line="560" w:lineRule="exact"/>
        <w:ind w:firstLine="803"/>
        <w:jc w:val="center"/>
        <w:outlineLvl w:val="0"/>
        <w:rPr>
          <w:rFonts w:hint="eastAsia"/>
          <w:b/>
          <w:bCs/>
          <w:color w:val="auto"/>
          <w:sz w:val="40"/>
          <w:szCs w:val="40"/>
        </w:rPr>
      </w:pPr>
      <w:bookmarkStart w:id="0" w:name="_Toc25575"/>
      <w:bookmarkStart w:id="1" w:name="_Toc1949"/>
      <w:bookmarkStart w:id="2" w:name="_Toc15679"/>
      <w:bookmarkStart w:id="3" w:name="_Toc29123"/>
      <w:r>
        <w:rPr>
          <w:rFonts w:hint="eastAsia"/>
          <w:b/>
          <w:bCs/>
          <w:color w:val="auto"/>
          <w:sz w:val="40"/>
          <w:szCs w:val="40"/>
        </w:rPr>
        <w:t>2024年自治区公共卫生服务（地方公卫）全民健康体检补助资金项目支出绩效评价报告</w:t>
      </w:r>
      <w:bookmarkEnd w:id="0"/>
      <w:bookmarkEnd w:id="1"/>
      <w:bookmarkEnd w:id="2"/>
      <w:bookmarkEnd w:id="3"/>
    </w:p>
    <w:p w14:paraId="1288B3CF">
      <w:pPr>
        <w:spacing w:line="560" w:lineRule="exact"/>
        <w:jc w:val="center"/>
        <w:rPr>
          <w:rFonts w:hint="eastAsia"/>
          <w:b/>
          <w:bCs/>
          <w:color w:val="auto"/>
          <w:sz w:val="36"/>
          <w:szCs w:val="36"/>
        </w:rPr>
      </w:pPr>
    </w:p>
    <w:p w14:paraId="2166C23A">
      <w:pPr>
        <w:spacing w:line="560" w:lineRule="exact"/>
        <w:jc w:val="center"/>
        <w:rPr>
          <w:rFonts w:hint="eastAsia"/>
          <w:b/>
          <w:bCs/>
          <w:color w:val="auto"/>
          <w:sz w:val="36"/>
          <w:szCs w:val="36"/>
        </w:rPr>
      </w:pPr>
    </w:p>
    <w:p w14:paraId="7E35DD1E">
      <w:pPr>
        <w:spacing w:line="560" w:lineRule="exact"/>
        <w:jc w:val="center"/>
        <w:rPr>
          <w:rFonts w:hint="eastAsia"/>
          <w:b/>
          <w:bCs/>
          <w:color w:val="auto"/>
          <w:sz w:val="36"/>
          <w:szCs w:val="36"/>
        </w:rPr>
      </w:pPr>
    </w:p>
    <w:p w14:paraId="7370D4FC">
      <w:pPr>
        <w:spacing w:line="560" w:lineRule="exact"/>
        <w:jc w:val="center"/>
        <w:rPr>
          <w:rFonts w:hint="eastAsia"/>
          <w:b/>
          <w:bCs/>
          <w:color w:val="auto"/>
          <w:sz w:val="36"/>
          <w:szCs w:val="36"/>
        </w:rPr>
      </w:pPr>
    </w:p>
    <w:p w14:paraId="21D4E06E">
      <w:pPr>
        <w:spacing w:line="560" w:lineRule="exact"/>
        <w:ind w:left="0" w:leftChars="0" w:firstLine="0" w:firstLineChars="0"/>
        <w:jc w:val="both"/>
        <w:rPr>
          <w:rFonts w:hint="eastAsia"/>
          <w:b/>
          <w:bCs/>
          <w:color w:val="auto"/>
          <w:sz w:val="36"/>
          <w:szCs w:val="36"/>
        </w:rPr>
      </w:pPr>
    </w:p>
    <w:p w14:paraId="7EB2A0BE">
      <w:pPr>
        <w:spacing w:line="560" w:lineRule="exact"/>
        <w:jc w:val="center"/>
        <w:rPr>
          <w:rFonts w:hint="eastAsia"/>
          <w:b/>
          <w:bCs/>
          <w:color w:val="auto"/>
          <w:sz w:val="36"/>
          <w:szCs w:val="36"/>
        </w:rPr>
      </w:pPr>
    </w:p>
    <w:p w14:paraId="25CD8F7D">
      <w:pPr>
        <w:spacing w:after="0" w:line="360" w:lineRule="auto"/>
        <w:ind w:firstLine="0" w:firstLineChars="0"/>
        <w:jc w:val="left"/>
        <w:rPr>
          <w:rFonts w:hint="eastAsia" w:ascii="黑体" w:hAnsi="Times New Roman" w:eastAsia="黑体" w:cs="宋体"/>
          <w:b w:val="0"/>
          <w:bCs/>
          <w:color w:val="000000" w:themeColor="text1"/>
          <w:sz w:val="30"/>
          <w:szCs w:val="30"/>
          <w:highlight w:val="none"/>
          <w14:textFill>
            <w14:solidFill>
              <w14:schemeClr w14:val="tx1"/>
            </w14:solidFill>
          </w14:textFill>
        </w:rPr>
      </w:pPr>
      <w:r>
        <w:rPr>
          <w:rFonts w:hint="eastAsia" w:ascii="黑体" w:hAnsi="Times New Roman" w:eastAsia="黑体" w:cs="宋体"/>
          <w:b w:val="0"/>
          <w:bCs/>
          <w:color w:val="000000" w:themeColor="text1"/>
          <w:sz w:val="30"/>
          <w:szCs w:val="30"/>
          <w:highlight w:val="none"/>
          <w14:textFill>
            <w14:solidFill>
              <w14:schemeClr w14:val="tx1"/>
            </w14:solidFill>
          </w14:textFill>
        </w:rPr>
        <w:t>项目名称：2024年自治区公共卫生服务（地方公卫）全民健康体检补助资金</w:t>
      </w:r>
    </w:p>
    <w:p w14:paraId="5A0668A1">
      <w:pPr>
        <w:spacing w:after="0" w:line="360" w:lineRule="auto"/>
        <w:ind w:firstLine="0" w:firstLineChars="0"/>
        <w:jc w:val="left"/>
        <w:rPr>
          <w:rFonts w:hint="eastAsia" w:ascii="黑体" w:hAnsi="Times New Roman" w:eastAsia="黑体" w:cs="宋体"/>
          <w:b w:val="0"/>
          <w:bCs/>
          <w:color w:val="000000" w:themeColor="text1"/>
          <w:sz w:val="30"/>
          <w:szCs w:val="30"/>
          <w:highlight w:val="none"/>
          <w14:textFill>
            <w14:solidFill>
              <w14:schemeClr w14:val="tx1"/>
            </w14:solidFill>
          </w14:textFill>
        </w:rPr>
      </w:pPr>
      <w:r>
        <w:rPr>
          <w:rFonts w:hint="eastAsia" w:ascii="黑体" w:hAnsi="Times New Roman" w:eastAsia="黑体" w:cs="宋体"/>
          <w:b w:val="0"/>
          <w:bCs/>
          <w:color w:val="000000" w:themeColor="text1"/>
          <w:sz w:val="30"/>
          <w:szCs w:val="30"/>
          <w:highlight w:val="none"/>
          <w14:textFill>
            <w14:solidFill>
              <w14:schemeClr w14:val="tx1"/>
            </w14:solidFill>
          </w14:textFill>
        </w:rPr>
        <w:t>实施单位：阜康市中医医院</w:t>
      </w:r>
    </w:p>
    <w:p w14:paraId="42E8C77F">
      <w:pPr>
        <w:spacing w:after="0" w:line="360" w:lineRule="auto"/>
        <w:ind w:firstLine="0" w:firstLineChars="0"/>
        <w:jc w:val="left"/>
        <w:rPr>
          <w:rFonts w:hint="eastAsia" w:ascii="黑体" w:hAnsi="Times New Roman" w:eastAsia="黑体" w:cs="宋体"/>
          <w:b w:val="0"/>
          <w:bCs/>
          <w:color w:val="000000" w:themeColor="text1"/>
          <w:sz w:val="30"/>
          <w:szCs w:val="30"/>
          <w:highlight w:val="none"/>
          <w14:textFill>
            <w14:solidFill>
              <w14:schemeClr w14:val="tx1"/>
            </w14:solidFill>
          </w14:textFill>
        </w:rPr>
      </w:pPr>
      <w:r>
        <w:rPr>
          <w:rFonts w:hint="eastAsia" w:ascii="黑体" w:hAnsi="Times New Roman" w:eastAsia="黑体" w:cs="宋体"/>
          <w:b w:val="0"/>
          <w:bCs/>
          <w:color w:val="000000" w:themeColor="text1"/>
          <w:sz w:val="30"/>
          <w:szCs w:val="30"/>
          <w:highlight w:val="none"/>
          <w14:textFill>
            <w14:solidFill>
              <w14:schemeClr w14:val="tx1"/>
            </w14:solidFill>
          </w14:textFill>
        </w:rPr>
        <w:t>主管部门：阜康市中医医院</w:t>
      </w:r>
    </w:p>
    <w:p w14:paraId="773A3943">
      <w:pPr>
        <w:spacing w:after="0" w:line="360" w:lineRule="auto"/>
        <w:ind w:firstLine="0" w:firstLineChars="0"/>
        <w:jc w:val="left"/>
        <w:rPr>
          <w:rFonts w:hint="eastAsia" w:ascii="黑体" w:hAnsi="Times New Roman" w:eastAsia="黑体" w:cs="宋体"/>
          <w:b w:val="0"/>
          <w:bCs/>
          <w:color w:val="000000" w:themeColor="text1"/>
          <w:sz w:val="30"/>
          <w:szCs w:val="30"/>
          <w:highlight w:val="none"/>
          <w14:textFill>
            <w14:solidFill>
              <w14:schemeClr w14:val="tx1"/>
            </w14:solidFill>
          </w14:textFill>
        </w:rPr>
      </w:pPr>
      <w:r>
        <w:rPr>
          <w:rFonts w:hint="eastAsia" w:ascii="黑体" w:hAnsi="Times New Roman" w:eastAsia="黑体" w:cs="宋体"/>
          <w:b w:val="0"/>
          <w:bCs/>
          <w:color w:val="000000" w:themeColor="text1"/>
          <w:sz w:val="30"/>
          <w:szCs w:val="30"/>
          <w:highlight w:val="none"/>
          <w14:textFill>
            <w14:solidFill>
              <w14:schemeClr w14:val="tx1"/>
            </w14:solidFill>
          </w14:textFill>
        </w:rPr>
        <w:t>项目负责人：李玉华</w:t>
      </w:r>
    </w:p>
    <w:p w14:paraId="6B4C6D40">
      <w:pPr>
        <w:spacing w:after="0" w:line="360" w:lineRule="auto"/>
        <w:ind w:firstLine="0" w:firstLineChars="0"/>
        <w:jc w:val="left"/>
        <w:rPr>
          <w:rFonts w:hint="eastAsia"/>
          <w:color w:val="auto"/>
        </w:rPr>
      </w:pPr>
      <w:r>
        <w:rPr>
          <w:rFonts w:hint="eastAsia" w:ascii="黑体" w:hAnsi="Times New Roman" w:eastAsia="黑体" w:cs="宋体"/>
          <w:b w:val="0"/>
          <w:bCs/>
          <w:color w:val="000000" w:themeColor="text1"/>
          <w:sz w:val="30"/>
          <w:szCs w:val="30"/>
          <w:highlight w:val="none"/>
          <w14:textFill>
            <w14:solidFill>
              <w14:schemeClr w14:val="tx1"/>
            </w14:solidFill>
          </w14:textFill>
        </w:rPr>
        <w:t>填报时间：2025年3月31日</w:t>
      </w:r>
      <w:r>
        <w:rPr>
          <w:rFonts w:hint="eastAsia"/>
          <w:color w:val="auto"/>
        </w:rPr>
        <w:br w:type="page"/>
      </w:r>
    </w:p>
    <w:sdt>
      <w:sdtPr>
        <w:rPr>
          <w:b/>
          <w:bCs/>
          <w:color w:val="auto"/>
          <w:szCs w:val="40"/>
        </w:rPr>
        <w:id w:val="147474046"/>
        <w15:color w:val="DBDBDB"/>
        <w:docPartObj>
          <w:docPartGallery w:val="Table of Contents"/>
          <w:docPartUnique/>
        </w:docPartObj>
      </w:sdtPr>
      <w:sdtEndPr>
        <w:rPr>
          <w:rFonts w:hint="eastAsia"/>
          <w:b/>
          <w:bCs/>
          <w:color w:val="auto"/>
          <w:szCs w:val="28"/>
        </w:rPr>
      </w:sdtEndPr>
      <w:sdtContent>
        <w:p w14:paraId="6E082882">
          <w:pPr>
            <w:spacing w:after="0" w:line="560" w:lineRule="exact"/>
            <w:ind w:firstLine="0" w:firstLineChars="0"/>
            <w:jc w:val="center"/>
            <w:rPr>
              <w:rFonts w:hint="eastAsia"/>
              <w:b/>
              <w:bCs/>
              <w:color w:val="auto"/>
              <w:sz w:val="40"/>
              <w:szCs w:val="40"/>
            </w:rPr>
          </w:pPr>
          <w:r>
            <w:rPr>
              <w:b/>
              <w:bCs/>
              <w:color w:val="auto"/>
              <w:sz w:val="40"/>
              <w:szCs w:val="40"/>
            </w:rPr>
            <w:t>目录</w:t>
          </w:r>
        </w:p>
        <w:p w14:paraId="4A06F198">
          <w:pPr>
            <w:pStyle w:val="12"/>
            <w:tabs>
              <w:tab w:val="right" w:leader="dot" w:pos="8844"/>
            </w:tabs>
            <w:ind w:firstLine="560"/>
            <w:rPr>
              <w:rFonts w:hint="eastAsia"/>
              <w:color w:val="auto"/>
            </w:rPr>
          </w:pPr>
          <w:r>
            <w:rPr>
              <w:rFonts w:hint="eastAsia"/>
              <w:color w:val="auto"/>
            </w:rPr>
            <w:fldChar w:fldCharType="begin"/>
          </w:r>
          <w:r>
            <w:rPr>
              <w:rFonts w:hint="eastAsia"/>
              <w:color w:val="auto"/>
            </w:rPr>
            <w:instrText xml:space="preserve">TOC \o "1-3" \h \u </w:instrText>
          </w:r>
          <w:r>
            <w:rPr>
              <w:rFonts w:hint="eastAsia"/>
              <w:color w:val="auto"/>
            </w:rPr>
            <w:fldChar w:fldCharType="separate"/>
          </w:r>
        </w:p>
        <w:p w14:paraId="076F437E">
          <w:pPr>
            <w:pStyle w:val="12"/>
            <w:tabs>
              <w:tab w:val="right" w:leader="dot" w:pos="8844"/>
            </w:tabs>
            <w:ind w:firstLine="560"/>
            <w:rPr>
              <w:rFonts w:hint="eastAsia"/>
              <w:color w:val="auto"/>
              <w:highlight w:val="none"/>
            </w:rPr>
          </w:pPr>
          <w:r>
            <w:rPr>
              <w:color w:val="auto"/>
              <w:highlight w:val="none"/>
            </w:rPr>
            <w:fldChar w:fldCharType="begin"/>
          </w:r>
          <w:r>
            <w:rPr>
              <w:color w:val="auto"/>
              <w:highlight w:val="none"/>
            </w:rPr>
            <w:instrText xml:space="preserve"> HYPERLINK \l "_Toc18485" </w:instrText>
          </w:r>
          <w:r>
            <w:rPr>
              <w:color w:val="auto"/>
              <w:highlight w:val="none"/>
            </w:rPr>
            <w:fldChar w:fldCharType="separate"/>
          </w:r>
          <w:r>
            <w:rPr>
              <w:rFonts w:hint="eastAsia" w:ascii="黑体" w:hAnsi="黑体" w:eastAsia="黑体" w:cs="黑体"/>
              <w:color w:val="auto"/>
              <w:highlight w:val="none"/>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527CE222">
          <w:pPr>
            <w:pStyle w:val="12"/>
            <w:tabs>
              <w:tab w:val="right" w:leader="dot" w:pos="8844"/>
            </w:tabs>
            <w:ind w:firstLine="560"/>
            <w:rPr>
              <w:rFonts w:hint="eastAsia"/>
              <w:color w:val="auto"/>
              <w:highlight w:val="none"/>
            </w:rPr>
          </w:pPr>
          <w:r>
            <w:rPr>
              <w:color w:val="auto"/>
              <w:highlight w:val="none"/>
            </w:rPr>
            <w:fldChar w:fldCharType="begin"/>
          </w:r>
          <w:r>
            <w:rPr>
              <w:color w:val="auto"/>
              <w:highlight w:val="none"/>
            </w:rPr>
            <w:instrText xml:space="preserve"> HYPERLINK \l "_Toc23184" </w:instrText>
          </w:r>
          <w:r>
            <w:rPr>
              <w:color w:val="auto"/>
              <w:highlight w:val="none"/>
            </w:rPr>
            <w:fldChar w:fldCharType="separate"/>
          </w:r>
          <w:r>
            <w:rPr>
              <w:rFonts w:hint="eastAsia" w:ascii="Times New Roman" w:hAnsi="Times New Roman" w:eastAsia="楷体_GB2312" w:cs="Times New Roman"/>
              <w:color w:val="auto"/>
              <w:kern w:val="28"/>
              <w:highlight w:val="none"/>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1BFC1662">
          <w:pPr>
            <w:pStyle w:val="12"/>
            <w:tabs>
              <w:tab w:val="right" w:leader="dot" w:pos="8844"/>
            </w:tabs>
            <w:ind w:firstLine="560"/>
            <w:rPr>
              <w:rFonts w:hint="eastAsia"/>
              <w:color w:val="auto"/>
              <w:highlight w:val="none"/>
            </w:rPr>
          </w:pPr>
          <w:r>
            <w:rPr>
              <w:color w:val="auto"/>
              <w:highlight w:val="none"/>
            </w:rPr>
            <w:fldChar w:fldCharType="begin"/>
          </w:r>
          <w:r>
            <w:rPr>
              <w:color w:val="auto"/>
              <w:highlight w:val="none"/>
            </w:rPr>
            <w:instrText xml:space="preserve"> HYPERLINK \l "_Toc9109" </w:instrText>
          </w:r>
          <w:r>
            <w:rPr>
              <w:color w:val="auto"/>
              <w:highlight w:val="none"/>
            </w:rPr>
            <w:fldChar w:fldCharType="separate"/>
          </w:r>
          <w:r>
            <w:rPr>
              <w:rFonts w:hint="eastAsia" w:ascii="Times New Roman" w:hAnsi="Times New Roman" w:eastAsia="楷体_GB2312" w:cs="Times New Roman"/>
              <w:color w:val="auto"/>
              <w:kern w:val="28"/>
              <w:highlight w:val="none"/>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30F373E3">
          <w:pPr>
            <w:pStyle w:val="12"/>
            <w:tabs>
              <w:tab w:val="right" w:leader="dot" w:pos="8844"/>
            </w:tabs>
            <w:ind w:firstLine="560"/>
            <w:rPr>
              <w:rFonts w:hint="eastAsia" w:ascii="黑体" w:hAnsi="黑体" w:eastAsia="黑体" w:cs="黑体"/>
              <w:color w:val="auto"/>
              <w:highlight w:val="none"/>
            </w:rPr>
          </w:pPr>
          <w:r>
            <w:rPr>
              <w:color w:val="auto"/>
              <w:highlight w:val="none"/>
            </w:rPr>
            <w:fldChar w:fldCharType="begin"/>
          </w:r>
          <w:r>
            <w:rPr>
              <w:color w:val="auto"/>
              <w:highlight w:val="none"/>
            </w:rPr>
            <w:instrText xml:space="preserve"> HYPERLINK \l "_Toc26567" </w:instrText>
          </w:r>
          <w:r>
            <w:rPr>
              <w:color w:val="auto"/>
              <w:highlight w:val="none"/>
            </w:rPr>
            <w:fldChar w:fldCharType="separate"/>
          </w:r>
          <w:r>
            <w:rPr>
              <w:rFonts w:hint="eastAsia" w:ascii="黑体" w:hAnsi="黑体" w:eastAsia="黑体" w:cs="黑体"/>
              <w:bCs/>
              <w:color w:val="auto"/>
              <w:highlight w:val="none"/>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7</w:t>
          </w:r>
          <w:r>
            <w:rPr>
              <w:rFonts w:hint="eastAsia" w:ascii="黑体" w:hAnsi="黑体" w:eastAsia="黑体" w:cs="黑体"/>
              <w:color w:val="auto"/>
              <w:highlight w:val="none"/>
            </w:rPr>
            <w:fldChar w:fldCharType="end"/>
          </w:r>
          <w:r>
            <w:rPr>
              <w:rFonts w:hint="eastAsia" w:ascii="黑体" w:hAnsi="黑体" w:eastAsia="黑体" w:cs="黑体"/>
              <w:color w:val="auto"/>
              <w:highlight w:val="none"/>
            </w:rPr>
            <w:fldChar w:fldCharType="end"/>
          </w:r>
        </w:p>
        <w:p w14:paraId="06B18D7B">
          <w:pPr>
            <w:pStyle w:val="12"/>
            <w:tabs>
              <w:tab w:val="right" w:leader="dot" w:pos="8844"/>
            </w:tabs>
            <w:ind w:firstLine="560"/>
            <w:rPr>
              <w:rFonts w:hint="eastAsia"/>
              <w:color w:val="auto"/>
              <w:highlight w:val="none"/>
            </w:rPr>
          </w:pPr>
          <w:r>
            <w:rPr>
              <w:color w:val="auto"/>
              <w:highlight w:val="none"/>
            </w:rPr>
            <w:fldChar w:fldCharType="begin"/>
          </w:r>
          <w:r>
            <w:rPr>
              <w:color w:val="auto"/>
              <w:highlight w:val="none"/>
            </w:rPr>
            <w:instrText xml:space="preserve"> HYPERLINK \l "_Toc22839" </w:instrText>
          </w:r>
          <w:r>
            <w:rPr>
              <w:color w:val="auto"/>
              <w:highlight w:val="none"/>
            </w:rPr>
            <w:fldChar w:fldCharType="separate"/>
          </w:r>
          <w:r>
            <w:rPr>
              <w:rFonts w:hint="eastAsia" w:ascii="Times New Roman" w:hAnsi="Times New Roman" w:eastAsia="楷体_GB2312" w:cs="Times New Roman"/>
              <w:color w:val="auto"/>
              <w:kern w:val="28"/>
              <w:highlight w:val="none"/>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648D5C22">
          <w:pPr>
            <w:pStyle w:val="12"/>
            <w:tabs>
              <w:tab w:val="right" w:leader="dot" w:pos="8844"/>
            </w:tabs>
            <w:ind w:firstLine="560"/>
            <w:rPr>
              <w:rFonts w:hint="eastAsia"/>
              <w:color w:val="auto"/>
              <w:highlight w:val="none"/>
            </w:rPr>
          </w:pPr>
          <w:r>
            <w:rPr>
              <w:color w:val="auto"/>
              <w:highlight w:val="none"/>
            </w:rPr>
            <w:fldChar w:fldCharType="begin"/>
          </w:r>
          <w:r>
            <w:rPr>
              <w:color w:val="auto"/>
              <w:highlight w:val="none"/>
            </w:rPr>
            <w:instrText xml:space="preserve"> HYPERLINK \l "_Toc29785" </w:instrText>
          </w:r>
          <w:r>
            <w:rPr>
              <w:color w:val="auto"/>
              <w:highlight w:val="none"/>
            </w:rPr>
            <w:fldChar w:fldCharType="separate"/>
          </w:r>
          <w:r>
            <w:rPr>
              <w:rFonts w:hint="eastAsia" w:ascii="Times New Roman" w:hAnsi="Times New Roman" w:eastAsia="楷体_GB2312" w:cs="Times New Roman"/>
              <w:color w:val="auto"/>
              <w:kern w:val="28"/>
              <w:highlight w:val="none"/>
            </w:rPr>
            <w:t>（二）绩效评价原则、评价指标体系（</w:t>
          </w:r>
          <w:r>
            <w:rPr>
              <w:rFonts w:ascii="Times New Roman" w:hAnsi="Times New Roman" w:eastAsia="楷体_GB2312" w:cs="Times New Roman"/>
              <w:color w:val="auto"/>
              <w:kern w:val="28"/>
              <w:highlight w:val="none"/>
            </w:rPr>
            <w:t>详情见</w:t>
          </w:r>
          <w:r>
            <w:rPr>
              <w:rFonts w:hint="eastAsia" w:ascii="Times New Roman" w:hAnsi="Times New Roman" w:eastAsia="楷体_GB2312" w:cs="Times New Roman"/>
              <w:color w:val="auto"/>
              <w:kern w:val="28"/>
              <w:highlight w:val="none"/>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14:paraId="1E1463E3">
          <w:pPr>
            <w:pStyle w:val="12"/>
            <w:tabs>
              <w:tab w:val="right" w:leader="dot" w:pos="8844"/>
            </w:tabs>
            <w:ind w:firstLine="560"/>
            <w:rPr>
              <w:rFonts w:hint="eastAsia"/>
              <w:color w:val="auto"/>
              <w:highlight w:val="none"/>
            </w:rPr>
          </w:pPr>
          <w:r>
            <w:rPr>
              <w:color w:val="auto"/>
              <w:highlight w:val="none"/>
            </w:rPr>
            <w:fldChar w:fldCharType="begin"/>
          </w:r>
          <w:r>
            <w:rPr>
              <w:color w:val="auto"/>
              <w:highlight w:val="none"/>
            </w:rPr>
            <w:instrText xml:space="preserve"> HYPERLINK \l "_Toc21435" </w:instrText>
          </w:r>
          <w:r>
            <w:rPr>
              <w:color w:val="auto"/>
              <w:highlight w:val="none"/>
            </w:rPr>
            <w:fldChar w:fldCharType="separate"/>
          </w:r>
          <w:r>
            <w:rPr>
              <w:rFonts w:hint="eastAsia" w:ascii="Times New Roman" w:hAnsi="Times New Roman" w:eastAsia="楷体_GB2312" w:cs="Times New Roman"/>
              <w:color w:val="auto"/>
              <w:kern w:val="28"/>
              <w:highlight w:val="none"/>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14:paraId="0F48C5A6">
          <w:pPr>
            <w:pStyle w:val="12"/>
            <w:tabs>
              <w:tab w:val="right" w:leader="dot" w:pos="8844"/>
            </w:tabs>
            <w:ind w:firstLine="560"/>
            <w:rPr>
              <w:rFonts w:hint="eastAsia"/>
              <w:color w:val="auto"/>
              <w:highlight w:val="none"/>
            </w:rPr>
          </w:pPr>
          <w:r>
            <w:rPr>
              <w:color w:val="auto"/>
              <w:highlight w:val="none"/>
            </w:rPr>
            <w:fldChar w:fldCharType="begin"/>
          </w:r>
          <w:r>
            <w:rPr>
              <w:color w:val="auto"/>
              <w:highlight w:val="none"/>
            </w:rPr>
            <w:instrText xml:space="preserve"> HYPERLINK \l "_Toc19261" </w:instrText>
          </w:r>
          <w:r>
            <w:rPr>
              <w:color w:val="auto"/>
              <w:highlight w:val="none"/>
            </w:rPr>
            <w:fldChar w:fldCharType="separate"/>
          </w:r>
          <w:r>
            <w:rPr>
              <w:rFonts w:hint="eastAsia" w:ascii="黑体" w:hAnsi="黑体" w:eastAsia="黑体" w:cs="黑体"/>
              <w:color w:val="auto"/>
              <w:highlight w:val="none"/>
            </w:rPr>
            <w:t>三、综合评价情况及评价结论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14:paraId="75D31E09">
          <w:pPr>
            <w:pStyle w:val="12"/>
            <w:tabs>
              <w:tab w:val="right" w:leader="dot" w:pos="8844"/>
            </w:tabs>
            <w:ind w:firstLine="560"/>
            <w:rPr>
              <w:rFonts w:hint="eastAsia"/>
              <w:color w:val="auto"/>
              <w:highlight w:val="none"/>
            </w:rPr>
          </w:pPr>
          <w:r>
            <w:rPr>
              <w:color w:val="auto"/>
              <w:highlight w:val="none"/>
            </w:rPr>
            <w:fldChar w:fldCharType="begin"/>
          </w:r>
          <w:r>
            <w:rPr>
              <w:color w:val="auto"/>
              <w:highlight w:val="none"/>
            </w:rPr>
            <w:instrText xml:space="preserve"> HYPERLINK \l "_Toc23319" </w:instrText>
          </w:r>
          <w:r>
            <w:rPr>
              <w:color w:val="auto"/>
              <w:highlight w:val="none"/>
            </w:rPr>
            <w:fldChar w:fldCharType="separate"/>
          </w:r>
          <w:r>
            <w:rPr>
              <w:rFonts w:hint="eastAsia" w:ascii="Times New Roman" w:hAnsi="Times New Roman" w:eastAsia="楷体_GB2312" w:cs="Times New Roman"/>
              <w:color w:val="auto"/>
              <w:kern w:val="28"/>
              <w:highlight w:val="none"/>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14:paraId="3F3429F8">
          <w:pPr>
            <w:pStyle w:val="12"/>
            <w:tabs>
              <w:tab w:val="right" w:leader="dot" w:pos="8844"/>
            </w:tabs>
            <w:ind w:firstLine="560"/>
            <w:rPr>
              <w:rFonts w:hint="eastAsia"/>
              <w:color w:val="auto"/>
              <w:highlight w:val="none"/>
            </w:rPr>
          </w:pPr>
          <w:r>
            <w:rPr>
              <w:color w:val="auto"/>
              <w:highlight w:val="none"/>
            </w:rPr>
            <w:fldChar w:fldCharType="begin"/>
          </w:r>
          <w:r>
            <w:rPr>
              <w:color w:val="auto"/>
              <w:highlight w:val="none"/>
            </w:rPr>
            <w:instrText xml:space="preserve"> HYPERLINK \l "_Toc11863" </w:instrText>
          </w:r>
          <w:r>
            <w:rPr>
              <w:color w:val="auto"/>
              <w:highlight w:val="none"/>
            </w:rPr>
            <w:fldChar w:fldCharType="separate"/>
          </w:r>
          <w:r>
            <w:rPr>
              <w:rFonts w:hint="eastAsia" w:ascii="Times New Roman" w:hAnsi="Times New Roman" w:eastAsia="楷体_GB2312" w:cs="Times New Roman"/>
              <w:color w:val="auto"/>
              <w:kern w:val="28"/>
              <w:highlight w:val="none"/>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4F3ADBBF">
          <w:pPr>
            <w:pStyle w:val="12"/>
            <w:tabs>
              <w:tab w:val="right" w:leader="dot" w:pos="8844"/>
            </w:tabs>
            <w:ind w:firstLine="560"/>
            <w:rPr>
              <w:rFonts w:hint="eastAsia"/>
              <w:color w:val="auto"/>
              <w:highlight w:val="none"/>
            </w:rPr>
          </w:pPr>
          <w:r>
            <w:rPr>
              <w:color w:val="auto"/>
              <w:highlight w:val="none"/>
            </w:rPr>
            <w:fldChar w:fldCharType="begin"/>
          </w:r>
          <w:r>
            <w:rPr>
              <w:color w:val="auto"/>
              <w:highlight w:val="none"/>
            </w:rPr>
            <w:instrText xml:space="preserve"> HYPERLINK \l "_Toc14941" </w:instrText>
          </w:r>
          <w:r>
            <w:rPr>
              <w:color w:val="auto"/>
              <w:highlight w:val="none"/>
            </w:rPr>
            <w:fldChar w:fldCharType="separate"/>
          </w:r>
          <w:r>
            <w:rPr>
              <w:rFonts w:hint="eastAsia" w:ascii="黑体" w:hAnsi="黑体" w:eastAsia="黑体" w:cs="黑体"/>
              <w:color w:val="auto"/>
              <w:highlight w:val="none"/>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14:paraId="200D0142">
          <w:pPr>
            <w:pStyle w:val="12"/>
            <w:tabs>
              <w:tab w:val="right" w:leader="dot" w:pos="8844"/>
            </w:tabs>
            <w:ind w:firstLine="560"/>
            <w:rPr>
              <w:rFonts w:hint="eastAsia"/>
              <w:color w:val="auto"/>
              <w:highlight w:val="none"/>
            </w:rPr>
          </w:pPr>
          <w:r>
            <w:rPr>
              <w:color w:val="auto"/>
              <w:highlight w:val="none"/>
            </w:rPr>
            <w:fldChar w:fldCharType="begin"/>
          </w:r>
          <w:r>
            <w:rPr>
              <w:color w:val="auto"/>
              <w:highlight w:val="none"/>
            </w:rPr>
            <w:instrText xml:space="preserve"> HYPERLINK \l "_Toc6759" </w:instrText>
          </w:r>
          <w:r>
            <w:rPr>
              <w:color w:val="auto"/>
              <w:highlight w:val="none"/>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14:paraId="2DF616C5">
          <w:pPr>
            <w:pStyle w:val="12"/>
            <w:tabs>
              <w:tab w:val="right" w:leader="dot" w:pos="8844"/>
            </w:tabs>
            <w:ind w:firstLine="560"/>
            <w:rPr>
              <w:rFonts w:hint="eastAsia"/>
              <w:color w:val="auto"/>
              <w:highlight w:val="none"/>
            </w:rPr>
          </w:pPr>
          <w:r>
            <w:rPr>
              <w:color w:val="auto"/>
              <w:highlight w:val="none"/>
            </w:rPr>
            <w:fldChar w:fldCharType="begin"/>
          </w:r>
          <w:r>
            <w:rPr>
              <w:color w:val="auto"/>
              <w:highlight w:val="none"/>
            </w:rPr>
            <w:instrText xml:space="preserve"> HYPERLINK \l "_Toc10564" </w:instrText>
          </w:r>
          <w:r>
            <w:rPr>
              <w:color w:val="auto"/>
              <w:highlight w:val="none"/>
            </w:rPr>
            <w:fldChar w:fldCharType="separate"/>
          </w:r>
          <w:r>
            <w:rPr>
              <w:rFonts w:hint="eastAsia" w:ascii="Times New Roman" w:hAnsi="Times New Roman" w:eastAsia="楷体" w:cs="Times New Roman"/>
              <w:color w:val="auto"/>
              <w:kern w:val="28"/>
              <w:highlight w:val="none"/>
            </w:rPr>
            <w:t>（二）项目过程情况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21</w:t>
          </w:r>
          <w:r>
            <w:rPr>
              <w:color w:val="auto"/>
              <w:highlight w:val="none"/>
            </w:rPr>
            <w:fldChar w:fldCharType="end"/>
          </w:r>
          <w:r>
            <w:rPr>
              <w:color w:val="auto"/>
              <w:highlight w:val="none"/>
            </w:rPr>
            <w:fldChar w:fldCharType="end"/>
          </w:r>
        </w:p>
        <w:p w14:paraId="54D45C95">
          <w:pPr>
            <w:pStyle w:val="12"/>
            <w:tabs>
              <w:tab w:val="right" w:leader="dot" w:pos="8844"/>
            </w:tabs>
            <w:ind w:firstLine="560"/>
            <w:rPr>
              <w:rFonts w:hint="eastAsia"/>
              <w:color w:val="auto"/>
              <w:highlight w:val="none"/>
            </w:rPr>
          </w:pPr>
          <w:r>
            <w:rPr>
              <w:color w:val="auto"/>
              <w:highlight w:val="none"/>
            </w:rPr>
            <w:fldChar w:fldCharType="begin"/>
          </w:r>
          <w:r>
            <w:rPr>
              <w:color w:val="auto"/>
              <w:highlight w:val="none"/>
            </w:rPr>
            <w:instrText xml:space="preserve"> HYPERLINK \l "_Toc2441" </w:instrText>
          </w:r>
          <w:r>
            <w:rPr>
              <w:color w:val="auto"/>
              <w:highlight w:val="none"/>
            </w:rPr>
            <w:fldChar w:fldCharType="separate"/>
          </w:r>
          <w:r>
            <w:rPr>
              <w:rFonts w:hint="eastAsia" w:ascii="Times New Roman" w:hAnsi="Times New Roman" w:eastAsia="楷体_GB2312" w:cs="Times New Roman"/>
              <w:color w:val="auto"/>
              <w:kern w:val="28"/>
              <w:highlight w:val="none"/>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71F091DF">
          <w:pPr>
            <w:pStyle w:val="12"/>
            <w:tabs>
              <w:tab w:val="right" w:leader="dot" w:pos="8844"/>
            </w:tabs>
            <w:ind w:firstLine="560"/>
            <w:rPr>
              <w:rFonts w:hint="eastAsia"/>
              <w:color w:val="auto"/>
              <w:highlight w:val="none"/>
            </w:rPr>
          </w:pPr>
          <w:r>
            <w:rPr>
              <w:color w:val="auto"/>
              <w:highlight w:val="none"/>
            </w:rPr>
            <w:fldChar w:fldCharType="begin"/>
          </w:r>
          <w:r>
            <w:rPr>
              <w:color w:val="auto"/>
              <w:highlight w:val="none"/>
            </w:rPr>
            <w:instrText xml:space="preserve"> HYPERLINK \l "_Toc19424" </w:instrText>
          </w:r>
          <w:r>
            <w:rPr>
              <w:color w:val="auto"/>
              <w:highlight w:val="none"/>
            </w:rPr>
            <w:fldChar w:fldCharType="separate"/>
          </w:r>
          <w:r>
            <w:rPr>
              <w:rFonts w:hint="eastAsia" w:ascii="Times New Roman" w:hAnsi="Times New Roman" w:eastAsia="楷体_GB2312" w:cs="Times New Roman"/>
              <w:color w:val="auto"/>
              <w:kern w:val="28"/>
              <w:highlight w:val="none"/>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35191EBC">
          <w:pPr>
            <w:pStyle w:val="12"/>
            <w:tabs>
              <w:tab w:val="right" w:leader="dot" w:pos="8844"/>
            </w:tabs>
            <w:ind w:firstLine="560"/>
            <w:rPr>
              <w:rFonts w:hint="eastAsia"/>
              <w:color w:val="auto"/>
              <w:highlight w:val="none"/>
            </w:rPr>
          </w:pPr>
          <w:r>
            <w:rPr>
              <w:color w:val="auto"/>
              <w:highlight w:val="none"/>
            </w:rPr>
            <w:fldChar w:fldCharType="begin"/>
          </w:r>
          <w:r>
            <w:rPr>
              <w:color w:val="auto"/>
              <w:highlight w:val="none"/>
            </w:rPr>
            <w:instrText xml:space="preserve"> HYPERLINK \l "_Toc23313" </w:instrText>
          </w:r>
          <w:r>
            <w:rPr>
              <w:color w:val="auto"/>
              <w:highlight w:val="none"/>
            </w:rPr>
            <w:fldChar w:fldCharType="separate"/>
          </w:r>
          <w:r>
            <w:rPr>
              <w:rFonts w:hint="eastAsia" w:ascii="Times New Roman" w:hAnsi="Times New Roman" w:eastAsia="楷体_GB2312" w:cs="Times New Roman"/>
              <w:bCs/>
              <w:color w:val="auto"/>
              <w:kern w:val="28"/>
              <w:highlight w:val="none"/>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14:paraId="1FBCDC8E">
          <w:pPr>
            <w:pStyle w:val="12"/>
            <w:tabs>
              <w:tab w:val="right" w:leader="dot" w:pos="8844"/>
            </w:tabs>
            <w:ind w:firstLine="560"/>
            <w:rPr>
              <w:rFonts w:hint="eastAsia" w:ascii="黑体" w:hAnsi="黑体" w:eastAsia="黑体" w:cs="黑体"/>
              <w:color w:val="auto"/>
            </w:rPr>
          </w:pPr>
          <w:r>
            <w:rPr>
              <w:color w:val="auto"/>
              <w:highlight w:val="none"/>
            </w:rPr>
            <w:fldChar w:fldCharType="begin"/>
          </w:r>
          <w:r>
            <w:rPr>
              <w:color w:val="auto"/>
              <w:highlight w:val="none"/>
            </w:rPr>
            <w:instrText xml:space="preserve"> HYPERLINK \l "_Toc6622" </w:instrText>
          </w:r>
          <w:r>
            <w:rPr>
              <w:color w:val="auto"/>
              <w:highlight w:val="none"/>
            </w:rPr>
            <w:fldChar w:fldCharType="separate"/>
          </w:r>
          <w:r>
            <w:rPr>
              <w:rFonts w:hint="eastAsia" w:ascii="黑体" w:hAnsi="黑体" w:eastAsia="黑体" w:cs="黑体"/>
              <w:color w:val="auto"/>
              <w:highlight w:val="none"/>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highlight w:val="none"/>
            </w:rPr>
            <w:fldChar w:fldCharType="end"/>
          </w:r>
        </w:p>
        <w:p w14:paraId="2B65E74A">
          <w:pPr>
            <w:pStyle w:val="12"/>
            <w:tabs>
              <w:tab w:val="right" w:leader="dot" w:pos="8844"/>
            </w:tabs>
            <w:ind w:firstLine="560"/>
            <w:rPr>
              <w:rFonts w:hint="eastAsia"/>
              <w:color w:val="auto"/>
            </w:rPr>
          </w:pPr>
          <w:r>
            <w:rPr>
              <w:color w:val="auto"/>
            </w:rPr>
            <w:fldChar w:fldCharType="begin"/>
          </w:r>
          <w:r>
            <w:rPr>
              <w:color w:val="auto"/>
            </w:rPr>
            <w:instrText xml:space="preserve"> HYPERLINK \l "_Toc15449" </w:instrText>
          </w:r>
          <w:r>
            <w:rPr>
              <w:color w:val="auto"/>
            </w:rPr>
            <w:fldChar w:fldCharType="separate"/>
          </w:r>
          <w:r>
            <w:rPr>
              <w:rFonts w:hint="eastAsia" w:ascii="Times New Roman" w:hAnsi="Times New Roman" w:eastAsia="楷体_GB2312" w:cs="Times New Roman"/>
              <w:bCs/>
              <w:color w:val="auto"/>
              <w:kern w:val="28"/>
            </w:rPr>
            <w:t>（一）主要经验及做法</w:t>
          </w:r>
          <w:r>
            <w:rPr>
              <w:color w:val="auto"/>
            </w:rPr>
            <w:tab/>
          </w:r>
          <w:r>
            <w:rPr>
              <w:color w:val="auto"/>
            </w:rPr>
            <w:fldChar w:fldCharType="begin"/>
          </w:r>
          <w:r>
            <w:rPr>
              <w:color w:val="auto"/>
            </w:rPr>
            <w:instrText xml:space="preserve"> PAGEREF _Toc15449 \h </w:instrText>
          </w:r>
          <w:r>
            <w:rPr>
              <w:color w:val="auto"/>
            </w:rPr>
            <w:fldChar w:fldCharType="separate"/>
          </w:r>
          <w:r>
            <w:rPr>
              <w:color w:val="auto"/>
            </w:rPr>
            <w:t>26</w:t>
          </w:r>
          <w:r>
            <w:rPr>
              <w:color w:val="auto"/>
            </w:rPr>
            <w:fldChar w:fldCharType="end"/>
          </w:r>
          <w:r>
            <w:rPr>
              <w:color w:val="auto"/>
            </w:rPr>
            <w:fldChar w:fldCharType="end"/>
          </w:r>
        </w:p>
        <w:p w14:paraId="7F66C218">
          <w:pPr>
            <w:pStyle w:val="12"/>
            <w:tabs>
              <w:tab w:val="right" w:leader="dot" w:pos="8844"/>
            </w:tabs>
            <w:ind w:firstLine="560"/>
            <w:rPr>
              <w:rFonts w:hint="eastAsia"/>
              <w:color w:val="auto"/>
            </w:rPr>
          </w:pPr>
          <w:r>
            <w:rPr>
              <w:color w:val="auto"/>
            </w:rPr>
            <w:fldChar w:fldCharType="begin"/>
          </w:r>
          <w:r>
            <w:rPr>
              <w:color w:val="auto"/>
            </w:rPr>
            <w:instrText xml:space="preserve"> HYPERLINK \l "_Toc29168" </w:instrText>
          </w:r>
          <w:r>
            <w:rPr>
              <w:color w:val="auto"/>
            </w:rPr>
            <w:fldChar w:fldCharType="separate"/>
          </w:r>
          <w:r>
            <w:rPr>
              <w:rFonts w:hint="eastAsia" w:ascii="Times New Roman" w:hAnsi="Times New Roman" w:eastAsia="楷体_GB2312" w:cs="Times New Roman"/>
              <w:bCs/>
              <w:color w:val="auto"/>
              <w:kern w:val="28"/>
            </w:rPr>
            <w:t>（二）存在的问题及原因分析</w:t>
          </w:r>
          <w:r>
            <w:rPr>
              <w:color w:val="auto"/>
            </w:rPr>
            <w:tab/>
          </w:r>
          <w:r>
            <w:rPr>
              <w:color w:val="auto"/>
            </w:rPr>
            <w:fldChar w:fldCharType="begin"/>
          </w:r>
          <w:r>
            <w:rPr>
              <w:color w:val="auto"/>
            </w:rPr>
            <w:instrText xml:space="preserve"> PAGEREF _Toc29168 \h </w:instrText>
          </w:r>
          <w:r>
            <w:rPr>
              <w:color w:val="auto"/>
            </w:rPr>
            <w:fldChar w:fldCharType="separate"/>
          </w:r>
          <w:r>
            <w:rPr>
              <w:color w:val="auto"/>
            </w:rPr>
            <w:t>27</w:t>
          </w:r>
          <w:r>
            <w:rPr>
              <w:color w:val="auto"/>
            </w:rPr>
            <w:fldChar w:fldCharType="end"/>
          </w:r>
          <w:r>
            <w:rPr>
              <w:color w:val="auto"/>
            </w:rPr>
            <w:fldChar w:fldCharType="end"/>
          </w:r>
        </w:p>
        <w:p w14:paraId="2431061C">
          <w:pPr>
            <w:pStyle w:val="12"/>
            <w:tabs>
              <w:tab w:val="right" w:leader="dot" w:pos="8844"/>
            </w:tabs>
            <w:ind w:firstLine="560"/>
            <w:rPr>
              <w:rFonts w:hint="eastAsia" w:ascii="黑体" w:hAnsi="黑体" w:eastAsia="黑体" w:cs="黑体"/>
              <w:color w:val="auto"/>
            </w:rPr>
          </w:pPr>
          <w:r>
            <w:rPr>
              <w:color w:val="auto"/>
            </w:rPr>
            <w:fldChar w:fldCharType="begin"/>
          </w:r>
          <w:r>
            <w:rPr>
              <w:color w:val="auto"/>
            </w:rPr>
            <w:instrText xml:space="preserve"> HYPERLINK \l "_Toc3333" </w:instrText>
          </w:r>
          <w:r>
            <w:rPr>
              <w:color w:val="auto"/>
            </w:rPr>
            <w:fldChar w:fldCharType="separate"/>
          </w:r>
          <w:r>
            <w:rPr>
              <w:rFonts w:hint="eastAsia" w:ascii="黑体" w:hAnsi="黑体" w:eastAsia="黑体" w:cs="黑体"/>
              <w:color w:val="auto"/>
            </w:rPr>
            <w:t>六、有关建议</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_Toc3333 \h </w:instrText>
          </w:r>
          <w:r>
            <w:rPr>
              <w:rFonts w:hint="eastAsia" w:ascii="黑体" w:hAnsi="黑体" w:eastAsia="黑体" w:cs="黑体"/>
              <w:color w:val="auto"/>
            </w:rPr>
            <w:fldChar w:fldCharType="separate"/>
          </w:r>
          <w:r>
            <w:rPr>
              <w:rFonts w:hint="eastAsia" w:ascii="黑体" w:hAnsi="黑体" w:eastAsia="黑体" w:cs="黑体"/>
              <w:color w:val="auto"/>
            </w:rPr>
            <w:t>27</w:t>
          </w:r>
          <w:r>
            <w:rPr>
              <w:rFonts w:hint="eastAsia" w:ascii="黑体" w:hAnsi="黑体" w:eastAsia="黑体" w:cs="黑体"/>
              <w:color w:val="auto"/>
            </w:rPr>
            <w:fldChar w:fldCharType="end"/>
          </w:r>
          <w:r>
            <w:rPr>
              <w:rFonts w:hint="eastAsia" w:ascii="黑体" w:hAnsi="黑体" w:eastAsia="黑体" w:cs="黑体"/>
              <w:color w:val="auto"/>
            </w:rPr>
            <w:fldChar w:fldCharType="end"/>
          </w:r>
        </w:p>
        <w:p w14:paraId="07C42F86">
          <w:pPr>
            <w:pStyle w:val="12"/>
            <w:tabs>
              <w:tab w:val="right" w:leader="dot" w:pos="8844"/>
            </w:tabs>
            <w:ind w:firstLine="560"/>
            <w:rPr>
              <w:rFonts w:hint="eastAsia" w:ascii="黑体" w:hAnsi="黑体" w:eastAsia="黑体" w:cs="黑体"/>
              <w:color w:val="auto"/>
            </w:rPr>
          </w:pPr>
          <w:r>
            <w:rPr>
              <w:color w:val="auto"/>
            </w:rPr>
            <w:fldChar w:fldCharType="begin"/>
          </w:r>
          <w:r>
            <w:rPr>
              <w:color w:val="auto"/>
            </w:rPr>
            <w:instrText xml:space="preserve"> HYPERLINK \l "_Toc14256" </w:instrText>
          </w:r>
          <w:r>
            <w:rPr>
              <w:color w:val="auto"/>
            </w:rPr>
            <w:fldChar w:fldCharType="separate"/>
          </w:r>
          <w:r>
            <w:rPr>
              <w:rFonts w:hint="eastAsia" w:ascii="黑体" w:hAnsi="黑体" w:eastAsia="黑体" w:cs="黑体"/>
              <w:color w:val="auto"/>
            </w:rPr>
            <w:t>七、其他需要说明的问题</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_Toc14256 \h </w:instrText>
          </w:r>
          <w:r>
            <w:rPr>
              <w:rFonts w:hint="eastAsia" w:ascii="黑体" w:hAnsi="黑体" w:eastAsia="黑体" w:cs="黑体"/>
              <w:color w:val="auto"/>
            </w:rPr>
            <w:fldChar w:fldCharType="separate"/>
          </w:r>
          <w:r>
            <w:rPr>
              <w:rFonts w:hint="eastAsia" w:ascii="黑体" w:hAnsi="黑体" w:eastAsia="黑体" w:cs="黑体"/>
              <w:color w:val="auto"/>
            </w:rPr>
            <w:t>27</w:t>
          </w:r>
          <w:r>
            <w:rPr>
              <w:rFonts w:hint="eastAsia" w:ascii="黑体" w:hAnsi="黑体" w:eastAsia="黑体" w:cs="黑体"/>
              <w:color w:val="auto"/>
            </w:rPr>
            <w:fldChar w:fldCharType="end"/>
          </w:r>
          <w:r>
            <w:rPr>
              <w:rFonts w:hint="eastAsia" w:ascii="黑体" w:hAnsi="黑体" w:eastAsia="黑体" w:cs="黑体"/>
              <w:color w:val="auto"/>
            </w:rPr>
            <w:fldChar w:fldCharType="end"/>
          </w:r>
        </w:p>
        <w:p w14:paraId="0C5FE8DF">
          <w:pPr>
            <w:pStyle w:val="12"/>
            <w:tabs>
              <w:tab w:val="right" w:leader="dot" w:pos="8844"/>
            </w:tabs>
            <w:ind w:firstLine="560"/>
            <w:rPr>
              <w:rFonts w:hint="eastAsia" w:ascii="黑体" w:hAnsi="黑体" w:eastAsia="黑体" w:cs="黑体"/>
              <w:color w:val="auto"/>
            </w:rPr>
          </w:pPr>
          <w:r>
            <w:rPr>
              <w:color w:val="auto"/>
            </w:rPr>
            <w:fldChar w:fldCharType="begin"/>
          </w:r>
          <w:r>
            <w:rPr>
              <w:color w:val="auto"/>
            </w:rPr>
            <w:instrText xml:space="preserve"> HYPERLINK \l "_Toc28971" </w:instrText>
          </w:r>
          <w:r>
            <w:rPr>
              <w:color w:val="auto"/>
            </w:rPr>
            <w:fldChar w:fldCharType="separate"/>
          </w:r>
          <w:r>
            <w:rPr>
              <w:rFonts w:hint="eastAsia" w:ascii="黑体" w:hAnsi="黑体" w:eastAsia="黑体" w:cs="黑体"/>
              <w:bCs/>
              <w:color w:val="auto"/>
            </w:rPr>
            <w:t>附件一、项目支出绩效自评表</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_Toc28971 \h </w:instrText>
          </w:r>
          <w:r>
            <w:rPr>
              <w:rFonts w:hint="eastAsia" w:ascii="黑体" w:hAnsi="黑体" w:eastAsia="黑体" w:cs="黑体"/>
              <w:color w:val="auto"/>
            </w:rPr>
            <w:fldChar w:fldCharType="separate"/>
          </w:r>
          <w:r>
            <w:rPr>
              <w:rFonts w:hint="eastAsia" w:ascii="黑体" w:hAnsi="黑体" w:eastAsia="黑体" w:cs="黑体"/>
              <w:color w:val="auto"/>
            </w:rPr>
            <w:t>28</w:t>
          </w:r>
          <w:r>
            <w:rPr>
              <w:rFonts w:hint="eastAsia" w:ascii="黑体" w:hAnsi="黑体" w:eastAsia="黑体" w:cs="黑体"/>
              <w:color w:val="auto"/>
            </w:rPr>
            <w:fldChar w:fldCharType="end"/>
          </w:r>
          <w:r>
            <w:rPr>
              <w:rFonts w:hint="eastAsia" w:ascii="黑体" w:hAnsi="黑体" w:eastAsia="黑体" w:cs="黑体"/>
              <w:color w:val="auto"/>
            </w:rPr>
            <w:fldChar w:fldCharType="end"/>
          </w:r>
        </w:p>
        <w:p w14:paraId="56756789">
          <w:pPr>
            <w:pStyle w:val="12"/>
            <w:tabs>
              <w:tab w:val="right" w:leader="dot" w:pos="8844"/>
            </w:tabs>
            <w:ind w:firstLine="560"/>
            <w:rPr>
              <w:rFonts w:hint="eastAsia" w:ascii="黑体" w:hAnsi="黑体" w:eastAsia="黑体" w:cs="黑体"/>
              <w:color w:val="auto"/>
            </w:rPr>
          </w:pPr>
          <w:r>
            <w:rPr>
              <w:color w:val="auto"/>
            </w:rPr>
            <w:fldChar w:fldCharType="begin"/>
          </w:r>
          <w:r>
            <w:rPr>
              <w:color w:val="auto"/>
            </w:rPr>
            <w:instrText xml:space="preserve"> HYPERLINK \l "_Toc11223" </w:instrText>
          </w:r>
          <w:r>
            <w:rPr>
              <w:color w:val="auto"/>
            </w:rPr>
            <w:fldChar w:fldCharType="separate"/>
          </w:r>
          <w:r>
            <w:rPr>
              <w:rFonts w:hint="eastAsia" w:ascii="黑体" w:hAnsi="黑体" w:eastAsia="黑体" w:cs="黑体"/>
              <w:bCs/>
              <w:color w:val="auto"/>
            </w:rPr>
            <w:t>附件二、项目支出绩效评价指标体系打分表</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_Toc11223 \h </w:instrText>
          </w:r>
          <w:r>
            <w:rPr>
              <w:rFonts w:hint="eastAsia" w:ascii="黑体" w:hAnsi="黑体" w:eastAsia="黑体" w:cs="黑体"/>
              <w:color w:val="auto"/>
            </w:rPr>
            <w:fldChar w:fldCharType="separate"/>
          </w:r>
          <w:r>
            <w:rPr>
              <w:rFonts w:hint="eastAsia" w:ascii="黑体" w:hAnsi="黑体" w:eastAsia="黑体" w:cs="黑体"/>
              <w:color w:val="auto"/>
            </w:rPr>
            <w:t>32</w:t>
          </w:r>
          <w:r>
            <w:rPr>
              <w:rFonts w:hint="eastAsia" w:ascii="黑体" w:hAnsi="黑体" w:eastAsia="黑体" w:cs="黑体"/>
              <w:color w:val="auto"/>
            </w:rPr>
            <w:fldChar w:fldCharType="end"/>
          </w:r>
          <w:r>
            <w:rPr>
              <w:rFonts w:hint="eastAsia" w:ascii="黑体" w:hAnsi="黑体" w:eastAsia="黑体" w:cs="黑体"/>
              <w:color w:val="auto"/>
            </w:rPr>
            <w:fldChar w:fldCharType="end"/>
          </w:r>
        </w:p>
        <w:p w14:paraId="7111D945">
          <w:pPr>
            <w:pageBreakBefore w:val="0"/>
            <w:kinsoku/>
            <w:wordWrap/>
            <w:overflowPunct/>
            <w:topLinePunct w:val="0"/>
            <w:autoSpaceDE/>
            <w:autoSpaceDN/>
            <w:bidi w:val="0"/>
            <w:adjustRightInd/>
            <w:spacing w:after="0" w:line="560" w:lineRule="exact"/>
            <w:ind w:firstLine="560"/>
            <w:textAlignment w:val="auto"/>
            <w:rPr>
              <w:rFonts w:hint="eastAsia"/>
              <w:color w:val="auto"/>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color w:val="auto"/>
            </w:rPr>
            <w:fldChar w:fldCharType="end"/>
          </w:r>
        </w:p>
      </w:sdtContent>
    </w:sdt>
    <w:p w14:paraId="4D529BAF">
      <w:pPr>
        <w:pageBreakBefore w:val="0"/>
        <w:kinsoku/>
        <w:wordWrap/>
        <w:overflowPunct/>
        <w:topLinePunct w:val="0"/>
        <w:autoSpaceDE/>
        <w:autoSpaceDN/>
        <w:bidi w:val="0"/>
        <w:adjustRightInd/>
        <w:spacing w:after="0" w:line="560" w:lineRule="exact"/>
        <w:jc w:val="center"/>
        <w:textAlignment w:val="auto"/>
        <w:outlineLvl w:val="0"/>
        <w:rPr>
          <w:rFonts w:hint="eastAsia"/>
          <w:b/>
          <w:bCs/>
          <w:color w:val="auto"/>
          <w:sz w:val="36"/>
          <w:szCs w:val="36"/>
        </w:rPr>
      </w:pPr>
      <w:bookmarkStart w:id="4" w:name="_Toc1194"/>
      <w:bookmarkStart w:id="5" w:name="_Toc3663"/>
      <w:bookmarkStart w:id="6" w:name="_Toc22946"/>
      <w:bookmarkStart w:id="7" w:name="_Toc20432"/>
      <w:r>
        <w:rPr>
          <w:rFonts w:hint="eastAsia"/>
          <w:b/>
          <w:bCs/>
          <w:color w:val="auto"/>
          <w:sz w:val="36"/>
          <w:szCs w:val="36"/>
        </w:rPr>
        <w:t>阜康市中医医院2024年自治区公共卫生服务（地方公卫）全民健康体检补助资金</w:t>
      </w:r>
    </w:p>
    <w:p w14:paraId="54C9187D">
      <w:pPr>
        <w:pageBreakBefore w:val="0"/>
        <w:kinsoku/>
        <w:wordWrap/>
        <w:overflowPunct/>
        <w:topLinePunct w:val="0"/>
        <w:autoSpaceDE/>
        <w:autoSpaceDN/>
        <w:bidi w:val="0"/>
        <w:adjustRightInd/>
        <w:spacing w:after="0" w:line="560" w:lineRule="exact"/>
        <w:jc w:val="center"/>
        <w:textAlignment w:val="auto"/>
        <w:outlineLvl w:val="0"/>
        <w:rPr>
          <w:rFonts w:hint="eastAsia"/>
          <w:b/>
          <w:bCs/>
          <w:color w:val="auto"/>
        </w:rPr>
      </w:pPr>
      <w:r>
        <w:rPr>
          <w:rFonts w:hint="eastAsia"/>
          <w:b/>
          <w:bCs/>
          <w:color w:val="auto"/>
          <w:sz w:val="36"/>
          <w:szCs w:val="36"/>
        </w:rPr>
        <w:t>项目支出绩效评价报告</w:t>
      </w:r>
      <w:bookmarkEnd w:id="4"/>
      <w:bookmarkEnd w:id="5"/>
      <w:bookmarkEnd w:id="6"/>
      <w:bookmarkEnd w:id="7"/>
    </w:p>
    <w:p w14:paraId="41BD46F5">
      <w:pPr>
        <w:pStyle w:val="4"/>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黑体" w:hAnsi="黑体" w:cs="黑体"/>
          <w:color w:val="auto"/>
        </w:rPr>
      </w:pPr>
      <w:bookmarkStart w:id="8" w:name="_Toc18485"/>
      <w:r>
        <w:rPr>
          <w:rFonts w:hint="eastAsia" w:ascii="黑体" w:hAnsi="黑体" w:cs="黑体"/>
          <w:color w:val="auto"/>
        </w:rPr>
        <w:t>一、基本情况</w:t>
      </w:r>
      <w:bookmarkEnd w:id="8"/>
    </w:p>
    <w:p w14:paraId="1557ECCA">
      <w:pPr>
        <w:pStyle w:val="16"/>
        <w:pageBreakBefore w:val="0"/>
        <w:widowControl/>
        <w:kinsoku/>
        <w:wordWrap/>
        <w:overflowPunct/>
        <w:topLinePunct w:val="0"/>
        <w:autoSpaceDE/>
        <w:autoSpaceDN/>
        <w:bidi w:val="0"/>
        <w:adjustRightInd/>
        <w:snapToGrid w:val="0"/>
        <w:spacing w:before="0" w:after="0" w:line="560" w:lineRule="exact"/>
        <w:ind w:left="0" w:leftChars="0" w:firstLine="643" w:firstLineChars="200"/>
        <w:jc w:val="both"/>
        <w:textAlignment w:val="auto"/>
        <w:rPr>
          <w:rFonts w:ascii="Times New Roman" w:hAnsi="Times New Roman" w:eastAsia="楷体_GB2312" w:cs="Times New Roman"/>
          <w:color w:val="auto"/>
          <w:kern w:val="28"/>
          <w:sz w:val="32"/>
        </w:rPr>
      </w:pPr>
      <w:bookmarkStart w:id="9" w:name="_Toc23184"/>
      <w:r>
        <w:rPr>
          <w:rFonts w:hint="eastAsia" w:ascii="Times New Roman" w:hAnsi="Times New Roman" w:eastAsia="楷体_GB2312" w:cs="Times New Roman"/>
          <w:color w:val="auto"/>
          <w:kern w:val="28"/>
          <w:sz w:val="32"/>
        </w:rPr>
        <w:t>（一）项目概况</w:t>
      </w:r>
      <w:bookmarkEnd w:id="9"/>
    </w:p>
    <w:p w14:paraId="6923B54E">
      <w:pPr>
        <w:pStyle w:val="6"/>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cs="仿宋_GB2312"/>
          <w:color w:val="auto"/>
          <w:sz w:val="32"/>
        </w:rPr>
      </w:pPr>
      <w:bookmarkStart w:id="10" w:name="_Toc10645"/>
      <w:bookmarkStart w:id="11" w:name="_Toc22346"/>
      <w:bookmarkStart w:id="12" w:name="_Toc29812"/>
      <w:bookmarkStart w:id="13" w:name="_Toc5043"/>
      <w:r>
        <w:rPr>
          <w:rFonts w:hint="eastAsia" w:cs="仿宋_GB2312"/>
          <w:color w:val="auto"/>
          <w:sz w:val="32"/>
        </w:rPr>
        <w:t>1.项目背景</w:t>
      </w:r>
      <w:bookmarkEnd w:id="10"/>
      <w:bookmarkEnd w:id="11"/>
      <w:bookmarkEnd w:id="12"/>
      <w:bookmarkEnd w:id="13"/>
    </w:p>
    <w:p w14:paraId="529394C6">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关于印发国民健康政策纲要（2019-2030年）的通知》中提到全民健康体检可以更加全面地进行健康管理，落实“健康中国2030”战略目标，防治传染性疾病，提高全民健康意识，提高预防保健措施，推动健康产业的发展。它的实施将更加全面、精准地保障人民的健康，从而推动国家的经济和社会发展。一是随着我国人口的老龄化不断加剧，老年人的健康问题凸显，因此全民健康体检能够及时掌握人口的身体健康状况，预防和治疗一些潜在的疾病。二是随着社会的发展和人们健康意识的提高，人们对健康的关注度越来越高，全民健康体检可以帮助人们及时了解自己的健康状况，提高健康意识，从而彻底预防健康问题的出现。三是全民健康体检能够对疾病传播进行及时预防和控制，大大减少疾病的发生和传播，保护人民的健康。</w:t>
      </w:r>
      <w:bookmarkStart w:id="14" w:name="_Toc1630"/>
      <w:bookmarkStart w:id="15" w:name="_Toc27343"/>
      <w:bookmarkStart w:id="16" w:name="_Toc10730"/>
      <w:bookmarkStart w:id="17" w:name="_Toc17880"/>
    </w:p>
    <w:p w14:paraId="19726BE8">
      <w:pPr>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rPr>
        <w:t>主要内容及实施情况</w:t>
      </w:r>
      <w:bookmarkEnd w:id="14"/>
      <w:bookmarkEnd w:id="15"/>
      <w:bookmarkEnd w:id="16"/>
      <w:bookmarkEnd w:id="17"/>
      <w:bookmarkStart w:id="18" w:name="_Toc21898"/>
      <w:bookmarkStart w:id="19" w:name="_Toc27245"/>
      <w:bookmarkStart w:id="20" w:name="_Toc16592"/>
      <w:bookmarkStart w:id="21" w:name="_Toc27409"/>
    </w:p>
    <w:p w14:paraId="3E49851D">
      <w:pPr>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项目主要内容：</w:t>
      </w:r>
      <w:bookmarkEnd w:id="18"/>
      <w:bookmarkEnd w:id="19"/>
      <w:bookmarkEnd w:id="20"/>
      <w:bookmarkEnd w:id="21"/>
      <w:r>
        <w:rPr>
          <w:rFonts w:hint="eastAsia" w:ascii="仿宋_GB2312" w:hAnsi="仿宋_GB2312" w:eastAsia="仿宋_GB2312" w:cs="仿宋_GB2312"/>
          <w:color w:val="auto"/>
          <w:sz w:val="32"/>
          <w:szCs w:val="32"/>
        </w:rPr>
        <w:t>根据各乡镇、街道办事处区域特点和医疗资源配置情况，合理设置固定体检点1个，采取集中体检和上门服务体检的方式开展体检。建立健全各项阳性结果报告、追踪登记管理，严格落实危急值立即反馈、重要异常结果24-48小时内通知体检者复查，一般体检结果15天内通过手机短信、微信推送、面对面、体检报告单复印等多种方式一对一反馈、一对一指导。</w:t>
      </w:r>
    </w:p>
    <w:p w14:paraId="25848686">
      <w:pPr>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项目实施情况：</w:t>
      </w:r>
      <w:r>
        <w:rPr>
          <w:rFonts w:hint="eastAsia" w:ascii="仿宋_GB2312" w:hAnsi="仿宋_GB2312" w:eastAsia="仿宋_GB2312" w:cs="仿宋_GB2312"/>
          <w:color w:val="auto"/>
          <w:sz w:val="32"/>
          <w:szCs w:val="32"/>
        </w:rPr>
        <w:t>本项目自2024年3月4日经资金分配明细文件批复，经院委会会议，确定了项目领导小组，明确了责任分工：组长为丁文霞，副组长为张晓丽，项目负责人为李玉华,组员为李雪春、田风、黄小荣、金梅城，其中：李志伟负责监管工作，田风负责项目档案资料，吴艳玲负责资金拨付工作。</w:t>
      </w:r>
    </w:p>
    <w:p w14:paraId="6829861D">
      <w:pPr>
        <w:pStyle w:val="6"/>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cs="仿宋_GB2312"/>
          <w:color w:val="auto"/>
          <w:sz w:val="32"/>
        </w:rPr>
      </w:pPr>
      <w:bookmarkStart w:id="22" w:name="_Toc12348"/>
      <w:bookmarkStart w:id="23" w:name="_Toc569"/>
      <w:bookmarkStart w:id="24" w:name="_Toc1858"/>
      <w:bookmarkStart w:id="25" w:name="_Toc10240"/>
      <w:r>
        <w:rPr>
          <w:rFonts w:hint="eastAsia" w:cs="仿宋_GB2312"/>
          <w:color w:val="auto"/>
          <w:sz w:val="32"/>
        </w:rPr>
        <w:t>3.资金投入和使用情况</w:t>
      </w:r>
      <w:bookmarkEnd w:id="22"/>
      <w:bookmarkEnd w:id="23"/>
      <w:bookmarkEnd w:id="24"/>
      <w:bookmarkEnd w:id="25"/>
    </w:p>
    <w:p w14:paraId="1C0AF2A9">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outlineLvl w:val="0"/>
        <w:rPr>
          <w:rFonts w:hint="eastAsia" w:ascii="仿宋_GB2312" w:hAnsi="仿宋_GB2312" w:eastAsia="仿宋_GB2312" w:cs="仿宋_GB2312"/>
          <w:color w:val="auto"/>
          <w:sz w:val="32"/>
          <w:szCs w:val="32"/>
        </w:rPr>
      </w:pPr>
      <w:bookmarkStart w:id="26" w:name="_Toc694"/>
      <w:bookmarkStart w:id="27" w:name="_Toc23509"/>
      <w:bookmarkStart w:id="28" w:name="_Toc26369"/>
      <w:r>
        <w:rPr>
          <w:rFonts w:hint="eastAsia" w:ascii="仿宋_GB2312" w:hAnsi="仿宋_GB2312" w:eastAsia="仿宋_GB2312" w:cs="仿宋_GB2312"/>
          <w:color w:val="auto"/>
          <w:sz w:val="32"/>
          <w:szCs w:val="32"/>
        </w:rPr>
        <w:t>（1）资金投入情况</w:t>
      </w:r>
      <w:bookmarkEnd w:id="26"/>
      <w:bookmarkEnd w:id="27"/>
      <w:bookmarkEnd w:id="28"/>
    </w:p>
    <w:p w14:paraId="6B0BF4FD">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outlineLvl w:val="0"/>
        <w:rPr>
          <w:rFonts w:hint="eastAsia" w:ascii="仿宋_GB2312" w:hAnsi="仿宋_GB2312" w:eastAsia="仿宋_GB2312" w:cs="仿宋_GB2312"/>
          <w:color w:val="auto"/>
          <w:sz w:val="32"/>
          <w:szCs w:val="32"/>
        </w:rPr>
      </w:pPr>
      <w:bookmarkStart w:id="29" w:name="_Toc5573"/>
      <w:bookmarkStart w:id="30" w:name="_Toc9464"/>
      <w:bookmarkStart w:id="31" w:name="_Toc29190"/>
      <w:r>
        <w:rPr>
          <w:rFonts w:hint="eastAsia" w:ascii="仿宋_GB2312" w:hAnsi="仿宋_GB2312" w:eastAsia="仿宋_GB2312" w:cs="仿宋_GB2312"/>
          <w:color w:val="auto"/>
          <w:sz w:val="32"/>
          <w:szCs w:val="32"/>
        </w:rPr>
        <w:t>该项目年初预算数58.27万元，全年预算数58.27万元，该项目资金已全部落实到位，资金来源为财政拨款。</w:t>
      </w:r>
      <w:bookmarkEnd w:id="29"/>
      <w:bookmarkEnd w:id="30"/>
      <w:bookmarkEnd w:id="31"/>
    </w:p>
    <w:p w14:paraId="44C28592">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outlineLvl w:val="0"/>
        <w:rPr>
          <w:rFonts w:hint="eastAsia" w:ascii="仿宋_GB2312" w:hAnsi="仿宋_GB2312" w:eastAsia="仿宋_GB2312" w:cs="仿宋_GB2312"/>
          <w:color w:val="auto"/>
          <w:sz w:val="32"/>
          <w:szCs w:val="32"/>
        </w:rPr>
      </w:pPr>
      <w:bookmarkStart w:id="32" w:name="_Toc3409"/>
      <w:bookmarkStart w:id="33" w:name="_Toc1166"/>
      <w:bookmarkStart w:id="34" w:name="_Toc28187"/>
      <w:r>
        <w:rPr>
          <w:rFonts w:hint="eastAsia" w:ascii="仿宋_GB2312" w:hAnsi="仿宋_GB2312" w:eastAsia="仿宋_GB2312" w:cs="仿宋_GB2312"/>
          <w:color w:val="auto"/>
          <w:sz w:val="32"/>
          <w:szCs w:val="32"/>
        </w:rPr>
        <w:t>（2）资金使用情况</w:t>
      </w:r>
      <w:bookmarkEnd w:id="32"/>
      <w:bookmarkEnd w:id="33"/>
      <w:bookmarkEnd w:id="34"/>
    </w:p>
    <w:p w14:paraId="758B0F06">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outlineLvl w:val="0"/>
        <w:rPr>
          <w:rFonts w:hint="eastAsia" w:ascii="仿宋_GB2312" w:hAnsi="仿宋_GB2312" w:eastAsia="仿宋_GB2312" w:cs="仿宋_GB2312"/>
          <w:color w:val="auto"/>
          <w:sz w:val="32"/>
          <w:szCs w:val="32"/>
        </w:rPr>
      </w:pPr>
      <w:bookmarkStart w:id="35" w:name="_Toc11647"/>
      <w:bookmarkStart w:id="36" w:name="_Toc29121"/>
      <w:bookmarkStart w:id="37" w:name="_Toc1430"/>
      <w:r>
        <w:rPr>
          <w:rFonts w:hint="eastAsia" w:ascii="仿宋_GB2312" w:hAnsi="仿宋_GB2312" w:eastAsia="仿宋_GB2312" w:cs="仿宋_GB2312"/>
          <w:color w:val="auto"/>
          <w:sz w:val="32"/>
          <w:szCs w:val="32"/>
        </w:rPr>
        <w:t>该项目年初预算数58.27万元，全年预算数58.27万元，截至2024年12月31日，全年执行数58.27万元，预算执行率为100%，主要用于：辖区内居民常规健康体检所产生的专用材料费、办公费等。</w:t>
      </w:r>
      <w:bookmarkEnd w:id="35"/>
      <w:bookmarkEnd w:id="36"/>
      <w:bookmarkEnd w:id="37"/>
    </w:p>
    <w:p w14:paraId="72CC42FA">
      <w:pPr>
        <w:pStyle w:val="16"/>
        <w:pageBreakBefore w:val="0"/>
        <w:widowControl/>
        <w:kinsoku/>
        <w:wordWrap/>
        <w:overflowPunct/>
        <w:topLinePunct w:val="0"/>
        <w:autoSpaceDE/>
        <w:autoSpaceDN/>
        <w:bidi w:val="0"/>
        <w:adjustRightInd/>
        <w:snapToGrid w:val="0"/>
        <w:spacing w:before="0" w:after="0" w:line="560" w:lineRule="exact"/>
        <w:ind w:left="0" w:leftChars="0" w:firstLine="643" w:firstLineChars="200"/>
        <w:jc w:val="both"/>
        <w:textAlignment w:val="auto"/>
        <w:rPr>
          <w:rFonts w:ascii="Times New Roman" w:hAnsi="Times New Roman" w:eastAsia="楷体_GB2312" w:cs="Times New Roman"/>
          <w:color w:val="auto"/>
          <w:kern w:val="28"/>
          <w:sz w:val="32"/>
        </w:rPr>
      </w:pPr>
      <w:bookmarkStart w:id="38" w:name="_Toc9109"/>
      <w:r>
        <w:rPr>
          <w:rFonts w:hint="eastAsia" w:ascii="Times New Roman" w:hAnsi="Times New Roman" w:eastAsia="楷体_GB2312" w:cs="Times New Roman"/>
          <w:color w:val="auto"/>
          <w:kern w:val="28"/>
          <w:sz w:val="32"/>
        </w:rPr>
        <w:t>（二）项目绩效目标</w:t>
      </w:r>
      <w:bookmarkEnd w:id="38"/>
    </w:p>
    <w:p w14:paraId="21325CF2">
      <w:pPr>
        <w:pStyle w:val="6"/>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cs="仿宋_GB2312"/>
          <w:color w:val="auto"/>
          <w:sz w:val="32"/>
        </w:rPr>
      </w:pPr>
      <w:bookmarkStart w:id="39" w:name="_Toc2547"/>
      <w:bookmarkStart w:id="40" w:name="_Toc10047"/>
      <w:bookmarkStart w:id="41" w:name="_Toc14758"/>
      <w:bookmarkStart w:id="42" w:name="_Toc8528"/>
      <w:r>
        <w:rPr>
          <w:rFonts w:hint="eastAsia" w:cs="仿宋_GB2312"/>
          <w:color w:val="auto"/>
          <w:sz w:val="32"/>
        </w:rPr>
        <w:t>1.总体目标</w:t>
      </w:r>
      <w:bookmarkEnd w:id="39"/>
      <w:bookmarkEnd w:id="40"/>
      <w:bookmarkEnd w:id="41"/>
      <w:bookmarkEnd w:id="42"/>
    </w:p>
    <w:p w14:paraId="24246796">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阜康市中医医院2024年自治区公共卫生服务（地方公卫）全民健康体检补助资金项目绩效总体目标为：本院承担疫情防控、居民健康档案管理、健康教育、预防接种、慢病管理、孕产妇管理、0-6岁儿童健康管理、精神疾病管理、老年人健康管理、卫生监督协管、中医药服务、传染病及突发公共卫生事件报告和处理等基本公共卫生服务和家庭医生签约式服务工作。主要指导十三项基本公共卫生服务、家庭医生签约服务、慢病随访等各项工作。2024年预计通过完成全民健康体检人数9000人次、系统录入人次9000人次、胸部X线完成人次9000人次、全民健康体检完成率100%、系统录入合格率预期达到90%、全民健康体检工作完成及时率100%，预计于2024年12月完成。项目的实施预计达到居民健康水平逐渐提高。</w:t>
      </w:r>
    </w:p>
    <w:p w14:paraId="23A6BDC3">
      <w:pPr>
        <w:pStyle w:val="6"/>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cs="仿宋_GB2312"/>
          <w:color w:val="auto"/>
          <w:sz w:val="32"/>
        </w:rPr>
      </w:pPr>
      <w:bookmarkStart w:id="43" w:name="_Toc4487"/>
      <w:bookmarkStart w:id="44" w:name="_Toc8990"/>
      <w:bookmarkStart w:id="45" w:name="_Toc3255"/>
      <w:bookmarkStart w:id="46" w:name="_Toc4007"/>
      <w:r>
        <w:rPr>
          <w:rFonts w:hint="eastAsia" w:cs="仿宋_GB2312"/>
          <w:color w:val="auto"/>
          <w:sz w:val="32"/>
        </w:rPr>
        <w:t>2.阶段性目标</w:t>
      </w:r>
      <w:bookmarkEnd w:id="43"/>
      <w:bookmarkEnd w:id="44"/>
      <w:bookmarkEnd w:id="45"/>
      <w:bookmarkEnd w:id="46"/>
    </w:p>
    <w:p w14:paraId="4ECA9444">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rPr>
        <w:t>根据《预算法》《财政支出绩效评价管理暂行办法》（财预〔2020〕10号）</w:t>
      </w:r>
      <w:r>
        <w:rPr>
          <w:rFonts w:hint="eastAsia" w:ascii="仿宋_GB2312" w:hAnsi="仿宋_GB2312" w:eastAsia="仿宋_GB2312" w:cs="仿宋_GB2312"/>
          <w:color w:val="auto"/>
          <w:sz w:val="32"/>
          <w:szCs w:val="32"/>
        </w:rPr>
        <w:t>等文件</w:t>
      </w:r>
      <w:r>
        <w:rPr>
          <w:rFonts w:hint="eastAsia" w:ascii="仿宋_GB2312" w:hAnsi="仿宋_GB2312" w:eastAsia="仿宋_GB2312" w:cs="仿宋_GB2312"/>
          <w:bCs/>
          <w:color w:val="auto"/>
          <w:sz w:val="32"/>
          <w:szCs w:val="32"/>
        </w:rPr>
        <w:t>的规定，结合项目实施单位的规章制度以及财务相关资料，评价小组对项目绩效目标进行了进</w:t>
      </w:r>
      <w:r>
        <w:rPr>
          <w:rFonts w:hint="eastAsia" w:ascii="仿宋_GB2312" w:hAnsi="仿宋_GB2312" w:eastAsia="仿宋_GB2312" w:cs="仿宋_GB2312"/>
          <w:bCs/>
          <w:color w:val="auto"/>
          <w:sz w:val="32"/>
          <w:szCs w:val="32"/>
          <w:highlight w:val="none"/>
        </w:rPr>
        <w:t>一步的完善，完善后绩效目标如下：</w:t>
      </w:r>
    </w:p>
    <w:p w14:paraId="4CA6D7E8">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（1）项目产出目标</w:t>
      </w:r>
    </w:p>
    <w:p w14:paraId="37B5CC01">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①数量指标</w:t>
      </w:r>
    </w:p>
    <w:p w14:paraId="54600B58">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“全民健康体检人数”指标，预期目标值为≥9293人次；</w:t>
      </w:r>
    </w:p>
    <w:p w14:paraId="03A005AA">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“系统录入人次”指标，预期目标值为≥9293人次；</w:t>
      </w:r>
    </w:p>
    <w:p w14:paraId="2D06044E">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“胸部X线完成人次”指标，预期目标值为≥9293人次；</w:t>
      </w:r>
    </w:p>
    <w:p w14:paraId="5ADFEAFE">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质量指标</w:t>
      </w:r>
    </w:p>
    <w:p w14:paraId="4C837332">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“全民健康体检完成率”指标，预期目标值为=100%；</w:t>
      </w:r>
    </w:p>
    <w:p w14:paraId="69E72692">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“系统录入合格率”指标，预期目标值为≥90%；</w:t>
      </w:r>
    </w:p>
    <w:p w14:paraId="63BF8DF9">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时效指标</w:t>
      </w:r>
    </w:p>
    <w:p w14:paraId="5ED84319">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“全民健康体检工作完成及时率”指标，预期目标值为=100%；</w:t>
      </w:r>
    </w:p>
    <w:p w14:paraId="2992FDC9">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“全民健康体检完成时限”指标，预期目标值为2024年12月；</w:t>
      </w:r>
    </w:p>
    <w:p w14:paraId="071ECA7C">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（2）成本指标</w:t>
      </w:r>
    </w:p>
    <w:p w14:paraId="434AAEF2">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“体检检验试剂投入”指标，预期目标值为≥48万元；</w:t>
      </w:r>
    </w:p>
    <w:p w14:paraId="232640B9">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color w:val="auto"/>
          <w:highlight w:val="none"/>
        </w:rPr>
      </w:pPr>
      <w:r>
        <w:rPr>
          <w:rFonts w:hint="eastAsia" w:ascii="仿宋_GB2312" w:hAnsi="仿宋_GB2312" w:eastAsia="仿宋_GB2312" w:cs="仿宋_GB2312"/>
          <w:color w:val="auto"/>
          <w:sz w:val="32"/>
          <w:szCs w:val="32"/>
          <w:highlight w:val="none"/>
        </w:rPr>
        <w:t>“日常运行办公投入”指标，预期目标值为≥10.27万元；</w:t>
      </w:r>
    </w:p>
    <w:p w14:paraId="0D8DC5A3">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（3）项目效益目标</w:t>
      </w:r>
    </w:p>
    <w:p w14:paraId="1B5BA68B">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社会效益指标</w:t>
      </w:r>
    </w:p>
    <w:p w14:paraId="2610D872">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“居民健康水平提高”指标，预期目标值为逐步提高；</w:t>
      </w:r>
    </w:p>
    <w:p w14:paraId="520E5C38">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满意度指标</w:t>
      </w:r>
    </w:p>
    <w:p w14:paraId="0BF4A311">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highlight w:val="none"/>
        </w:rPr>
        <w:t>“体检居民满意度”</w:t>
      </w:r>
      <w:r>
        <w:rPr>
          <w:rFonts w:hint="eastAsia" w:ascii="仿宋_GB2312" w:hAnsi="仿宋_GB2312" w:eastAsia="仿宋_GB2312" w:cs="仿宋_GB2312"/>
          <w:color w:val="auto"/>
          <w:sz w:val="32"/>
          <w:szCs w:val="32"/>
        </w:rPr>
        <w:t>指标，预期目标值为≥90%。</w:t>
      </w:r>
    </w:p>
    <w:p w14:paraId="43208B08">
      <w:pPr>
        <w:pStyle w:val="4"/>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ascii="宋体" w:hAnsi="宋体" w:eastAsia="宋体"/>
          <w:b/>
          <w:bCs/>
          <w:color w:val="auto"/>
        </w:rPr>
      </w:pPr>
      <w:bookmarkStart w:id="47" w:name="_Toc26567"/>
      <w:r>
        <w:rPr>
          <w:rFonts w:hint="eastAsia" w:ascii="宋体" w:hAnsi="宋体" w:eastAsia="宋体"/>
          <w:b/>
          <w:bCs/>
          <w:color w:val="auto"/>
        </w:rPr>
        <w:t>二、绩效评价工作开展情况</w:t>
      </w:r>
      <w:bookmarkEnd w:id="47"/>
    </w:p>
    <w:p w14:paraId="5282932A">
      <w:pPr>
        <w:pStyle w:val="16"/>
        <w:pageBreakBefore w:val="0"/>
        <w:widowControl/>
        <w:kinsoku/>
        <w:wordWrap/>
        <w:overflowPunct/>
        <w:topLinePunct w:val="0"/>
        <w:autoSpaceDE/>
        <w:autoSpaceDN/>
        <w:bidi w:val="0"/>
        <w:adjustRightInd/>
        <w:snapToGrid w:val="0"/>
        <w:spacing w:before="0" w:after="0" w:line="560" w:lineRule="exact"/>
        <w:ind w:left="0" w:leftChars="0" w:firstLine="643" w:firstLineChars="200"/>
        <w:jc w:val="both"/>
        <w:textAlignment w:val="auto"/>
        <w:rPr>
          <w:rFonts w:ascii="Times New Roman" w:hAnsi="Times New Roman" w:eastAsia="楷体_GB2312" w:cs="Times New Roman"/>
          <w:color w:val="auto"/>
          <w:kern w:val="28"/>
          <w:sz w:val="32"/>
        </w:rPr>
      </w:pPr>
      <w:bookmarkStart w:id="48" w:name="_Toc26632"/>
      <w:bookmarkStart w:id="49" w:name="_Toc21664"/>
      <w:bookmarkStart w:id="50" w:name="_Toc22922"/>
      <w:bookmarkStart w:id="51" w:name="_Toc480473081"/>
      <w:bookmarkStart w:id="52" w:name="_Toc22169_WPSOffice_Level2"/>
      <w:bookmarkStart w:id="53" w:name="_Toc12868"/>
      <w:bookmarkStart w:id="54" w:name="_Toc5258"/>
      <w:bookmarkStart w:id="55" w:name="_Toc5462343"/>
      <w:bookmarkStart w:id="56" w:name="_Toc22839"/>
      <w:r>
        <w:rPr>
          <w:rFonts w:hint="eastAsia" w:ascii="Times New Roman" w:hAnsi="Times New Roman" w:eastAsia="楷体_GB2312" w:cs="Times New Roman"/>
          <w:color w:val="auto"/>
          <w:kern w:val="28"/>
          <w:sz w:val="32"/>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rPr>
        <w:t>、对象和范围</w:t>
      </w:r>
      <w:bookmarkEnd w:id="56"/>
    </w:p>
    <w:p w14:paraId="76548341">
      <w:pPr>
        <w:pStyle w:val="16"/>
        <w:pageBreakBefore w:val="0"/>
        <w:kinsoku/>
        <w:wordWrap/>
        <w:overflowPunct/>
        <w:topLinePunct w:val="0"/>
        <w:autoSpaceDE/>
        <w:autoSpaceDN/>
        <w:bidi w:val="0"/>
        <w:adjustRightInd/>
        <w:snapToGrid w:val="0"/>
        <w:spacing w:before="0" w:after="0" w:line="560" w:lineRule="exact"/>
        <w:ind w:left="0" w:leftChars="0" w:firstLine="643" w:firstLineChars="200"/>
        <w:jc w:val="both"/>
        <w:textAlignment w:val="auto"/>
        <w:outlineLvl w:val="9"/>
        <w:rPr>
          <w:rFonts w:ascii="Times New Roman" w:hAnsi="Times New Roman" w:eastAsia="仿宋_GB2312" w:cs="Times New Roman"/>
          <w:color w:val="auto"/>
          <w:sz w:val="32"/>
        </w:rPr>
      </w:pPr>
      <w:bookmarkStart w:id="57" w:name="_Toc15732"/>
      <w:r>
        <w:rPr>
          <w:rFonts w:ascii="Times New Roman" w:hAnsi="Times New Roman" w:eastAsia="仿宋_GB2312" w:cs="Times New Roman"/>
          <w:color w:val="auto"/>
          <w:sz w:val="32"/>
        </w:rPr>
        <w:t>1.绩效评价完整性</w:t>
      </w:r>
    </w:p>
    <w:p w14:paraId="233C3C04">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8D73267">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52B58829">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19357892">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335F2D31">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65557476">
      <w:pPr>
        <w:pStyle w:val="6"/>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cs="仿宋_GB2312"/>
          <w:color w:val="auto"/>
          <w:sz w:val="32"/>
        </w:rPr>
      </w:pPr>
      <w:bookmarkStart w:id="58" w:name="_Toc417"/>
      <w:bookmarkStart w:id="59" w:name="_Toc21770"/>
      <w:r>
        <w:rPr>
          <w:rFonts w:hint="eastAsia" w:cs="仿宋_GB2312"/>
          <w:color w:val="auto"/>
          <w:sz w:val="32"/>
        </w:rPr>
        <w:t>2.绩效评价的目的</w:t>
      </w:r>
      <w:bookmarkEnd w:id="57"/>
      <w:bookmarkEnd w:id="58"/>
      <w:bookmarkEnd w:id="59"/>
    </w:p>
    <w:p w14:paraId="1A61AD88">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全面了解该项目预算编制合理性、资金使用合规性、项目管理的规范性、绩效目标的实现情况、服务对象的满意度等，通过本次部门绩效评价来总结经验和教训，促进项目成果转化和应用，为今后类似项目的长效管理，提供可行性参考建议。</w:t>
      </w:r>
    </w:p>
    <w:p w14:paraId="304B0C01">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ascii="Times New Roman" w:hAnsi="Times New Roman" w:eastAsia="仿宋_GB2312" w:cs="Times New Roman"/>
          <w:color w:val="auto"/>
          <w:sz w:val="32"/>
          <w:szCs w:val="32"/>
        </w:rPr>
      </w:pPr>
      <w:bookmarkStart w:id="60" w:name="_Toc30609"/>
      <w:r>
        <w:rPr>
          <w:rFonts w:ascii="Times New Roman" w:hAnsi="Times New Roman" w:eastAsia="仿宋_GB2312" w:cs="Times New Roman"/>
          <w:color w:val="auto"/>
          <w:sz w:val="32"/>
          <w:szCs w:val="32"/>
        </w:rPr>
        <w:t>（1）评估项目实施效果</w:t>
      </w:r>
    </w:p>
    <w:p w14:paraId="4A1854C9">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通过对项目预算执行情况及各项绩效目标达成程度的系统性分析，全面、客观地评估项目在预定周期内的实施效果，包括社会效益等多维度指标，为项目后续的改进与优化提供科学依据。</w:t>
      </w:r>
    </w:p>
    <w:p w14:paraId="2279755E">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（2）提升资源利用效率</w:t>
      </w:r>
    </w:p>
    <w:p w14:paraId="28986287">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7908A48A">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（3）强化项目管理责任</w:t>
      </w:r>
    </w:p>
    <w:p w14:paraId="5B9D379E">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396BA169">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（4）为决策提供支持</w:t>
      </w:r>
    </w:p>
    <w:p w14:paraId="711BFA08">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5953EA48">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（5）促进项目持续改进</w:t>
      </w:r>
    </w:p>
    <w:p w14:paraId="034FC339">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60106E0">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ascii="Times New Roman" w:hAnsi="Times New Roman" w:eastAsia="方正仿宋_GBK" w:cs="Times New Roman"/>
          <w:color w:val="auto"/>
          <w:sz w:val="32"/>
          <w:szCs w:val="32"/>
        </w:rPr>
      </w:pPr>
      <w:r>
        <w:rPr>
          <w:rFonts w:ascii="Times New Roman" w:hAnsi="Times New Roman" w:eastAsia="仿宋_GB2312" w:cs="Times New Roman"/>
          <w:color w:val="auto"/>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10717674">
      <w:pPr>
        <w:pStyle w:val="6"/>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cs="仿宋_GB2312"/>
          <w:color w:val="auto"/>
          <w:sz w:val="32"/>
        </w:rPr>
      </w:pPr>
      <w:bookmarkStart w:id="61" w:name="_Toc31970"/>
      <w:bookmarkStart w:id="62" w:name="_Toc16346"/>
      <w:r>
        <w:rPr>
          <w:rFonts w:hint="eastAsia" w:cs="仿宋_GB2312"/>
          <w:color w:val="auto"/>
          <w:sz w:val="32"/>
        </w:rPr>
        <w:t>3.绩效评价的对象</w:t>
      </w:r>
      <w:bookmarkEnd w:id="60"/>
      <w:bookmarkEnd w:id="61"/>
      <w:bookmarkEnd w:id="62"/>
    </w:p>
    <w:p w14:paraId="6BD9F7A9">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此次我单位根据《财政支出绩效评价管理暂行办法》（财预〔2020〕10号）文件要求对2024年度我单位实施的阜康市中医医院2024年自治区公共卫生服务（地方公卫）全民健康体检补助资金项目</w:t>
      </w:r>
      <w:r>
        <w:rPr>
          <w:rFonts w:ascii="仿宋_GB2312" w:hAnsi="仿宋_GB2312" w:eastAsia="仿宋_GB2312" w:cs="仿宋_GB2312"/>
          <w:color w:val="auto"/>
          <w:sz w:val="32"/>
          <w:szCs w:val="32"/>
        </w:rPr>
        <w:t>及其预算执行情况</w:t>
      </w:r>
      <w:r>
        <w:rPr>
          <w:rFonts w:hint="eastAsia" w:ascii="仿宋_GB2312" w:hAnsi="仿宋_GB2312" w:eastAsia="仿宋_GB2312" w:cs="仿宋_GB2312"/>
          <w:color w:val="auto"/>
          <w:sz w:val="32"/>
          <w:szCs w:val="32"/>
        </w:rPr>
        <w:t>开展部门绩效评价。</w:t>
      </w:r>
    </w:p>
    <w:p w14:paraId="23FEFF17">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rPr>
        <w:t>该项目由</w:t>
      </w:r>
      <w:r>
        <w:rPr>
          <w:rFonts w:hint="eastAsia" w:ascii="仿宋_GB2312" w:hAnsi="仿宋_GB2312" w:eastAsia="仿宋_GB2312" w:cs="仿宋_GB2312"/>
          <w:color w:val="auto"/>
          <w:sz w:val="32"/>
          <w:szCs w:val="32"/>
        </w:rPr>
        <w:t>阜康市</w:t>
      </w:r>
      <w:r>
        <w:rPr>
          <w:rFonts w:hint="eastAsia" w:ascii="仿宋_GB2312" w:hAnsi="仿宋_GB2312" w:eastAsia="仿宋_GB2312" w:cs="仿宋_GB2312"/>
          <w:color w:val="auto"/>
          <w:sz w:val="32"/>
          <w:szCs w:val="32"/>
          <w:highlight w:val="none"/>
        </w:rPr>
        <w:t>中医医院</w:t>
      </w:r>
      <w:r>
        <w:rPr>
          <w:rFonts w:ascii="仿宋_GB2312" w:hAnsi="仿宋_GB2312" w:eastAsia="仿宋_GB2312" w:cs="仿宋_GB2312"/>
          <w:color w:val="auto"/>
          <w:sz w:val="32"/>
          <w:szCs w:val="32"/>
          <w:highlight w:val="none"/>
        </w:rPr>
        <w:t>负责实施，旨在</w:t>
      </w:r>
      <w:r>
        <w:rPr>
          <w:rFonts w:hint="eastAsia" w:ascii="仿宋_GB2312" w:hAnsi="仿宋_GB2312" w:eastAsia="仿宋_GB2312" w:cs="仿宋_GB2312"/>
          <w:color w:val="auto"/>
          <w:sz w:val="32"/>
          <w:szCs w:val="32"/>
          <w:highlight w:val="none"/>
        </w:rPr>
        <w:t>（</w:t>
      </w:r>
      <w:r>
        <w:rPr>
          <w:rFonts w:ascii="仿宋_GB2312" w:hAnsi="仿宋_GB2312" w:eastAsia="仿宋_GB2312" w:cs="仿宋_GB2312"/>
          <w:color w:val="auto"/>
          <w:sz w:val="32"/>
          <w:szCs w:val="32"/>
          <w:highlight w:val="none"/>
        </w:rPr>
        <w:t>简述项目目标或预期成果</w:t>
      </w:r>
      <w:r>
        <w:rPr>
          <w:rFonts w:hint="eastAsia" w:ascii="仿宋_GB2312" w:hAnsi="仿宋_GB2312" w:eastAsia="仿宋_GB2312" w:cs="仿宋_GB2312"/>
          <w:color w:val="auto"/>
          <w:sz w:val="32"/>
          <w:szCs w:val="32"/>
          <w:highlight w:val="none"/>
        </w:rPr>
        <w:t>）</w:t>
      </w:r>
      <w:r>
        <w:rPr>
          <w:rFonts w:ascii="仿宋_GB2312" w:hAnsi="仿宋_GB2312" w:eastAsia="仿宋_GB2312" w:cs="仿宋_GB2312"/>
          <w:color w:val="auto"/>
          <w:sz w:val="32"/>
          <w:szCs w:val="32"/>
          <w:highlight w:val="none"/>
        </w:rPr>
        <w:t>。项目预算涵盖从</w:t>
      </w:r>
      <w:r>
        <w:rPr>
          <w:rFonts w:hint="eastAsia" w:ascii="仿宋_GB2312" w:hAnsi="仿宋_GB2312" w:eastAsia="仿宋_GB2312" w:cs="仿宋_GB2312"/>
          <w:color w:val="auto"/>
          <w:sz w:val="32"/>
          <w:szCs w:val="32"/>
          <w:highlight w:val="none"/>
        </w:rPr>
        <w:t>2024年</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日</w:t>
      </w:r>
      <w:r>
        <w:rPr>
          <w:rFonts w:ascii="仿宋_GB2312" w:hAnsi="仿宋_GB2312" w:eastAsia="仿宋_GB2312" w:cs="仿宋_GB2312"/>
          <w:color w:val="auto"/>
          <w:sz w:val="32"/>
          <w:szCs w:val="32"/>
          <w:highlight w:val="none"/>
        </w:rPr>
        <w:t>至</w:t>
      </w:r>
      <w:r>
        <w:rPr>
          <w:rFonts w:hint="eastAsia" w:ascii="仿宋_GB2312" w:hAnsi="仿宋_GB2312" w:eastAsia="仿宋_GB2312" w:cs="仿宋_GB2312"/>
          <w:color w:val="auto"/>
          <w:sz w:val="32"/>
          <w:szCs w:val="32"/>
          <w:highlight w:val="none"/>
        </w:rPr>
        <w:t>2024年12月31日</w:t>
      </w:r>
      <w:r>
        <w:rPr>
          <w:rFonts w:ascii="仿宋_GB2312" w:hAnsi="仿宋_GB2312" w:eastAsia="仿宋_GB2312" w:cs="仿宋_GB2312"/>
          <w:color w:val="auto"/>
          <w:sz w:val="32"/>
          <w:szCs w:val="32"/>
          <w:highlight w:val="none"/>
        </w:rPr>
        <w:t>的全部资金投入与支出，涉及资金总额为</w:t>
      </w:r>
      <w:r>
        <w:rPr>
          <w:rFonts w:hint="eastAsia" w:ascii="仿宋_GB2312" w:hAnsi="仿宋_GB2312" w:eastAsia="仿宋_GB2312" w:cs="仿宋_GB2312"/>
          <w:color w:val="auto"/>
          <w:sz w:val="32"/>
          <w:szCs w:val="32"/>
          <w:highlight w:val="none"/>
        </w:rPr>
        <w:t>58.27</w:t>
      </w:r>
      <w:r>
        <w:rPr>
          <w:rFonts w:ascii="仿宋_GB2312" w:hAnsi="仿宋_GB2312" w:eastAsia="仿宋_GB2312" w:cs="仿宋_GB2312"/>
          <w:color w:val="auto"/>
          <w:sz w:val="32"/>
          <w:szCs w:val="32"/>
          <w:highlight w:val="none"/>
        </w:rPr>
        <w:t>万元。</w:t>
      </w:r>
    </w:p>
    <w:p w14:paraId="088CD007">
      <w:pPr>
        <w:pStyle w:val="6"/>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cs="仿宋_GB2312"/>
          <w:color w:val="auto"/>
          <w:sz w:val="32"/>
          <w:highlight w:val="none"/>
        </w:rPr>
      </w:pPr>
      <w:bookmarkStart w:id="63" w:name="_Toc11666"/>
      <w:bookmarkStart w:id="64" w:name="_Toc21311"/>
      <w:r>
        <w:rPr>
          <w:rFonts w:cs="仿宋_GB2312"/>
          <w:color w:val="auto"/>
          <w:sz w:val="32"/>
          <w:highlight w:val="none"/>
        </w:rPr>
        <w:t>4.绩效评价的范围</w:t>
      </w:r>
      <w:bookmarkEnd w:id="63"/>
      <w:bookmarkEnd w:id="64"/>
    </w:p>
    <w:p w14:paraId="1D1558A3">
      <w:pPr>
        <w:pStyle w:val="16"/>
        <w:pageBreakBefore w:val="0"/>
        <w:kinsoku/>
        <w:wordWrap/>
        <w:overflowPunct/>
        <w:topLinePunct w:val="0"/>
        <w:autoSpaceDE/>
        <w:autoSpaceDN/>
        <w:bidi w:val="0"/>
        <w:adjustRightInd/>
        <w:snapToGrid w:val="0"/>
        <w:spacing w:before="0" w:after="0" w:line="560" w:lineRule="exact"/>
        <w:ind w:left="0" w:leftChars="0" w:firstLine="640" w:firstLineChars="200"/>
        <w:jc w:val="both"/>
        <w:textAlignment w:val="auto"/>
        <w:outlineLvl w:val="9"/>
        <w:rPr>
          <w:rFonts w:hint="eastAsia" w:ascii="仿宋_GB2312" w:hAnsi="仿宋_GB2312" w:eastAsia="仿宋_GB2312" w:cs="仿宋_GB2312"/>
          <w:b w:val="0"/>
          <w:bCs w:val="0"/>
          <w:color w:val="auto"/>
          <w:sz w:val="32"/>
        </w:rPr>
      </w:pPr>
      <w:r>
        <w:rPr>
          <w:rFonts w:hint="eastAsia" w:ascii="仿宋_GB2312" w:hAnsi="仿宋_GB2312" w:eastAsia="仿宋_GB2312" w:cs="仿宋_GB2312"/>
          <w:b w:val="0"/>
          <w:bCs w:val="0"/>
          <w:color w:val="auto"/>
          <w:sz w:val="32"/>
          <w:highlight w:val="none"/>
        </w:rPr>
        <w:t>本项目预算绩效评</w:t>
      </w:r>
      <w:r>
        <w:rPr>
          <w:rFonts w:hint="eastAsia" w:ascii="仿宋_GB2312" w:hAnsi="仿宋_GB2312" w:eastAsia="仿宋_GB2312" w:cs="仿宋_GB2312"/>
          <w:b w:val="0"/>
          <w:bCs w:val="0"/>
          <w:color w:val="auto"/>
          <w:sz w:val="32"/>
        </w:rPr>
        <w:t>价报告的评价范围广泛而全面，涵盖了从项目立项至评价时点期间的所有关键预算活动和财务流程。具体而言，评价范围包括但不限于以下几个方面：</w:t>
      </w:r>
    </w:p>
    <w:p w14:paraId="56F6329D">
      <w:pPr>
        <w:pStyle w:val="16"/>
        <w:pageBreakBefore w:val="0"/>
        <w:numPr>
          <w:ilvl w:val="0"/>
          <w:numId w:val="1"/>
        </w:numPr>
        <w:kinsoku/>
        <w:wordWrap/>
        <w:overflowPunct/>
        <w:topLinePunct w:val="0"/>
        <w:autoSpaceDE/>
        <w:autoSpaceDN/>
        <w:bidi w:val="0"/>
        <w:adjustRightInd/>
        <w:snapToGrid w:val="0"/>
        <w:spacing w:before="0" w:after="0" w:line="560" w:lineRule="exact"/>
        <w:ind w:left="0" w:leftChars="0" w:firstLine="640" w:firstLineChars="200"/>
        <w:jc w:val="both"/>
        <w:textAlignment w:val="auto"/>
        <w:outlineLvl w:val="9"/>
        <w:rPr>
          <w:rFonts w:hint="eastAsia" w:ascii="仿宋_GB2312" w:hAnsi="仿宋_GB2312" w:eastAsia="仿宋_GB2312" w:cs="仿宋_GB2312"/>
          <w:b w:val="0"/>
          <w:bCs w:val="0"/>
          <w:color w:val="auto"/>
          <w:sz w:val="32"/>
        </w:rPr>
      </w:pPr>
      <w:r>
        <w:rPr>
          <w:rFonts w:hint="eastAsia" w:ascii="仿宋_GB2312" w:hAnsi="仿宋_GB2312" w:eastAsia="仿宋_GB2312" w:cs="仿宋_GB2312"/>
          <w:b w:val="0"/>
          <w:bCs w:val="0"/>
          <w:color w:val="auto"/>
          <w:sz w:val="32"/>
        </w:rPr>
        <w:t>项目预算编制与执行：全面审视项目预算的编制依据、合理性、科学性以及实际执行情况，包括预算调整的原因和效果。</w:t>
      </w:r>
    </w:p>
    <w:p w14:paraId="3E00A33A">
      <w:pPr>
        <w:pStyle w:val="16"/>
        <w:pageBreakBefore w:val="0"/>
        <w:numPr>
          <w:ilvl w:val="0"/>
          <w:numId w:val="1"/>
        </w:numPr>
        <w:kinsoku/>
        <w:wordWrap/>
        <w:overflowPunct/>
        <w:topLinePunct w:val="0"/>
        <w:autoSpaceDE/>
        <w:autoSpaceDN/>
        <w:bidi w:val="0"/>
        <w:adjustRightInd/>
        <w:snapToGrid w:val="0"/>
        <w:spacing w:before="0" w:after="0" w:line="560" w:lineRule="exact"/>
        <w:ind w:left="0" w:leftChars="0" w:firstLine="640" w:firstLineChars="200"/>
        <w:jc w:val="both"/>
        <w:textAlignment w:val="auto"/>
        <w:outlineLvl w:val="9"/>
        <w:rPr>
          <w:rFonts w:hint="eastAsia" w:ascii="仿宋_GB2312" w:hAnsi="仿宋_GB2312" w:eastAsia="仿宋_GB2312" w:cs="仿宋_GB2312"/>
          <w:b w:val="0"/>
          <w:bCs w:val="0"/>
          <w:color w:val="auto"/>
          <w:sz w:val="32"/>
        </w:rPr>
      </w:pPr>
      <w:r>
        <w:rPr>
          <w:rFonts w:hint="eastAsia" w:ascii="仿宋_GB2312" w:hAnsi="仿宋_GB2312" w:eastAsia="仿宋_GB2312" w:cs="仿宋_GB2312"/>
          <w:b w:val="0"/>
          <w:bCs w:val="0"/>
          <w:color w:val="auto"/>
          <w:sz w:val="32"/>
        </w:rPr>
        <w:t>资金管理：深入分析项目资金的分配、使用和监管情况，确保资金使用的合规性、高效性和透明度。</w:t>
      </w:r>
    </w:p>
    <w:p w14:paraId="3982BB04">
      <w:pPr>
        <w:pStyle w:val="16"/>
        <w:pageBreakBefore w:val="0"/>
        <w:numPr>
          <w:ilvl w:val="0"/>
          <w:numId w:val="1"/>
        </w:numPr>
        <w:kinsoku/>
        <w:wordWrap/>
        <w:overflowPunct/>
        <w:topLinePunct w:val="0"/>
        <w:autoSpaceDE/>
        <w:autoSpaceDN/>
        <w:bidi w:val="0"/>
        <w:adjustRightInd/>
        <w:snapToGrid w:val="0"/>
        <w:spacing w:before="0" w:after="0" w:line="560" w:lineRule="exact"/>
        <w:ind w:left="0" w:leftChars="0" w:firstLine="640" w:firstLineChars="200"/>
        <w:jc w:val="both"/>
        <w:textAlignment w:val="auto"/>
        <w:outlineLvl w:val="9"/>
        <w:rPr>
          <w:rFonts w:hint="eastAsia" w:ascii="仿宋_GB2312" w:hAnsi="仿宋_GB2312" w:eastAsia="仿宋_GB2312" w:cs="仿宋_GB2312"/>
          <w:b w:val="0"/>
          <w:bCs w:val="0"/>
          <w:color w:val="auto"/>
          <w:sz w:val="32"/>
        </w:rPr>
      </w:pPr>
      <w:r>
        <w:rPr>
          <w:rFonts w:hint="eastAsia" w:ascii="仿宋_GB2312" w:hAnsi="仿宋_GB2312" w:eastAsia="仿宋_GB2312" w:cs="仿宋_GB2312"/>
          <w:b w:val="0"/>
          <w:bCs w:val="0"/>
          <w:color w:val="auto"/>
          <w:sz w:val="32"/>
        </w:rPr>
        <w:t>项目实施进度与产出：评估项目是否按照既定计划顺利推进，各项任务是否按时完成，以及项目产出的数量、质量和时效性是否符合预期。</w:t>
      </w:r>
    </w:p>
    <w:p w14:paraId="674D6536">
      <w:pPr>
        <w:pStyle w:val="16"/>
        <w:pageBreakBefore w:val="0"/>
        <w:kinsoku/>
        <w:wordWrap/>
        <w:overflowPunct/>
        <w:topLinePunct w:val="0"/>
        <w:autoSpaceDE/>
        <w:autoSpaceDN/>
        <w:bidi w:val="0"/>
        <w:adjustRightInd/>
        <w:snapToGrid w:val="0"/>
        <w:spacing w:before="0" w:after="0" w:line="560" w:lineRule="exact"/>
        <w:ind w:left="0" w:leftChars="0" w:firstLine="640" w:firstLineChars="200"/>
        <w:jc w:val="both"/>
        <w:textAlignment w:val="auto"/>
        <w:outlineLvl w:val="9"/>
        <w:rPr>
          <w:rFonts w:ascii="Times New Roman" w:hAnsi="Times New Roman" w:eastAsia="仿宋_GB2312" w:cs="Times New Roman"/>
          <w:b w:val="0"/>
          <w:bCs w:val="0"/>
          <w:color w:val="auto"/>
          <w:highlight w:val="green"/>
        </w:rPr>
      </w:pPr>
      <w:r>
        <w:rPr>
          <w:rFonts w:hint="eastAsia" w:ascii="仿宋_GB2312" w:hAnsi="仿宋_GB2312" w:eastAsia="仿宋_GB2312" w:cs="仿宋_GB2312"/>
          <w:b w:val="0"/>
          <w:bCs w:val="0"/>
          <w:color w:val="auto"/>
          <w:sz w:val="32"/>
        </w:rPr>
        <w:t>（4）社会、生态等影响：考察项目对社会等方面的综合影响。</w:t>
      </w:r>
    </w:p>
    <w:p w14:paraId="1F30C3E0">
      <w:pPr>
        <w:pStyle w:val="16"/>
        <w:pageBreakBefore w:val="0"/>
        <w:widowControl/>
        <w:kinsoku/>
        <w:wordWrap/>
        <w:overflowPunct/>
        <w:topLinePunct w:val="0"/>
        <w:autoSpaceDE/>
        <w:autoSpaceDN/>
        <w:bidi w:val="0"/>
        <w:adjustRightInd/>
        <w:snapToGrid w:val="0"/>
        <w:spacing w:before="0" w:after="0" w:line="560" w:lineRule="exact"/>
        <w:ind w:left="0" w:leftChars="0" w:firstLine="643" w:firstLineChars="200"/>
        <w:jc w:val="both"/>
        <w:textAlignment w:val="auto"/>
        <w:rPr>
          <w:rFonts w:ascii="Times New Roman" w:hAnsi="Times New Roman" w:eastAsia="楷体_GB2312" w:cs="Times New Roman"/>
          <w:color w:val="auto"/>
          <w:kern w:val="28"/>
          <w:sz w:val="32"/>
        </w:rPr>
      </w:pPr>
      <w:bookmarkStart w:id="65" w:name="_Toc1286"/>
      <w:bookmarkStart w:id="66" w:name="_Toc29785"/>
      <w:r>
        <w:rPr>
          <w:rFonts w:hint="eastAsia" w:ascii="Times New Roman" w:hAnsi="Times New Roman" w:eastAsia="楷体_GB2312" w:cs="Times New Roman"/>
          <w:color w:val="auto"/>
          <w:kern w:val="28"/>
          <w:sz w:val="32"/>
        </w:rPr>
        <w:t>（二）绩效评价原则、评价指标体系（</w:t>
      </w:r>
      <w:r>
        <w:rPr>
          <w:rFonts w:ascii="Times New Roman" w:hAnsi="Times New Roman" w:eastAsia="楷体_GB2312" w:cs="Times New Roman"/>
          <w:color w:val="auto"/>
          <w:kern w:val="28"/>
          <w:sz w:val="32"/>
        </w:rPr>
        <w:t>详情见</w:t>
      </w:r>
      <w:r>
        <w:rPr>
          <w:rFonts w:hint="eastAsia" w:ascii="Times New Roman" w:hAnsi="Times New Roman" w:eastAsia="楷体_GB2312" w:cs="Times New Roman"/>
          <w:color w:val="auto"/>
          <w:kern w:val="28"/>
          <w:sz w:val="32"/>
        </w:rPr>
        <w:t>附件二）、评价方法、评价标准</w:t>
      </w:r>
      <w:bookmarkEnd w:id="65"/>
      <w:bookmarkEnd w:id="66"/>
    </w:p>
    <w:p w14:paraId="2CD73A7F">
      <w:pPr>
        <w:pStyle w:val="6"/>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ascii="Times New Roman" w:hAnsi="Times New Roman" w:cs="Times New Roman"/>
          <w:color w:val="auto"/>
          <w:kern w:val="2"/>
          <w:sz w:val="32"/>
        </w:rPr>
      </w:pPr>
      <w:bookmarkStart w:id="67" w:name="_Toc13694"/>
      <w:bookmarkStart w:id="68" w:name="_Toc24506"/>
      <w:bookmarkStart w:id="69" w:name="_Toc5354"/>
      <w:r>
        <w:rPr>
          <w:rFonts w:hint="eastAsia" w:ascii="Times New Roman" w:hAnsi="Times New Roman" w:cs="Times New Roman"/>
          <w:color w:val="auto"/>
          <w:kern w:val="2"/>
          <w:sz w:val="32"/>
        </w:rPr>
        <w:t>1.绩效评价原则</w:t>
      </w:r>
      <w:bookmarkEnd w:id="67"/>
      <w:bookmarkEnd w:id="68"/>
      <w:bookmarkEnd w:id="69"/>
    </w:p>
    <w:p w14:paraId="57EBF6F9">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依据《财政支出绩效评价管理暂行办法》（财预〔2020〕10号）本次绩效评价秉承科学规范、公正公开、分级分类、绩效相关等原则，按照从投入、过程到产出效果和影响的绩效逻辑路径，结合阜康市中医医院2024年自治区公共卫生服务（地方公卫）全民健康体检补助资金项目实际开展情况，运用定量和定性分析相结合的方法，总结经验做法，反思项目实施和管理中的问题，以切实提升财政资金管理的科学化、规范化和精细化水平。</w:t>
      </w:r>
    </w:p>
    <w:p w14:paraId="126E8A52">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根据以上原则，绩效评价应遵循如下要求：</w:t>
      </w:r>
    </w:p>
    <w:p w14:paraId="35BD39CA">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（1）科学公正。绩效评价应当运用科学合理的方法，按照规范的程序，对项目绩效进行客观、公正的反映。</w:t>
      </w:r>
    </w:p>
    <w:p w14:paraId="375ED798">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（2）统筹兼顾。单位自评、部门评价和财政评价应职责明确，各有侧重，相互衔接。单位自评应由项目单位自主实施，即“谁支出、谁自评”。</w:t>
      </w:r>
    </w:p>
    <w:p w14:paraId="4C81BA8F">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（3）激励约束。绩效评价结果应与预算安排、政策调整、改进管理实质性挂钩，体现奖优罚劣和激励相容导向，有效要安排、低效要压减、无效要问责。</w:t>
      </w:r>
    </w:p>
    <w:p w14:paraId="27DEDFB6">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（4）公开透明。绩效评价结果应依法依规公开，并自觉接受社会监督。</w:t>
      </w:r>
    </w:p>
    <w:p w14:paraId="2C3901D7">
      <w:pPr>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ascii="仿宋_GB2312" w:hAnsi="仿宋_GB2312" w:eastAsia="仿宋_GB2312" w:cs="仿宋_GB2312"/>
          <w:b/>
          <w:bCs/>
          <w:color w:val="auto"/>
          <w:sz w:val="32"/>
          <w:szCs w:val="32"/>
        </w:rPr>
      </w:pPr>
      <w:bookmarkStart w:id="70" w:name="_Toc419984722"/>
      <w:bookmarkStart w:id="71" w:name="_Toc24396"/>
      <w:bookmarkStart w:id="72" w:name="_Toc26131"/>
      <w:bookmarkStart w:id="73" w:name="_Toc1913"/>
      <w:bookmarkStart w:id="74" w:name="_Toc428278230"/>
      <w:r>
        <w:rPr>
          <w:rFonts w:hint="eastAsia" w:ascii="仿宋_GB2312" w:hAnsi="仿宋_GB2312" w:eastAsia="仿宋_GB2312" w:cs="仿宋_GB2312"/>
          <w:b/>
          <w:bCs/>
          <w:color w:val="auto"/>
          <w:sz w:val="32"/>
          <w:szCs w:val="32"/>
        </w:rPr>
        <w:t>2.绩效评价指标体系</w:t>
      </w:r>
      <w:bookmarkEnd w:id="70"/>
      <w:bookmarkEnd w:id="71"/>
      <w:bookmarkEnd w:id="72"/>
      <w:bookmarkEnd w:id="73"/>
      <w:bookmarkEnd w:id="74"/>
    </w:p>
    <w:p w14:paraId="22085BD7">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hint="eastAsia" w:ascii="仿宋_GB2312" w:hAnsi="仿宋_GB2312" w:eastAsia="仿宋_GB2312" w:cs="仿宋_GB2312"/>
          <w:color w:val="auto"/>
          <w:spacing w:val="17"/>
          <w:sz w:val="32"/>
          <w:szCs w:val="32"/>
        </w:rPr>
      </w:pPr>
      <w:bookmarkStart w:id="75" w:name="_Toc9941"/>
      <w:r>
        <w:rPr>
          <w:rFonts w:hint="eastAsia" w:ascii="仿宋_GB2312" w:hAnsi="仿宋_GB2312" w:eastAsia="仿宋_GB2312" w:cs="仿宋_GB2312"/>
          <w:color w:val="auto"/>
          <w:spacing w:val="17"/>
          <w:sz w:val="32"/>
          <w:szCs w:val="32"/>
        </w:rPr>
        <w:t>绩效评价框架是开展绩效评价的核心。绩效评价框架包括评价准则、关键评价问题、评价指标、数据来源、数据收集方法等。指标体系建立过程如下：</w:t>
      </w:r>
    </w:p>
    <w:p w14:paraId="35B80C91">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（1）确定评价指标</w:t>
      </w:r>
    </w:p>
    <w:p w14:paraId="70C6D8C3">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177692A0">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（2）确定权重</w:t>
      </w:r>
    </w:p>
    <w:p w14:paraId="3AE3B940">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确定各个指标相对于项目总体绩效的权重分值。在绩效评价指标体系中，项目决策权重为20分，项目过程权重为20分，项目产出权重为40分，项目效益权重为20分。</w:t>
      </w:r>
    </w:p>
    <w:p w14:paraId="4D469DC6">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（3）确定指标标准值</w:t>
      </w:r>
    </w:p>
    <w:p w14:paraId="291F8062">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指标标准值是绩效评价指标的尺度，既要反映同类项目的先进水平，又要符合项目的实际绩效水平。具体采用计划标准等确定此次绩效评价指标标准值。</w:t>
      </w:r>
    </w:p>
    <w:p w14:paraId="388D0612">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绩效评价总分值100分，根据综合评分结果，90（含）-100分为优、80（含）-90分为良、60（含）-80分为中、60分以下为差。</w:t>
      </w:r>
    </w:p>
    <w:p w14:paraId="152EAB8C">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我单位</w:t>
      </w:r>
      <w:r>
        <w:rPr>
          <w:rFonts w:hint="eastAsia" w:ascii="仿宋_GB2312" w:hAnsi="仿宋_GB2312" w:eastAsia="仿宋_GB2312" w:cs="仿宋_GB2312"/>
          <w:color w:val="auto"/>
          <w:sz w:val="32"/>
          <w:szCs w:val="32"/>
          <w:lang w:val="zh-TW" w:eastAsia="zh-TW"/>
        </w:rPr>
        <w:t>根据项目的</w:t>
      </w:r>
      <w:r>
        <w:rPr>
          <w:rFonts w:hint="eastAsia" w:ascii="仿宋_GB2312" w:hAnsi="仿宋_GB2312" w:eastAsia="仿宋_GB2312" w:cs="仿宋_GB2312"/>
          <w:color w:val="auto"/>
          <w:sz w:val="32"/>
          <w:szCs w:val="32"/>
        </w:rPr>
        <w:t>实施</w:t>
      </w:r>
      <w:r>
        <w:rPr>
          <w:rFonts w:hint="eastAsia" w:ascii="仿宋_GB2312" w:hAnsi="仿宋_GB2312" w:eastAsia="仿宋_GB2312" w:cs="仿宋_GB2312"/>
          <w:color w:val="auto"/>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lang w:val="zh-TW"/>
        </w:rPr>
        <w:t>，</w:t>
      </w:r>
      <w:r>
        <w:rPr>
          <w:rFonts w:hint="eastAsia" w:ascii="仿宋_GB2312" w:hAnsi="仿宋_GB2312" w:eastAsia="仿宋_GB2312" w:cs="仿宋_GB2312"/>
          <w:color w:val="auto"/>
          <w:sz w:val="32"/>
          <w:szCs w:val="32"/>
        </w:rPr>
        <w:t>详见上传的附件二。</w:t>
      </w:r>
    </w:p>
    <w:p w14:paraId="3A77C684">
      <w:pPr>
        <w:pStyle w:val="6"/>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cs="仿宋_GB2312"/>
          <w:color w:val="auto"/>
          <w:sz w:val="32"/>
        </w:rPr>
      </w:pPr>
      <w:bookmarkStart w:id="76" w:name="_Toc5690"/>
      <w:bookmarkStart w:id="77" w:name="_Toc30114"/>
      <w:r>
        <w:rPr>
          <w:rFonts w:hint="eastAsia" w:cs="仿宋_GB2312"/>
          <w:color w:val="auto"/>
          <w:sz w:val="32"/>
        </w:rPr>
        <w:t>3.评价方法</w:t>
      </w:r>
      <w:bookmarkEnd w:id="75"/>
      <w:bookmarkEnd w:id="76"/>
      <w:bookmarkEnd w:id="77"/>
    </w:p>
    <w:p w14:paraId="200799AF">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hint="eastAsia" w:ascii="仿宋_GB2312" w:hAnsi="仿宋_GB2312" w:eastAsia="仿宋_GB2312" w:cs="仿宋_GB2312"/>
          <w:color w:val="auto"/>
          <w:spacing w:val="17"/>
          <w:sz w:val="32"/>
          <w:szCs w:val="32"/>
        </w:rPr>
      </w:pPr>
      <w:bookmarkStart w:id="78" w:name="_Toc25391"/>
      <w:r>
        <w:rPr>
          <w:rFonts w:hint="eastAsia" w:ascii="仿宋_GB2312" w:hAnsi="仿宋_GB2312" w:eastAsia="仿宋_GB2312" w:cs="仿宋_GB2312"/>
          <w:color w:val="auto"/>
          <w:spacing w:val="17"/>
          <w:sz w:val="32"/>
          <w:szCs w:val="32"/>
        </w:rPr>
        <w:t>绩效评价从项目决策、项目过程、项目产出、项目效益四个维度进行评价。评价对象为项目目标实施情况，评价核心为资金的支出完成情况和项目的产出效益。</w:t>
      </w:r>
    </w:p>
    <w:p w14:paraId="5E9F9F58">
      <w:pPr>
        <w:pStyle w:val="7"/>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17"/>
          <w:sz w:val="32"/>
          <w:szCs w:val="32"/>
        </w:rPr>
        <w:t>本次评价指标中，既有定性指标又有定量指标，各类指标因考核内容不同和客观标准不同存在较大差异，因此核定具体指标时采用了不同方法，具体评价方法如下：</w:t>
      </w:r>
    </w:p>
    <w:p w14:paraId="2CB0EBD4">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w:t>
      </w:r>
      <w:r>
        <w:rPr>
          <w:rFonts w:hint="eastAsia" w:ascii="Times New Roman" w:hAnsi="Times New Roman" w:eastAsia="仿宋_GB2312" w:cs="Times New Roman"/>
          <w:color w:val="auto"/>
          <w:spacing w:val="17"/>
          <w:sz w:val="32"/>
          <w:szCs w:val="32"/>
        </w:rPr>
        <w:t>1</w:t>
      </w:r>
      <w:r>
        <w:rPr>
          <w:rFonts w:ascii="Times New Roman" w:hAnsi="Times New Roman" w:eastAsia="仿宋_GB2312" w:cs="Times New Roman"/>
          <w:color w:val="auto"/>
          <w:spacing w:val="17"/>
          <w:sz w:val="32"/>
          <w:szCs w:val="32"/>
        </w:rPr>
        <w:t>）成本效益分析法。是指将投入与产出、效益进行关联性分析的方法。</w:t>
      </w:r>
      <w:r>
        <w:rPr>
          <w:rFonts w:hint="eastAsia" w:ascii="Times New Roman" w:hAnsi="Times New Roman" w:eastAsia="仿宋_GB2312" w:cs="Times New Roman"/>
          <w:color w:val="auto"/>
          <w:spacing w:val="17"/>
          <w:sz w:val="32"/>
          <w:szCs w:val="32"/>
        </w:rPr>
        <w:t>使用此方法可以很好地将工作完成情况与资金投入情况关联起来，</w:t>
      </w:r>
      <w:r>
        <w:rPr>
          <w:rFonts w:hint="eastAsia" w:ascii="Times New Roman" w:hAnsi="Times New Roman" w:eastAsia="仿宋_GB2312" w:cs="Times New Roman"/>
          <w:color w:val="auto"/>
          <w:spacing w:val="17"/>
          <w:sz w:val="32"/>
          <w:szCs w:val="32"/>
          <w:lang w:eastAsia="zh-CN"/>
        </w:rPr>
        <w:t>能够更好地</w:t>
      </w:r>
      <w:r>
        <w:rPr>
          <w:rFonts w:hint="eastAsia" w:ascii="Times New Roman" w:hAnsi="Times New Roman" w:eastAsia="仿宋_GB2312" w:cs="Times New Roman"/>
          <w:color w:val="auto"/>
          <w:spacing w:val="17"/>
          <w:sz w:val="32"/>
          <w:szCs w:val="32"/>
        </w:rPr>
        <w:t>监控项目完成情况。</w:t>
      </w:r>
    </w:p>
    <w:p w14:paraId="1A53FD55">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w:t>
      </w:r>
      <w:r>
        <w:rPr>
          <w:rFonts w:hint="eastAsia" w:ascii="Times New Roman" w:hAnsi="Times New Roman" w:eastAsia="仿宋_GB2312" w:cs="Times New Roman"/>
          <w:color w:val="auto"/>
          <w:spacing w:val="17"/>
          <w:sz w:val="32"/>
          <w:szCs w:val="32"/>
        </w:rPr>
        <w:t>2</w:t>
      </w:r>
      <w:r>
        <w:rPr>
          <w:rFonts w:ascii="Times New Roman" w:hAnsi="Times New Roman" w:eastAsia="仿宋_GB2312" w:cs="Times New Roman"/>
          <w:color w:val="auto"/>
          <w:spacing w:val="17"/>
          <w:sz w:val="32"/>
          <w:szCs w:val="32"/>
        </w:rPr>
        <w:t>）比较法。是指将实施情况与绩效目标、历史情况、不同部门和地区同类支出情况进行比较的方法。</w:t>
      </w:r>
      <w:r>
        <w:rPr>
          <w:rFonts w:hint="eastAsia" w:ascii="Times New Roman" w:hAnsi="Times New Roman" w:eastAsia="仿宋_GB2312" w:cs="Times New Roman"/>
          <w:color w:val="auto"/>
          <w:spacing w:val="17"/>
          <w:sz w:val="32"/>
          <w:szCs w:val="32"/>
        </w:rPr>
        <w:t>使用此发放可以很好的发现我院该项目存在的短板，并能吸取其他地区在此方面好的经验，帮助我院进一步做好此项工作。</w:t>
      </w:r>
    </w:p>
    <w:p w14:paraId="232A6D23">
      <w:pPr>
        <w:pStyle w:val="6"/>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cs="仿宋_GB2312"/>
          <w:color w:val="auto"/>
          <w:sz w:val="32"/>
        </w:rPr>
      </w:pPr>
      <w:bookmarkStart w:id="79" w:name="_Toc6081"/>
      <w:bookmarkStart w:id="80" w:name="_Toc25651"/>
      <w:r>
        <w:rPr>
          <w:rFonts w:hint="eastAsia" w:cs="仿宋_GB2312"/>
          <w:color w:val="auto"/>
          <w:sz w:val="32"/>
        </w:rPr>
        <w:t>4.评价标准</w:t>
      </w:r>
      <w:bookmarkEnd w:id="78"/>
      <w:bookmarkEnd w:id="79"/>
      <w:bookmarkEnd w:id="80"/>
    </w:p>
    <w:p w14:paraId="2DA9A797">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auto"/>
          <w:spacing w:val="17"/>
          <w:sz w:val="32"/>
          <w:szCs w:val="32"/>
        </w:rPr>
        <w:t>计划、行业</w:t>
      </w:r>
      <w:r>
        <w:rPr>
          <w:rFonts w:ascii="Times New Roman" w:hAnsi="Times New Roman" w:eastAsia="仿宋_GB2312" w:cs="Times New Roman"/>
          <w:color w:val="auto"/>
          <w:spacing w:val="17"/>
          <w:sz w:val="32"/>
          <w:szCs w:val="32"/>
        </w:rPr>
        <w:t>标准。</w:t>
      </w:r>
    </w:p>
    <w:p w14:paraId="6C83C7E8">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（1）计划标准。指以预先制定的目标、计划、预算、定额等作为评价标准。</w:t>
      </w:r>
    </w:p>
    <w:p w14:paraId="1698F869">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（2）行业标准。指参照国家公布的行业指标数据制定的评价标准。</w:t>
      </w:r>
    </w:p>
    <w:p w14:paraId="057E81A1">
      <w:pPr>
        <w:pStyle w:val="16"/>
        <w:pageBreakBefore w:val="0"/>
        <w:widowControl/>
        <w:kinsoku/>
        <w:wordWrap/>
        <w:overflowPunct/>
        <w:topLinePunct w:val="0"/>
        <w:autoSpaceDE/>
        <w:autoSpaceDN/>
        <w:bidi w:val="0"/>
        <w:adjustRightInd/>
        <w:snapToGrid w:val="0"/>
        <w:spacing w:before="0" w:after="0" w:line="560" w:lineRule="exact"/>
        <w:ind w:left="0" w:leftChars="0" w:firstLine="643" w:firstLineChars="200"/>
        <w:jc w:val="both"/>
        <w:textAlignment w:val="auto"/>
        <w:rPr>
          <w:rFonts w:ascii="Times New Roman" w:hAnsi="Times New Roman" w:eastAsia="楷体_GB2312" w:cs="Times New Roman"/>
          <w:color w:val="auto"/>
          <w:kern w:val="28"/>
          <w:sz w:val="32"/>
        </w:rPr>
      </w:pPr>
      <w:bookmarkStart w:id="81" w:name="_Toc21435"/>
      <w:r>
        <w:rPr>
          <w:rFonts w:hint="eastAsia" w:ascii="Times New Roman" w:hAnsi="Times New Roman" w:eastAsia="楷体_GB2312" w:cs="Times New Roman"/>
          <w:color w:val="auto"/>
          <w:kern w:val="28"/>
          <w:sz w:val="32"/>
        </w:rPr>
        <w:t>（三）绩效评价工作过程</w:t>
      </w:r>
      <w:bookmarkEnd w:id="81"/>
    </w:p>
    <w:p w14:paraId="613FBAC7">
      <w:pPr>
        <w:pageBreakBefore w:val="0"/>
        <w:kinsoku/>
        <w:wordWrap/>
        <w:overflowPunct/>
        <w:topLinePunct w:val="0"/>
        <w:autoSpaceDE/>
        <w:autoSpaceDN/>
        <w:bidi w:val="0"/>
        <w:adjustRightInd/>
        <w:snapToGrid w:val="0"/>
        <w:spacing w:after="0" w:line="560" w:lineRule="exact"/>
        <w:ind w:left="0" w:leftChars="0" w:firstLine="711" w:firstLineChars="200"/>
        <w:jc w:val="both"/>
        <w:textAlignment w:val="auto"/>
        <w:rPr>
          <w:rFonts w:ascii="Times New Roman" w:hAnsi="Times New Roman" w:eastAsia="仿宋_GB2312" w:cs="Times New Roman"/>
          <w:b/>
          <w:bCs/>
          <w:color w:val="auto"/>
          <w:spacing w:val="17"/>
          <w:sz w:val="32"/>
          <w:szCs w:val="32"/>
        </w:rPr>
      </w:pPr>
      <w:bookmarkStart w:id="82" w:name="_Toc12862"/>
      <w:r>
        <w:rPr>
          <w:rFonts w:hint="eastAsia" w:ascii="Times New Roman" w:hAnsi="Times New Roman" w:eastAsia="仿宋_GB2312" w:cs="Times New Roman"/>
          <w:b/>
          <w:bCs/>
          <w:color w:val="auto"/>
          <w:spacing w:val="17"/>
          <w:sz w:val="32"/>
          <w:szCs w:val="32"/>
        </w:rPr>
        <w:t>1.前期准备</w:t>
      </w:r>
      <w:bookmarkEnd w:id="82"/>
    </w:p>
    <w:p w14:paraId="64ED5475">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r>
        <w:rPr>
          <w:rFonts w:hint="eastAsia" w:ascii="Times New Roman" w:hAnsi="Times New Roman" w:eastAsia="仿宋_GB2312" w:cs="Times New Roman"/>
          <w:color w:val="auto"/>
          <w:spacing w:val="17"/>
          <w:sz w:val="32"/>
          <w:szCs w:val="32"/>
        </w:rPr>
        <w:t>（1）成立绩效评价项目小组</w:t>
      </w:r>
    </w:p>
    <w:p w14:paraId="7FCE097B">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r>
        <w:rPr>
          <w:rFonts w:hint="eastAsia" w:ascii="Times New Roman" w:hAnsi="Times New Roman" w:eastAsia="仿宋_GB2312" w:cs="Times New Roman"/>
          <w:color w:val="auto"/>
          <w:spacing w:val="17"/>
          <w:sz w:val="32"/>
          <w:szCs w:val="32"/>
        </w:rPr>
        <w:t>为确保该项目绩效评价的顺利实施，评价机构组建了绩效评价项目小组。项目小组负责建立联络制度、明确评价责任人、制定评价方案、实施具体评价等工作。</w:t>
      </w:r>
    </w:p>
    <w:p w14:paraId="1E4EB2FD">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bookmarkStart w:id="83" w:name="_Toc31571"/>
      <w:r>
        <w:rPr>
          <w:rFonts w:hint="eastAsia" w:ascii="Times New Roman" w:hAnsi="Times New Roman" w:eastAsia="仿宋_GB2312" w:cs="Times New Roman"/>
          <w:color w:val="auto"/>
          <w:spacing w:val="17"/>
          <w:sz w:val="32"/>
          <w:szCs w:val="32"/>
        </w:rPr>
        <w:t>（2）开展前期调研</w:t>
      </w:r>
      <w:bookmarkEnd w:id="83"/>
    </w:p>
    <w:p w14:paraId="4C355EC3">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bookmarkStart w:id="84" w:name="_Toc21240"/>
      <w:r>
        <w:rPr>
          <w:rFonts w:hint="eastAsia" w:ascii="Times New Roman" w:hAnsi="Times New Roman" w:eastAsia="仿宋_GB2312" w:cs="Times New Roman"/>
          <w:color w:val="auto"/>
          <w:spacing w:val="17"/>
          <w:sz w:val="32"/>
          <w:szCs w:val="32"/>
        </w:rPr>
        <w:t>绩效评价项目小组依据此次绩效评价受委托内容，对拟评价的项目实施前期调研。通过调研对</w:t>
      </w:r>
      <w:r>
        <w:rPr>
          <w:rFonts w:hint="eastAsia" w:ascii="Times New Roman" w:hAnsi="Times New Roman" w:eastAsia="仿宋_GB2312" w:cs="Times New Roman"/>
          <w:color w:val="auto"/>
          <w:sz w:val="32"/>
          <w:szCs w:val="32"/>
        </w:rPr>
        <w:t>阜康市中医医院2024年自治区公共卫生服务（地方公卫）全民健康体检补助资金</w:t>
      </w:r>
      <w:r>
        <w:rPr>
          <w:rFonts w:hint="eastAsia" w:ascii="Times New Roman" w:hAnsi="Times New Roman" w:eastAsia="仿宋_GB2312" w:cs="Times New Roman"/>
          <w:color w:val="auto"/>
          <w:spacing w:val="17"/>
          <w:sz w:val="32"/>
          <w:szCs w:val="32"/>
        </w:rPr>
        <w:t>项目实施内容、目标信息、预算信息以及其他的一些项目基本信息，有了初步了解，为制定绩效评价工作方案做好准备。</w:t>
      </w:r>
      <w:bookmarkEnd w:id="84"/>
    </w:p>
    <w:p w14:paraId="36814A4A">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bookmarkStart w:id="85" w:name="_Toc27977"/>
      <w:r>
        <w:rPr>
          <w:rFonts w:hint="eastAsia" w:ascii="Times New Roman" w:hAnsi="Times New Roman" w:eastAsia="仿宋_GB2312" w:cs="Times New Roman"/>
          <w:color w:val="auto"/>
          <w:spacing w:val="17"/>
          <w:sz w:val="32"/>
          <w:szCs w:val="32"/>
        </w:rPr>
        <w:t>（3）制订绩效评价工作方案</w:t>
      </w:r>
      <w:bookmarkEnd w:id="85"/>
    </w:p>
    <w:p w14:paraId="190BBE7E">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bookmarkStart w:id="86" w:name="_Toc19659"/>
      <w:r>
        <w:rPr>
          <w:rFonts w:hint="eastAsia" w:ascii="Times New Roman" w:hAnsi="Times New Roman" w:eastAsia="仿宋_GB2312" w:cs="Times New Roman"/>
          <w:color w:val="auto"/>
          <w:spacing w:val="17"/>
          <w:sz w:val="32"/>
          <w:szCs w:val="32"/>
        </w:rPr>
        <w:t>绩效评价项目小组根据有关规定和评价对象的特点以及前期调研收集的一些信息，拟定详细的绩效评价工作方案。</w:t>
      </w:r>
      <w:bookmarkEnd w:id="86"/>
    </w:p>
    <w:p w14:paraId="7297B7CB">
      <w:pPr>
        <w:pageBreakBefore w:val="0"/>
        <w:kinsoku/>
        <w:wordWrap/>
        <w:overflowPunct/>
        <w:topLinePunct w:val="0"/>
        <w:autoSpaceDE/>
        <w:autoSpaceDN/>
        <w:bidi w:val="0"/>
        <w:adjustRightInd/>
        <w:snapToGrid w:val="0"/>
        <w:spacing w:after="0" w:line="560" w:lineRule="exact"/>
        <w:ind w:left="0" w:leftChars="0" w:firstLine="711" w:firstLineChars="200"/>
        <w:jc w:val="both"/>
        <w:textAlignment w:val="auto"/>
        <w:rPr>
          <w:rFonts w:ascii="Times New Roman" w:hAnsi="Times New Roman" w:eastAsia="仿宋_GB2312" w:cs="Times New Roman"/>
          <w:b/>
          <w:bCs/>
          <w:color w:val="auto"/>
          <w:spacing w:val="17"/>
          <w:sz w:val="32"/>
          <w:szCs w:val="32"/>
        </w:rPr>
      </w:pPr>
      <w:bookmarkStart w:id="87" w:name="_Toc11353"/>
      <w:r>
        <w:rPr>
          <w:rFonts w:hint="eastAsia" w:ascii="Times New Roman" w:hAnsi="Times New Roman" w:eastAsia="仿宋_GB2312" w:cs="Times New Roman"/>
          <w:b/>
          <w:bCs/>
          <w:color w:val="auto"/>
          <w:spacing w:val="17"/>
          <w:sz w:val="32"/>
          <w:szCs w:val="32"/>
        </w:rPr>
        <w:t>2.具体实施</w:t>
      </w:r>
      <w:bookmarkEnd w:id="87"/>
    </w:p>
    <w:p w14:paraId="4172E6A6">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bookmarkStart w:id="88" w:name="_Toc14111"/>
      <w:r>
        <w:rPr>
          <w:rFonts w:hint="eastAsia" w:ascii="Times New Roman" w:hAnsi="Times New Roman" w:eastAsia="仿宋_GB2312" w:cs="Times New Roman"/>
          <w:color w:val="auto"/>
          <w:spacing w:val="17"/>
          <w:sz w:val="32"/>
          <w:szCs w:val="32"/>
        </w:rPr>
        <w:t>（1）收集基础资料</w:t>
      </w:r>
      <w:bookmarkEnd w:id="88"/>
    </w:p>
    <w:p w14:paraId="70074A8A">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bookmarkStart w:id="89" w:name="_Toc28524"/>
      <w:r>
        <w:rPr>
          <w:rFonts w:hint="eastAsia" w:ascii="Times New Roman" w:hAnsi="Times New Roman" w:eastAsia="仿宋_GB2312" w:cs="Times New Roman"/>
          <w:color w:val="auto"/>
          <w:spacing w:val="17"/>
          <w:sz w:val="32"/>
          <w:szCs w:val="32"/>
        </w:rPr>
        <w:t>根据评价工作的需要和要求，在前期调研的基础上，通过多种渠道全面收集项目基础信息资料，主要包括：</w:t>
      </w:r>
      <w:bookmarkEnd w:id="89"/>
    </w:p>
    <w:p w14:paraId="62C380F9">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bookmarkStart w:id="90" w:name="_Toc32216"/>
      <w:r>
        <w:rPr>
          <w:rFonts w:hint="eastAsia" w:ascii="Times New Roman" w:hAnsi="Times New Roman" w:eastAsia="仿宋_GB2312" w:cs="Times New Roman"/>
          <w:color w:val="auto"/>
          <w:spacing w:val="17"/>
          <w:sz w:val="32"/>
          <w:szCs w:val="32"/>
        </w:rPr>
        <w:t>①被评价单位基本概况，如单位职能、事业发展规划、预决算情况、项目立项依据等；</w:t>
      </w:r>
      <w:bookmarkEnd w:id="90"/>
    </w:p>
    <w:p w14:paraId="0137BF94">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bookmarkStart w:id="91" w:name="_Toc10505"/>
      <w:r>
        <w:rPr>
          <w:rFonts w:hint="eastAsia" w:ascii="Times New Roman" w:hAnsi="Times New Roman" w:eastAsia="仿宋_GB2312" w:cs="Times New Roman"/>
          <w:color w:val="auto"/>
          <w:spacing w:val="17"/>
          <w:sz w:val="32"/>
          <w:szCs w:val="32"/>
        </w:rPr>
        <w:t>②绩效目标及其设立依据和调整情况；</w:t>
      </w:r>
      <w:bookmarkEnd w:id="91"/>
    </w:p>
    <w:p w14:paraId="52BD528D">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bookmarkStart w:id="92" w:name="_Toc28365"/>
      <w:r>
        <w:rPr>
          <w:rFonts w:hint="eastAsia" w:ascii="Times New Roman" w:hAnsi="Times New Roman" w:eastAsia="仿宋_GB2312" w:cs="Times New Roman"/>
          <w:color w:val="auto"/>
          <w:spacing w:val="17"/>
          <w:sz w:val="32"/>
          <w:szCs w:val="32"/>
        </w:rPr>
        <w:t>③管理措施及组织实施情况；</w:t>
      </w:r>
      <w:bookmarkEnd w:id="92"/>
    </w:p>
    <w:p w14:paraId="4414D77F">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bookmarkStart w:id="93" w:name="_Toc10091"/>
      <w:r>
        <w:rPr>
          <w:rFonts w:hint="eastAsia" w:ascii="Times New Roman" w:hAnsi="Times New Roman" w:eastAsia="仿宋_GB2312" w:cs="Times New Roman"/>
          <w:color w:val="auto"/>
          <w:spacing w:val="17"/>
          <w:sz w:val="32"/>
          <w:szCs w:val="32"/>
        </w:rPr>
        <w:t>④被评价单位总结分析的绩效目标完成情况及绩效报告；</w:t>
      </w:r>
      <w:bookmarkEnd w:id="93"/>
    </w:p>
    <w:p w14:paraId="6E9BF422">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bookmarkStart w:id="94" w:name="_Toc1"/>
      <w:r>
        <w:rPr>
          <w:rFonts w:hint="eastAsia" w:ascii="Times New Roman" w:hAnsi="Times New Roman" w:eastAsia="仿宋_GB2312" w:cs="Times New Roman"/>
          <w:color w:val="auto"/>
          <w:spacing w:val="17"/>
          <w:sz w:val="32"/>
          <w:szCs w:val="32"/>
        </w:rPr>
        <w:t>⑤与绩效评价相关的计划标准、行业标准、历史标准等；</w:t>
      </w:r>
      <w:bookmarkEnd w:id="94"/>
    </w:p>
    <w:p w14:paraId="6FF1A3C0">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bookmarkStart w:id="95" w:name="_Toc20059"/>
      <w:r>
        <w:rPr>
          <w:rFonts w:hint="eastAsia" w:ascii="Times New Roman" w:hAnsi="Times New Roman" w:eastAsia="仿宋_GB2312" w:cs="Times New Roman"/>
          <w:color w:val="auto"/>
          <w:spacing w:val="17"/>
          <w:sz w:val="32"/>
          <w:szCs w:val="32"/>
        </w:rPr>
        <w:t>⑥其他必要的相关资料等。</w:t>
      </w:r>
      <w:bookmarkEnd w:id="95"/>
    </w:p>
    <w:p w14:paraId="2423F011">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bookmarkStart w:id="96" w:name="_Toc31911"/>
      <w:r>
        <w:rPr>
          <w:rFonts w:hint="eastAsia" w:ascii="Times New Roman" w:hAnsi="Times New Roman" w:eastAsia="仿宋_GB2312" w:cs="Times New Roman"/>
          <w:color w:val="auto"/>
          <w:spacing w:val="17"/>
          <w:sz w:val="32"/>
          <w:szCs w:val="32"/>
        </w:rPr>
        <w:t>（2）整理、研读基础资料</w:t>
      </w:r>
      <w:bookmarkEnd w:id="96"/>
    </w:p>
    <w:p w14:paraId="11BD84A2">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bookmarkStart w:id="97" w:name="_Toc167"/>
      <w:r>
        <w:rPr>
          <w:rFonts w:hint="eastAsia" w:ascii="Times New Roman" w:hAnsi="Times New Roman" w:eastAsia="仿宋_GB2312" w:cs="Times New Roman"/>
          <w:color w:val="auto"/>
          <w:spacing w:val="17"/>
          <w:sz w:val="32"/>
          <w:szCs w:val="32"/>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2E960721">
      <w:pPr>
        <w:pageBreakBefore w:val="0"/>
        <w:kinsoku/>
        <w:wordWrap/>
        <w:overflowPunct/>
        <w:topLinePunct w:val="0"/>
        <w:autoSpaceDE/>
        <w:autoSpaceDN/>
        <w:bidi w:val="0"/>
        <w:adjustRightInd/>
        <w:snapToGrid w:val="0"/>
        <w:spacing w:after="0" w:line="560" w:lineRule="exact"/>
        <w:ind w:left="0" w:leftChars="0" w:firstLine="711" w:firstLineChars="200"/>
        <w:jc w:val="both"/>
        <w:textAlignment w:val="auto"/>
        <w:rPr>
          <w:rFonts w:ascii="Times New Roman" w:hAnsi="Times New Roman" w:eastAsia="仿宋_GB2312" w:cs="Times New Roman"/>
          <w:b/>
          <w:bCs/>
          <w:color w:val="auto"/>
          <w:spacing w:val="17"/>
          <w:sz w:val="32"/>
          <w:szCs w:val="32"/>
        </w:rPr>
      </w:pPr>
      <w:bookmarkStart w:id="98" w:name="_Toc30513"/>
      <w:r>
        <w:rPr>
          <w:rFonts w:hint="eastAsia" w:ascii="Times New Roman" w:hAnsi="Times New Roman" w:eastAsia="仿宋_GB2312" w:cs="Times New Roman"/>
          <w:b/>
          <w:bCs/>
          <w:color w:val="auto"/>
          <w:spacing w:val="17"/>
          <w:sz w:val="32"/>
          <w:szCs w:val="32"/>
        </w:rPr>
        <w:t>3.分析评价和撰写报告</w:t>
      </w:r>
      <w:bookmarkEnd w:id="98"/>
    </w:p>
    <w:p w14:paraId="4C9C5361">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bookmarkStart w:id="99" w:name="_Toc15974"/>
      <w:r>
        <w:rPr>
          <w:rFonts w:hint="eastAsia" w:ascii="Times New Roman" w:hAnsi="Times New Roman" w:eastAsia="仿宋_GB2312" w:cs="Times New Roman"/>
          <w:color w:val="auto"/>
          <w:spacing w:val="17"/>
          <w:sz w:val="32"/>
          <w:szCs w:val="32"/>
        </w:rPr>
        <w:t>（1）综合分析评价</w:t>
      </w:r>
      <w:bookmarkEnd w:id="99"/>
    </w:p>
    <w:p w14:paraId="24379AA3">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bookmarkStart w:id="100" w:name="_Toc4352"/>
      <w:r>
        <w:rPr>
          <w:rFonts w:hint="eastAsia" w:ascii="Times New Roman" w:hAnsi="Times New Roman" w:eastAsia="仿宋_GB2312" w:cs="Times New Roman"/>
          <w:color w:val="auto"/>
          <w:spacing w:val="17"/>
          <w:sz w:val="32"/>
          <w:szCs w:val="32"/>
        </w:rPr>
        <w:t>①根据所收集的基础资料，结合现场核查的有关情况，整理出绩效评价所需的项目材料和基础数据。</w:t>
      </w:r>
      <w:bookmarkEnd w:id="100"/>
    </w:p>
    <w:p w14:paraId="0434365C">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bookmarkStart w:id="101" w:name="_Toc26231"/>
      <w:r>
        <w:rPr>
          <w:rFonts w:hint="eastAsia" w:ascii="Times New Roman" w:hAnsi="Times New Roman" w:eastAsia="仿宋_GB2312" w:cs="Times New Roman"/>
          <w:color w:val="auto"/>
          <w:spacing w:val="17"/>
          <w:sz w:val="32"/>
          <w:szCs w:val="32"/>
        </w:rPr>
        <w:t>②将初步评价结论、调整事项、专家咨询意见和有关说明等提交单位内部讨论并征求意见。之后，对所征求的意见及时地进行收集和整理。</w:t>
      </w:r>
      <w:bookmarkEnd w:id="101"/>
    </w:p>
    <w:p w14:paraId="62162469">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bookmarkStart w:id="102" w:name="_Toc27759"/>
      <w:r>
        <w:rPr>
          <w:rFonts w:hint="eastAsia" w:ascii="Times New Roman" w:hAnsi="Times New Roman" w:eastAsia="仿宋_GB2312" w:cs="Times New Roman"/>
          <w:color w:val="auto"/>
          <w:spacing w:val="17"/>
          <w:sz w:val="32"/>
          <w:szCs w:val="32"/>
        </w:rPr>
        <w:t>（2）撰写报告</w:t>
      </w:r>
      <w:bookmarkEnd w:id="102"/>
    </w:p>
    <w:p w14:paraId="067FCACE">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rPr>
      </w:pPr>
      <w:bookmarkStart w:id="103" w:name="_Toc15579"/>
      <w:r>
        <w:rPr>
          <w:rFonts w:hint="eastAsia" w:ascii="Times New Roman" w:hAnsi="Times New Roman" w:eastAsia="仿宋_GB2312" w:cs="Times New Roman"/>
          <w:color w:val="auto"/>
          <w:spacing w:val="17"/>
          <w:sz w:val="32"/>
          <w:szCs w:val="32"/>
        </w:rPr>
        <w:t>绩效评价项目小组依照整理、分析后的项目材料、数据资料，依据评价形成的初步结论，按照既定的格式和内容要求撰写绩效评价初步报告，最终形成评价结果。</w:t>
      </w:r>
      <w:bookmarkEnd w:id="103"/>
    </w:p>
    <w:p w14:paraId="6F940192">
      <w:pPr>
        <w:pStyle w:val="4"/>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黑体" w:hAnsi="黑体" w:cs="黑体"/>
          <w:color w:val="auto"/>
        </w:rPr>
      </w:pPr>
      <w:bookmarkStart w:id="104" w:name="_Toc19261"/>
      <w:r>
        <w:rPr>
          <w:rFonts w:hint="eastAsia" w:ascii="黑体" w:hAnsi="黑体" w:cs="黑体"/>
          <w:color w:val="auto"/>
        </w:rPr>
        <w:t>三、综合评价情况及评价结论</w:t>
      </w:r>
      <w:bookmarkEnd w:id="104"/>
    </w:p>
    <w:p w14:paraId="1C0D3BD9">
      <w:pPr>
        <w:pStyle w:val="16"/>
        <w:pageBreakBefore w:val="0"/>
        <w:widowControl/>
        <w:kinsoku/>
        <w:wordWrap/>
        <w:overflowPunct/>
        <w:topLinePunct w:val="0"/>
        <w:autoSpaceDE/>
        <w:autoSpaceDN/>
        <w:bidi w:val="0"/>
        <w:adjustRightInd/>
        <w:snapToGrid w:val="0"/>
        <w:spacing w:before="0" w:after="0" w:line="560" w:lineRule="exact"/>
        <w:ind w:left="0" w:leftChars="0" w:firstLine="643" w:firstLineChars="200"/>
        <w:jc w:val="both"/>
        <w:textAlignment w:val="auto"/>
        <w:rPr>
          <w:rFonts w:ascii="Times New Roman" w:hAnsi="Times New Roman" w:eastAsia="楷体_GB2312" w:cs="Times New Roman"/>
          <w:color w:val="auto"/>
          <w:kern w:val="28"/>
          <w:sz w:val="32"/>
        </w:rPr>
      </w:pPr>
      <w:bookmarkStart w:id="105" w:name="_Toc23319"/>
      <w:r>
        <w:rPr>
          <w:rFonts w:hint="eastAsia" w:ascii="Times New Roman" w:hAnsi="Times New Roman" w:eastAsia="楷体_GB2312" w:cs="Times New Roman"/>
          <w:color w:val="auto"/>
          <w:kern w:val="28"/>
          <w:sz w:val="32"/>
        </w:rPr>
        <w:t>（一）综合评价情况及评价结论</w:t>
      </w:r>
      <w:bookmarkEnd w:id="105"/>
    </w:p>
    <w:p w14:paraId="42BDA669">
      <w:pPr>
        <w:pStyle w:val="15"/>
        <w:pageBreakBefore w:val="0"/>
        <w:widowControl/>
        <w:kinsoku/>
        <w:wordWrap/>
        <w:overflowPunct/>
        <w:topLinePunct w:val="0"/>
        <w:autoSpaceDE/>
        <w:autoSpaceDN/>
        <w:bidi w:val="0"/>
        <w:adjustRightInd/>
        <w:snapToGrid w:val="0"/>
        <w:spacing w:beforeAutospacing="0" w:after="0" w:afterAutospacing="0" w:line="560" w:lineRule="exact"/>
        <w:ind w:left="0" w:leftChars="0" w:firstLine="640" w:firstLineChars="200"/>
        <w:jc w:val="both"/>
        <w:textAlignment w:val="auto"/>
        <w:rPr>
          <w:rFonts w:ascii="Times New Roman" w:hAnsi="Times New Roman" w:eastAsia="仿宋_GB2312"/>
          <w:color w:val="auto"/>
          <w:sz w:val="32"/>
          <w:szCs w:val="32"/>
          <w:highlight w:val="green"/>
        </w:rPr>
      </w:pPr>
      <w:r>
        <w:rPr>
          <w:rFonts w:ascii="Times New Roman" w:hAnsi="Times New Roman" w:eastAsia="仿宋_GB2312"/>
          <w:color w:val="auto"/>
          <w:sz w:val="32"/>
          <w:szCs w:val="32"/>
        </w:rPr>
        <w:t>本项目的综合评价基于对项目各方面绩效的深入分析与评估。从项目目标的达成情况来看，</w:t>
      </w:r>
      <w:r>
        <w:rPr>
          <w:rFonts w:hint="eastAsia" w:ascii="Times New Roman" w:hAnsi="Times New Roman" w:eastAsia="仿宋_GB2312"/>
          <w:color w:val="auto"/>
          <w:sz w:val="32"/>
          <w:szCs w:val="32"/>
        </w:rPr>
        <w:t>阜康市中医医院2024年自治区公共卫生服务（地方公卫）全民健康体检补助资金项目</w:t>
      </w:r>
      <w:r>
        <w:rPr>
          <w:rFonts w:ascii="Times New Roman" w:hAnsi="Times New Roman" w:eastAsia="仿宋_GB2312"/>
          <w:color w:val="auto"/>
          <w:sz w:val="32"/>
          <w:szCs w:val="32"/>
        </w:rPr>
        <w:t>在</w:t>
      </w:r>
      <w:r>
        <w:rPr>
          <w:rFonts w:hint="eastAsia" w:ascii="Times New Roman" w:hAnsi="Times New Roman" w:eastAsia="仿宋_GB2312"/>
          <w:color w:val="auto"/>
          <w:sz w:val="32"/>
          <w:szCs w:val="32"/>
        </w:rPr>
        <w:t>项目产出方面完成较好</w:t>
      </w:r>
      <w:r>
        <w:rPr>
          <w:rFonts w:ascii="Times New Roman" w:hAnsi="Times New Roman" w:eastAsia="仿宋_GB2312"/>
          <w:color w:val="auto"/>
          <w:sz w:val="32"/>
          <w:szCs w:val="32"/>
        </w:rPr>
        <w:t>，达到了预期的标准与要求。</w:t>
      </w:r>
    </w:p>
    <w:p w14:paraId="00A5D4ED">
      <w:pPr>
        <w:pStyle w:val="15"/>
        <w:pageBreakBefore w:val="0"/>
        <w:widowControl/>
        <w:kinsoku/>
        <w:wordWrap/>
        <w:overflowPunct/>
        <w:topLinePunct w:val="0"/>
        <w:autoSpaceDE/>
        <w:autoSpaceDN/>
        <w:bidi w:val="0"/>
        <w:adjustRightInd/>
        <w:snapToGrid w:val="0"/>
        <w:spacing w:beforeAutospacing="0" w:after="0" w:afterAutospacing="0" w:line="560" w:lineRule="exact"/>
        <w:ind w:left="0" w:leftChars="0" w:firstLine="640" w:firstLineChars="200"/>
        <w:jc w:val="both"/>
        <w:textAlignment w:val="auto"/>
        <w:rPr>
          <w:rFonts w:ascii="Times New Roman" w:hAnsi="Times New Roman" w:eastAsia="仿宋_GB2312"/>
          <w:color w:val="auto"/>
          <w:sz w:val="32"/>
          <w:szCs w:val="32"/>
        </w:rPr>
      </w:pPr>
      <w:r>
        <w:rPr>
          <w:rFonts w:ascii="Times New Roman" w:hAnsi="Times New Roman" w:eastAsia="仿宋_GB2312"/>
          <w:color w:val="auto"/>
          <w:sz w:val="32"/>
          <w:szCs w:val="32"/>
        </w:rPr>
        <w:t>在项目管理方面，</w:t>
      </w:r>
      <w:r>
        <w:rPr>
          <w:rFonts w:hint="eastAsia" w:ascii="Times New Roman" w:hAnsi="Times New Roman" w:eastAsia="仿宋_GB2312"/>
          <w:color w:val="auto"/>
          <w:sz w:val="32"/>
          <w:szCs w:val="32"/>
        </w:rPr>
        <w:t>阜康市中医医院2024年自治区公共卫生服务（地方公卫）全民健康体检补助资金单位</w:t>
      </w:r>
      <w:r>
        <w:rPr>
          <w:rFonts w:ascii="Times New Roman" w:hAnsi="Times New Roman" w:eastAsia="仿宋_GB2312"/>
          <w:color w:val="auto"/>
          <w:sz w:val="32"/>
          <w:szCs w:val="32"/>
        </w:rPr>
        <w:t>通过有效的规划、组织与协调，项目得以顺利实施，并在预算与时间上保持了良好的控制。</w:t>
      </w:r>
    </w:p>
    <w:p w14:paraId="74E64636">
      <w:pPr>
        <w:pStyle w:val="15"/>
        <w:pageBreakBefore w:val="0"/>
        <w:widowControl/>
        <w:kinsoku/>
        <w:wordWrap/>
        <w:overflowPunct/>
        <w:topLinePunct w:val="0"/>
        <w:autoSpaceDE/>
        <w:autoSpaceDN/>
        <w:bidi w:val="0"/>
        <w:adjustRightInd/>
        <w:snapToGrid w:val="0"/>
        <w:spacing w:beforeAutospacing="0" w:after="0" w:afterAutospacing="0" w:line="560" w:lineRule="exact"/>
        <w:ind w:left="0" w:leftChars="0" w:firstLine="640" w:firstLineChars="200"/>
        <w:jc w:val="both"/>
        <w:textAlignment w:val="auto"/>
        <w:rPr>
          <w:rFonts w:ascii="Times New Roman" w:hAnsi="Times New Roman" w:eastAsia="仿宋_GB2312"/>
          <w:color w:val="auto"/>
          <w:sz w:val="32"/>
          <w:szCs w:val="32"/>
        </w:rPr>
      </w:pPr>
      <w:r>
        <w:rPr>
          <w:rFonts w:ascii="Times New Roman" w:hAnsi="Times New Roman" w:eastAsia="仿宋_GB2312"/>
          <w:color w:val="auto"/>
          <w:sz w:val="32"/>
          <w:szCs w:val="32"/>
        </w:rPr>
        <w:t>从项目效益的角度来看，本项目不仅实现了预期的社会效益等方面产生了积极的影响。具体而言，</w:t>
      </w:r>
      <w:r>
        <w:rPr>
          <w:rFonts w:hint="eastAsia" w:ascii="Times New Roman" w:hAnsi="Times New Roman" w:eastAsia="仿宋_GB2312"/>
          <w:color w:val="auto"/>
          <w:sz w:val="32"/>
          <w:szCs w:val="32"/>
        </w:rPr>
        <w:t>居民健康水平提高</w:t>
      </w:r>
      <w:r>
        <w:rPr>
          <w:rFonts w:ascii="Times New Roman" w:hAnsi="Times New Roman" w:eastAsia="仿宋_GB2312"/>
          <w:color w:val="auto"/>
          <w:sz w:val="32"/>
          <w:szCs w:val="32"/>
        </w:rPr>
        <w:t>等方面的提升，为项目的利益相关者带来了实实在在的利益。</w:t>
      </w:r>
    </w:p>
    <w:p w14:paraId="1550A24F">
      <w:pPr>
        <w:pStyle w:val="15"/>
        <w:pageBreakBefore w:val="0"/>
        <w:widowControl/>
        <w:kinsoku/>
        <w:wordWrap/>
        <w:overflowPunct/>
        <w:topLinePunct w:val="0"/>
        <w:autoSpaceDE/>
        <w:autoSpaceDN/>
        <w:bidi w:val="0"/>
        <w:adjustRightInd/>
        <w:snapToGrid w:val="0"/>
        <w:spacing w:beforeAutospacing="0" w:after="0" w:afterAutospacing="0" w:line="560" w:lineRule="exact"/>
        <w:ind w:left="0" w:leftChars="0" w:firstLine="640" w:firstLineChars="200"/>
        <w:jc w:val="both"/>
        <w:textAlignment w:val="auto"/>
        <w:rPr>
          <w:rFonts w:ascii="Times New Roman" w:hAnsi="Times New Roman"/>
          <w:color w:val="auto"/>
          <w:highlight w:val="none"/>
        </w:rPr>
      </w:pPr>
      <w:r>
        <w:rPr>
          <w:rFonts w:ascii="Times New Roman" w:hAnsi="Times New Roman" w:eastAsia="仿宋_GB2312"/>
          <w:color w:val="auto"/>
          <w:sz w:val="32"/>
          <w:szCs w:val="32"/>
        </w:rPr>
        <w:t>综上所述，</w:t>
      </w:r>
      <w:r>
        <w:rPr>
          <w:rFonts w:hint="eastAsia" w:ascii="Times New Roman" w:hAnsi="Times New Roman" w:eastAsia="仿宋_GB2312"/>
          <w:color w:val="auto"/>
          <w:sz w:val="32"/>
          <w:szCs w:val="32"/>
        </w:rPr>
        <w:t>阜康市中医医院2024年自治区公共卫生服务（地方公卫）全民健康体检补助资金项目</w:t>
      </w:r>
      <w:r>
        <w:rPr>
          <w:rFonts w:ascii="Times New Roman" w:hAnsi="Times New Roman" w:eastAsia="仿宋_GB2312"/>
          <w:color w:val="auto"/>
          <w:sz w:val="32"/>
          <w:szCs w:val="32"/>
        </w:rPr>
        <w:t>在绩效评价中表现出色，达到了项目的预期目标，并在多个方面取得了显著</w:t>
      </w:r>
      <w:r>
        <w:rPr>
          <w:rFonts w:ascii="Times New Roman" w:hAnsi="Times New Roman" w:eastAsia="仿宋_GB2312"/>
          <w:color w:val="auto"/>
          <w:sz w:val="32"/>
          <w:szCs w:val="32"/>
          <w:highlight w:val="none"/>
        </w:rPr>
        <w:t>的成效</w:t>
      </w:r>
      <w:r>
        <w:rPr>
          <w:rFonts w:hint="eastAsia" w:ascii="Times New Roman" w:hAnsi="Times New Roman" w:eastAsia="仿宋_GB2312"/>
          <w:color w:val="auto"/>
          <w:sz w:val="32"/>
          <w:szCs w:val="32"/>
          <w:highlight w:val="none"/>
        </w:rPr>
        <w:t>，评价等级为</w:t>
      </w:r>
      <w:r>
        <w:rPr>
          <w:rFonts w:hint="eastAsia" w:ascii="Times New Roman" w:hAnsi="Times New Roman" w:eastAsia="仿宋_GB2312"/>
          <w:color w:val="auto"/>
          <w:sz w:val="32"/>
          <w:szCs w:val="32"/>
          <w:highlight w:val="none"/>
          <w:lang w:eastAsia="zh-CN"/>
        </w:rPr>
        <w:t>优</w:t>
      </w:r>
      <w:r>
        <w:rPr>
          <w:rFonts w:ascii="Times New Roman" w:hAnsi="Times New Roman" w:eastAsia="仿宋_GB2312"/>
          <w:color w:val="auto"/>
          <w:sz w:val="32"/>
          <w:szCs w:val="32"/>
          <w:highlight w:val="none"/>
        </w:rPr>
        <w:t>。</w:t>
      </w:r>
    </w:p>
    <w:p w14:paraId="39B64045">
      <w:pPr>
        <w:pStyle w:val="16"/>
        <w:pageBreakBefore w:val="0"/>
        <w:widowControl/>
        <w:kinsoku/>
        <w:wordWrap/>
        <w:overflowPunct/>
        <w:topLinePunct w:val="0"/>
        <w:autoSpaceDE/>
        <w:autoSpaceDN/>
        <w:bidi w:val="0"/>
        <w:adjustRightInd/>
        <w:snapToGrid w:val="0"/>
        <w:spacing w:before="0" w:after="0" w:line="560" w:lineRule="exact"/>
        <w:ind w:left="0" w:leftChars="0" w:firstLine="643" w:firstLineChars="200"/>
        <w:jc w:val="both"/>
        <w:textAlignment w:val="auto"/>
        <w:rPr>
          <w:rFonts w:ascii="Times New Roman" w:hAnsi="Times New Roman" w:eastAsia="楷体_GB2312" w:cs="Times New Roman"/>
          <w:color w:val="auto"/>
          <w:kern w:val="28"/>
          <w:sz w:val="32"/>
          <w:highlight w:val="none"/>
        </w:rPr>
      </w:pPr>
      <w:bookmarkStart w:id="106" w:name="_Toc11863"/>
      <w:r>
        <w:rPr>
          <w:rFonts w:hint="eastAsia" w:ascii="Times New Roman" w:hAnsi="Times New Roman" w:eastAsia="楷体_GB2312" w:cs="Times New Roman"/>
          <w:color w:val="auto"/>
          <w:kern w:val="28"/>
          <w:sz w:val="32"/>
          <w:highlight w:val="none"/>
        </w:rPr>
        <w:t>（二）相关评分表</w:t>
      </w:r>
      <w:bookmarkEnd w:id="106"/>
    </w:p>
    <w:p w14:paraId="1FCC6C0A">
      <w:pPr>
        <w:pageBreakBefore w:val="0"/>
        <w:kinsoku/>
        <w:wordWrap/>
        <w:overflowPunct/>
        <w:topLinePunct w:val="0"/>
        <w:autoSpaceDE/>
        <w:autoSpaceDN/>
        <w:bidi w:val="0"/>
        <w:adjustRightInd/>
        <w:snapToGrid w:val="0"/>
        <w:spacing w:after="0" w:line="560" w:lineRule="exact"/>
        <w:ind w:left="0" w:leftChars="0" w:firstLine="708" w:firstLineChars="200"/>
        <w:jc w:val="both"/>
        <w:textAlignment w:val="auto"/>
        <w:rPr>
          <w:rFonts w:ascii="Times New Roman" w:hAnsi="Times New Roman" w:eastAsia="仿宋_GB2312" w:cs="Times New Roman"/>
          <w:color w:val="auto"/>
          <w:spacing w:val="17"/>
          <w:sz w:val="32"/>
          <w:szCs w:val="32"/>
          <w:lang w:val="zh-TW" w:eastAsia="zh-TW"/>
        </w:rPr>
      </w:pPr>
      <w:r>
        <w:rPr>
          <w:rFonts w:hint="eastAsia" w:ascii="Times New Roman" w:hAnsi="Times New Roman" w:eastAsia="仿宋_GB2312" w:cs="Times New Roman"/>
          <w:color w:val="auto"/>
          <w:spacing w:val="17"/>
          <w:sz w:val="32"/>
          <w:szCs w:val="32"/>
          <w:highlight w:val="none"/>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z w:val="32"/>
          <w:szCs w:val="32"/>
          <w:highlight w:val="none"/>
        </w:rPr>
        <w:t>阜康市中医医院2024年自治区公共卫生服务（地方公卫）全民健康体检补助资金</w:t>
      </w:r>
      <w:r>
        <w:rPr>
          <w:rFonts w:hint="eastAsia" w:ascii="Times New Roman" w:hAnsi="Times New Roman" w:eastAsia="仿宋_GB2312" w:cs="Times New Roman"/>
          <w:color w:val="auto"/>
          <w:spacing w:val="17"/>
          <w:sz w:val="32"/>
          <w:szCs w:val="32"/>
          <w:highlight w:val="none"/>
        </w:rPr>
        <w:t>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ascii="Times New Roman" w:hAnsi="Times New Roman" w:eastAsia="仿宋_GB2312" w:cs="Times New Roman"/>
          <w:color w:val="auto"/>
          <w:spacing w:val="17"/>
          <w:sz w:val="32"/>
          <w:szCs w:val="32"/>
          <w:highlight w:val="none"/>
        </w:rPr>
        <w:t>总得分为</w:t>
      </w:r>
      <w:r>
        <w:rPr>
          <w:rFonts w:hint="eastAsia" w:ascii="Times New Roman" w:hAnsi="Times New Roman" w:eastAsia="仿宋_GB2312" w:cs="Times New Roman"/>
          <w:color w:val="auto"/>
          <w:spacing w:val="17"/>
          <w:sz w:val="32"/>
          <w:szCs w:val="32"/>
          <w:highlight w:val="none"/>
          <w:lang w:val="en-US" w:eastAsia="zh-CN"/>
        </w:rPr>
        <w:t>93.14</w:t>
      </w:r>
      <w:r>
        <w:rPr>
          <w:rFonts w:ascii="Times New Roman" w:hAnsi="Times New Roman" w:eastAsia="仿宋_GB2312" w:cs="Times New Roman"/>
          <w:color w:val="auto"/>
          <w:spacing w:val="17"/>
          <w:sz w:val="32"/>
          <w:szCs w:val="32"/>
          <w:highlight w:val="none"/>
        </w:rPr>
        <w:t>分，属于“优”。其中，项目决策类指标权重为2</w:t>
      </w:r>
      <w:r>
        <w:rPr>
          <w:rFonts w:ascii="Times New Roman" w:hAnsi="Times New Roman" w:eastAsia="仿宋_GB2312" w:cs="Times New Roman"/>
          <w:color w:val="auto"/>
          <w:spacing w:val="17"/>
          <w:sz w:val="32"/>
          <w:szCs w:val="32"/>
        </w:rPr>
        <w:t>0分，得分为</w:t>
      </w:r>
      <w:r>
        <w:rPr>
          <w:rFonts w:hint="eastAsia" w:ascii="Times New Roman" w:hAnsi="Times New Roman" w:eastAsia="仿宋_GB2312" w:cs="Times New Roman"/>
          <w:color w:val="auto"/>
          <w:spacing w:val="17"/>
          <w:sz w:val="32"/>
          <w:szCs w:val="32"/>
        </w:rPr>
        <w:t>19</w:t>
      </w:r>
      <w:r>
        <w:rPr>
          <w:rFonts w:ascii="Times New Roman" w:hAnsi="Times New Roman" w:eastAsia="仿宋_GB2312" w:cs="Times New Roman"/>
          <w:color w:val="auto"/>
          <w:spacing w:val="17"/>
          <w:sz w:val="32"/>
          <w:szCs w:val="32"/>
        </w:rPr>
        <w:t>分，得分率为</w:t>
      </w:r>
      <w:r>
        <w:rPr>
          <w:rFonts w:hint="eastAsia" w:ascii="Times New Roman" w:hAnsi="Times New Roman" w:eastAsia="仿宋_GB2312" w:cs="Times New Roman"/>
          <w:color w:val="auto"/>
          <w:spacing w:val="17"/>
          <w:sz w:val="32"/>
          <w:szCs w:val="32"/>
        </w:rPr>
        <w:t>95</w:t>
      </w:r>
      <w:r>
        <w:rPr>
          <w:rFonts w:ascii="Times New Roman" w:hAnsi="Times New Roman" w:eastAsia="仿宋_GB2312" w:cs="Times New Roman"/>
          <w:color w:val="auto"/>
          <w:spacing w:val="17"/>
          <w:sz w:val="32"/>
          <w:szCs w:val="32"/>
        </w:rPr>
        <w:t>%。项目过程类指标权重为20分，得分为</w:t>
      </w:r>
      <w:r>
        <w:rPr>
          <w:rFonts w:hint="eastAsia" w:ascii="Times New Roman" w:hAnsi="Times New Roman" w:eastAsia="仿宋_GB2312" w:cs="Times New Roman"/>
          <w:color w:val="auto"/>
          <w:spacing w:val="17"/>
          <w:sz w:val="32"/>
          <w:szCs w:val="32"/>
        </w:rPr>
        <w:t>20</w:t>
      </w:r>
      <w:r>
        <w:rPr>
          <w:rFonts w:ascii="Times New Roman" w:hAnsi="Times New Roman" w:eastAsia="仿宋_GB2312" w:cs="Times New Roman"/>
          <w:color w:val="auto"/>
          <w:spacing w:val="17"/>
          <w:sz w:val="32"/>
          <w:szCs w:val="32"/>
        </w:rPr>
        <w:t>分，得分率为</w:t>
      </w:r>
      <w:r>
        <w:rPr>
          <w:rFonts w:hint="eastAsia" w:ascii="Times New Roman" w:hAnsi="Times New Roman" w:eastAsia="仿宋_GB2312" w:cs="Times New Roman"/>
          <w:color w:val="auto"/>
          <w:spacing w:val="17"/>
          <w:sz w:val="32"/>
          <w:szCs w:val="32"/>
        </w:rPr>
        <w:t>100</w:t>
      </w:r>
      <w:r>
        <w:rPr>
          <w:rFonts w:ascii="Times New Roman" w:hAnsi="Times New Roman" w:eastAsia="仿宋_GB2312" w:cs="Times New Roman"/>
          <w:color w:val="auto"/>
          <w:spacing w:val="17"/>
          <w:sz w:val="32"/>
          <w:szCs w:val="32"/>
        </w:rPr>
        <w:t>%。项目产出类指标权重为40分，得分为</w:t>
      </w:r>
      <w:r>
        <w:rPr>
          <w:rFonts w:hint="eastAsia" w:ascii="Times New Roman" w:hAnsi="Times New Roman" w:eastAsia="仿宋_GB2312" w:cs="Times New Roman"/>
          <w:color w:val="auto"/>
          <w:spacing w:val="17"/>
          <w:sz w:val="32"/>
          <w:szCs w:val="32"/>
        </w:rPr>
        <w:t>34.88</w:t>
      </w:r>
      <w:r>
        <w:rPr>
          <w:rFonts w:ascii="Times New Roman" w:hAnsi="Times New Roman" w:eastAsia="仿宋_GB2312" w:cs="Times New Roman"/>
          <w:color w:val="auto"/>
          <w:spacing w:val="17"/>
          <w:sz w:val="32"/>
          <w:szCs w:val="32"/>
        </w:rPr>
        <w:t>分，得分率为</w:t>
      </w:r>
      <w:r>
        <w:rPr>
          <w:rFonts w:hint="eastAsia" w:ascii="Times New Roman" w:hAnsi="Times New Roman" w:eastAsia="仿宋_GB2312" w:cs="Times New Roman"/>
          <w:color w:val="auto"/>
          <w:spacing w:val="17"/>
          <w:sz w:val="32"/>
          <w:szCs w:val="32"/>
        </w:rPr>
        <w:t>87.20</w:t>
      </w:r>
      <w:r>
        <w:rPr>
          <w:rFonts w:ascii="Times New Roman" w:hAnsi="Times New Roman" w:eastAsia="仿宋_GB2312" w:cs="Times New Roman"/>
          <w:color w:val="auto"/>
          <w:spacing w:val="17"/>
          <w:sz w:val="32"/>
          <w:szCs w:val="32"/>
        </w:rPr>
        <w:t>%。项目效益类指标权重为20分，得分为</w:t>
      </w:r>
      <w:r>
        <w:rPr>
          <w:rFonts w:hint="eastAsia" w:ascii="Times New Roman" w:hAnsi="Times New Roman" w:eastAsia="仿宋_GB2312" w:cs="Times New Roman"/>
          <w:color w:val="auto"/>
          <w:spacing w:val="17"/>
          <w:sz w:val="32"/>
          <w:szCs w:val="32"/>
        </w:rPr>
        <w:t>20</w:t>
      </w:r>
      <w:r>
        <w:rPr>
          <w:rFonts w:ascii="Times New Roman" w:hAnsi="Times New Roman" w:eastAsia="仿宋_GB2312" w:cs="Times New Roman"/>
          <w:color w:val="auto"/>
          <w:spacing w:val="17"/>
          <w:sz w:val="32"/>
          <w:szCs w:val="32"/>
        </w:rPr>
        <w:t>分，得分率为</w:t>
      </w:r>
      <w:r>
        <w:rPr>
          <w:rFonts w:hint="eastAsia" w:ascii="Times New Roman" w:hAnsi="Times New Roman" w:eastAsia="仿宋_GB2312" w:cs="Times New Roman"/>
          <w:color w:val="auto"/>
          <w:spacing w:val="17"/>
          <w:sz w:val="32"/>
          <w:szCs w:val="32"/>
        </w:rPr>
        <w:t>100</w:t>
      </w:r>
      <w:r>
        <w:rPr>
          <w:rFonts w:ascii="Times New Roman" w:hAnsi="Times New Roman" w:eastAsia="仿宋_GB2312" w:cs="Times New Roman"/>
          <w:color w:val="auto"/>
          <w:spacing w:val="17"/>
          <w:sz w:val="32"/>
          <w:szCs w:val="32"/>
        </w:rPr>
        <w:t>%。</w:t>
      </w:r>
      <w:r>
        <w:rPr>
          <w:rFonts w:hint="eastAsia" w:ascii="Times New Roman" w:hAnsi="Times New Roman" w:eastAsia="仿宋_GB2312" w:cs="Times New Roman"/>
          <w:color w:val="auto"/>
          <w:spacing w:val="17"/>
          <w:sz w:val="32"/>
          <w:szCs w:val="32"/>
          <w:lang w:val="zh-TW" w:eastAsia="zh-TW"/>
        </w:rPr>
        <w:t>各部分权重和绩效</w:t>
      </w:r>
      <w:r>
        <w:rPr>
          <w:rFonts w:hint="eastAsia" w:ascii="Times New Roman" w:hAnsi="Times New Roman" w:eastAsia="仿宋_GB2312" w:cs="Times New Roman"/>
          <w:color w:val="auto"/>
          <w:spacing w:val="17"/>
          <w:sz w:val="32"/>
          <w:szCs w:val="32"/>
        </w:rPr>
        <w:t>汇总</w:t>
      </w:r>
      <w:r>
        <w:rPr>
          <w:rFonts w:hint="eastAsia" w:ascii="Times New Roman" w:hAnsi="Times New Roman" w:eastAsia="仿宋_GB2312" w:cs="Times New Roman"/>
          <w:color w:val="auto"/>
          <w:spacing w:val="17"/>
          <w:sz w:val="32"/>
          <w:szCs w:val="32"/>
          <w:lang w:val="zh-TW" w:eastAsia="zh-TW"/>
        </w:rPr>
        <w:t>分值如下表</w:t>
      </w:r>
      <w:r>
        <w:rPr>
          <w:rFonts w:hint="eastAsia" w:ascii="Times New Roman" w:hAnsi="Times New Roman" w:eastAsia="仿宋_GB2312" w:cs="Times New Roman"/>
          <w:color w:val="auto"/>
          <w:spacing w:val="17"/>
          <w:sz w:val="32"/>
          <w:szCs w:val="32"/>
        </w:rPr>
        <w:t>3-1</w:t>
      </w:r>
      <w:r>
        <w:rPr>
          <w:rFonts w:hint="eastAsia" w:ascii="Times New Roman" w:hAnsi="Times New Roman" w:eastAsia="仿宋_GB2312" w:cs="Times New Roman"/>
          <w:color w:val="auto"/>
          <w:spacing w:val="17"/>
          <w:sz w:val="32"/>
          <w:szCs w:val="32"/>
          <w:lang w:val="zh-TW" w:eastAsia="zh-TW"/>
        </w:rPr>
        <w:t>所示</w:t>
      </w:r>
      <w:r>
        <w:rPr>
          <w:rFonts w:hint="eastAsia" w:ascii="Times New Roman" w:hAnsi="Times New Roman" w:eastAsia="仿宋_GB2312" w:cs="Times New Roman"/>
          <w:color w:val="auto"/>
          <w:spacing w:val="17"/>
          <w:sz w:val="32"/>
          <w:szCs w:val="32"/>
          <w:lang w:val="zh-TW"/>
        </w:rPr>
        <w:t>（</w:t>
      </w:r>
      <w:r>
        <w:rPr>
          <w:rFonts w:hint="eastAsia" w:ascii="Times New Roman" w:hAnsi="Times New Roman" w:eastAsia="仿宋_GB2312" w:cs="Times New Roman"/>
          <w:color w:val="auto"/>
          <w:spacing w:val="17"/>
          <w:sz w:val="32"/>
          <w:szCs w:val="32"/>
        </w:rPr>
        <w:t>详见上传的附件</w:t>
      </w:r>
      <w:r>
        <w:rPr>
          <w:rFonts w:hint="eastAsia" w:ascii="Times New Roman" w:hAnsi="Times New Roman" w:eastAsia="仿宋_GB2312" w:cs="Times New Roman"/>
          <w:color w:val="auto"/>
          <w:spacing w:val="17"/>
          <w:sz w:val="32"/>
          <w:szCs w:val="32"/>
          <w:lang w:val="zh-TW"/>
        </w:rPr>
        <w:t>）</w:t>
      </w:r>
      <w:r>
        <w:rPr>
          <w:rFonts w:hint="eastAsia" w:ascii="Times New Roman" w:hAnsi="Times New Roman" w:eastAsia="仿宋_GB2312" w:cs="Times New Roman"/>
          <w:color w:val="auto"/>
          <w:spacing w:val="17"/>
          <w:sz w:val="32"/>
          <w:szCs w:val="32"/>
          <w:lang w:val="zh-TW" w:eastAsia="zh-TW"/>
        </w:rPr>
        <w:t>：</w:t>
      </w:r>
    </w:p>
    <w:tbl>
      <w:tblPr>
        <w:tblStyle w:val="18"/>
        <w:tblW w:w="8289" w:type="dxa"/>
        <w:jc w:val="center"/>
        <w:tblLayout w:type="fixed"/>
        <w:tblCellMar>
          <w:top w:w="0" w:type="dxa"/>
          <w:left w:w="0" w:type="dxa"/>
          <w:bottom w:w="0" w:type="dxa"/>
          <w:right w:w="0" w:type="dxa"/>
        </w:tblCellMar>
      </w:tblPr>
      <w:tblGrid>
        <w:gridCol w:w="1094"/>
        <w:gridCol w:w="1361"/>
        <w:gridCol w:w="1361"/>
        <w:gridCol w:w="1361"/>
        <w:gridCol w:w="1623"/>
        <w:gridCol w:w="1489"/>
      </w:tblGrid>
      <w:tr w14:paraId="463852F4">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00596E5D">
            <w:pPr>
              <w:pageBreakBefore w:val="0"/>
              <w:widowControl/>
              <w:kinsoku/>
              <w:wordWrap/>
              <w:overflowPunct/>
              <w:topLinePunct w:val="0"/>
              <w:autoSpaceDE/>
              <w:autoSpaceDN/>
              <w:bidi w:val="0"/>
              <w:adjustRightInd/>
              <w:snapToGrid w:val="0"/>
              <w:spacing w:after="0" w:line="240" w:lineRule="auto"/>
              <w:ind w:left="0" w:leftChars="0" w:firstLine="562" w:firstLineChars="200"/>
              <w:jc w:val="center"/>
              <w:textAlignment w:val="auto"/>
              <w:rPr>
                <w:rFonts w:hint="eastAsia"/>
                <w:color w:val="auto"/>
                <w:kern w:val="0"/>
                <w:sz w:val="24"/>
                <w:szCs w:val="24"/>
              </w:rPr>
            </w:pPr>
            <w:r>
              <w:rPr>
                <w:rFonts w:hint="eastAsia"/>
                <w:b/>
                <w:bCs/>
                <w:color w:val="auto"/>
                <w:kern w:val="0"/>
              </w:rPr>
              <w:t>表3-1：阜康市中医医院2024年自治区公共卫生服务（地方公卫）全民健康体检补助资金项目得分表</w:t>
            </w:r>
          </w:p>
        </w:tc>
      </w:tr>
      <w:tr w14:paraId="2406D79A">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3337E">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b/>
                <w:bCs/>
                <w:color w:val="auto"/>
                <w:kern w:val="0"/>
                <w:sz w:val="21"/>
                <w:szCs w:val="21"/>
              </w:rPr>
            </w:pPr>
            <w:r>
              <w:rPr>
                <w:rFonts w:hint="eastAsia"/>
                <w:b/>
                <w:bCs/>
                <w:color w:val="auto"/>
                <w:kern w:val="0"/>
                <w:sz w:val="21"/>
                <w:szCs w:val="21"/>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B5306">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b/>
                <w:bCs/>
                <w:color w:val="auto"/>
                <w:kern w:val="0"/>
                <w:sz w:val="21"/>
                <w:szCs w:val="21"/>
              </w:rPr>
            </w:pPr>
            <w:r>
              <w:rPr>
                <w:rFonts w:hint="eastAsia"/>
                <w:b/>
                <w:bCs/>
                <w:color w:val="auto"/>
                <w:kern w:val="0"/>
                <w:sz w:val="21"/>
                <w:szCs w:val="21"/>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CD689">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b/>
                <w:bCs/>
                <w:color w:val="auto"/>
                <w:kern w:val="0"/>
                <w:sz w:val="21"/>
                <w:szCs w:val="21"/>
              </w:rPr>
            </w:pPr>
            <w:r>
              <w:rPr>
                <w:rFonts w:hint="eastAsia"/>
                <w:b/>
                <w:bCs/>
                <w:color w:val="auto"/>
                <w:kern w:val="0"/>
                <w:sz w:val="21"/>
                <w:szCs w:val="21"/>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F18F0">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b/>
                <w:bCs/>
                <w:color w:val="auto"/>
                <w:kern w:val="0"/>
                <w:sz w:val="21"/>
                <w:szCs w:val="21"/>
              </w:rPr>
            </w:pPr>
            <w:r>
              <w:rPr>
                <w:rFonts w:hint="eastAsia"/>
                <w:b/>
                <w:bCs/>
                <w:color w:val="auto"/>
                <w:kern w:val="0"/>
                <w:sz w:val="21"/>
                <w:szCs w:val="21"/>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CA0DB">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b/>
                <w:bCs/>
                <w:color w:val="auto"/>
                <w:kern w:val="0"/>
                <w:sz w:val="21"/>
                <w:szCs w:val="21"/>
              </w:rPr>
            </w:pPr>
            <w:r>
              <w:rPr>
                <w:rFonts w:hint="eastAsia"/>
                <w:b/>
                <w:bCs/>
                <w:color w:val="auto"/>
                <w:kern w:val="0"/>
                <w:sz w:val="21"/>
                <w:szCs w:val="21"/>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3BA17">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b/>
                <w:bCs/>
                <w:color w:val="auto"/>
                <w:kern w:val="0"/>
                <w:sz w:val="21"/>
                <w:szCs w:val="21"/>
              </w:rPr>
            </w:pPr>
            <w:r>
              <w:rPr>
                <w:rFonts w:hint="eastAsia"/>
                <w:b/>
                <w:bCs/>
                <w:color w:val="auto"/>
                <w:kern w:val="0"/>
                <w:sz w:val="21"/>
                <w:szCs w:val="21"/>
              </w:rPr>
              <w:t>合计</w:t>
            </w:r>
          </w:p>
        </w:tc>
      </w:tr>
      <w:tr w14:paraId="3AAE6446">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A0138">
            <w:pPr>
              <w:pageBreakBefore w:val="0"/>
              <w:widowControl/>
              <w:kinsoku/>
              <w:wordWrap/>
              <w:overflowPunct/>
              <w:topLinePunct w:val="0"/>
              <w:autoSpaceDE/>
              <w:autoSpaceDN/>
              <w:bidi w:val="0"/>
              <w:adjustRightInd/>
              <w:snapToGrid w:val="0"/>
              <w:spacing w:line="560" w:lineRule="exact"/>
              <w:ind w:left="0" w:leftChars="0" w:firstLine="420" w:firstLineChars="200"/>
              <w:jc w:val="center"/>
              <w:textAlignment w:val="auto"/>
              <w:rPr>
                <w:rFonts w:hint="eastAsia"/>
                <w:color w:val="auto"/>
                <w:kern w:val="0"/>
                <w:sz w:val="21"/>
                <w:szCs w:val="21"/>
              </w:rPr>
            </w:pPr>
            <w:r>
              <w:rPr>
                <w:rFonts w:hint="eastAsia"/>
                <w:color w:val="auto"/>
                <w:kern w:val="0"/>
                <w:sz w:val="21"/>
                <w:szCs w:val="21"/>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D85C2">
            <w:pPr>
              <w:pageBreakBefore w:val="0"/>
              <w:widowControl/>
              <w:kinsoku/>
              <w:wordWrap/>
              <w:overflowPunct/>
              <w:topLinePunct w:val="0"/>
              <w:autoSpaceDE/>
              <w:autoSpaceDN/>
              <w:bidi w:val="0"/>
              <w:adjustRightInd/>
              <w:snapToGrid w:val="0"/>
              <w:spacing w:line="560" w:lineRule="exact"/>
              <w:ind w:left="0" w:leftChars="0" w:firstLine="420" w:firstLineChars="200"/>
              <w:jc w:val="center"/>
              <w:textAlignment w:val="auto"/>
              <w:rPr>
                <w:rFonts w:hint="eastAsia"/>
                <w:color w:val="auto"/>
                <w:kern w:val="0"/>
                <w:sz w:val="21"/>
                <w:szCs w:val="21"/>
              </w:rPr>
            </w:pPr>
            <w:r>
              <w:rPr>
                <w:rFonts w:hint="eastAsia"/>
                <w:color w:val="auto"/>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110BC">
            <w:pPr>
              <w:pageBreakBefore w:val="0"/>
              <w:widowControl/>
              <w:kinsoku/>
              <w:wordWrap/>
              <w:overflowPunct/>
              <w:topLinePunct w:val="0"/>
              <w:autoSpaceDE/>
              <w:autoSpaceDN/>
              <w:bidi w:val="0"/>
              <w:adjustRightInd/>
              <w:snapToGrid w:val="0"/>
              <w:spacing w:line="560" w:lineRule="exact"/>
              <w:ind w:left="0" w:leftChars="0" w:firstLine="420" w:firstLineChars="200"/>
              <w:jc w:val="center"/>
              <w:textAlignment w:val="auto"/>
              <w:rPr>
                <w:rFonts w:hint="eastAsia"/>
                <w:color w:val="auto"/>
                <w:kern w:val="0"/>
                <w:sz w:val="21"/>
                <w:szCs w:val="21"/>
              </w:rPr>
            </w:pPr>
            <w:r>
              <w:rPr>
                <w:rFonts w:hint="eastAsia"/>
                <w:color w:val="auto"/>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BCB0D">
            <w:pPr>
              <w:pageBreakBefore w:val="0"/>
              <w:widowControl/>
              <w:kinsoku/>
              <w:wordWrap/>
              <w:overflowPunct/>
              <w:topLinePunct w:val="0"/>
              <w:autoSpaceDE/>
              <w:autoSpaceDN/>
              <w:bidi w:val="0"/>
              <w:adjustRightInd/>
              <w:snapToGrid w:val="0"/>
              <w:spacing w:line="560" w:lineRule="exact"/>
              <w:ind w:left="0" w:leftChars="0" w:firstLine="420" w:firstLineChars="200"/>
              <w:jc w:val="center"/>
              <w:textAlignment w:val="auto"/>
              <w:rPr>
                <w:rFonts w:hint="eastAsia"/>
                <w:color w:val="auto"/>
                <w:kern w:val="0"/>
                <w:sz w:val="21"/>
                <w:szCs w:val="21"/>
              </w:rPr>
            </w:pPr>
            <w:r>
              <w:rPr>
                <w:rFonts w:hint="eastAsia"/>
                <w:color w:val="auto"/>
                <w:kern w:val="0"/>
                <w:sz w:val="21"/>
                <w:szCs w:val="21"/>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96188">
            <w:pPr>
              <w:pageBreakBefore w:val="0"/>
              <w:widowControl/>
              <w:kinsoku/>
              <w:wordWrap/>
              <w:overflowPunct/>
              <w:topLinePunct w:val="0"/>
              <w:autoSpaceDE/>
              <w:autoSpaceDN/>
              <w:bidi w:val="0"/>
              <w:adjustRightInd/>
              <w:snapToGrid w:val="0"/>
              <w:spacing w:line="560" w:lineRule="exact"/>
              <w:ind w:left="0" w:leftChars="0" w:firstLine="420" w:firstLineChars="200"/>
              <w:jc w:val="center"/>
              <w:textAlignment w:val="auto"/>
              <w:rPr>
                <w:rFonts w:hint="eastAsia"/>
                <w:color w:val="auto"/>
                <w:kern w:val="0"/>
                <w:sz w:val="21"/>
                <w:szCs w:val="21"/>
              </w:rPr>
            </w:pPr>
            <w:r>
              <w:rPr>
                <w:rFonts w:hint="eastAsia"/>
                <w:color w:val="auto"/>
                <w:kern w:val="0"/>
                <w:sz w:val="21"/>
                <w:szCs w:val="21"/>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F4D89">
            <w:pPr>
              <w:pageBreakBefore w:val="0"/>
              <w:widowControl/>
              <w:kinsoku/>
              <w:wordWrap/>
              <w:overflowPunct/>
              <w:topLinePunct w:val="0"/>
              <w:autoSpaceDE/>
              <w:autoSpaceDN/>
              <w:bidi w:val="0"/>
              <w:adjustRightInd/>
              <w:snapToGrid w:val="0"/>
              <w:spacing w:line="560" w:lineRule="exact"/>
              <w:ind w:left="0" w:leftChars="0" w:firstLine="420" w:firstLineChars="200"/>
              <w:jc w:val="center"/>
              <w:textAlignment w:val="auto"/>
              <w:rPr>
                <w:rFonts w:hint="eastAsia"/>
                <w:color w:val="auto"/>
                <w:kern w:val="0"/>
                <w:sz w:val="21"/>
                <w:szCs w:val="21"/>
              </w:rPr>
            </w:pPr>
            <w:r>
              <w:rPr>
                <w:rFonts w:hint="eastAsia"/>
                <w:color w:val="auto"/>
                <w:kern w:val="0"/>
                <w:sz w:val="21"/>
                <w:szCs w:val="21"/>
              </w:rPr>
              <w:t>100</w:t>
            </w:r>
          </w:p>
        </w:tc>
      </w:tr>
      <w:tr w14:paraId="1519E349">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9B3A9">
            <w:pPr>
              <w:pageBreakBefore w:val="0"/>
              <w:widowControl/>
              <w:kinsoku/>
              <w:wordWrap/>
              <w:overflowPunct/>
              <w:topLinePunct w:val="0"/>
              <w:autoSpaceDE/>
              <w:autoSpaceDN/>
              <w:bidi w:val="0"/>
              <w:adjustRightInd/>
              <w:snapToGrid w:val="0"/>
              <w:spacing w:line="560" w:lineRule="exact"/>
              <w:ind w:left="0" w:leftChars="0" w:firstLine="420" w:firstLineChars="200"/>
              <w:jc w:val="center"/>
              <w:textAlignment w:val="auto"/>
              <w:rPr>
                <w:rFonts w:hint="eastAsia"/>
                <w:color w:val="auto"/>
                <w:kern w:val="0"/>
                <w:sz w:val="21"/>
                <w:szCs w:val="21"/>
              </w:rPr>
            </w:pPr>
            <w:r>
              <w:rPr>
                <w:rFonts w:hint="eastAsia"/>
                <w:color w:val="auto"/>
                <w:kern w:val="0"/>
                <w:sz w:val="21"/>
                <w:szCs w:val="21"/>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E3941">
            <w:pPr>
              <w:pageBreakBefore w:val="0"/>
              <w:widowControl/>
              <w:kinsoku/>
              <w:wordWrap/>
              <w:overflowPunct/>
              <w:topLinePunct w:val="0"/>
              <w:autoSpaceDE/>
              <w:autoSpaceDN/>
              <w:bidi w:val="0"/>
              <w:adjustRightInd/>
              <w:snapToGrid w:val="0"/>
              <w:spacing w:line="560" w:lineRule="exact"/>
              <w:ind w:left="0" w:leftChars="0" w:firstLine="420" w:firstLineChars="200"/>
              <w:jc w:val="center"/>
              <w:textAlignment w:val="auto"/>
              <w:rPr>
                <w:rFonts w:hint="eastAsia"/>
                <w:color w:val="auto"/>
                <w:kern w:val="0"/>
                <w:sz w:val="21"/>
                <w:szCs w:val="21"/>
              </w:rPr>
            </w:pPr>
            <w:r>
              <w:rPr>
                <w:rFonts w:hint="eastAsia"/>
                <w:color w:val="auto"/>
                <w:kern w:val="0"/>
                <w:sz w:val="21"/>
                <w:szCs w:val="21"/>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74ACD">
            <w:pPr>
              <w:pageBreakBefore w:val="0"/>
              <w:widowControl/>
              <w:kinsoku/>
              <w:wordWrap/>
              <w:overflowPunct/>
              <w:topLinePunct w:val="0"/>
              <w:autoSpaceDE/>
              <w:autoSpaceDN/>
              <w:bidi w:val="0"/>
              <w:adjustRightInd/>
              <w:snapToGrid w:val="0"/>
              <w:spacing w:line="560" w:lineRule="exact"/>
              <w:ind w:left="0" w:leftChars="0" w:firstLine="420" w:firstLineChars="200"/>
              <w:jc w:val="center"/>
              <w:textAlignment w:val="auto"/>
              <w:rPr>
                <w:rFonts w:hint="eastAsia"/>
                <w:color w:val="auto"/>
                <w:kern w:val="0"/>
                <w:sz w:val="21"/>
                <w:szCs w:val="21"/>
              </w:rPr>
            </w:pPr>
            <w:r>
              <w:rPr>
                <w:rFonts w:hint="eastAsia"/>
                <w:color w:val="auto"/>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D92A8">
            <w:pPr>
              <w:pageBreakBefore w:val="0"/>
              <w:widowControl/>
              <w:kinsoku/>
              <w:wordWrap/>
              <w:overflowPunct/>
              <w:topLinePunct w:val="0"/>
              <w:autoSpaceDE/>
              <w:autoSpaceDN/>
              <w:bidi w:val="0"/>
              <w:adjustRightInd/>
              <w:snapToGrid w:val="0"/>
              <w:spacing w:line="560" w:lineRule="exact"/>
              <w:ind w:left="0" w:leftChars="0" w:firstLine="420" w:firstLineChars="200"/>
              <w:jc w:val="center"/>
              <w:textAlignment w:val="auto"/>
              <w:rPr>
                <w:rFonts w:hint="eastAsia"/>
                <w:color w:val="auto"/>
                <w:kern w:val="0"/>
                <w:sz w:val="21"/>
                <w:szCs w:val="21"/>
              </w:rPr>
            </w:pPr>
            <w:r>
              <w:rPr>
                <w:rFonts w:hint="eastAsia"/>
                <w:color w:val="auto"/>
                <w:kern w:val="0"/>
                <w:sz w:val="21"/>
                <w:szCs w:val="21"/>
              </w:rPr>
              <w:t>34.88</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01E5B">
            <w:pPr>
              <w:pageBreakBefore w:val="0"/>
              <w:widowControl/>
              <w:kinsoku/>
              <w:wordWrap/>
              <w:overflowPunct/>
              <w:topLinePunct w:val="0"/>
              <w:autoSpaceDE/>
              <w:autoSpaceDN/>
              <w:bidi w:val="0"/>
              <w:adjustRightInd/>
              <w:snapToGrid w:val="0"/>
              <w:spacing w:line="560" w:lineRule="exact"/>
              <w:ind w:left="0" w:leftChars="0" w:firstLine="420" w:firstLineChars="200"/>
              <w:jc w:val="center"/>
              <w:textAlignment w:val="auto"/>
              <w:rPr>
                <w:rFonts w:hint="eastAsia"/>
                <w:color w:val="auto"/>
                <w:kern w:val="0"/>
                <w:sz w:val="21"/>
                <w:szCs w:val="21"/>
              </w:rPr>
            </w:pPr>
            <w:r>
              <w:rPr>
                <w:rFonts w:hint="eastAsia"/>
                <w:color w:val="auto"/>
                <w:kern w:val="0"/>
                <w:sz w:val="21"/>
                <w:szCs w:val="21"/>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97567">
            <w:pPr>
              <w:pageBreakBefore w:val="0"/>
              <w:widowControl/>
              <w:kinsoku/>
              <w:wordWrap/>
              <w:overflowPunct/>
              <w:topLinePunct w:val="0"/>
              <w:autoSpaceDE/>
              <w:autoSpaceDN/>
              <w:bidi w:val="0"/>
              <w:adjustRightInd/>
              <w:snapToGrid w:val="0"/>
              <w:spacing w:line="560" w:lineRule="exact"/>
              <w:ind w:left="0" w:leftChars="0" w:firstLine="420" w:firstLineChars="200"/>
              <w:jc w:val="center"/>
              <w:textAlignment w:val="auto"/>
              <w:rPr>
                <w:rFonts w:hint="eastAsia"/>
                <w:color w:val="auto"/>
                <w:kern w:val="0"/>
                <w:sz w:val="21"/>
                <w:szCs w:val="21"/>
              </w:rPr>
            </w:pPr>
            <w:r>
              <w:rPr>
                <w:rFonts w:hint="eastAsia"/>
                <w:color w:val="auto"/>
                <w:kern w:val="0"/>
                <w:sz w:val="21"/>
                <w:szCs w:val="21"/>
              </w:rPr>
              <w:t>93.88</w:t>
            </w:r>
          </w:p>
        </w:tc>
      </w:tr>
      <w:tr w14:paraId="53BAC57C">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12C88">
            <w:pPr>
              <w:pageBreakBefore w:val="0"/>
              <w:widowControl/>
              <w:kinsoku/>
              <w:wordWrap/>
              <w:overflowPunct/>
              <w:topLinePunct w:val="0"/>
              <w:autoSpaceDE/>
              <w:autoSpaceDN/>
              <w:bidi w:val="0"/>
              <w:adjustRightInd/>
              <w:snapToGrid w:val="0"/>
              <w:spacing w:line="560" w:lineRule="exact"/>
              <w:ind w:left="0" w:leftChars="0" w:firstLine="420" w:firstLineChars="200"/>
              <w:jc w:val="center"/>
              <w:textAlignment w:val="auto"/>
              <w:rPr>
                <w:rFonts w:hint="eastAsia"/>
                <w:color w:val="auto"/>
                <w:kern w:val="0"/>
                <w:sz w:val="21"/>
                <w:szCs w:val="21"/>
              </w:rPr>
            </w:pPr>
            <w:r>
              <w:rPr>
                <w:rFonts w:hint="eastAsia"/>
                <w:color w:val="auto"/>
                <w:kern w:val="0"/>
                <w:sz w:val="21"/>
                <w:szCs w:val="21"/>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61C0D">
            <w:pPr>
              <w:pageBreakBefore w:val="0"/>
              <w:widowControl/>
              <w:kinsoku/>
              <w:wordWrap/>
              <w:overflowPunct/>
              <w:topLinePunct w:val="0"/>
              <w:autoSpaceDE/>
              <w:autoSpaceDN/>
              <w:bidi w:val="0"/>
              <w:adjustRightInd/>
              <w:snapToGrid w:val="0"/>
              <w:spacing w:line="560" w:lineRule="exact"/>
              <w:ind w:left="0" w:leftChars="0" w:firstLine="420" w:firstLineChars="200"/>
              <w:jc w:val="center"/>
              <w:textAlignment w:val="auto"/>
              <w:rPr>
                <w:rFonts w:hint="eastAsia"/>
                <w:color w:val="auto"/>
                <w:kern w:val="0"/>
                <w:sz w:val="21"/>
                <w:szCs w:val="21"/>
              </w:rPr>
            </w:pPr>
            <w:r>
              <w:rPr>
                <w:rFonts w:hint="eastAsia"/>
                <w:color w:val="auto"/>
                <w:kern w:val="0"/>
                <w:sz w:val="21"/>
                <w:szCs w:val="21"/>
              </w:rPr>
              <w:t>95%</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ECC80">
            <w:pPr>
              <w:pageBreakBefore w:val="0"/>
              <w:widowControl/>
              <w:kinsoku/>
              <w:wordWrap/>
              <w:overflowPunct/>
              <w:topLinePunct w:val="0"/>
              <w:autoSpaceDE/>
              <w:autoSpaceDN/>
              <w:bidi w:val="0"/>
              <w:adjustRightInd/>
              <w:snapToGrid w:val="0"/>
              <w:spacing w:line="560" w:lineRule="exact"/>
              <w:ind w:left="0" w:leftChars="0" w:firstLine="420" w:firstLineChars="200"/>
              <w:jc w:val="center"/>
              <w:textAlignment w:val="auto"/>
              <w:rPr>
                <w:rFonts w:hint="eastAsia"/>
                <w:color w:val="auto"/>
                <w:kern w:val="0"/>
                <w:sz w:val="21"/>
                <w:szCs w:val="21"/>
              </w:rPr>
            </w:pPr>
            <w:r>
              <w:rPr>
                <w:rFonts w:hint="eastAsia"/>
                <w:color w:val="auto"/>
                <w:kern w:val="0"/>
                <w:sz w:val="21"/>
                <w:szCs w:val="21"/>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84A07">
            <w:pPr>
              <w:pageBreakBefore w:val="0"/>
              <w:widowControl/>
              <w:kinsoku/>
              <w:wordWrap/>
              <w:overflowPunct/>
              <w:topLinePunct w:val="0"/>
              <w:autoSpaceDE/>
              <w:autoSpaceDN/>
              <w:bidi w:val="0"/>
              <w:adjustRightInd/>
              <w:snapToGrid w:val="0"/>
              <w:spacing w:line="560" w:lineRule="exact"/>
              <w:ind w:left="0" w:leftChars="0" w:firstLine="420" w:firstLineChars="200"/>
              <w:jc w:val="center"/>
              <w:textAlignment w:val="auto"/>
              <w:rPr>
                <w:rFonts w:hint="eastAsia"/>
                <w:color w:val="auto"/>
                <w:kern w:val="0"/>
                <w:sz w:val="21"/>
                <w:szCs w:val="21"/>
              </w:rPr>
            </w:pPr>
            <w:r>
              <w:rPr>
                <w:rFonts w:hint="eastAsia"/>
                <w:color w:val="auto"/>
                <w:kern w:val="0"/>
                <w:sz w:val="21"/>
                <w:szCs w:val="21"/>
              </w:rPr>
              <w:t>87.20%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CE54F">
            <w:pPr>
              <w:pageBreakBefore w:val="0"/>
              <w:widowControl/>
              <w:kinsoku/>
              <w:wordWrap/>
              <w:overflowPunct/>
              <w:topLinePunct w:val="0"/>
              <w:autoSpaceDE/>
              <w:autoSpaceDN/>
              <w:bidi w:val="0"/>
              <w:adjustRightInd/>
              <w:snapToGrid w:val="0"/>
              <w:spacing w:line="560" w:lineRule="exact"/>
              <w:ind w:left="0" w:leftChars="0" w:firstLine="420" w:firstLineChars="200"/>
              <w:jc w:val="center"/>
              <w:textAlignment w:val="auto"/>
              <w:rPr>
                <w:rFonts w:hint="eastAsia"/>
                <w:color w:val="auto"/>
                <w:kern w:val="0"/>
                <w:sz w:val="21"/>
                <w:szCs w:val="21"/>
              </w:rPr>
            </w:pPr>
            <w:r>
              <w:rPr>
                <w:rFonts w:hint="eastAsia"/>
                <w:color w:val="auto"/>
                <w:kern w:val="0"/>
                <w:sz w:val="21"/>
                <w:szCs w:val="21"/>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5B76E">
            <w:pPr>
              <w:pageBreakBefore w:val="0"/>
              <w:widowControl/>
              <w:kinsoku/>
              <w:wordWrap/>
              <w:overflowPunct/>
              <w:topLinePunct w:val="0"/>
              <w:autoSpaceDE/>
              <w:autoSpaceDN/>
              <w:bidi w:val="0"/>
              <w:adjustRightInd/>
              <w:snapToGrid w:val="0"/>
              <w:spacing w:line="560" w:lineRule="exact"/>
              <w:ind w:left="0" w:leftChars="0" w:firstLine="420" w:firstLineChars="200"/>
              <w:jc w:val="center"/>
              <w:textAlignment w:val="auto"/>
              <w:rPr>
                <w:rFonts w:hint="eastAsia"/>
                <w:color w:val="auto"/>
                <w:kern w:val="0"/>
                <w:sz w:val="21"/>
                <w:szCs w:val="21"/>
              </w:rPr>
            </w:pPr>
            <w:r>
              <w:rPr>
                <w:rFonts w:hint="eastAsia"/>
                <w:color w:val="auto"/>
                <w:kern w:val="0"/>
                <w:sz w:val="21"/>
                <w:szCs w:val="21"/>
              </w:rPr>
              <w:t>93.88%</w:t>
            </w:r>
          </w:p>
        </w:tc>
      </w:tr>
    </w:tbl>
    <w:p w14:paraId="3F370DAC">
      <w:pPr>
        <w:pStyle w:val="4"/>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黑体" w:hAnsi="黑体" w:cs="黑体"/>
          <w:color w:val="auto"/>
        </w:rPr>
      </w:pPr>
      <w:bookmarkStart w:id="107" w:name="_Toc14941"/>
      <w:r>
        <w:rPr>
          <w:rFonts w:hint="eastAsia" w:ascii="黑体" w:hAnsi="黑体" w:cs="黑体"/>
          <w:color w:val="auto"/>
        </w:rPr>
        <w:t>四、绩效评价指标分析</w:t>
      </w:r>
      <w:bookmarkEnd w:id="107"/>
    </w:p>
    <w:p w14:paraId="3E146157">
      <w:pPr>
        <w:pStyle w:val="16"/>
        <w:pageBreakBefore w:val="0"/>
        <w:widowControl/>
        <w:kinsoku/>
        <w:wordWrap/>
        <w:overflowPunct/>
        <w:topLinePunct w:val="0"/>
        <w:autoSpaceDE/>
        <w:autoSpaceDN/>
        <w:bidi w:val="0"/>
        <w:adjustRightInd/>
        <w:snapToGrid w:val="0"/>
        <w:spacing w:before="0" w:after="0" w:line="560" w:lineRule="exact"/>
        <w:ind w:left="0" w:leftChars="0" w:firstLine="643" w:firstLineChars="200"/>
        <w:jc w:val="both"/>
        <w:textAlignment w:val="auto"/>
        <w:rPr>
          <w:rFonts w:ascii="Times New Roman" w:hAnsi="Times New Roman" w:eastAsia="楷体_GB2312" w:cs="Times New Roman"/>
          <w:color w:val="auto"/>
          <w:kern w:val="28"/>
          <w:sz w:val="32"/>
        </w:rPr>
      </w:pPr>
      <w:bookmarkStart w:id="108" w:name="_Toc6759"/>
      <w:r>
        <w:rPr>
          <w:rFonts w:hint="eastAsia" w:ascii="Times New Roman" w:hAnsi="Times New Roman" w:eastAsia="楷体_GB2312" w:cs="Times New Roman"/>
          <w:color w:val="auto"/>
          <w:kern w:val="28"/>
          <w:sz w:val="32"/>
        </w:rPr>
        <w:t>（一）项目决策情况</w:t>
      </w:r>
      <w:bookmarkEnd w:id="108"/>
    </w:p>
    <w:p w14:paraId="2EE728FD">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项目决策由3个二级指标和6个三级指标构成，权重分20分，实际得分19分，</w:t>
      </w:r>
      <w:r>
        <w:rPr>
          <w:rFonts w:hint="eastAsia" w:ascii="仿宋_GB2312" w:hAnsi="仿宋_GB2312" w:eastAsia="仿宋_GB2312" w:cs="仿宋_GB2312"/>
          <w:color w:val="auto"/>
          <w:sz w:val="32"/>
          <w:szCs w:val="32"/>
          <w:u w:color="000000"/>
          <w:lang w:val="zh-TW" w:eastAsia="zh-TW"/>
        </w:rPr>
        <w:t>各指标业绩值和绩效分值如表</w:t>
      </w:r>
      <w:r>
        <w:rPr>
          <w:rFonts w:hint="eastAsia" w:ascii="仿宋_GB2312" w:hAnsi="仿宋_GB2312" w:eastAsia="仿宋_GB2312" w:cs="仿宋_GB2312"/>
          <w:b/>
          <w:bCs/>
          <w:color w:val="auto"/>
          <w:sz w:val="32"/>
          <w:szCs w:val="32"/>
          <w:u w:color="000000"/>
        </w:rPr>
        <w:t>4-1</w:t>
      </w:r>
      <w:r>
        <w:rPr>
          <w:rFonts w:hint="eastAsia" w:ascii="仿宋_GB2312" w:hAnsi="仿宋_GB2312" w:eastAsia="仿宋_GB2312" w:cs="仿宋_GB2312"/>
          <w:color w:val="auto"/>
          <w:sz w:val="32"/>
          <w:szCs w:val="32"/>
          <w:u w:color="000000"/>
          <w:lang w:val="zh-TW" w:eastAsia="zh-TW"/>
        </w:rPr>
        <w:t>所示</w:t>
      </w:r>
      <w:r>
        <w:rPr>
          <w:rFonts w:hint="eastAsia" w:ascii="仿宋_GB2312" w:hAnsi="仿宋_GB2312" w:eastAsia="仿宋_GB2312" w:cs="仿宋_GB2312"/>
          <w:b/>
          <w:bCs/>
          <w:color w:val="auto"/>
          <w:sz w:val="32"/>
          <w:szCs w:val="32"/>
          <w:lang w:val="zh-TW"/>
        </w:rPr>
        <w:t>（</w:t>
      </w:r>
      <w:r>
        <w:rPr>
          <w:rFonts w:hint="eastAsia" w:ascii="仿宋_GB2312" w:hAnsi="仿宋_GB2312" w:eastAsia="仿宋_GB2312" w:cs="仿宋_GB2312"/>
          <w:b/>
          <w:bCs/>
          <w:color w:val="auto"/>
          <w:sz w:val="32"/>
          <w:szCs w:val="32"/>
        </w:rPr>
        <w:t>详见上传的附件二</w:t>
      </w:r>
      <w:r>
        <w:rPr>
          <w:rFonts w:hint="eastAsia" w:ascii="仿宋_GB2312" w:hAnsi="仿宋_GB2312" w:eastAsia="仿宋_GB2312" w:cs="仿宋_GB2312"/>
          <w:b/>
          <w:bCs/>
          <w:color w:val="auto"/>
          <w:sz w:val="32"/>
          <w:szCs w:val="32"/>
          <w:lang w:val="zh-TW"/>
        </w:rPr>
        <w:t>）</w:t>
      </w:r>
      <w:r>
        <w:rPr>
          <w:rFonts w:hint="eastAsia" w:ascii="仿宋_GB2312" w:hAnsi="仿宋_GB2312" w:eastAsia="仿宋_GB2312" w:cs="仿宋_GB2312"/>
          <w:color w:val="auto"/>
          <w:sz w:val="32"/>
          <w:szCs w:val="32"/>
        </w:rPr>
        <w:t>：</w:t>
      </w:r>
    </w:p>
    <w:p w14:paraId="751C3857">
      <w:pPr>
        <w:pageBreakBefore w:val="0"/>
        <w:widowControl/>
        <w:kinsoku/>
        <w:wordWrap/>
        <w:overflowPunct/>
        <w:topLinePunct w:val="0"/>
        <w:autoSpaceDE/>
        <w:autoSpaceDN/>
        <w:bidi w:val="0"/>
        <w:adjustRightInd/>
        <w:snapToGrid w:val="0"/>
        <w:spacing w:line="560" w:lineRule="exact"/>
        <w:ind w:left="0" w:leftChars="0" w:firstLine="643" w:firstLineChars="200"/>
        <w:jc w:val="both"/>
        <w:textAlignment w:val="auto"/>
        <w:rPr>
          <w:rFonts w:hint="eastAsia" w:ascii="仿宋_GB2312" w:hAnsi="仿宋_GB2312" w:eastAsia="仿宋_GB2312" w:cs="仿宋_GB2312"/>
          <w:b/>
          <w:bCs/>
          <w:color w:val="auto"/>
          <w:kern w:val="0"/>
          <w:sz w:val="32"/>
          <w:szCs w:val="32"/>
        </w:rPr>
      </w:pPr>
      <w:r>
        <w:rPr>
          <w:rFonts w:hint="eastAsia" w:ascii="仿宋_GB2312" w:hAnsi="仿宋_GB2312" w:eastAsia="仿宋_GB2312" w:cs="仿宋_GB2312"/>
          <w:b/>
          <w:bCs/>
          <w:color w:val="auto"/>
          <w:kern w:val="0"/>
          <w:sz w:val="32"/>
          <w:szCs w:val="32"/>
          <w:lang w:val="zh-TW" w:eastAsia="zh-TW"/>
        </w:rPr>
        <w:t>表</w:t>
      </w:r>
      <w:r>
        <w:rPr>
          <w:rFonts w:hint="eastAsia" w:ascii="仿宋_GB2312" w:hAnsi="仿宋_GB2312" w:eastAsia="仿宋_GB2312" w:cs="仿宋_GB2312"/>
          <w:b/>
          <w:bCs/>
          <w:color w:val="auto"/>
          <w:kern w:val="0"/>
          <w:sz w:val="32"/>
          <w:szCs w:val="32"/>
        </w:rPr>
        <w:t>4-1</w:t>
      </w:r>
      <w:r>
        <w:rPr>
          <w:rFonts w:hint="eastAsia" w:ascii="仿宋_GB2312" w:hAnsi="仿宋_GB2312" w:eastAsia="仿宋_GB2312" w:cs="仿宋_GB2312"/>
          <w:b/>
          <w:bCs/>
          <w:color w:val="auto"/>
          <w:kern w:val="0"/>
          <w:sz w:val="32"/>
          <w:szCs w:val="32"/>
          <w:lang w:val="zh-TW" w:eastAsia="zh-TW"/>
        </w:rPr>
        <w:t>项目决策指标及分值</w:t>
      </w:r>
    </w:p>
    <w:tbl>
      <w:tblPr>
        <w:tblStyle w:val="18"/>
        <w:tblW w:w="8447" w:type="dxa"/>
        <w:jc w:val="center"/>
        <w:tblLayout w:type="fixed"/>
        <w:tblCellMar>
          <w:top w:w="0" w:type="dxa"/>
          <w:left w:w="0" w:type="dxa"/>
          <w:bottom w:w="0" w:type="dxa"/>
          <w:right w:w="0" w:type="dxa"/>
        </w:tblCellMar>
      </w:tblPr>
      <w:tblGrid>
        <w:gridCol w:w="1077"/>
        <w:gridCol w:w="960"/>
        <w:gridCol w:w="1248"/>
        <w:gridCol w:w="797"/>
        <w:gridCol w:w="1871"/>
        <w:gridCol w:w="1417"/>
        <w:gridCol w:w="1077"/>
      </w:tblGrid>
      <w:tr w14:paraId="5F98AAD7">
        <w:tblPrEx>
          <w:tblCellMar>
            <w:top w:w="0" w:type="dxa"/>
            <w:left w:w="0" w:type="dxa"/>
            <w:bottom w:w="0" w:type="dxa"/>
            <w:right w:w="0" w:type="dxa"/>
          </w:tblCellMar>
        </w:tblPrEx>
        <w:trPr>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AA57EB">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b/>
                <w:bCs/>
                <w:color w:val="auto"/>
                <w:kern w:val="0"/>
                <w:sz w:val="20"/>
                <w:szCs w:val="20"/>
              </w:rPr>
            </w:pPr>
            <w:r>
              <w:rPr>
                <w:rFonts w:hint="eastAsia"/>
                <w:b/>
                <w:bCs/>
                <w:color w:val="auto"/>
                <w:kern w:val="0"/>
                <w:sz w:val="20"/>
                <w:szCs w:val="20"/>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FBA504">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b/>
                <w:bCs/>
                <w:color w:val="auto"/>
                <w:kern w:val="0"/>
                <w:sz w:val="20"/>
                <w:szCs w:val="20"/>
              </w:rPr>
            </w:pPr>
            <w:r>
              <w:rPr>
                <w:rFonts w:hint="eastAsia"/>
                <w:b/>
                <w:bCs/>
                <w:color w:val="auto"/>
                <w:kern w:val="0"/>
                <w:sz w:val="20"/>
                <w:szCs w:val="20"/>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F671B4">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b/>
                <w:bCs/>
                <w:color w:val="auto"/>
                <w:kern w:val="0"/>
                <w:sz w:val="20"/>
                <w:szCs w:val="20"/>
              </w:rPr>
            </w:pPr>
            <w:r>
              <w:rPr>
                <w:rFonts w:hint="eastAsia"/>
                <w:b/>
                <w:bCs/>
                <w:color w:val="auto"/>
                <w:kern w:val="0"/>
                <w:sz w:val="20"/>
                <w:szCs w:val="20"/>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4EBC5">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b/>
                <w:bCs/>
                <w:color w:val="auto"/>
                <w:kern w:val="0"/>
                <w:sz w:val="20"/>
                <w:szCs w:val="20"/>
              </w:rPr>
            </w:pPr>
            <w:r>
              <w:rPr>
                <w:rFonts w:hint="eastAsia"/>
                <w:b/>
                <w:bCs/>
                <w:color w:val="auto"/>
                <w:kern w:val="0"/>
                <w:sz w:val="20"/>
                <w:szCs w:val="20"/>
              </w:rPr>
              <w:t>分值</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85B531">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b/>
                <w:bCs/>
                <w:color w:val="auto"/>
                <w:kern w:val="0"/>
                <w:sz w:val="20"/>
                <w:szCs w:val="20"/>
              </w:rPr>
            </w:pPr>
            <w:r>
              <w:rPr>
                <w:rFonts w:hint="eastAsia"/>
                <w:b/>
                <w:bCs/>
                <w:color w:val="auto"/>
                <w:kern w:val="0"/>
                <w:sz w:val="20"/>
                <w:szCs w:val="20"/>
              </w:rPr>
              <w:t>三级指标</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84DD5B">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b/>
                <w:bCs/>
                <w:color w:val="auto"/>
                <w:kern w:val="0"/>
                <w:sz w:val="20"/>
                <w:szCs w:val="20"/>
              </w:rPr>
            </w:pPr>
            <w:r>
              <w:rPr>
                <w:rFonts w:hint="eastAsia"/>
                <w:b/>
                <w:bCs/>
                <w:color w:val="auto"/>
                <w:kern w:val="0"/>
                <w:sz w:val="20"/>
                <w:szCs w:val="20"/>
              </w:rPr>
              <w:t>分值</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2CF3FB">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b/>
                <w:bCs/>
                <w:color w:val="auto"/>
                <w:kern w:val="0"/>
                <w:sz w:val="20"/>
                <w:szCs w:val="20"/>
              </w:rPr>
            </w:pPr>
            <w:r>
              <w:rPr>
                <w:rFonts w:hint="eastAsia"/>
                <w:b/>
                <w:bCs/>
                <w:color w:val="auto"/>
                <w:kern w:val="0"/>
                <w:sz w:val="20"/>
                <w:szCs w:val="20"/>
              </w:rPr>
              <w:t>得分</w:t>
            </w:r>
          </w:p>
        </w:tc>
      </w:tr>
      <w:tr w14:paraId="2305CCDD">
        <w:tblPrEx>
          <w:tblCellMar>
            <w:top w:w="0" w:type="dxa"/>
            <w:left w:w="0" w:type="dxa"/>
            <w:bottom w:w="0" w:type="dxa"/>
            <w:right w:w="0" w:type="dxa"/>
          </w:tblCellMar>
        </w:tblPrEx>
        <w:trPr>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EDEDEF5">
            <w:pPr>
              <w:pageBreakBefore w:val="0"/>
              <w:widowControl/>
              <w:kinsoku/>
              <w:wordWrap/>
              <w:overflowPunct/>
              <w:topLinePunct w:val="0"/>
              <w:autoSpaceDE/>
              <w:autoSpaceDN/>
              <w:bidi w:val="0"/>
              <w:adjustRightInd/>
              <w:snapToGrid w:val="0"/>
              <w:spacing w:line="560" w:lineRule="exact"/>
              <w:ind w:left="0" w:leftChars="0" w:firstLine="0" w:firstLineChars="0"/>
              <w:jc w:val="both"/>
              <w:textAlignment w:val="auto"/>
              <w:rPr>
                <w:rFonts w:hint="eastAsia"/>
                <w:color w:val="auto"/>
                <w:kern w:val="0"/>
                <w:sz w:val="20"/>
                <w:szCs w:val="20"/>
              </w:rPr>
            </w:pPr>
            <w:r>
              <w:rPr>
                <w:rFonts w:hint="eastAsia"/>
                <w:color w:val="auto"/>
                <w:kern w:val="0"/>
                <w:sz w:val="20"/>
                <w:szCs w:val="20"/>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71C4993">
            <w:pPr>
              <w:pageBreakBefore w:val="0"/>
              <w:widowControl/>
              <w:kinsoku/>
              <w:wordWrap/>
              <w:overflowPunct/>
              <w:topLinePunct w:val="0"/>
              <w:autoSpaceDE/>
              <w:autoSpaceDN/>
              <w:bidi w:val="0"/>
              <w:adjustRightInd/>
              <w:snapToGrid w:val="0"/>
              <w:spacing w:line="560" w:lineRule="exact"/>
              <w:ind w:left="0" w:leftChars="0" w:firstLine="400" w:firstLineChars="200"/>
              <w:jc w:val="center"/>
              <w:textAlignment w:val="auto"/>
              <w:rPr>
                <w:rFonts w:hint="eastAsia"/>
                <w:color w:val="auto"/>
                <w:kern w:val="0"/>
                <w:sz w:val="20"/>
                <w:szCs w:val="20"/>
              </w:rPr>
            </w:pPr>
            <w:r>
              <w:rPr>
                <w:rFonts w:hint="eastAsia"/>
                <w:color w:val="auto"/>
                <w:kern w:val="0"/>
                <w:sz w:val="20"/>
                <w:szCs w:val="20"/>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33F6DE3">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3675D01">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67CA67">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立项依据充分性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CC9F7F">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F88F4">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2</w:t>
            </w:r>
          </w:p>
        </w:tc>
      </w:tr>
      <w:tr w14:paraId="4CD798F1">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090F40E">
            <w:pPr>
              <w:pageBreakBefore w:val="0"/>
              <w:widowControl/>
              <w:kinsoku/>
              <w:wordWrap/>
              <w:overflowPunct/>
              <w:topLinePunct w:val="0"/>
              <w:autoSpaceDE/>
              <w:autoSpaceDN/>
              <w:bidi w:val="0"/>
              <w:adjustRightInd/>
              <w:snapToGrid w:val="0"/>
              <w:spacing w:line="560" w:lineRule="exact"/>
              <w:ind w:left="0" w:leftChars="0" w:firstLine="400" w:firstLineChars="200"/>
              <w:jc w:val="center"/>
              <w:textAlignment w:val="auto"/>
              <w:rPr>
                <w:rFonts w:hint="eastAsia"/>
                <w:color w:val="auto"/>
                <w:kern w:val="0"/>
                <w:sz w:val="20"/>
                <w:szCs w:val="20"/>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3EF98A6">
            <w:pPr>
              <w:pageBreakBefore w:val="0"/>
              <w:widowControl/>
              <w:kinsoku/>
              <w:wordWrap/>
              <w:overflowPunct/>
              <w:topLinePunct w:val="0"/>
              <w:autoSpaceDE/>
              <w:autoSpaceDN/>
              <w:bidi w:val="0"/>
              <w:adjustRightInd/>
              <w:snapToGrid w:val="0"/>
              <w:spacing w:line="560" w:lineRule="exact"/>
              <w:ind w:left="0" w:leftChars="0" w:firstLine="400" w:firstLineChars="200"/>
              <w:jc w:val="center"/>
              <w:textAlignment w:val="auto"/>
              <w:rPr>
                <w:rFonts w:hint="eastAsia"/>
                <w:color w:val="auto"/>
                <w:kern w:val="0"/>
                <w:sz w:val="20"/>
                <w:szCs w:val="20"/>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BFF0CB">
            <w:pPr>
              <w:pageBreakBefore w:val="0"/>
              <w:widowControl/>
              <w:kinsoku/>
              <w:wordWrap/>
              <w:overflowPunct/>
              <w:topLinePunct w:val="0"/>
              <w:autoSpaceDE/>
              <w:autoSpaceDN/>
              <w:bidi w:val="0"/>
              <w:adjustRightInd/>
              <w:snapToGrid w:val="0"/>
              <w:spacing w:line="560" w:lineRule="exact"/>
              <w:ind w:left="0" w:leftChars="0" w:firstLine="400" w:firstLineChars="200"/>
              <w:jc w:val="center"/>
              <w:textAlignment w:val="auto"/>
              <w:rPr>
                <w:rFonts w:hint="eastAsia"/>
                <w:color w:val="auto"/>
                <w:kern w:val="0"/>
                <w:sz w:val="20"/>
                <w:szCs w:val="20"/>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58971">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F68AE5">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立项程序规范性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3B3AAD">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46BD43">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2</w:t>
            </w:r>
          </w:p>
        </w:tc>
      </w:tr>
      <w:tr w14:paraId="38B04C9D">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6133B15">
            <w:pPr>
              <w:pageBreakBefore w:val="0"/>
              <w:widowControl/>
              <w:kinsoku/>
              <w:wordWrap/>
              <w:overflowPunct/>
              <w:topLinePunct w:val="0"/>
              <w:autoSpaceDE/>
              <w:autoSpaceDN/>
              <w:bidi w:val="0"/>
              <w:adjustRightInd/>
              <w:snapToGrid w:val="0"/>
              <w:spacing w:line="560" w:lineRule="exact"/>
              <w:ind w:left="0" w:leftChars="0" w:firstLine="400" w:firstLineChars="200"/>
              <w:jc w:val="center"/>
              <w:textAlignment w:val="auto"/>
              <w:rPr>
                <w:rFonts w:hint="eastAsia"/>
                <w:color w:val="auto"/>
                <w:kern w:val="0"/>
                <w:sz w:val="20"/>
                <w:szCs w:val="20"/>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ACE4CD4">
            <w:pPr>
              <w:pageBreakBefore w:val="0"/>
              <w:widowControl/>
              <w:kinsoku/>
              <w:wordWrap/>
              <w:overflowPunct/>
              <w:topLinePunct w:val="0"/>
              <w:autoSpaceDE/>
              <w:autoSpaceDN/>
              <w:bidi w:val="0"/>
              <w:adjustRightInd/>
              <w:snapToGrid w:val="0"/>
              <w:spacing w:line="560" w:lineRule="exact"/>
              <w:ind w:left="0" w:leftChars="0" w:firstLine="400" w:firstLineChars="200"/>
              <w:jc w:val="center"/>
              <w:textAlignment w:val="auto"/>
              <w:rPr>
                <w:rFonts w:hint="eastAsia"/>
                <w:color w:val="auto"/>
                <w:kern w:val="0"/>
                <w:sz w:val="20"/>
                <w:szCs w:val="20"/>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661D55">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02830">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10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9278E7">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绩效目标合理性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3509FD">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CD011C">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5</w:t>
            </w:r>
          </w:p>
        </w:tc>
      </w:tr>
      <w:tr w14:paraId="29608BD4">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E77FAC6">
            <w:pPr>
              <w:pageBreakBefore w:val="0"/>
              <w:widowControl/>
              <w:kinsoku/>
              <w:wordWrap/>
              <w:overflowPunct/>
              <w:topLinePunct w:val="0"/>
              <w:autoSpaceDE/>
              <w:autoSpaceDN/>
              <w:bidi w:val="0"/>
              <w:adjustRightInd/>
              <w:snapToGrid w:val="0"/>
              <w:spacing w:line="560" w:lineRule="exact"/>
              <w:ind w:left="0" w:leftChars="0" w:firstLine="400" w:firstLineChars="200"/>
              <w:jc w:val="center"/>
              <w:textAlignment w:val="auto"/>
              <w:rPr>
                <w:rFonts w:hint="eastAsia"/>
                <w:color w:val="auto"/>
                <w:kern w:val="0"/>
                <w:sz w:val="20"/>
                <w:szCs w:val="20"/>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BDC72AB">
            <w:pPr>
              <w:pageBreakBefore w:val="0"/>
              <w:widowControl/>
              <w:kinsoku/>
              <w:wordWrap/>
              <w:overflowPunct/>
              <w:topLinePunct w:val="0"/>
              <w:autoSpaceDE/>
              <w:autoSpaceDN/>
              <w:bidi w:val="0"/>
              <w:adjustRightInd/>
              <w:snapToGrid w:val="0"/>
              <w:spacing w:line="560" w:lineRule="exact"/>
              <w:ind w:left="0" w:leftChars="0" w:firstLine="400" w:firstLineChars="200"/>
              <w:jc w:val="center"/>
              <w:textAlignment w:val="auto"/>
              <w:rPr>
                <w:rFonts w:hint="eastAsia"/>
                <w:color w:val="auto"/>
                <w:kern w:val="0"/>
                <w:sz w:val="20"/>
                <w:szCs w:val="20"/>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27E3D0">
            <w:pPr>
              <w:pageBreakBefore w:val="0"/>
              <w:widowControl/>
              <w:kinsoku/>
              <w:wordWrap/>
              <w:overflowPunct/>
              <w:topLinePunct w:val="0"/>
              <w:autoSpaceDE/>
              <w:autoSpaceDN/>
              <w:bidi w:val="0"/>
              <w:adjustRightInd/>
              <w:snapToGrid w:val="0"/>
              <w:spacing w:line="560" w:lineRule="exact"/>
              <w:ind w:left="0" w:leftChars="0" w:firstLine="400" w:firstLineChars="200"/>
              <w:jc w:val="center"/>
              <w:textAlignment w:val="auto"/>
              <w:rPr>
                <w:rFonts w:hint="eastAsia"/>
                <w:color w:val="auto"/>
                <w:kern w:val="0"/>
                <w:sz w:val="20"/>
                <w:szCs w:val="20"/>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5B664B">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70533D">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绩效指标明确性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363F13">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E95AA">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5</w:t>
            </w:r>
          </w:p>
        </w:tc>
      </w:tr>
      <w:tr w14:paraId="1D7122C6">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7E0FB29">
            <w:pPr>
              <w:pageBreakBefore w:val="0"/>
              <w:widowControl/>
              <w:kinsoku/>
              <w:wordWrap/>
              <w:overflowPunct/>
              <w:topLinePunct w:val="0"/>
              <w:autoSpaceDE/>
              <w:autoSpaceDN/>
              <w:bidi w:val="0"/>
              <w:adjustRightInd/>
              <w:snapToGrid w:val="0"/>
              <w:spacing w:line="560" w:lineRule="exact"/>
              <w:ind w:left="0" w:leftChars="0" w:firstLine="400" w:firstLineChars="200"/>
              <w:jc w:val="center"/>
              <w:textAlignment w:val="auto"/>
              <w:rPr>
                <w:rFonts w:hint="eastAsia"/>
                <w:color w:val="auto"/>
                <w:kern w:val="0"/>
                <w:sz w:val="20"/>
                <w:szCs w:val="20"/>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D10481D">
            <w:pPr>
              <w:pageBreakBefore w:val="0"/>
              <w:widowControl/>
              <w:kinsoku/>
              <w:wordWrap/>
              <w:overflowPunct/>
              <w:topLinePunct w:val="0"/>
              <w:autoSpaceDE/>
              <w:autoSpaceDN/>
              <w:bidi w:val="0"/>
              <w:adjustRightInd/>
              <w:snapToGrid w:val="0"/>
              <w:spacing w:line="560" w:lineRule="exact"/>
              <w:ind w:left="0" w:leftChars="0" w:firstLine="400" w:firstLineChars="200"/>
              <w:jc w:val="center"/>
              <w:textAlignment w:val="auto"/>
              <w:rPr>
                <w:rFonts w:hint="eastAsia"/>
                <w:color w:val="auto"/>
                <w:kern w:val="0"/>
                <w:sz w:val="20"/>
                <w:szCs w:val="20"/>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4AB2985">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564BADD">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61B18A">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预算编制科学性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E4BB59">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F4125C">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2</w:t>
            </w:r>
          </w:p>
        </w:tc>
      </w:tr>
      <w:tr w14:paraId="7A3827CE">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4FC71F">
            <w:pPr>
              <w:pageBreakBefore w:val="0"/>
              <w:widowControl/>
              <w:kinsoku/>
              <w:wordWrap/>
              <w:overflowPunct/>
              <w:topLinePunct w:val="0"/>
              <w:autoSpaceDE/>
              <w:autoSpaceDN/>
              <w:bidi w:val="0"/>
              <w:adjustRightInd/>
              <w:snapToGrid w:val="0"/>
              <w:spacing w:line="560" w:lineRule="exact"/>
              <w:ind w:left="0" w:leftChars="0" w:firstLine="400" w:firstLineChars="200"/>
              <w:jc w:val="center"/>
              <w:textAlignment w:val="auto"/>
              <w:rPr>
                <w:rFonts w:hint="eastAsia"/>
                <w:color w:val="auto"/>
                <w:kern w:val="0"/>
                <w:sz w:val="20"/>
                <w:szCs w:val="20"/>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96A4C9">
            <w:pPr>
              <w:pageBreakBefore w:val="0"/>
              <w:widowControl/>
              <w:kinsoku/>
              <w:wordWrap/>
              <w:overflowPunct/>
              <w:topLinePunct w:val="0"/>
              <w:autoSpaceDE/>
              <w:autoSpaceDN/>
              <w:bidi w:val="0"/>
              <w:adjustRightInd/>
              <w:snapToGrid w:val="0"/>
              <w:spacing w:line="560" w:lineRule="exact"/>
              <w:ind w:left="0" w:leftChars="0" w:firstLine="400" w:firstLineChars="200"/>
              <w:jc w:val="center"/>
              <w:textAlignment w:val="auto"/>
              <w:rPr>
                <w:rFonts w:hint="eastAsia"/>
                <w:color w:val="auto"/>
                <w:kern w:val="0"/>
                <w:sz w:val="20"/>
                <w:szCs w:val="20"/>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3C9985">
            <w:pPr>
              <w:pageBreakBefore w:val="0"/>
              <w:widowControl/>
              <w:kinsoku/>
              <w:wordWrap/>
              <w:overflowPunct/>
              <w:topLinePunct w:val="0"/>
              <w:autoSpaceDE/>
              <w:autoSpaceDN/>
              <w:bidi w:val="0"/>
              <w:adjustRightInd/>
              <w:snapToGrid w:val="0"/>
              <w:spacing w:line="560" w:lineRule="exact"/>
              <w:ind w:left="0" w:leftChars="0" w:firstLine="400" w:firstLineChars="200"/>
              <w:jc w:val="center"/>
              <w:textAlignment w:val="auto"/>
              <w:rPr>
                <w:rFonts w:hint="eastAsia"/>
                <w:color w:val="auto"/>
                <w:kern w:val="0"/>
                <w:sz w:val="20"/>
                <w:szCs w:val="20"/>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DA6FBD">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FD7934">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资金分配合理性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1FAE0A">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6469B5">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3</w:t>
            </w:r>
          </w:p>
        </w:tc>
      </w:tr>
      <w:tr w14:paraId="76F9ADA3">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5C0F22">
            <w:pPr>
              <w:pageBreakBefore w:val="0"/>
              <w:widowControl/>
              <w:kinsoku/>
              <w:wordWrap/>
              <w:overflowPunct/>
              <w:topLinePunct w:val="0"/>
              <w:autoSpaceDE/>
              <w:autoSpaceDN/>
              <w:bidi w:val="0"/>
              <w:adjustRightInd/>
              <w:snapToGrid w:val="0"/>
              <w:spacing w:line="560" w:lineRule="exact"/>
              <w:ind w:left="0" w:leftChars="0" w:firstLine="400" w:firstLineChars="200"/>
              <w:jc w:val="center"/>
              <w:textAlignment w:val="auto"/>
              <w:rPr>
                <w:rFonts w:hint="eastAsia"/>
                <w:color w:val="auto"/>
                <w:kern w:val="0"/>
                <w:sz w:val="20"/>
                <w:szCs w:val="20"/>
              </w:rPr>
            </w:pPr>
            <w:r>
              <w:rPr>
                <w:rFonts w:hint="eastAsia"/>
                <w:color w:val="auto"/>
                <w:kern w:val="0"/>
                <w:sz w:val="20"/>
                <w:szCs w:val="20"/>
              </w:rPr>
              <w:t>合计</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BD6A97">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20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AED129">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9AF579">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20</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C82328">
            <w:pPr>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color w:val="auto"/>
                <w:kern w:val="0"/>
                <w:sz w:val="20"/>
                <w:szCs w:val="20"/>
              </w:rPr>
            </w:pPr>
            <w:r>
              <w:rPr>
                <w:rFonts w:hint="eastAsia"/>
                <w:color w:val="auto"/>
                <w:kern w:val="0"/>
                <w:sz w:val="20"/>
                <w:szCs w:val="20"/>
              </w:rPr>
              <w:t>19</w:t>
            </w:r>
          </w:p>
        </w:tc>
      </w:tr>
    </w:tbl>
    <w:p w14:paraId="63874D02">
      <w:pPr>
        <w:keepNext w:val="0"/>
        <w:keepLines w:val="0"/>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outlineLvl w:val="2"/>
        <w:rPr>
          <w:rFonts w:hint="eastAsia" w:ascii="仿宋_GB2312" w:hAnsi="仿宋_GB2312" w:eastAsia="仿宋_GB2312" w:cs="仿宋_GB2312"/>
          <w:b/>
          <w:bCs/>
          <w:color w:val="auto"/>
          <w:sz w:val="32"/>
          <w:szCs w:val="32"/>
        </w:rPr>
      </w:pPr>
      <w:bookmarkStart w:id="109" w:name="_Toc28069"/>
      <w:bookmarkStart w:id="110" w:name="_Toc13522"/>
      <w:r>
        <w:rPr>
          <w:rFonts w:hint="eastAsia" w:ascii="仿宋_GB2312" w:hAnsi="仿宋_GB2312" w:eastAsia="仿宋_GB2312" w:cs="仿宋_GB2312"/>
          <w:b/>
          <w:bCs/>
          <w:color w:val="auto"/>
          <w:sz w:val="32"/>
          <w:szCs w:val="32"/>
        </w:rPr>
        <w:t>1.立项依据充分性</w:t>
      </w:r>
      <w:bookmarkEnd w:id="109"/>
      <w:bookmarkEnd w:id="110"/>
    </w:p>
    <w:p w14:paraId="63141C22">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①项目立项符合《关于印发国民健康政策纲要（2019-2030年）的通知》；</w:t>
      </w:r>
    </w:p>
    <w:p w14:paraId="15882F6D">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②项目立项符合各级卫生健康行政部门要在健康体检工作中加强健康管理服务能力建设，提高健康管理服务；</w:t>
      </w:r>
    </w:p>
    <w:p w14:paraId="249031BB">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③项目立项与切实保障辖区内居民全民健康体检、提升居民健康意识的部门职责范围相符，属于部门履职所需；</w:t>
      </w:r>
    </w:p>
    <w:p w14:paraId="4AD09133">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④项目属于公共财政支持范围，符合中央、地方事权支出责任划分原则；</w:t>
      </w:r>
    </w:p>
    <w:p w14:paraId="3E5F2932">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⑤项目与相关部门同类项目、部门内部相关项目不重复。</w:t>
      </w:r>
    </w:p>
    <w:p w14:paraId="63BC2A92">
      <w:pPr>
        <w:keepNext w:val="0"/>
        <w:keepLines w:val="0"/>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综上，该项指标满分2分，得分2分。</w:t>
      </w:r>
    </w:p>
    <w:p w14:paraId="44BA00D9">
      <w:pPr>
        <w:keepNext w:val="0"/>
        <w:keepLines w:val="0"/>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outlineLvl w:val="2"/>
        <w:rPr>
          <w:rFonts w:hint="eastAsia" w:ascii="仿宋_GB2312" w:hAnsi="仿宋_GB2312" w:eastAsia="仿宋_GB2312" w:cs="仿宋_GB2312"/>
          <w:b/>
          <w:bCs/>
          <w:color w:val="auto"/>
          <w:sz w:val="32"/>
          <w:szCs w:val="32"/>
        </w:rPr>
      </w:pPr>
      <w:bookmarkStart w:id="111" w:name="_Toc21976"/>
      <w:bookmarkStart w:id="112" w:name="_Toc23240"/>
      <w:r>
        <w:rPr>
          <w:rFonts w:hint="eastAsia" w:ascii="仿宋_GB2312" w:hAnsi="仿宋_GB2312" w:eastAsia="仿宋_GB2312" w:cs="仿宋_GB2312"/>
          <w:b/>
          <w:bCs/>
          <w:color w:val="auto"/>
          <w:sz w:val="32"/>
          <w:szCs w:val="32"/>
        </w:rPr>
        <w:t>2.立项程序规范性</w:t>
      </w:r>
      <w:bookmarkEnd w:id="111"/>
      <w:bookmarkEnd w:id="112"/>
    </w:p>
    <w:p w14:paraId="2EBF6E8F">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①项目按照规定的程序申请设立；</w:t>
      </w:r>
    </w:p>
    <w:p w14:paraId="010122BE">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②审批文件、材料符合相关要求；</w:t>
      </w:r>
    </w:p>
    <w:p w14:paraId="239E8EBE">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③事前未经过必要的可行性研究、专家论证、风险评估、绩效评估、集体决策，扣1分。</w:t>
      </w:r>
    </w:p>
    <w:p w14:paraId="125A32DA">
      <w:pPr>
        <w:keepNext w:val="0"/>
        <w:keepLines w:val="0"/>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综上，该项指标满分3分，得分2分。</w:t>
      </w:r>
    </w:p>
    <w:p w14:paraId="295D8E8E">
      <w:pPr>
        <w:keepNext w:val="0"/>
        <w:keepLines w:val="0"/>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outlineLvl w:val="2"/>
        <w:rPr>
          <w:rFonts w:hint="eastAsia" w:ascii="仿宋_GB2312" w:hAnsi="仿宋_GB2312" w:eastAsia="仿宋_GB2312" w:cs="仿宋_GB2312"/>
          <w:b/>
          <w:bCs/>
          <w:color w:val="auto"/>
          <w:sz w:val="32"/>
          <w:szCs w:val="32"/>
        </w:rPr>
      </w:pPr>
      <w:bookmarkStart w:id="113" w:name="_Toc15382"/>
      <w:bookmarkStart w:id="114" w:name="_Toc23542"/>
      <w:r>
        <w:rPr>
          <w:rFonts w:hint="eastAsia" w:ascii="仿宋_GB2312" w:hAnsi="仿宋_GB2312" w:eastAsia="仿宋_GB2312" w:cs="仿宋_GB2312"/>
          <w:b/>
          <w:bCs/>
          <w:color w:val="auto"/>
          <w:sz w:val="32"/>
          <w:szCs w:val="32"/>
        </w:rPr>
        <w:t>3.绩效目标合理性</w:t>
      </w:r>
      <w:bookmarkEnd w:id="113"/>
      <w:bookmarkEnd w:id="114"/>
    </w:p>
    <w:p w14:paraId="0532A602">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①该项目已设置年度绩效目标。</w:t>
      </w:r>
    </w:p>
    <w:p w14:paraId="03175058">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②该项目实际工作内容为：辖区内居民常规健康检查。绩效目标与实际工作内容一致，两者具有相关性。</w:t>
      </w:r>
    </w:p>
    <w:p w14:paraId="3071DEE1">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③该项目按照绩效目标完成数量指标、质量指标、时效指标、成本指标，完成了全民健康体检人数12822次、系统录入人次12822人次、胸部X线完成人次12822人次、全民健康体检完成率100%、系统录入合格率100%、全民健康体检工作完成及时率100%，于2024年12月完成、体检检验试剂投入48万元、日常运行办公投入10.46万元，体检居民满意度达到99.4%，达到逐步提高居民健康水平效益，预期产出效益和效果符合正常的业绩水平。</w:t>
      </w:r>
    </w:p>
    <w:p w14:paraId="1B802197">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④《项目支出绩效目标表》中预算金额为58.27万元，预算确定的项目资金与预算确定的项目投资额相匹配。</w:t>
      </w:r>
    </w:p>
    <w:p w14:paraId="1D956766">
      <w:pPr>
        <w:keepNext w:val="0"/>
        <w:keepLines w:val="0"/>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综上，该项指标满分5分，得分5分。</w:t>
      </w:r>
    </w:p>
    <w:p w14:paraId="07AC8578">
      <w:pPr>
        <w:keepNext w:val="0"/>
        <w:keepLines w:val="0"/>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outlineLvl w:val="2"/>
        <w:rPr>
          <w:rFonts w:hint="eastAsia" w:ascii="仿宋_GB2312" w:hAnsi="仿宋_GB2312" w:eastAsia="仿宋_GB2312" w:cs="仿宋_GB2312"/>
          <w:b/>
          <w:bCs/>
          <w:color w:val="auto"/>
          <w:sz w:val="32"/>
          <w:szCs w:val="32"/>
        </w:rPr>
      </w:pPr>
      <w:bookmarkStart w:id="115" w:name="_Toc18198"/>
      <w:bookmarkStart w:id="116" w:name="_Toc10650"/>
      <w:r>
        <w:rPr>
          <w:rFonts w:hint="eastAsia" w:ascii="仿宋_GB2312" w:hAnsi="仿宋_GB2312" w:eastAsia="仿宋_GB2312" w:cs="仿宋_GB2312"/>
          <w:b/>
          <w:bCs/>
          <w:color w:val="auto"/>
          <w:sz w:val="32"/>
          <w:szCs w:val="32"/>
        </w:rPr>
        <w:t>4.绩效指标明确性</w:t>
      </w:r>
      <w:bookmarkEnd w:id="115"/>
      <w:bookmarkEnd w:id="116"/>
    </w:p>
    <w:p w14:paraId="0088FA6B">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①将项目绩效目标细化分解为具体的绩效指标，其中三级指标共计11个；</w:t>
      </w:r>
    </w:p>
    <w:p w14:paraId="21FB7DFA">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②通过清晰、可衡量的指标值予以体现，量化率达到81.81%；</w:t>
      </w:r>
    </w:p>
    <w:p w14:paraId="481CAA43">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③《项目绩效目标申报表》中，三级指标的年度指标值与年度绩效目标中任务数一致。</w:t>
      </w:r>
    </w:p>
    <w:p w14:paraId="0EBCB026">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已设置的绩效目标具备明确性、可衡量性、可实现性、相关性、时限性。</w:t>
      </w:r>
    </w:p>
    <w:p w14:paraId="77BE532E">
      <w:pPr>
        <w:keepNext w:val="0"/>
        <w:keepLines w:val="0"/>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综上，该项指标满分5分，得分5分。</w:t>
      </w:r>
    </w:p>
    <w:p w14:paraId="5B8A0073">
      <w:pPr>
        <w:keepNext w:val="0"/>
        <w:keepLines w:val="0"/>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outlineLvl w:val="2"/>
        <w:rPr>
          <w:rFonts w:hint="eastAsia" w:ascii="仿宋_GB2312" w:hAnsi="仿宋_GB2312" w:eastAsia="仿宋_GB2312" w:cs="仿宋_GB2312"/>
          <w:b/>
          <w:bCs/>
          <w:color w:val="auto"/>
          <w:sz w:val="32"/>
          <w:szCs w:val="32"/>
        </w:rPr>
      </w:pPr>
      <w:bookmarkStart w:id="117" w:name="_Toc19401"/>
      <w:bookmarkStart w:id="118" w:name="_Toc8296"/>
      <w:r>
        <w:rPr>
          <w:rFonts w:hint="eastAsia" w:ascii="仿宋_GB2312" w:hAnsi="仿宋_GB2312" w:eastAsia="仿宋_GB2312" w:cs="仿宋_GB2312"/>
          <w:b/>
          <w:bCs/>
          <w:color w:val="auto"/>
          <w:sz w:val="32"/>
          <w:szCs w:val="32"/>
        </w:rPr>
        <w:t>5.预算编制科学性</w:t>
      </w:r>
      <w:bookmarkEnd w:id="117"/>
      <w:bookmarkEnd w:id="118"/>
    </w:p>
    <w:p w14:paraId="5840159D">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①根据项目预算批复，项目的预算编制经过科学论证；</w:t>
      </w:r>
    </w:p>
    <w:p w14:paraId="2D8A2012">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②预算申请内容为2024年自治区公共卫生服务（地方公卫）全民健康体检补助资金，项目实际内容为2024年自治区公共卫生服务（地方公卫）全民健康体检补助资金，预算申请与项目内容匹配；</w:t>
      </w:r>
    </w:p>
    <w:p w14:paraId="26FD2BEE">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③项目预算申请资金58.27万元，我单位在预算申请中严格按照项目实施内容及测算标准进行核算，其中：体检检验试剂投入费用48万元、日常运行办公投入费用10.27万元。</w:t>
      </w:r>
    </w:p>
    <w:p w14:paraId="481886B1">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④预算确定资金量与实际工作任务相匹配。项目预算额度测算依据充分，严格按照标准编制，项目资金量与项目实施内容相匹配。</w:t>
      </w:r>
    </w:p>
    <w:p w14:paraId="6FF40047">
      <w:pPr>
        <w:keepNext w:val="0"/>
        <w:keepLines w:val="0"/>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综上，该项指标满分2分，得分2分。</w:t>
      </w:r>
    </w:p>
    <w:p w14:paraId="7EBB84AC">
      <w:pPr>
        <w:keepNext w:val="0"/>
        <w:keepLines w:val="0"/>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outlineLvl w:val="2"/>
        <w:rPr>
          <w:rFonts w:hint="eastAsia" w:ascii="仿宋_GB2312" w:hAnsi="仿宋_GB2312" w:eastAsia="仿宋_GB2312" w:cs="仿宋_GB2312"/>
          <w:b/>
          <w:bCs/>
          <w:color w:val="auto"/>
          <w:sz w:val="32"/>
          <w:szCs w:val="32"/>
        </w:rPr>
      </w:pPr>
      <w:bookmarkStart w:id="119" w:name="_Toc697"/>
      <w:bookmarkStart w:id="120" w:name="_Toc20556"/>
      <w:r>
        <w:rPr>
          <w:rFonts w:hint="eastAsia" w:ascii="仿宋_GB2312" w:hAnsi="仿宋_GB2312" w:eastAsia="仿宋_GB2312" w:cs="仿宋_GB2312"/>
          <w:b/>
          <w:bCs/>
          <w:color w:val="auto"/>
          <w:sz w:val="32"/>
          <w:szCs w:val="32"/>
        </w:rPr>
        <w:t>6.资金分配合理性</w:t>
      </w:r>
      <w:bookmarkEnd w:id="119"/>
      <w:bookmarkEnd w:id="120"/>
    </w:p>
    <w:p w14:paraId="7ADDB570">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①项目实际分配资金以</w:t>
      </w:r>
      <w:r>
        <w:rPr>
          <w:rFonts w:hint="eastAsia" w:ascii="仿宋_GB2312" w:hAnsi="仿宋_GB2312" w:eastAsia="仿宋_GB2312" w:cs="仿宋_GB2312"/>
          <w:color w:val="auto"/>
          <w:sz w:val="32"/>
          <w:szCs w:val="32"/>
          <w:lang w:eastAsia="zh-Hans"/>
        </w:rPr>
        <w:t>《关于</w:t>
      </w:r>
      <w:r>
        <w:rPr>
          <w:rFonts w:hint="eastAsia" w:ascii="仿宋_GB2312" w:hAnsi="仿宋_GB2312" w:eastAsia="仿宋_GB2312" w:cs="仿宋_GB2312"/>
          <w:color w:val="auto"/>
          <w:sz w:val="32"/>
          <w:szCs w:val="32"/>
        </w:rPr>
        <w:t>申请2024年自治区公共卫生服务（地方公卫）全民健康体检补助资金项目资金的请示</w:t>
      </w:r>
      <w:r>
        <w:rPr>
          <w:rFonts w:hint="eastAsia" w:ascii="仿宋_GB2312" w:hAnsi="仿宋_GB2312" w:eastAsia="仿宋_GB2312" w:cs="仿宋_GB2312"/>
          <w:color w:val="auto"/>
          <w:sz w:val="32"/>
          <w:szCs w:val="32"/>
          <w:lang w:eastAsia="zh-Hans"/>
        </w:rPr>
        <w:t>》为依据进行资金分配，预算资金分配依据充分</w:t>
      </w:r>
      <w:r>
        <w:rPr>
          <w:rFonts w:hint="eastAsia" w:ascii="仿宋_GB2312" w:hAnsi="仿宋_GB2312" w:eastAsia="仿宋_GB2312" w:cs="仿宋_GB2312"/>
          <w:color w:val="auto"/>
          <w:sz w:val="32"/>
          <w:szCs w:val="32"/>
        </w:rPr>
        <w:t>。</w:t>
      </w:r>
    </w:p>
    <w:p w14:paraId="12D1FCAA">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②项目实际到位资金58.27万元，资金分配额度合理，与项目单位及项目实际实施情况相适应。</w:t>
      </w:r>
    </w:p>
    <w:p w14:paraId="1CD6BC9C">
      <w:pPr>
        <w:keepNext w:val="0"/>
        <w:keepLines w:val="0"/>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color w:val="auto"/>
        </w:rPr>
      </w:pPr>
      <w:r>
        <w:rPr>
          <w:rFonts w:hint="eastAsia" w:ascii="仿宋_GB2312" w:hAnsi="仿宋_GB2312" w:eastAsia="仿宋_GB2312" w:cs="仿宋_GB2312"/>
          <w:b/>
          <w:bCs/>
          <w:color w:val="auto"/>
          <w:sz w:val="32"/>
          <w:szCs w:val="32"/>
        </w:rPr>
        <w:t>综上，该项指标满分3分，得分3分。</w:t>
      </w:r>
    </w:p>
    <w:p w14:paraId="750E5EA5">
      <w:pPr>
        <w:pStyle w:val="16"/>
        <w:keepNext w:val="0"/>
        <w:keepLines w:val="0"/>
        <w:pageBreakBefore w:val="0"/>
        <w:widowControl/>
        <w:kinsoku/>
        <w:wordWrap/>
        <w:overflowPunct/>
        <w:topLinePunct w:val="0"/>
        <w:autoSpaceDE/>
        <w:autoSpaceDN/>
        <w:bidi w:val="0"/>
        <w:adjustRightInd/>
        <w:snapToGrid w:val="0"/>
        <w:spacing w:before="0" w:after="0" w:line="560" w:lineRule="exact"/>
        <w:ind w:left="0" w:leftChars="0" w:firstLine="643" w:firstLineChars="200"/>
        <w:jc w:val="both"/>
        <w:textAlignment w:val="auto"/>
        <w:rPr>
          <w:rFonts w:ascii="Times New Roman" w:hAnsi="Times New Roman" w:eastAsia="楷体" w:cs="Times New Roman"/>
          <w:color w:val="auto"/>
          <w:kern w:val="28"/>
          <w:sz w:val="32"/>
        </w:rPr>
      </w:pPr>
      <w:bookmarkStart w:id="121" w:name="_Toc10564"/>
      <w:r>
        <w:rPr>
          <w:rFonts w:hint="eastAsia" w:ascii="Times New Roman" w:hAnsi="Times New Roman" w:eastAsia="楷体" w:cs="Times New Roman"/>
          <w:color w:val="auto"/>
          <w:kern w:val="28"/>
          <w:sz w:val="32"/>
        </w:rPr>
        <w:t>（二）项目过程情况</w:t>
      </w:r>
      <w:bookmarkEnd w:id="121"/>
    </w:p>
    <w:p w14:paraId="4351E610">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u w:color="000000"/>
          <w:lang w:val="zh-TW" w:eastAsia="zh-TW"/>
        </w:rPr>
      </w:pPr>
      <w:r>
        <w:rPr>
          <w:rFonts w:hint="eastAsia" w:ascii="仿宋_GB2312" w:hAnsi="仿宋_GB2312" w:eastAsia="仿宋_GB2312" w:cs="仿宋_GB2312"/>
          <w:color w:val="auto"/>
          <w:sz w:val="32"/>
          <w:szCs w:val="32"/>
          <w:u w:color="000000"/>
          <w:lang w:val="zh-TW" w:eastAsia="zh-TW"/>
        </w:rPr>
        <w:t>项目</w:t>
      </w:r>
      <w:r>
        <w:rPr>
          <w:rFonts w:hint="eastAsia" w:ascii="仿宋_GB2312" w:hAnsi="仿宋_GB2312" w:eastAsia="仿宋_GB2312" w:cs="仿宋_GB2312"/>
          <w:color w:val="auto"/>
          <w:sz w:val="32"/>
          <w:szCs w:val="32"/>
        </w:rPr>
        <w:t>过程</w:t>
      </w:r>
      <w:r>
        <w:rPr>
          <w:rFonts w:hint="eastAsia" w:ascii="仿宋_GB2312" w:hAnsi="仿宋_GB2312" w:eastAsia="仿宋_GB2312" w:cs="仿宋_GB2312"/>
          <w:color w:val="auto"/>
          <w:sz w:val="32"/>
          <w:szCs w:val="32"/>
          <w:u w:color="000000"/>
        </w:rPr>
        <w:t>管理</w:t>
      </w:r>
      <w:r>
        <w:rPr>
          <w:rFonts w:hint="eastAsia" w:ascii="仿宋_GB2312" w:hAnsi="仿宋_GB2312" w:eastAsia="仿宋_GB2312" w:cs="仿宋_GB2312"/>
          <w:color w:val="auto"/>
          <w:sz w:val="32"/>
          <w:szCs w:val="32"/>
          <w:u w:color="000000"/>
          <w:lang w:val="zh-TW" w:eastAsia="zh-TW"/>
        </w:rPr>
        <w:t>类指标由</w:t>
      </w:r>
      <w:r>
        <w:rPr>
          <w:rFonts w:hint="eastAsia" w:ascii="仿宋_GB2312" w:hAnsi="仿宋_GB2312" w:eastAsia="仿宋_GB2312" w:cs="仿宋_GB2312"/>
          <w:color w:val="auto"/>
          <w:sz w:val="32"/>
          <w:szCs w:val="32"/>
          <w:u w:color="000000"/>
        </w:rPr>
        <w:t>2</w:t>
      </w:r>
      <w:r>
        <w:rPr>
          <w:rFonts w:hint="eastAsia" w:ascii="仿宋_GB2312" w:hAnsi="仿宋_GB2312" w:eastAsia="仿宋_GB2312" w:cs="仿宋_GB2312"/>
          <w:color w:val="auto"/>
          <w:sz w:val="32"/>
          <w:szCs w:val="32"/>
          <w:u w:color="000000"/>
          <w:lang w:val="zh-TW" w:eastAsia="zh-TW"/>
        </w:rPr>
        <w:t>个</w:t>
      </w:r>
      <w:r>
        <w:rPr>
          <w:rFonts w:hint="eastAsia" w:ascii="仿宋_GB2312" w:hAnsi="仿宋_GB2312" w:eastAsia="仿宋_GB2312" w:cs="仿宋_GB2312"/>
          <w:color w:val="auto"/>
          <w:sz w:val="32"/>
          <w:szCs w:val="32"/>
          <w:u w:color="000000"/>
          <w:lang w:val="zh-TW"/>
        </w:rPr>
        <w:t>二</w:t>
      </w:r>
      <w:r>
        <w:rPr>
          <w:rFonts w:hint="eastAsia" w:ascii="仿宋_GB2312" w:hAnsi="仿宋_GB2312" w:eastAsia="仿宋_GB2312" w:cs="仿宋_GB2312"/>
          <w:color w:val="auto"/>
          <w:sz w:val="32"/>
          <w:szCs w:val="32"/>
          <w:u w:color="000000"/>
          <w:lang w:val="zh-TW" w:eastAsia="zh-TW"/>
        </w:rPr>
        <w:t>级指标和</w:t>
      </w:r>
      <w:r>
        <w:rPr>
          <w:rFonts w:hint="eastAsia" w:ascii="仿宋_GB2312" w:hAnsi="仿宋_GB2312" w:eastAsia="仿宋_GB2312" w:cs="仿宋_GB2312"/>
          <w:color w:val="auto"/>
          <w:sz w:val="32"/>
          <w:szCs w:val="32"/>
          <w:u w:color="000000"/>
        </w:rPr>
        <w:t>5</w:t>
      </w:r>
      <w:r>
        <w:rPr>
          <w:rFonts w:hint="eastAsia" w:ascii="仿宋_GB2312" w:hAnsi="仿宋_GB2312" w:eastAsia="仿宋_GB2312" w:cs="仿宋_GB2312"/>
          <w:color w:val="auto"/>
          <w:sz w:val="32"/>
          <w:szCs w:val="32"/>
          <w:u w:color="000000"/>
          <w:lang w:val="zh-TW" w:eastAsia="zh-TW"/>
        </w:rPr>
        <w:t>个</w:t>
      </w:r>
      <w:r>
        <w:rPr>
          <w:rFonts w:hint="eastAsia" w:ascii="仿宋_GB2312" w:hAnsi="仿宋_GB2312" w:eastAsia="仿宋_GB2312" w:cs="仿宋_GB2312"/>
          <w:color w:val="auto"/>
          <w:sz w:val="32"/>
          <w:szCs w:val="32"/>
          <w:u w:color="000000"/>
        </w:rPr>
        <w:t>三</w:t>
      </w:r>
      <w:r>
        <w:rPr>
          <w:rFonts w:hint="eastAsia" w:ascii="仿宋_GB2312" w:hAnsi="仿宋_GB2312" w:eastAsia="仿宋_GB2312" w:cs="仿宋_GB2312"/>
          <w:color w:val="auto"/>
          <w:sz w:val="32"/>
          <w:szCs w:val="32"/>
          <w:u w:color="000000"/>
          <w:lang w:val="zh-TW" w:eastAsia="zh-TW"/>
        </w:rPr>
        <w:t>级指标构成，权重分</w:t>
      </w:r>
      <w:r>
        <w:rPr>
          <w:rFonts w:hint="eastAsia" w:ascii="仿宋_GB2312" w:hAnsi="仿宋_GB2312" w:eastAsia="仿宋_GB2312" w:cs="仿宋_GB2312"/>
          <w:color w:val="auto"/>
          <w:sz w:val="32"/>
          <w:szCs w:val="32"/>
          <w:u w:color="000000"/>
        </w:rPr>
        <w:t>20</w:t>
      </w:r>
      <w:r>
        <w:rPr>
          <w:rFonts w:hint="eastAsia" w:ascii="仿宋_GB2312" w:hAnsi="仿宋_GB2312" w:eastAsia="仿宋_GB2312" w:cs="仿宋_GB2312"/>
          <w:color w:val="auto"/>
          <w:sz w:val="32"/>
          <w:szCs w:val="32"/>
          <w:u w:color="000000"/>
          <w:lang w:val="zh-TW" w:eastAsia="zh-TW"/>
        </w:rPr>
        <w:t>分，实际得分</w:t>
      </w:r>
      <w:r>
        <w:rPr>
          <w:rFonts w:hint="eastAsia" w:ascii="仿宋_GB2312" w:hAnsi="仿宋_GB2312" w:eastAsia="仿宋_GB2312" w:cs="仿宋_GB2312"/>
          <w:color w:val="auto"/>
          <w:sz w:val="32"/>
          <w:szCs w:val="32"/>
          <w:u w:color="000000"/>
        </w:rPr>
        <w:t>20</w:t>
      </w:r>
      <w:r>
        <w:rPr>
          <w:rFonts w:hint="eastAsia" w:ascii="仿宋_GB2312" w:hAnsi="仿宋_GB2312" w:eastAsia="仿宋_GB2312" w:cs="仿宋_GB2312"/>
          <w:color w:val="auto"/>
          <w:sz w:val="32"/>
          <w:szCs w:val="32"/>
          <w:u w:color="000000"/>
          <w:lang w:val="zh-TW" w:eastAsia="zh-TW"/>
        </w:rPr>
        <w:t>分</w:t>
      </w:r>
      <w:r>
        <w:rPr>
          <w:rFonts w:hint="eastAsia" w:ascii="仿宋_GB2312" w:hAnsi="仿宋_GB2312" w:eastAsia="仿宋_GB2312" w:cs="仿宋_GB2312"/>
          <w:color w:val="auto"/>
          <w:sz w:val="32"/>
          <w:szCs w:val="32"/>
          <w:u w:color="000000"/>
          <w:lang w:val="zh-TW"/>
        </w:rPr>
        <w:t>，</w:t>
      </w:r>
      <w:r>
        <w:rPr>
          <w:rFonts w:hint="eastAsia" w:ascii="仿宋_GB2312" w:hAnsi="仿宋_GB2312" w:eastAsia="仿宋_GB2312" w:cs="仿宋_GB2312"/>
          <w:color w:val="auto"/>
          <w:sz w:val="32"/>
          <w:szCs w:val="32"/>
          <w:u w:color="000000"/>
          <w:lang w:val="zh-TW" w:eastAsia="zh-TW"/>
        </w:rPr>
        <w:t>各指标业绩值和绩效分值如表</w:t>
      </w:r>
      <w:r>
        <w:rPr>
          <w:rFonts w:hint="eastAsia" w:ascii="仿宋_GB2312" w:hAnsi="仿宋_GB2312" w:eastAsia="仿宋_GB2312" w:cs="仿宋_GB2312"/>
          <w:color w:val="auto"/>
          <w:sz w:val="32"/>
          <w:szCs w:val="32"/>
          <w:u w:color="000000"/>
        </w:rPr>
        <w:t>4-2</w:t>
      </w:r>
      <w:r>
        <w:rPr>
          <w:rFonts w:hint="eastAsia" w:ascii="仿宋_GB2312" w:hAnsi="仿宋_GB2312" w:eastAsia="仿宋_GB2312" w:cs="仿宋_GB2312"/>
          <w:color w:val="auto"/>
          <w:sz w:val="32"/>
          <w:szCs w:val="32"/>
          <w:u w:color="000000"/>
          <w:lang w:val="zh-TW" w:eastAsia="zh-TW"/>
        </w:rPr>
        <w:t>所示</w:t>
      </w:r>
      <w:r>
        <w:rPr>
          <w:rFonts w:hint="eastAsia" w:ascii="仿宋_GB2312" w:hAnsi="仿宋_GB2312" w:eastAsia="仿宋_GB2312" w:cs="仿宋_GB2312"/>
          <w:b/>
          <w:bCs/>
          <w:color w:val="auto"/>
          <w:sz w:val="32"/>
          <w:szCs w:val="32"/>
          <w:u w:color="000000"/>
          <w:lang w:val="zh-TW"/>
        </w:rPr>
        <w:t>（</w:t>
      </w:r>
      <w:r>
        <w:rPr>
          <w:rFonts w:hint="eastAsia" w:ascii="仿宋_GB2312" w:hAnsi="仿宋_GB2312" w:eastAsia="仿宋_GB2312" w:cs="仿宋_GB2312"/>
          <w:b/>
          <w:bCs/>
          <w:color w:val="auto"/>
          <w:sz w:val="32"/>
          <w:szCs w:val="32"/>
          <w:u w:color="000000"/>
        </w:rPr>
        <w:t>详见上传的附件二</w:t>
      </w:r>
      <w:r>
        <w:rPr>
          <w:rFonts w:hint="eastAsia" w:ascii="仿宋_GB2312" w:hAnsi="仿宋_GB2312" w:eastAsia="仿宋_GB2312" w:cs="仿宋_GB2312"/>
          <w:b/>
          <w:bCs/>
          <w:color w:val="auto"/>
          <w:sz w:val="32"/>
          <w:szCs w:val="32"/>
          <w:u w:color="000000"/>
          <w:lang w:val="zh-TW"/>
        </w:rPr>
        <w:t>）</w:t>
      </w:r>
      <w:r>
        <w:rPr>
          <w:rFonts w:hint="eastAsia" w:ascii="仿宋_GB2312" w:hAnsi="仿宋_GB2312" w:eastAsia="仿宋_GB2312" w:cs="仿宋_GB2312"/>
          <w:color w:val="auto"/>
          <w:sz w:val="32"/>
          <w:szCs w:val="32"/>
          <w:u w:color="000000"/>
          <w:lang w:val="zh-TW" w:eastAsia="zh-TW"/>
        </w:rPr>
        <w:t>：</w:t>
      </w:r>
    </w:p>
    <w:p w14:paraId="37F3D30C">
      <w:pPr>
        <w:pageBreakBefore w:val="0"/>
        <w:widowControl/>
        <w:kinsoku/>
        <w:wordWrap/>
        <w:overflowPunct/>
        <w:topLinePunct w:val="0"/>
        <w:autoSpaceDE/>
        <w:autoSpaceDN/>
        <w:bidi w:val="0"/>
        <w:adjustRightInd/>
        <w:snapToGrid w:val="0"/>
        <w:spacing w:line="240" w:lineRule="auto"/>
        <w:ind w:left="0" w:leftChars="0" w:firstLine="562" w:firstLineChars="200"/>
        <w:jc w:val="center"/>
        <w:textAlignment w:val="auto"/>
        <w:rPr>
          <w:rFonts w:hint="eastAsia"/>
          <w:b/>
          <w:bCs/>
          <w:color w:val="auto"/>
          <w:kern w:val="0"/>
        </w:rPr>
      </w:pPr>
      <w:r>
        <w:rPr>
          <w:rFonts w:hint="eastAsia"/>
          <w:b/>
          <w:bCs/>
          <w:color w:val="auto"/>
          <w:kern w:val="0"/>
          <w:lang w:val="zh-TW" w:eastAsia="zh-TW"/>
        </w:rPr>
        <w:t>表</w:t>
      </w:r>
      <w:r>
        <w:rPr>
          <w:rFonts w:hint="eastAsia"/>
          <w:b/>
          <w:bCs/>
          <w:color w:val="auto"/>
          <w:kern w:val="0"/>
        </w:rPr>
        <w:t>4-2</w:t>
      </w:r>
      <w:r>
        <w:rPr>
          <w:rFonts w:hint="eastAsia"/>
          <w:b/>
          <w:bCs/>
          <w:color w:val="auto"/>
          <w:kern w:val="0"/>
          <w:lang w:val="zh-TW" w:eastAsia="zh-TW"/>
        </w:rPr>
        <w:t>项目</w:t>
      </w:r>
      <w:r>
        <w:rPr>
          <w:rFonts w:hint="eastAsia"/>
          <w:b/>
          <w:bCs/>
          <w:color w:val="auto"/>
          <w:kern w:val="0"/>
        </w:rPr>
        <w:t>过程</w:t>
      </w:r>
      <w:r>
        <w:rPr>
          <w:rFonts w:hint="eastAsia"/>
          <w:b/>
          <w:bCs/>
          <w:color w:val="auto"/>
          <w:kern w:val="0"/>
          <w:lang w:val="zh-TW" w:eastAsia="zh-TW"/>
        </w:rPr>
        <w:t>指标及分值</w:t>
      </w:r>
      <w:r>
        <w:rPr>
          <w:rFonts w:hint="eastAsia"/>
          <w:b/>
          <w:bCs/>
          <w:color w:val="auto"/>
          <w:kern w:val="0"/>
        </w:rPr>
        <w:t>情况</w:t>
      </w:r>
    </w:p>
    <w:tbl>
      <w:tblPr>
        <w:tblStyle w:val="18"/>
        <w:tblW w:w="4995" w:type="pct"/>
        <w:jc w:val="center"/>
        <w:tblLayout w:type="autofit"/>
        <w:tblCellMar>
          <w:top w:w="0" w:type="dxa"/>
          <w:left w:w="0" w:type="dxa"/>
          <w:bottom w:w="0" w:type="dxa"/>
          <w:right w:w="0" w:type="dxa"/>
        </w:tblCellMar>
      </w:tblPr>
      <w:tblGrid>
        <w:gridCol w:w="1182"/>
        <w:gridCol w:w="738"/>
        <w:gridCol w:w="1252"/>
        <w:gridCol w:w="1175"/>
        <w:gridCol w:w="1835"/>
        <w:gridCol w:w="986"/>
        <w:gridCol w:w="1154"/>
      </w:tblGrid>
      <w:tr w14:paraId="42A077AD">
        <w:tblPrEx>
          <w:tblCellMar>
            <w:top w:w="0" w:type="dxa"/>
            <w:left w:w="0" w:type="dxa"/>
            <w:bottom w:w="0" w:type="dxa"/>
            <w:right w:w="0" w:type="dxa"/>
          </w:tblCellMar>
        </w:tblPrEx>
        <w:trPr>
          <w:trHeight w:val="272" w:hRule="atLeast"/>
          <w:tblHeader/>
          <w:jc w:val="center"/>
        </w:trPr>
        <w:tc>
          <w:tcPr>
            <w:tcW w:w="71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F44808">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b/>
                <w:bCs/>
                <w:color w:val="auto"/>
                <w:kern w:val="0"/>
                <w:sz w:val="20"/>
                <w:szCs w:val="20"/>
              </w:rPr>
            </w:pPr>
            <w:r>
              <w:rPr>
                <w:rFonts w:hint="eastAsia"/>
                <w:b/>
                <w:bCs/>
                <w:color w:val="auto"/>
                <w:kern w:val="0"/>
                <w:sz w:val="20"/>
                <w:szCs w:val="20"/>
              </w:rPr>
              <w:t>一级指标</w:t>
            </w:r>
          </w:p>
        </w:tc>
        <w:tc>
          <w:tcPr>
            <w:tcW w:w="443"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7C181F">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b/>
                <w:bCs/>
                <w:color w:val="auto"/>
                <w:kern w:val="0"/>
                <w:sz w:val="20"/>
                <w:szCs w:val="20"/>
              </w:rPr>
            </w:pPr>
            <w:r>
              <w:rPr>
                <w:rFonts w:hint="eastAsia"/>
                <w:b/>
                <w:bCs/>
                <w:color w:val="auto"/>
                <w:kern w:val="0"/>
                <w:sz w:val="20"/>
                <w:szCs w:val="20"/>
              </w:rPr>
              <w:t>分值</w:t>
            </w:r>
          </w:p>
        </w:tc>
        <w:tc>
          <w:tcPr>
            <w:tcW w:w="75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B64676">
            <w:pPr>
              <w:pageBreakBefore w:val="0"/>
              <w:widowControl/>
              <w:kinsoku/>
              <w:wordWrap/>
              <w:overflowPunct/>
              <w:topLinePunct w:val="0"/>
              <w:autoSpaceDE/>
              <w:autoSpaceDN/>
              <w:bidi w:val="0"/>
              <w:adjustRightInd/>
              <w:snapToGrid w:val="0"/>
              <w:spacing w:line="240" w:lineRule="auto"/>
              <w:ind w:left="0" w:leftChars="0" w:firstLine="201" w:firstLineChars="100"/>
              <w:jc w:val="both"/>
              <w:textAlignment w:val="auto"/>
              <w:rPr>
                <w:rFonts w:hint="eastAsia"/>
                <w:b/>
                <w:bCs/>
                <w:color w:val="auto"/>
                <w:kern w:val="0"/>
                <w:sz w:val="20"/>
                <w:szCs w:val="20"/>
              </w:rPr>
            </w:pPr>
            <w:r>
              <w:rPr>
                <w:rFonts w:hint="eastAsia"/>
                <w:b/>
                <w:bCs/>
                <w:color w:val="auto"/>
                <w:kern w:val="0"/>
                <w:sz w:val="20"/>
                <w:szCs w:val="20"/>
              </w:rPr>
              <w:t>二级指标</w:t>
            </w:r>
          </w:p>
        </w:tc>
        <w:tc>
          <w:tcPr>
            <w:tcW w:w="70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B9F79A">
            <w:pPr>
              <w:pageBreakBefore w:val="0"/>
              <w:widowControl/>
              <w:kinsoku/>
              <w:wordWrap/>
              <w:overflowPunct/>
              <w:topLinePunct w:val="0"/>
              <w:autoSpaceDE/>
              <w:autoSpaceDN/>
              <w:bidi w:val="0"/>
              <w:adjustRightInd/>
              <w:snapToGrid w:val="0"/>
              <w:spacing w:line="240" w:lineRule="auto"/>
              <w:ind w:left="0" w:leftChars="0" w:firstLine="402" w:firstLineChars="200"/>
              <w:jc w:val="both"/>
              <w:textAlignment w:val="auto"/>
              <w:rPr>
                <w:rFonts w:hint="eastAsia"/>
                <w:b/>
                <w:bCs/>
                <w:color w:val="auto"/>
                <w:kern w:val="0"/>
                <w:sz w:val="20"/>
                <w:szCs w:val="20"/>
              </w:rPr>
            </w:pPr>
            <w:r>
              <w:rPr>
                <w:rFonts w:hint="eastAsia"/>
                <w:b/>
                <w:bCs/>
                <w:color w:val="auto"/>
                <w:kern w:val="0"/>
                <w:sz w:val="20"/>
                <w:szCs w:val="20"/>
              </w:rPr>
              <w:t>分值</w:t>
            </w:r>
          </w:p>
        </w:tc>
        <w:tc>
          <w:tcPr>
            <w:tcW w:w="110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CCDE0">
            <w:pPr>
              <w:pageBreakBefore w:val="0"/>
              <w:widowControl/>
              <w:kinsoku/>
              <w:wordWrap/>
              <w:overflowPunct/>
              <w:topLinePunct w:val="0"/>
              <w:autoSpaceDE/>
              <w:autoSpaceDN/>
              <w:bidi w:val="0"/>
              <w:adjustRightInd/>
              <w:snapToGrid w:val="0"/>
              <w:spacing w:line="240" w:lineRule="auto"/>
              <w:ind w:left="0" w:leftChars="0" w:firstLine="402" w:firstLineChars="200"/>
              <w:jc w:val="both"/>
              <w:textAlignment w:val="auto"/>
              <w:rPr>
                <w:rFonts w:hint="eastAsia"/>
                <w:b/>
                <w:bCs/>
                <w:color w:val="auto"/>
                <w:kern w:val="0"/>
                <w:sz w:val="20"/>
                <w:szCs w:val="20"/>
              </w:rPr>
            </w:pPr>
            <w:r>
              <w:rPr>
                <w:rFonts w:hint="eastAsia"/>
                <w:b/>
                <w:bCs/>
                <w:color w:val="auto"/>
                <w:kern w:val="0"/>
                <w:sz w:val="20"/>
                <w:szCs w:val="20"/>
              </w:rPr>
              <w:t>三级指标</w:t>
            </w:r>
          </w:p>
        </w:tc>
        <w:tc>
          <w:tcPr>
            <w:tcW w:w="59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52D8D3">
            <w:pPr>
              <w:pageBreakBefore w:val="0"/>
              <w:widowControl/>
              <w:kinsoku/>
              <w:wordWrap/>
              <w:overflowPunct/>
              <w:topLinePunct w:val="0"/>
              <w:autoSpaceDE/>
              <w:autoSpaceDN/>
              <w:bidi w:val="0"/>
              <w:adjustRightInd/>
              <w:snapToGrid w:val="0"/>
              <w:spacing w:line="240" w:lineRule="auto"/>
              <w:ind w:left="0" w:leftChars="0" w:firstLine="201" w:firstLineChars="100"/>
              <w:jc w:val="both"/>
              <w:textAlignment w:val="auto"/>
              <w:rPr>
                <w:rFonts w:hint="eastAsia"/>
                <w:b/>
                <w:bCs/>
                <w:color w:val="auto"/>
                <w:kern w:val="0"/>
                <w:sz w:val="20"/>
                <w:szCs w:val="20"/>
              </w:rPr>
            </w:pPr>
            <w:r>
              <w:rPr>
                <w:rFonts w:hint="eastAsia"/>
                <w:b/>
                <w:bCs/>
                <w:color w:val="auto"/>
                <w:kern w:val="0"/>
                <w:sz w:val="20"/>
                <w:szCs w:val="20"/>
              </w:rPr>
              <w:t>分值</w:t>
            </w:r>
          </w:p>
        </w:tc>
        <w:tc>
          <w:tcPr>
            <w:tcW w:w="693"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54F74F">
            <w:pPr>
              <w:pageBreakBefore w:val="0"/>
              <w:widowControl/>
              <w:kinsoku/>
              <w:wordWrap/>
              <w:overflowPunct/>
              <w:topLinePunct w:val="0"/>
              <w:autoSpaceDE/>
              <w:autoSpaceDN/>
              <w:bidi w:val="0"/>
              <w:adjustRightInd/>
              <w:snapToGrid w:val="0"/>
              <w:spacing w:line="240" w:lineRule="auto"/>
              <w:jc w:val="both"/>
              <w:textAlignment w:val="auto"/>
              <w:rPr>
                <w:rFonts w:hint="eastAsia"/>
                <w:b/>
                <w:bCs/>
                <w:color w:val="auto"/>
                <w:kern w:val="0"/>
                <w:sz w:val="20"/>
                <w:szCs w:val="20"/>
              </w:rPr>
            </w:pPr>
            <w:r>
              <w:rPr>
                <w:rFonts w:hint="eastAsia"/>
                <w:b/>
                <w:bCs/>
                <w:color w:val="auto"/>
                <w:kern w:val="0"/>
                <w:sz w:val="20"/>
                <w:szCs w:val="20"/>
              </w:rPr>
              <w:t>得分</w:t>
            </w:r>
          </w:p>
        </w:tc>
      </w:tr>
      <w:tr w14:paraId="336E4176">
        <w:tblPrEx>
          <w:tblCellMar>
            <w:top w:w="0" w:type="dxa"/>
            <w:left w:w="0" w:type="dxa"/>
            <w:bottom w:w="0" w:type="dxa"/>
            <w:right w:w="0" w:type="dxa"/>
          </w:tblCellMar>
        </w:tblPrEx>
        <w:trPr>
          <w:trHeight w:val="554" w:hRule="atLeast"/>
          <w:jc w:val="center"/>
        </w:trPr>
        <w:tc>
          <w:tcPr>
            <w:tcW w:w="710" w:type="pct"/>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1C09DB">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过程管理</w:t>
            </w:r>
          </w:p>
        </w:tc>
        <w:tc>
          <w:tcPr>
            <w:tcW w:w="443" w:type="pct"/>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B2E083">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20</w:t>
            </w:r>
          </w:p>
        </w:tc>
        <w:tc>
          <w:tcPr>
            <w:tcW w:w="751" w:type="pct"/>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5BE625">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资金管理</w:t>
            </w:r>
          </w:p>
        </w:tc>
        <w:tc>
          <w:tcPr>
            <w:tcW w:w="706" w:type="pct"/>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98EA23">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12</w:t>
            </w:r>
          </w:p>
        </w:tc>
        <w:tc>
          <w:tcPr>
            <w:tcW w:w="110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5B329B">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资金到位率</w:t>
            </w:r>
          </w:p>
        </w:tc>
        <w:tc>
          <w:tcPr>
            <w:tcW w:w="59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B141BF">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4</w:t>
            </w:r>
          </w:p>
        </w:tc>
        <w:tc>
          <w:tcPr>
            <w:tcW w:w="693"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40345">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4</w:t>
            </w:r>
          </w:p>
        </w:tc>
      </w:tr>
      <w:tr w14:paraId="3B876A97">
        <w:tblPrEx>
          <w:tblCellMar>
            <w:top w:w="0" w:type="dxa"/>
            <w:left w:w="0" w:type="dxa"/>
            <w:bottom w:w="0" w:type="dxa"/>
            <w:right w:w="0" w:type="dxa"/>
          </w:tblCellMar>
        </w:tblPrEx>
        <w:trPr>
          <w:trHeight w:val="23" w:hRule="atLeast"/>
          <w:jc w:val="center"/>
        </w:trPr>
        <w:tc>
          <w:tcPr>
            <w:tcW w:w="710"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D22C14">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443"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F1B76F">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75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16F1B2">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43015E">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110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986CD4">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预算执行率</w:t>
            </w:r>
          </w:p>
        </w:tc>
        <w:tc>
          <w:tcPr>
            <w:tcW w:w="59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94009F">
            <w:pPr>
              <w:pageBreakBefore w:val="0"/>
              <w:widowControl/>
              <w:kinsoku/>
              <w:wordWrap/>
              <w:overflowPunct/>
              <w:topLinePunct w:val="0"/>
              <w:autoSpaceDE/>
              <w:autoSpaceDN/>
              <w:bidi w:val="0"/>
              <w:adjustRightInd/>
              <w:snapToGrid w:val="0"/>
              <w:spacing w:line="240" w:lineRule="auto"/>
              <w:jc w:val="center"/>
              <w:textAlignment w:val="auto"/>
              <w:rPr>
                <w:rFonts w:hint="eastAsia"/>
                <w:color w:val="auto"/>
                <w:kern w:val="0"/>
                <w:sz w:val="20"/>
                <w:szCs w:val="20"/>
              </w:rPr>
            </w:pPr>
            <w:r>
              <w:rPr>
                <w:rFonts w:hint="eastAsia"/>
                <w:color w:val="auto"/>
                <w:kern w:val="0"/>
                <w:sz w:val="20"/>
                <w:szCs w:val="20"/>
              </w:rPr>
              <w:t>4</w:t>
            </w:r>
          </w:p>
        </w:tc>
        <w:tc>
          <w:tcPr>
            <w:tcW w:w="693"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E8941F">
            <w:pPr>
              <w:pageBreakBefore w:val="0"/>
              <w:widowControl/>
              <w:kinsoku/>
              <w:wordWrap/>
              <w:overflowPunct/>
              <w:topLinePunct w:val="0"/>
              <w:autoSpaceDE/>
              <w:autoSpaceDN/>
              <w:bidi w:val="0"/>
              <w:adjustRightInd/>
              <w:snapToGrid w:val="0"/>
              <w:spacing w:line="240" w:lineRule="auto"/>
              <w:jc w:val="center"/>
              <w:textAlignment w:val="auto"/>
              <w:rPr>
                <w:rFonts w:hint="eastAsia"/>
                <w:color w:val="auto"/>
                <w:kern w:val="0"/>
                <w:sz w:val="20"/>
                <w:szCs w:val="20"/>
              </w:rPr>
            </w:pPr>
            <w:r>
              <w:rPr>
                <w:rFonts w:hint="eastAsia"/>
                <w:color w:val="auto"/>
                <w:kern w:val="0"/>
                <w:sz w:val="20"/>
                <w:szCs w:val="20"/>
              </w:rPr>
              <w:t>4</w:t>
            </w:r>
          </w:p>
        </w:tc>
      </w:tr>
      <w:tr w14:paraId="36205114">
        <w:tblPrEx>
          <w:tblCellMar>
            <w:top w:w="0" w:type="dxa"/>
            <w:left w:w="0" w:type="dxa"/>
            <w:bottom w:w="0" w:type="dxa"/>
            <w:right w:w="0" w:type="dxa"/>
          </w:tblCellMar>
        </w:tblPrEx>
        <w:trPr>
          <w:trHeight w:val="90" w:hRule="atLeast"/>
          <w:jc w:val="center"/>
        </w:trPr>
        <w:tc>
          <w:tcPr>
            <w:tcW w:w="710"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10EA1C">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443"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F22A6A">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75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51C9BF">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B588CB">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110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4D9682">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资金使用合规性</w:t>
            </w:r>
          </w:p>
        </w:tc>
        <w:tc>
          <w:tcPr>
            <w:tcW w:w="59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93CCFF">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4</w:t>
            </w:r>
          </w:p>
        </w:tc>
        <w:tc>
          <w:tcPr>
            <w:tcW w:w="693"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2C2F53">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4</w:t>
            </w:r>
          </w:p>
        </w:tc>
      </w:tr>
      <w:tr w14:paraId="3B7C960E">
        <w:tblPrEx>
          <w:tblCellMar>
            <w:top w:w="0" w:type="dxa"/>
            <w:left w:w="0" w:type="dxa"/>
            <w:bottom w:w="0" w:type="dxa"/>
            <w:right w:w="0" w:type="dxa"/>
          </w:tblCellMar>
        </w:tblPrEx>
        <w:trPr>
          <w:trHeight w:val="23" w:hRule="atLeast"/>
          <w:jc w:val="center"/>
        </w:trPr>
        <w:tc>
          <w:tcPr>
            <w:tcW w:w="710"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D34283">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443"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AB51B1">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751" w:type="pct"/>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69AC53">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组织实施</w:t>
            </w:r>
          </w:p>
        </w:tc>
        <w:tc>
          <w:tcPr>
            <w:tcW w:w="706" w:type="pct"/>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04A866">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8</w:t>
            </w:r>
          </w:p>
        </w:tc>
        <w:tc>
          <w:tcPr>
            <w:tcW w:w="110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BD0607">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管理制度健全性</w:t>
            </w:r>
          </w:p>
        </w:tc>
        <w:tc>
          <w:tcPr>
            <w:tcW w:w="59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9D247F">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4</w:t>
            </w:r>
          </w:p>
        </w:tc>
        <w:tc>
          <w:tcPr>
            <w:tcW w:w="693"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C99E">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4</w:t>
            </w:r>
          </w:p>
        </w:tc>
      </w:tr>
      <w:tr w14:paraId="1009A6B6">
        <w:tblPrEx>
          <w:tblCellMar>
            <w:top w:w="0" w:type="dxa"/>
            <w:left w:w="0" w:type="dxa"/>
            <w:bottom w:w="0" w:type="dxa"/>
            <w:right w:w="0" w:type="dxa"/>
          </w:tblCellMar>
        </w:tblPrEx>
        <w:trPr>
          <w:trHeight w:val="23" w:hRule="atLeast"/>
          <w:jc w:val="center"/>
        </w:trPr>
        <w:tc>
          <w:tcPr>
            <w:tcW w:w="710"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9560E4">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443"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B2E172">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75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7FAB5A">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7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DD8CD7">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110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70D25F">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制度执行有效性</w:t>
            </w:r>
          </w:p>
        </w:tc>
        <w:tc>
          <w:tcPr>
            <w:tcW w:w="59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435E2E">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4</w:t>
            </w:r>
          </w:p>
        </w:tc>
        <w:tc>
          <w:tcPr>
            <w:tcW w:w="693"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0D21E">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4</w:t>
            </w:r>
          </w:p>
        </w:tc>
      </w:tr>
      <w:tr w14:paraId="22C0AEC8">
        <w:tblPrEx>
          <w:tblCellMar>
            <w:top w:w="0" w:type="dxa"/>
            <w:left w:w="0" w:type="dxa"/>
            <w:bottom w:w="0" w:type="dxa"/>
            <w:right w:w="0" w:type="dxa"/>
          </w:tblCellMar>
        </w:tblPrEx>
        <w:trPr>
          <w:trHeight w:val="23" w:hRule="atLeast"/>
          <w:jc w:val="center"/>
        </w:trPr>
        <w:tc>
          <w:tcPr>
            <w:tcW w:w="1905" w:type="pct"/>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4D577A">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r>
              <w:rPr>
                <w:rFonts w:hint="eastAsia"/>
                <w:color w:val="auto"/>
                <w:kern w:val="0"/>
                <w:sz w:val="20"/>
                <w:szCs w:val="20"/>
              </w:rPr>
              <w:t>合计</w:t>
            </w:r>
          </w:p>
        </w:tc>
        <w:tc>
          <w:tcPr>
            <w:tcW w:w="70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21C878">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20</w:t>
            </w:r>
          </w:p>
        </w:tc>
        <w:tc>
          <w:tcPr>
            <w:tcW w:w="110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14AC09">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59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18CCA1">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20</w:t>
            </w:r>
          </w:p>
        </w:tc>
        <w:tc>
          <w:tcPr>
            <w:tcW w:w="693"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6F23E3">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20</w:t>
            </w:r>
          </w:p>
        </w:tc>
      </w:tr>
    </w:tbl>
    <w:p w14:paraId="54FDF709">
      <w:pPr>
        <w:keepNext w:val="0"/>
        <w:keepLines w:val="0"/>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outlineLvl w:val="2"/>
        <w:rPr>
          <w:rFonts w:hint="eastAsia" w:ascii="仿宋_GB2312" w:hAnsi="仿宋_GB2312" w:eastAsia="仿宋_GB2312" w:cs="仿宋_GB2312"/>
          <w:b/>
          <w:bCs/>
          <w:color w:val="auto"/>
          <w:sz w:val="32"/>
          <w:szCs w:val="32"/>
        </w:rPr>
      </w:pPr>
      <w:bookmarkStart w:id="122" w:name="_Toc3886"/>
      <w:bookmarkStart w:id="123" w:name="_Toc20449"/>
      <w:r>
        <w:rPr>
          <w:rFonts w:hint="eastAsia" w:ascii="仿宋_GB2312" w:hAnsi="仿宋_GB2312" w:eastAsia="仿宋_GB2312" w:cs="仿宋_GB2312"/>
          <w:b/>
          <w:bCs/>
          <w:color w:val="auto"/>
          <w:sz w:val="32"/>
          <w:szCs w:val="32"/>
        </w:rPr>
        <w:t>1.资金到位率</w:t>
      </w:r>
      <w:bookmarkEnd w:id="122"/>
      <w:bookmarkEnd w:id="123"/>
    </w:p>
    <w:p w14:paraId="2DFAFFF1">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项目预算资金为58.27万元，其中：财政安排资金58.27万元。</w:t>
      </w:r>
    </w:p>
    <w:p w14:paraId="11399B11">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t>资金到位率=（58.27万元/58.27万元）×100%。</w:t>
      </w:r>
      <w:r>
        <w:rPr>
          <w:rFonts w:hint="eastAsia" w:ascii="仿宋_GB2312" w:hAnsi="仿宋_GB2312" w:eastAsia="仿宋_GB2312" w:cs="仿宋_GB2312"/>
          <w:b/>
          <w:bCs/>
          <w:color w:val="auto"/>
          <w:sz w:val="32"/>
          <w:szCs w:val="32"/>
        </w:rPr>
        <w:t>=100%</w:t>
      </w:r>
    </w:p>
    <w:p w14:paraId="69FE9ED5">
      <w:pPr>
        <w:keepNext w:val="0"/>
        <w:keepLines w:val="0"/>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综上，该项指标满分4分，得分4分。</w:t>
      </w:r>
    </w:p>
    <w:p w14:paraId="68205267">
      <w:pPr>
        <w:keepNext w:val="0"/>
        <w:keepLines w:val="0"/>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outlineLvl w:val="2"/>
        <w:rPr>
          <w:rFonts w:hint="eastAsia" w:ascii="仿宋_GB2312" w:hAnsi="仿宋_GB2312" w:eastAsia="仿宋_GB2312" w:cs="仿宋_GB2312"/>
          <w:b/>
          <w:bCs/>
          <w:color w:val="auto"/>
          <w:sz w:val="32"/>
          <w:szCs w:val="32"/>
        </w:rPr>
      </w:pPr>
      <w:bookmarkStart w:id="124" w:name="_Toc17709"/>
      <w:bookmarkStart w:id="125" w:name="_Toc9705"/>
      <w:r>
        <w:rPr>
          <w:rFonts w:hint="eastAsia" w:ascii="仿宋_GB2312" w:hAnsi="仿宋_GB2312" w:eastAsia="仿宋_GB2312" w:cs="仿宋_GB2312"/>
          <w:b/>
          <w:bCs/>
          <w:color w:val="auto"/>
          <w:sz w:val="32"/>
          <w:szCs w:val="32"/>
        </w:rPr>
        <w:t>2.预算执行率</w:t>
      </w:r>
      <w:bookmarkEnd w:id="124"/>
      <w:bookmarkEnd w:id="125"/>
    </w:p>
    <w:p w14:paraId="3B063161">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截至2024年12月31日，项目实际支出58.27万元。</w:t>
      </w:r>
    </w:p>
    <w:p w14:paraId="77A128A8">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预算执行率=（58.27万元/58.27万元）×100%。</w:t>
      </w:r>
      <w:r>
        <w:rPr>
          <w:rFonts w:hint="eastAsia" w:ascii="仿宋_GB2312" w:hAnsi="仿宋_GB2312" w:eastAsia="仿宋_GB2312" w:cs="仿宋_GB2312"/>
          <w:b/>
          <w:bCs/>
          <w:color w:val="auto"/>
          <w:sz w:val="32"/>
          <w:szCs w:val="32"/>
        </w:rPr>
        <w:t>=100%</w:t>
      </w:r>
    </w:p>
    <w:p w14:paraId="7CA1ADBD">
      <w:pPr>
        <w:keepNext w:val="0"/>
        <w:keepLines w:val="0"/>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综上，该项指标满分4分，得分4分。</w:t>
      </w:r>
    </w:p>
    <w:p w14:paraId="61931D79">
      <w:pPr>
        <w:keepNext w:val="0"/>
        <w:keepLines w:val="0"/>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outlineLvl w:val="2"/>
        <w:rPr>
          <w:rFonts w:hint="eastAsia" w:ascii="仿宋_GB2312" w:hAnsi="仿宋_GB2312" w:eastAsia="仿宋_GB2312" w:cs="仿宋_GB2312"/>
          <w:b/>
          <w:bCs/>
          <w:color w:val="auto"/>
          <w:sz w:val="32"/>
          <w:szCs w:val="32"/>
        </w:rPr>
      </w:pPr>
      <w:bookmarkStart w:id="126" w:name="_Toc18691"/>
      <w:bookmarkStart w:id="127" w:name="_Toc28875"/>
      <w:r>
        <w:rPr>
          <w:rFonts w:hint="eastAsia" w:ascii="仿宋_GB2312" w:hAnsi="仿宋_GB2312" w:eastAsia="仿宋_GB2312" w:cs="仿宋_GB2312"/>
          <w:b/>
          <w:bCs/>
          <w:color w:val="auto"/>
          <w:sz w:val="32"/>
          <w:szCs w:val="32"/>
        </w:rPr>
        <w:t>3.资金使用合规性</w:t>
      </w:r>
      <w:bookmarkEnd w:id="126"/>
      <w:bookmarkEnd w:id="127"/>
    </w:p>
    <w:p w14:paraId="63DEA7DC">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方正仿宋_GBK" w:hAnsi="方正仿宋_GBK" w:eastAsia="方正仿宋_GBK" w:cs="方正仿宋_GBK"/>
          <w:color w:val="auto"/>
          <w:sz w:val="32"/>
          <w:szCs w:val="32"/>
        </w:rPr>
      </w:pPr>
      <w:r>
        <w:rPr>
          <w:rFonts w:hint="eastAsia" w:ascii="仿宋_GB2312" w:hAnsi="仿宋_GB2312" w:eastAsia="仿宋_GB2312" w:cs="仿宋_GB2312"/>
          <w:color w:val="auto"/>
          <w:sz w:val="32"/>
          <w:szCs w:val="32"/>
        </w:rPr>
        <w:t>①本项目资金支出符合国家财经法规、《政府会计制度》《阜康市中医医院单位资金管理办法》《阜康市中医医院专项资金管理办法》；</w:t>
      </w:r>
    </w:p>
    <w:p w14:paraId="6FDA9B41">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②资金的拨付有完整的审批程序和手续；</w:t>
      </w:r>
    </w:p>
    <w:p w14:paraId="308301E1">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③符合项目预算批复或合同规定的用途；</w:t>
      </w:r>
    </w:p>
    <w:p w14:paraId="2CEBD28E">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④不存在截留、挤占、挪用、虚列支出等情况。</w:t>
      </w:r>
    </w:p>
    <w:p w14:paraId="6DF965CE">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b/>
          <w:bCs/>
          <w:color w:val="auto"/>
          <w:sz w:val="32"/>
          <w:szCs w:val="32"/>
        </w:rPr>
      </w:pPr>
      <w:r>
        <w:rPr>
          <w:rFonts w:ascii="Times New Roman" w:hAnsi="Times New Roman" w:eastAsia="仿宋_GB2312" w:cs="Times New Roman"/>
          <w:color w:val="auto"/>
          <w:sz w:val="32"/>
          <w:szCs w:val="32"/>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rPr>
        <w:t xml:space="preserve"> </w:t>
      </w:r>
    </w:p>
    <w:p w14:paraId="13C36FF9">
      <w:pPr>
        <w:keepNext w:val="0"/>
        <w:keepLines w:val="0"/>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综上，该项指标满分4分，得分4分。</w:t>
      </w:r>
    </w:p>
    <w:p w14:paraId="4BAB58BB">
      <w:pPr>
        <w:keepNext w:val="0"/>
        <w:keepLines w:val="0"/>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4.管理制度健全性</w:t>
      </w:r>
    </w:p>
    <w:p w14:paraId="0777DD65">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我单位已制定《阜康市中医医院资金管理办法》《阜康市中医医院收支业务管理制度》《阜康市中医医院政府采购业务管理制度》《阜康市中医医院合同管理制度》，相关制度均符合行政事业单位内控管理要求；</w:t>
      </w:r>
    </w:p>
    <w:p w14:paraId="1C752EE8">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②已制定的财务和业务管理制度合法、合规、完整，本项目执行符合上述制度规定。</w:t>
      </w:r>
    </w:p>
    <w:p w14:paraId="56952B22">
      <w:pPr>
        <w:keepNext w:val="0"/>
        <w:keepLines w:val="0"/>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综上，该项指标满分4分，得分4分。</w:t>
      </w:r>
    </w:p>
    <w:p w14:paraId="33A4A1AD">
      <w:pPr>
        <w:keepNext w:val="0"/>
        <w:keepLines w:val="0"/>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outlineLvl w:val="2"/>
        <w:rPr>
          <w:rFonts w:hint="eastAsia" w:ascii="仿宋_GB2312" w:hAnsi="仿宋_GB2312" w:eastAsia="仿宋_GB2312" w:cs="仿宋_GB2312"/>
          <w:b/>
          <w:bCs/>
          <w:color w:val="auto"/>
          <w:sz w:val="32"/>
          <w:szCs w:val="32"/>
        </w:rPr>
      </w:pPr>
      <w:bookmarkStart w:id="128" w:name="_Toc13984"/>
      <w:bookmarkStart w:id="129" w:name="_Toc31684"/>
      <w:r>
        <w:rPr>
          <w:rFonts w:hint="eastAsia" w:ascii="仿宋_GB2312" w:hAnsi="仿宋_GB2312" w:eastAsia="仿宋_GB2312" w:cs="仿宋_GB2312"/>
          <w:b/>
          <w:bCs/>
          <w:color w:val="auto"/>
          <w:sz w:val="32"/>
          <w:szCs w:val="32"/>
        </w:rPr>
        <w:t>5.制度执行有效性</w:t>
      </w:r>
      <w:bookmarkEnd w:id="128"/>
      <w:bookmarkEnd w:id="129"/>
    </w:p>
    <w:p w14:paraId="4DDB3A05">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①项目的实施遵守相关法律法规及相关管理规定，符合《全民健康体检资金管理办法》《阜康市中医医院财务管理制度》等管理规定，；</w:t>
      </w:r>
    </w:p>
    <w:p w14:paraId="6E4DB94A">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②该项目实施过程中不存在调整事项</w:t>
      </w:r>
    </w:p>
    <w:p w14:paraId="36CA462B">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③项目合同书、验收评审表、财务支付凭证等资料齐全并及时归档。</w:t>
      </w:r>
    </w:p>
    <w:p w14:paraId="08F2A3E2">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④项目实施所需要的项目人员和场地设备均已落实到位，具体涉及内容包括：项目资金支出严格按照自治区、地区以及本单位资金管理办法执行，项目启动实施后，为了加快本项目的实施，成立了2024年全民健康体检项目工作领导小组，由丁文霞任组长，负责项目的组织工作；张晓丽任副组长，负责项目的实施工作；组员包括：李雪春和田风，主要负责项目监督管理、验收以及资金核拨等工作。</w:t>
      </w:r>
    </w:p>
    <w:p w14:paraId="5F85DAC9">
      <w:pPr>
        <w:keepNext w:val="0"/>
        <w:keepLines w:val="0"/>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综上，该项指标满分4分，得分4分。</w:t>
      </w:r>
    </w:p>
    <w:p w14:paraId="2D272803">
      <w:pPr>
        <w:pStyle w:val="16"/>
        <w:keepNext w:val="0"/>
        <w:keepLines w:val="0"/>
        <w:pageBreakBefore w:val="0"/>
        <w:widowControl/>
        <w:kinsoku/>
        <w:wordWrap/>
        <w:overflowPunct/>
        <w:topLinePunct w:val="0"/>
        <w:autoSpaceDE/>
        <w:autoSpaceDN/>
        <w:bidi w:val="0"/>
        <w:adjustRightInd/>
        <w:snapToGrid w:val="0"/>
        <w:spacing w:before="0" w:after="0" w:line="560" w:lineRule="exact"/>
        <w:ind w:left="0" w:leftChars="0" w:firstLine="643" w:firstLineChars="200"/>
        <w:jc w:val="both"/>
        <w:textAlignment w:val="auto"/>
        <w:rPr>
          <w:rFonts w:ascii="Times New Roman" w:hAnsi="Times New Roman" w:eastAsia="楷体_GB2312" w:cs="Times New Roman"/>
          <w:color w:val="auto"/>
          <w:kern w:val="28"/>
          <w:sz w:val="32"/>
        </w:rPr>
      </w:pPr>
      <w:bookmarkStart w:id="130" w:name="_Toc2441"/>
      <w:r>
        <w:rPr>
          <w:rFonts w:hint="eastAsia" w:ascii="Times New Roman" w:hAnsi="Times New Roman" w:eastAsia="楷体_GB2312" w:cs="Times New Roman"/>
          <w:color w:val="auto"/>
          <w:kern w:val="28"/>
          <w:sz w:val="32"/>
        </w:rPr>
        <w:t>（三）项目产出情况</w:t>
      </w:r>
      <w:bookmarkEnd w:id="130"/>
    </w:p>
    <w:p w14:paraId="5236D082">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u w:color="000000"/>
          <w:lang w:val="zh-TW" w:eastAsia="zh-TW"/>
        </w:rPr>
      </w:pPr>
      <w:r>
        <w:rPr>
          <w:rFonts w:hint="eastAsia" w:ascii="仿宋_GB2312" w:hAnsi="仿宋_GB2312" w:eastAsia="仿宋_GB2312" w:cs="仿宋_GB2312"/>
          <w:color w:val="auto"/>
          <w:sz w:val="32"/>
          <w:szCs w:val="32"/>
          <w:u w:color="000000"/>
          <w:lang w:val="zh-TW" w:eastAsia="zh-TW"/>
        </w:rPr>
        <w:t>项目</w:t>
      </w:r>
      <w:r>
        <w:rPr>
          <w:rFonts w:hint="eastAsia" w:ascii="仿宋_GB2312" w:hAnsi="仿宋_GB2312" w:eastAsia="仿宋_GB2312" w:cs="仿宋_GB2312"/>
          <w:color w:val="auto"/>
          <w:sz w:val="32"/>
          <w:szCs w:val="32"/>
        </w:rPr>
        <w:t>产出</w:t>
      </w:r>
      <w:r>
        <w:rPr>
          <w:rFonts w:hint="eastAsia" w:ascii="仿宋_GB2312" w:hAnsi="仿宋_GB2312" w:eastAsia="仿宋_GB2312" w:cs="仿宋_GB2312"/>
          <w:color w:val="auto"/>
          <w:sz w:val="32"/>
          <w:szCs w:val="32"/>
          <w:u w:color="000000"/>
          <w:lang w:val="zh-TW" w:eastAsia="zh-TW"/>
        </w:rPr>
        <w:t>类指标</w:t>
      </w:r>
      <w:r>
        <w:rPr>
          <w:rFonts w:ascii="Times New Roman" w:hAnsi="Times New Roman" w:eastAsia="仿宋_GB2312" w:cs="Times New Roman"/>
          <w:color w:val="auto"/>
          <w:sz w:val="32"/>
          <w:szCs w:val="32"/>
        </w:rPr>
        <w:t>包括产出数量、产出质量、产出时效、产出成本四方面的内容，</w:t>
      </w:r>
      <w:r>
        <w:rPr>
          <w:rFonts w:hint="eastAsia" w:ascii="Times New Roman" w:hAnsi="Times New Roman" w:eastAsia="仿宋_GB2312" w:cs="Times New Roman"/>
          <w:color w:val="auto"/>
          <w:sz w:val="32"/>
          <w:szCs w:val="32"/>
        </w:rPr>
        <w:t>共</w:t>
      </w:r>
      <w:r>
        <w:rPr>
          <w:rFonts w:hint="eastAsia" w:ascii="仿宋_GB2312" w:hAnsi="仿宋_GB2312" w:eastAsia="仿宋_GB2312" w:cs="仿宋_GB2312"/>
          <w:color w:val="auto"/>
          <w:sz w:val="32"/>
          <w:szCs w:val="32"/>
          <w:u w:color="000000"/>
        </w:rPr>
        <w:t>5</w:t>
      </w:r>
      <w:r>
        <w:rPr>
          <w:rFonts w:hint="eastAsia" w:ascii="仿宋_GB2312" w:hAnsi="仿宋_GB2312" w:eastAsia="仿宋_GB2312" w:cs="仿宋_GB2312"/>
          <w:color w:val="auto"/>
          <w:sz w:val="32"/>
          <w:szCs w:val="32"/>
          <w:u w:color="000000"/>
          <w:lang w:val="zh-TW" w:eastAsia="zh-TW"/>
        </w:rPr>
        <w:t>个</w:t>
      </w:r>
      <w:r>
        <w:rPr>
          <w:rFonts w:hint="eastAsia" w:ascii="仿宋_GB2312" w:hAnsi="仿宋_GB2312" w:eastAsia="仿宋_GB2312" w:cs="仿宋_GB2312"/>
          <w:color w:val="auto"/>
          <w:sz w:val="32"/>
          <w:szCs w:val="32"/>
          <w:u w:color="000000"/>
          <w:lang w:val="zh-TW"/>
        </w:rPr>
        <w:t>二</w:t>
      </w:r>
      <w:r>
        <w:rPr>
          <w:rFonts w:hint="eastAsia" w:ascii="仿宋_GB2312" w:hAnsi="仿宋_GB2312" w:eastAsia="仿宋_GB2312" w:cs="仿宋_GB2312"/>
          <w:color w:val="auto"/>
          <w:sz w:val="32"/>
          <w:szCs w:val="32"/>
          <w:u w:color="000000"/>
          <w:lang w:val="zh-TW" w:eastAsia="zh-TW"/>
        </w:rPr>
        <w:t>级指标和</w:t>
      </w:r>
      <w:r>
        <w:rPr>
          <w:rFonts w:hint="eastAsia" w:ascii="仿宋_GB2312" w:hAnsi="仿宋_GB2312" w:eastAsia="仿宋_GB2312" w:cs="仿宋_GB2312"/>
          <w:color w:val="auto"/>
          <w:sz w:val="32"/>
          <w:szCs w:val="32"/>
          <w:u w:color="000000"/>
        </w:rPr>
        <w:t>11</w:t>
      </w:r>
      <w:r>
        <w:rPr>
          <w:rFonts w:hint="eastAsia" w:ascii="仿宋_GB2312" w:hAnsi="仿宋_GB2312" w:eastAsia="仿宋_GB2312" w:cs="仿宋_GB2312"/>
          <w:color w:val="auto"/>
          <w:sz w:val="32"/>
          <w:szCs w:val="32"/>
          <w:u w:color="000000"/>
          <w:lang w:val="zh-TW" w:eastAsia="zh-TW"/>
        </w:rPr>
        <w:t>个</w:t>
      </w:r>
      <w:r>
        <w:rPr>
          <w:rFonts w:hint="eastAsia" w:ascii="仿宋_GB2312" w:hAnsi="仿宋_GB2312" w:eastAsia="仿宋_GB2312" w:cs="仿宋_GB2312"/>
          <w:color w:val="auto"/>
          <w:sz w:val="32"/>
          <w:szCs w:val="32"/>
          <w:u w:color="000000"/>
        </w:rPr>
        <w:t>三</w:t>
      </w:r>
      <w:r>
        <w:rPr>
          <w:rFonts w:hint="eastAsia" w:ascii="仿宋_GB2312" w:hAnsi="仿宋_GB2312" w:eastAsia="仿宋_GB2312" w:cs="仿宋_GB2312"/>
          <w:color w:val="auto"/>
          <w:sz w:val="32"/>
          <w:szCs w:val="32"/>
          <w:u w:color="000000"/>
          <w:lang w:val="zh-TW" w:eastAsia="zh-TW"/>
        </w:rPr>
        <w:t>级指标构成，权重分</w:t>
      </w:r>
      <w:r>
        <w:rPr>
          <w:rFonts w:hint="eastAsia" w:ascii="仿宋_GB2312" w:hAnsi="仿宋_GB2312" w:eastAsia="仿宋_GB2312" w:cs="仿宋_GB2312"/>
          <w:color w:val="auto"/>
          <w:sz w:val="32"/>
          <w:szCs w:val="32"/>
          <w:u w:color="000000"/>
        </w:rPr>
        <w:t>40</w:t>
      </w:r>
      <w:r>
        <w:rPr>
          <w:rFonts w:hint="eastAsia" w:ascii="仿宋_GB2312" w:hAnsi="仿宋_GB2312" w:eastAsia="仿宋_GB2312" w:cs="仿宋_GB2312"/>
          <w:color w:val="auto"/>
          <w:sz w:val="32"/>
          <w:szCs w:val="32"/>
          <w:u w:color="000000"/>
          <w:lang w:val="zh-TW" w:eastAsia="zh-TW"/>
        </w:rPr>
        <w:t>分，实际得分</w:t>
      </w:r>
      <w:r>
        <w:rPr>
          <w:rFonts w:hint="eastAsia" w:ascii="仿宋_GB2312" w:hAnsi="仿宋_GB2312" w:eastAsia="仿宋_GB2312" w:cs="仿宋_GB2312"/>
          <w:color w:val="auto"/>
          <w:sz w:val="32"/>
          <w:szCs w:val="32"/>
          <w:u w:color="000000"/>
        </w:rPr>
        <w:t>34.88</w:t>
      </w:r>
      <w:r>
        <w:rPr>
          <w:rFonts w:hint="eastAsia" w:ascii="仿宋_GB2312" w:hAnsi="仿宋_GB2312" w:eastAsia="仿宋_GB2312" w:cs="仿宋_GB2312"/>
          <w:color w:val="auto"/>
          <w:sz w:val="32"/>
          <w:szCs w:val="32"/>
          <w:u w:color="000000"/>
          <w:lang w:val="zh-TW" w:eastAsia="zh-TW"/>
        </w:rPr>
        <w:t>分</w:t>
      </w:r>
      <w:r>
        <w:rPr>
          <w:rFonts w:hint="eastAsia" w:ascii="仿宋_GB2312" w:hAnsi="仿宋_GB2312" w:eastAsia="仿宋_GB2312" w:cs="仿宋_GB2312"/>
          <w:color w:val="auto"/>
          <w:sz w:val="32"/>
          <w:szCs w:val="32"/>
          <w:u w:color="000000"/>
          <w:lang w:val="zh-TW"/>
        </w:rPr>
        <w:t>，</w:t>
      </w:r>
      <w:r>
        <w:rPr>
          <w:rFonts w:hint="eastAsia" w:ascii="仿宋_GB2312" w:hAnsi="仿宋_GB2312" w:eastAsia="仿宋_GB2312" w:cs="仿宋_GB2312"/>
          <w:color w:val="auto"/>
          <w:sz w:val="32"/>
          <w:szCs w:val="32"/>
          <w:u w:color="000000"/>
          <w:lang w:val="zh-TW" w:eastAsia="zh-TW"/>
        </w:rPr>
        <w:t>各指标业绩值和绩效分值如表</w:t>
      </w:r>
      <w:r>
        <w:rPr>
          <w:rFonts w:hint="eastAsia" w:ascii="仿宋_GB2312" w:hAnsi="仿宋_GB2312" w:eastAsia="仿宋_GB2312" w:cs="仿宋_GB2312"/>
          <w:color w:val="auto"/>
          <w:sz w:val="32"/>
          <w:szCs w:val="32"/>
          <w:u w:color="000000"/>
        </w:rPr>
        <w:t>4-3</w:t>
      </w:r>
      <w:r>
        <w:rPr>
          <w:rFonts w:hint="eastAsia" w:ascii="仿宋_GB2312" w:hAnsi="仿宋_GB2312" w:eastAsia="仿宋_GB2312" w:cs="仿宋_GB2312"/>
          <w:color w:val="auto"/>
          <w:sz w:val="32"/>
          <w:szCs w:val="32"/>
          <w:u w:color="000000"/>
          <w:lang w:val="zh-TW" w:eastAsia="zh-TW"/>
        </w:rPr>
        <w:t>所示</w:t>
      </w:r>
      <w:r>
        <w:rPr>
          <w:rFonts w:hint="eastAsia" w:ascii="仿宋_GB2312" w:hAnsi="仿宋_GB2312" w:eastAsia="仿宋_GB2312" w:cs="仿宋_GB2312"/>
          <w:b/>
          <w:bCs/>
          <w:color w:val="auto"/>
          <w:sz w:val="32"/>
          <w:szCs w:val="32"/>
          <w:u w:color="000000"/>
          <w:lang w:val="zh-TW"/>
        </w:rPr>
        <w:t>（</w:t>
      </w:r>
      <w:r>
        <w:rPr>
          <w:rFonts w:hint="eastAsia" w:ascii="仿宋_GB2312" w:hAnsi="仿宋_GB2312" w:eastAsia="仿宋_GB2312" w:cs="仿宋_GB2312"/>
          <w:b/>
          <w:bCs/>
          <w:color w:val="auto"/>
          <w:sz w:val="32"/>
          <w:szCs w:val="32"/>
          <w:u w:color="000000"/>
        </w:rPr>
        <w:t>详见上传的附件</w:t>
      </w:r>
      <w:r>
        <w:rPr>
          <w:rFonts w:hint="eastAsia" w:ascii="仿宋_GB2312" w:hAnsi="仿宋_GB2312" w:eastAsia="仿宋_GB2312" w:cs="仿宋_GB2312"/>
          <w:b/>
          <w:bCs/>
          <w:color w:val="auto"/>
          <w:sz w:val="32"/>
          <w:szCs w:val="32"/>
          <w:u w:color="000000"/>
          <w:lang w:val="zh-TW"/>
        </w:rPr>
        <w:t>）</w:t>
      </w:r>
      <w:r>
        <w:rPr>
          <w:rFonts w:hint="eastAsia" w:ascii="仿宋_GB2312" w:hAnsi="仿宋_GB2312" w:eastAsia="仿宋_GB2312" w:cs="仿宋_GB2312"/>
          <w:color w:val="auto"/>
          <w:sz w:val="32"/>
          <w:szCs w:val="32"/>
          <w:u w:color="000000"/>
          <w:lang w:val="zh-TW" w:eastAsia="zh-TW"/>
        </w:rPr>
        <w:t>：</w:t>
      </w:r>
    </w:p>
    <w:p w14:paraId="1BE9E7C4">
      <w:pPr>
        <w:pageBreakBefore w:val="0"/>
        <w:widowControl/>
        <w:kinsoku/>
        <w:wordWrap/>
        <w:overflowPunct/>
        <w:topLinePunct w:val="0"/>
        <w:autoSpaceDE/>
        <w:autoSpaceDN/>
        <w:bidi w:val="0"/>
        <w:adjustRightInd/>
        <w:snapToGrid w:val="0"/>
        <w:spacing w:line="560" w:lineRule="exact"/>
        <w:ind w:left="0" w:leftChars="0" w:firstLine="562" w:firstLineChars="200"/>
        <w:jc w:val="both"/>
        <w:textAlignment w:val="auto"/>
        <w:rPr>
          <w:rFonts w:hint="eastAsia"/>
          <w:b/>
          <w:bCs/>
          <w:color w:val="auto"/>
          <w:kern w:val="0"/>
        </w:rPr>
      </w:pPr>
      <w:r>
        <w:rPr>
          <w:rFonts w:hint="eastAsia"/>
          <w:b/>
          <w:bCs/>
          <w:color w:val="auto"/>
          <w:kern w:val="0"/>
          <w:lang w:val="zh-TW" w:eastAsia="zh-TW"/>
        </w:rPr>
        <w:t>表</w:t>
      </w:r>
      <w:r>
        <w:rPr>
          <w:rFonts w:hint="eastAsia"/>
          <w:b/>
          <w:bCs/>
          <w:color w:val="auto"/>
          <w:kern w:val="0"/>
        </w:rPr>
        <w:t>4-3项目产出</w:t>
      </w:r>
      <w:r>
        <w:rPr>
          <w:rFonts w:hint="eastAsia"/>
          <w:b/>
          <w:bCs/>
          <w:color w:val="auto"/>
          <w:kern w:val="0"/>
          <w:lang w:val="zh-TW" w:eastAsia="zh-TW"/>
        </w:rPr>
        <w:t>指标及分值</w:t>
      </w:r>
      <w:r>
        <w:rPr>
          <w:rFonts w:hint="eastAsia"/>
          <w:b/>
          <w:bCs/>
          <w:color w:val="auto"/>
          <w:kern w:val="0"/>
        </w:rPr>
        <w:t>情况</w:t>
      </w:r>
    </w:p>
    <w:tbl>
      <w:tblPr>
        <w:tblStyle w:val="18"/>
        <w:tblW w:w="8197" w:type="dxa"/>
        <w:tblInd w:w="0" w:type="dxa"/>
        <w:tblLayout w:type="fixed"/>
        <w:tblCellMar>
          <w:top w:w="0" w:type="dxa"/>
          <w:left w:w="0" w:type="dxa"/>
          <w:bottom w:w="0" w:type="dxa"/>
          <w:right w:w="0" w:type="dxa"/>
        </w:tblCellMar>
      </w:tblPr>
      <w:tblGrid>
        <w:gridCol w:w="634"/>
        <w:gridCol w:w="928"/>
        <w:gridCol w:w="2644"/>
        <w:gridCol w:w="1437"/>
        <w:gridCol w:w="558"/>
        <w:gridCol w:w="1365"/>
        <w:gridCol w:w="631"/>
      </w:tblGrid>
      <w:tr w14:paraId="4B6192F4">
        <w:tblPrEx>
          <w:tblCellMar>
            <w:top w:w="0" w:type="dxa"/>
            <w:left w:w="0" w:type="dxa"/>
            <w:bottom w:w="0" w:type="dxa"/>
            <w:right w:w="0" w:type="dxa"/>
          </w:tblCellMar>
        </w:tblPrEx>
        <w:trPr>
          <w:trHeight w:val="961"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CD849">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b/>
                <w:bCs/>
                <w:color w:val="auto"/>
                <w:kern w:val="0"/>
                <w:sz w:val="20"/>
                <w:szCs w:val="20"/>
              </w:rPr>
            </w:pPr>
            <w:r>
              <w:rPr>
                <w:rFonts w:hint="eastAsia"/>
                <w:b/>
                <w:bCs/>
                <w:color w:val="auto"/>
                <w:kern w:val="0"/>
                <w:sz w:val="20"/>
                <w:szCs w:val="20"/>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2444F">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b/>
                <w:bCs/>
                <w:color w:val="auto"/>
                <w:kern w:val="0"/>
                <w:sz w:val="20"/>
                <w:szCs w:val="20"/>
              </w:rPr>
            </w:pPr>
            <w:r>
              <w:rPr>
                <w:rFonts w:hint="eastAsia"/>
                <w:b/>
                <w:bCs/>
                <w:color w:val="auto"/>
                <w:kern w:val="0"/>
                <w:sz w:val="20"/>
                <w:szCs w:val="20"/>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351BB">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b/>
                <w:bCs/>
                <w:color w:val="auto"/>
                <w:kern w:val="0"/>
                <w:sz w:val="20"/>
                <w:szCs w:val="20"/>
              </w:rPr>
            </w:pPr>
            <w:r>
              <w:rPr>
                <w:rFonts w:hint="eastAsia"/>
                <w:b/>
                <w:bCs/>
                <w:color w:val="auto"/>
                <w:kern w:val="0"/>
                <w:sz w:val="20"/>
                <w:szCs w:val="20"/>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35445">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b/>
                <w:bCs/>
                <w:color w:val="auto"/>
                <w:kern w:val="0"/>
                <w:sz w:val="20"/>
                <w:szCs w:val="20"/>
              </w:rPr>
            </w:pPr>
            <w:r>
              <w:rPr>
                <w:rFonts w:hint="eastAsia"/>
                <w:b/>
                <w:bCs/>
                <w:color w:val="auto"/>
                <w:kern w:val="0"/>
                <w:sz w:val="20"/>
                <w:szCs w:val="20"/>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48CAB">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b/>
                <w:bCs/>
                <w:color w:val="auto"/>
                <w:kern w:val="0"/>
                <w:sz w:val="20"/>
                <w:szCs w:val="20"/>
              </w:rPr>
            </w:pPr>
            <w:r>
              <w:rPr>
                <w:rFonts w:hint="eastAsia"/>
                <w:b/>
                <w:bCs/>
                <w:color w:val="auto"/>
                <w:kern w:val="0"/>
                <w:sz w:val="20"/>
                <w:szCs w:val="20"/>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55F67">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b/>
                <w:bCs/>
                <w:color w:val="auto"/>
                <w:kern w:val="0"/>
                <w:sz w:val="20"/>
                <w:szCs w:val="20"/>
              </w:rPr>
            </w:pPr>
            <w:r>
              <w:rPr>
                <w:rFonts w:hint="eastAsia"/>
                <w:b/>
                <w:bCs/>
                <w:color w:val="auto"/>
                <w:kern w:val="0"/>
                <w:sz w:val="20"/>
                <w:szCs w:val="20"/>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9BFBF">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b/>
                <w:bCs/>
                <w:color w:val="auto"/>
                <w:kern w:val="0"/>
                <w:sz w:val="20"/>
                <w:szCs w:val="20"/>
              </w:rPr>
            </w:pPr>
            <w:r>
              <w:rPr>
                <w:rFonts w:hint="eastAsia"/>
                <w:b/>
                <w:bCs/>
                <w:color w:val="auto"/>
                <w:kern w:val="0"/>
                <w:sz w:val="20"/>
                <w:szCs w:val="20"/>
              </w:rPr>
              <w:t>指标得分</w:t>
            </w:r>
          </w:p>
        </w:tc>
      </w:tr>
      <w:tr w14:paraId="1E29532F">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94F7706">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8961FF5">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4E0BB">
            <w:pPr>
              <w:pageBreakBefore w:val="0"/>
              <w:widowControl/>
              <w:kinsoku/>
              <w:wordWrap/>
              <w:overflowPunct/>
              <w:topLinePunct w:val="0"/>
              <w:autoSpaceDE/>
              <w:autoSpaceDN/>
              <w:bidi w:val="0"/>
              <w:adjustRightInd/>
              <w:snapToGrid w:val="0"/>
              <w:spacing w:line="240" w:lineRule="auto"/>
              <w:jc w:val="center"/>
              <w:textAlignment w:val="auto"/>
              <w:rPr>
                <w:rFonts w:hint="eastAsia"/>
                <w:color w:val="auto"/>
                <w:kern w:val="0"/>
                <w:sz w:val="20"/>
                <w:szCs w:val="20"/>
              </w:rPr>
            </w:pPr>
            <w:r>
              <w:rPr>
                <w:rFonts w:hint="eastAsia"/>
                <w:color w:val="auto"/>
                <w:kern w:val="0"/>
                <w:sz w:val="20"/>
                <w:szCs w:val="20"/>
              </w:rPr>
              <w:t>全民健康体检人数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E40F8">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≥9293人次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F5E88">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A6BBB">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12822人次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3ED73">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2.48</w:t>
            </w:r>
          </w:p>
        </w:tc>
      </w:tr>
      <w:tr w14:paraId="3EFAF76D">
        <w:tblPrEx>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268F609">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FB38770">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FE187">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r>
              <w:rPr>
                <w:rFonts w:hint="eastAsia"/>
                <w:color w:val="auto"/>
                <w:kern w:val="0"/>
                <w:sz w:val="20"/>
                <w:szCs w:val="20"/>
              </w:rPr>
              <w:t>系统录入人次</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BCC09">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≥9293人次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F66DC">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9EDDA">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12822人次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67533">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2.48</w:t>
            </w:r>
          </w:p>
        </w:tc>
      </w:tr>
      <w:tr w14:paraId="649667D7">
        <w:tblPrEx>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CF2D888">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99B45">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672F2">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r>
              <w:rPr>
                <w:rFonts w:hint="eastAsia"/>
                <w:color w:val="auto"/>
                <w:kern w:val="0"/>
                <w:sz w:val="20"/>
                <w:szCs w:val="20"/>
              </w:rPr>
              <w:t>胸部X线完成人次</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46F54">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≥9293人次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FB2F1">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0C80D">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12822人次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78858">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2.48</w:t>
            </w:r>
          </w:p>
        </w:tc>
      </w:tr>
      <w:tr w14:paraId="1A629C80">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91A9511">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BD5B7F2">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E81AD">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r>
              <w:rPr>
                <w:rFonts w:hint="eastAsia"/>
                <w:color w:val="auto"/>
                <w:kern w:val="0"/>
                <w:sz w:val="20"/>
                <w:szCs w:val="20"/>
              </w:rPr>
              <w:t>全民健康体检完成率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19D9E">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89316">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F80EB">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18D9E">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5</w:t>
            </w:r>
          </w:p>
        </w:tc>
      </w:tr>
      <w:tr w14:paraId="2B75F53A">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41A9385">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A37ED">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03413">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r>
              <w:rPr>
                <w:rFonts w:hint="eastAsia"/>
                <w:color w:val="auto"/>
                <w:kern w:val="0"/>
                <w:sz w:val="20"/>
                <w:szCs w:val="20"/>
              </w:rPr>
              <w:t>系统录入合格率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A807C">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≥90%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00F1C">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05487">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79118">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4.44</w:t>
            </w:r>
          </w:p>
        </w:tc>
      </w:tr>
      <w:tr w14:paraId="72A51995">
        <w:tblPrEx>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74D6BB0">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02932EE">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38ED4">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r>
              <w:rPr>
                <w:rFonts w:hint="eastAsia"/>
                <w:color w:val="auto"/>
                <w:kern w:val="0"/>
                <w:sz w:val="20"/>
                <w:szCs w:val="20"/>
              </w:rPr>
              <w:t>全民健康体检工作完成及时率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B47F7">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r>
              <w:rPr>
                <w:rFonts w:hint="eastAsia"/>
                <w:color w:val="auto"/>
                <w:kern w:val="0"/>
                <w:sz w:val="20"/>
                <w:szCs w:val="20"/>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48640">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F35F2">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53F95">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4</w:t>
            </w:r>
          </w:p>
        </w:tc>
      </w:tr>
      <w:tr w14:paraId="2933AB4D">
        <w:tblPrEx>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2D35CE5">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F8918">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5B37A3">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r>
              <w:rPr>
                <w:rFonts w:hint="eastAsia"/>
                <w:color w:val="auto"/>
                <w:kern w:val="0"/>
                <w:sz w:val="20"/>
                <w:szCs w:val="20"/>
              </w:rPr>
              <w:t>全民健康体检完成时限</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21A7D">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2024年12月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F290B">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65999">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2024年12月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80AD0">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4</w:t>
            </w:r>
          </w:p>
        </w:tc>
      </w:tr>
      <w:tr w14:paraId="0FB61050">
        <w:tblPrEx>
          <w:tblCellMar>
            <w:top w:w="0" w:type="dxa"/>
            <w:left w:w="0" w:type="dxa"/>
            <w:bottom w:w="0" w:type="dxa"/>
            <w:right w:w="0" w:type="dxa"/>
          </w:tblCellMar>
        </w:tblPrEx>
        <w:trPr>
          <w:trHeight w:val="479"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E3F655E">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1208A10">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highlight w:val="none"/>
              </w:rPr>
            </w:pPr>
            <w:r>
              <w:rPr>
                <w:rFonts w:hint="eastAsia"/>
                <w:color w:val="auto"/>
                <w:kern w:val="0"/>
                <w:sz w:val="20"/>
                <w:szCs w:val="20"/>
                <w:highlight w:val="none"/>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629FA">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highlight w:val="none"/>
              </w:rPr>
            </w:pPr>
            <w:r>
              <w:rPr>
                <w:rFonts w:hint="eastAsia"/>
                <w:color w:val="auto"/>
                <w:kern w:val="0"/>
                <w:sz w:val="20"/>
                <w:szCs w:val="20"/>
                <w:highlight w:val="none"/>
              </w:rPr>
              <w:t>体检检验试剂投入</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52A93">
            <w:pPr>
              <w:pageBreakBefore w:val="0"/>
              <w:widowControl/>
              <w:kinsoku/>
              <w:wordWrap/>
              <w:overflowPunct/>
              <w:topLinePunct w:val="0"/>
              <w:autoSpaceDE/>
              <w:autoSpaceDN/>
              <w:bidi w:val="0"/>
              <w:adjustRightInd/>
              <w:snapToGrid w:val="0"/>
              <w:spacing w:line="240" w:lineRule="auto"/>
              <w:jc w:val="center"/>
              <w:textAlignment w:val="auto"/>
              <w:rPr>
                <w:rFonts w:hint="eastAsia"/>
                <w:color w:val="auto"/>
                <w:kern w:val="0"/>
                <w:sz w:val="20"/>
                <w:szCs w:val="20"/>
              </w:rPr>
            </w:pPr>
            <w:r>
              <w:rPr>
                <w:rFonts w:hint="eastAsia"/>
                <w:color w:val="auto"/>
                <w:kern w:val="0"/>
                <w:sz w:val="20"/>
                <w:szCs w:val="20"/>
              </w:rPr>
              <w:t>≥48万元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EF935">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FF1E5">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lang w:val="en-US" w:eastAsia="zh-CN"/>
              </w:rPr>
              <w:t>4</w:t>
            </w:r>
            <w:r>
              <w:rPr>
                <w:rFonts w:hint="eastAsia"/>
                <w:color w:val="auto"/>
                <w:kern w:val="0"/>
                <w:sz w:val="20"/>
                <w:szCs w:val="20"/>
              </w:rPr>
              <w:t>8万元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F9A0E">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5</w:t>
            </w:r>
          </w:p>
        </w:tc>
      </w:tr>
      <w:tr w14:paraId="307E3628">
        <w:tblPrEx>
          <w:tblCellMar>
            <w:top w:w="0" w:type="dxa"/>
            <w:left w:w="0" w:type="dxa"/>
            <w:bottom w:w="0" w:type="dxa"/>
            <w:right w:w="0" w:type="dxa"/>
          </w:tblCellMar>
        </w:tblPrEx>
        <w:trPr>
          <w:trHeight w:val="429"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C7F0A">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28264">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highlight w:val="none"/>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11569">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highlight w:val="none"/>
              </w:rPr>
            </w:pPr>
            <w:r>
              <w:rPr>
                <w:rFonts w:hint="eastAsia"/>
                <w:color w:val="auto"/>
                <w:kern w:val="0"/>
                <w:sz w:val="20"/>
                <w:szCs w:val="20"/>
                <w:highlight w:val="none"/>
              </w:rPr>
              <w:t>日常运行办公投入</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F4A3D">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r>
              <w:rPr>
                <w:rFonts w:hint="eastAsia"/>
                <w:color w:val="auto"/>
                <w:kern w:val="0"/>
                <w:sz w:val="20"/>
                <w:szCs w:val="20"/>
              </w:rPr>
              <w:t>≥10.27万元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FF1FC">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312B6">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10.27万元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19280">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5</w:t>
            </w:r>
          </w:p>
        </w:tc>
      </w:tr>
      <w:tr w14:paraId="1B3E9833">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06788">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r>
              <w:rPr>
                <w:rFonts w:hint="eastAsia"/>
                <w:color w:val="auto"/>
                <w:kern w:val="0"/>
                <w:sz w:val="20"/>
                <w:szCs w:val="20"/>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0C5CA">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lang w:val="en-US" w:eastAsia="zh-CN"/>
              </w:rPr>
              <w:t>4</w:t>
            </w:r>
            <w:r>
              <w:rPr>
                <w:rFonts w:hint="eastAsia"/>
                <w:color w:val="auto"/>
                <w:kern w:val="0"/>
                <w:sz w:val="20"/>
                <w:szCs w:val="20"/>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0BA1E">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0BB4E">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rPr>
            </w:pPr>
            <w:r>
              <w:rPr>
                <w:rFonts w:hint="eastAsia"/>
                <w:color w:val="auto"/>
                <w:kern w:val="0"/>
                <w:sz w:val="20"/>
                <w:szCs w:val="20"/>
              </w:rPr>
              <w:t>34.88</w:t>
            </w:r>
          </w:p>
        </w:tc>
      </w:tr>
    </w:tbl>
    <w:p w14:paraId="4B618F8E">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3" w:firstLineChars="200"/>
        <w:jc w:val="both"/>
        <w:textAlignment w:val="auto"/>
        <w:outlineLvl w:val="2"/>
        <w:rPr>
          <w:rFonts w:hint="eastAsia" w:ascii="仿宋_GB2312" w:hAnsi="仿宋_GB2312" w:eastAsia="仿宋_GB2312" w:cs="仿宋_GB2312"/>
          <w:b/>
          <w:bCs/>
          <w:color w:val="auto"/>
          <w:sz w:val="32"/>
          <w:szCs w:val="32"/>
        </w:rPr>
      </w:pPr>
      <w:bookmarkStart w:id="131" w:name="_Toc11067"/>
      <w:bookmarkStart w:id="132" w:name="_Toc26689"/>
      <w:r>
        <w:rPr>
          <w:rFonts w:hint="eastAsia" w:ascii="仿宋_GB2312" w:hAnsi="仿宋_GB2312" w:eastAsia="仿宋_GB2312" w:cs="仿宋_GB2312"/>
          <w:b/>
          <w:bCs/>
          <w:color w:val="auto"/>
          <w:sz w:val="32"/>
          <w:szCs w:val="32"/>
        </w:rPr>
        <w:t>1.数量指标完成情况</w:t>
      </w:r>
      <w:bookmarkEnd w:id="131"/>
      <w:bookmarkEnd w:id="132"/>
    </w:p>
    <w:p w14:paraId="78CD08CF">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（1）“全民健康体检人数”指标，预期目标值为≥9293人次，实际完成为12822人次。实际完成率=（12822人次/9293人次）×100%=137.97%，偏差原因：辖区内流动人口增多。</w:t>
      </w:r>
    </w:p>
    <w:p w14:paraId="309EF27B">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（2）“系统录入人次”指标，预期目标值为≥9293人次，实际完成为12822人次。实际完成率=（12822人次/9293人次）×100%=137.97%，偏差原因：辖区内流动人口增多。</w:t>
      </w:r>
    </w:p>
    <w:p w14:paraId="5CC91A3F">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（3）“胸部X线完成人次”指标，预期目标值为≥9293人次，实际完成为12822人次。实际完成率=（12822人次/9293人次）×100%=137.97%，偏差原因：辖区内流动人口增多。</w:t>
      </w:r>
    </w:p>
    <w:p w14:paraId="2A00BA41">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综上，该项指标满分12分，得分7.44分。</w:t>
      </w:r>
    </w:p>
    <w:p w14:paraId="78F62182">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3" w:firstLineChars="200"/>
        <w:jc w:val="both"/>
        <w:textAlignment w:val="auto"/>
        <w:outlineLvl w:val="2"/>
        <w:rPr>
          <w:rFonts w:hint="eastAsia" w:ascii="仿宋_GB2312" w:hAnsi="仿宋_GB2312" w:eastAsia="仿宋_GB2312" w:cs="仿宋_GB2312"/>
          <w:b/>
          <w:bCs/>
          <w:color w:val="auto"/>
          <w:sz w:val="32"/>
          <w:szCs w:val="32"/>
        </w:rPr>
      </w:pPr>
      <w:bookmarkStart w:id="133" w:name="_Toc31739"/>
      <w:bookmarkStart w:id="134" w:name="_Toc14255"/>
      <w:r>
        <w:rPr>
          <w:rFonts w:hint="eastAsia" w:ascii="仿宋_GB2312" w:hAnsi="仿宋_GB2312" w:eastAsia="仿宋_GB2312" w:cs="仿宋_GB2312"/>
          <w:b/>
          <w:bCs/>
          <w:color w:val="auto"/>
          <w:sz w:val="32"/>
          <w:szCs w:val="32"/>
        </w:rPr>
        <w:t>2.</w:t>
      </w:r>
      <w:bookmarkEnd w:id="133"/>
      <w:r>
        <w:rPr>
          <w:rFonts w:hint="eastAsia" w:ascii="仿宋_GB2312" w:hAnsi="仿宋_GB2312" w:eastAsia="仿宋_GB2312" w:cs="仿宋_GB2312"/>
          <w:b/>
          <w:bCs/>
          <w:color w:val="auto"/>
          <w:sz w:val="32"/>
          <w:szCs w:val="32"/>
        </w:rPr>
        <w:t>质量指标完成情况</w:t>
      </w:r>
      <w:bookmarkEnd w:id="134"/>
    </w:p>
    <w:p w14:paraId="15706686">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（1）“全民健康体检完成率”指标，预期目标值为=100%，实际完成为100%。实际完成率100%。</w:t>
      </w:r>
    </w:p>
    <w:p w14:paraId="1419E48B">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（2）“系统录入合格率”指标，预期目标值为≥90%，实际完成为100%。实际完成率100%。偏差原因：辖区内流动人口增多。</w:t>
      </w:r>
    </w:p>
    <w:p w14:paraId="4061755F">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综上，该项指标满分10分，得分9.44分。</w:t>
      </w:r>
    </w:p>
    <w:p w14:paraId="75E0A549">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3" w:firstLineChars="200"/>
        <w:jc w:val="both"/>
        <w:textAlignment w:val="auto"/>
        <w:outlineLvl w:val="2"/>
        <w:rPr>
          <w:rFonts w:hint="eastAsia" w:ascii="仿宋_GB2312" w:hAnsi="仿宋_GB2312" w:eastAsia="仿宋_GB2312" w:cs="仿宋_GB2312"/>
          <w:b/>
          <w:bCs/>
          <w:color w:val="auto"/>
          <w:sz w:val="32"/>
          <w:szCs w:val="32"/>
        </w:rPr>
      </w:pPr>
      <w:bookmarkStart w:id="135" w:name="_Toc18307"/>
      <w:bookmarkStart w:id="136" w:name="_Toc28885"/>
      <w:r>
        <w:rPr>
          <w:rFonts w:hint="eastAsia" w:ascii="仿宋_GB2312" w:hAnsi="仿宋_GB2312" w:eastAsia="仿宋_GB2312" w:cs="仿宋_GB2312"/>
          <w:b/>
          <w:bCs/>
          <w:color w:val="auto"/>
          <w:sz w:val="32"/>
          <w:szCs w:val="32"/>
        </w:rPr>
        <w:t>3.</w:t>
      </w:r>
      <w:bookmarkEnd w:id="135"/>
      <w:r>
        <w:rPr>
          <w:rFonts w:hint="eastAsia" w:ascii="仿宋_GB2312" w:hAnsi="仿宋_GB2312" w:eastAsia="仿宋_GB2312" w:cs="仿宋_GB2312"/>
          <w:b/>
          <w:bCs/>
          <w:color w:val="auto"/>
          <w:sz w:val="32"/>
          <w:szCs w:val="32"/>
        </w:rPr>
        <w:t>时效指标完成情况</w:t>
      </w:r>
      <w:bookmarkEnd w:id="136"/>
    </w:p>
    <w:p w14:paraId="4631D150">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（1）“全民健康体检工作完成及时率”指标，预期目标值为=100%，实际完成为100%。实际完成率100%。</w:t>
      </w:r>
    </w:p>
    <w:p w14:paraId="0037C435">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（2）“全民健康体检完成时限”指标，预期目标值为2024年12月，实际完成为2024年12月。实际完成率100%。</w:t>
      </w:r>
    </w:p>
    <w:p w14:paraId="766EC612">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综上，该项指标满分8分，得分8分。</w:t>
      </w:r>
    </w:p>
    <w:p w14:paraId="12B18FD0">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3" w:firstLineChars="200"/>
        <w:jc w:val="both"/>
        <w:textAlignment w:val="auto"/>
        <w:outlineLvl w:val="2"/>
        <w:rPr>
          <w:rFonts w:hint="eastAsia" w:ascii="仿宋_GB2312" w:hAnsi="仿宋_GB2312" w:eastAsia="仿宋_GB2312" w:cs="仿宋_GB2312"/>
          <w:b/>
          <w:bCs/>
          <w:color w:val="auto"/>
          <w:sz w:val="32"/>
          <w:szCs w:val="32"/>
        </w:rPr>
      </w:pPr>
      <w:bookmarkStart w:id="137" w:name="_Toc32765"/>
      <w:bookmarkStart w:id="138" w:name="_Toc20607"/>
      <w:r>
        <w:rPr>
          <w:rFonts w:hint="eastAsia" w:ascii="仿宋_GB2312" w:hAnsi="仿宋_GB2312" w:eastAsia="仿宋_GB2312" w:cs="仿宋_GB2312"/>
          <w:b/>
          <w:bCs/>
          <w:color w:val="auto"/>
          <w:sz w:val="32"/>
          <w:szCs w:val="32"/>
        </w:rPr>
        <w:t>4.项目</w:t>
      </w:r>
      <w:bookmarkEnd w:id="137"/>
      <w:r>
        <w:rPr>
          <w:rFonts w:hint="eastAsia" w:ascii="仿宋_GB2312" w:hAnsi="仿宋_GB2312" w:eastAsia="仿宋_GB2312" w:cs="仿宋_GB2312"/>
          <w:b/>
          <w:bCs/>
          <w:color w:val="auto"/>
          <w:sz w:val="32"/>
          <w:szCs w:val="32"/>
        </w:rPr>
        <w:t>成本情况</w:t>
      </w:r>
      <w:bookmarkEnd w:id="138"/>
    </w:p>
    <w:p w14:paraId="40E6D662">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经济成本指标完成情况</w:t>
      </w:r>
    </w:p>
    <w:p w14:paraId="72BB53CD">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（1）“体检检验试剂投入”指标，预期目标值为≥48万元，实际完成为48万元。实际完成率=（48万元/48万元）×100%=100%。</w:t>
      </w:r>
    </w:p>
    <w:p w14:paraId="178AD663">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（2）“日常运行办公投入”指标，预期目标值为≥10.27万元，实际完成为10.27万元。实际完成率=（10.27万元/10.27万元）×100%=100%。</w:t>
      </w:r>
    </w:p>
    <w:p w14:paraId="444F51A2">
      <w:pPr>
        <w:keepNext w:val="0"/>
        <w:keepLines w:val="0"/>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综上，该项指标满分10分，得分10分。</w:t>
      </w:r>
    </w:p>
    <w:p w14:paraId="31FB7A23">
      <w:pPr>
        <w:pStyle w:val="16"/>
        <w:keepNext w:val="0"/>
        <w:keepLines w:val="0"/>
        <w:pageBreakBefore w:val="0"/>
        <w:widowControl/>
        <w:kinsoku/>
        <w:wordWrap/>
        <w:overflowPunct/>
        <w:topLinePunct w:val="0"/>
        <w:autoSpaceDE/>
        <w:autoSpaceDN/>
        <w:bidi w:val="0"/>
        <w:adjustRightInd/>
        <w:snapToGrid w:val="0"/>
        <w:spacing w:before="0" w:after="0" w:line="560" w:lineRule="exact"/>
        <w:ind w:left="0" w:leftChars="0" w:firstLine="643" w:firstLineChars="200"/>
        <w:jc w:val="both"/>
        <w:textAlignment w:val="auto"/>
        <w:rPr>
          <w:rFonts w:ascii="Times New Roman" w:hAnsi="Times New Roman" w:eastAsia="楷体_GB2312" w:cs="Times New Roman"/>
          <w:color w:val="auto"/>
          <w:kern w:val="28"/>
          <w:sz w:val="32"/>
        </w:rPr>
      </w:pPr>
      <w:bookmarkStart w:id="139" w:name="_Toc19424"/>
      <w:r>
        <w:rPr>
          <w:rFonts w:hint="eastAsia" w:ascii="Times New Roman" w:hAnsi="Times New Roman" w:eastAsia="楷体_GB2312" w:cs="Times New Roman"/>
          <w:color w:val="auto"/>
          <w:kern w:val="28"/>
          <w:sz w:val="32"/>
        </w:rPr>
        <w:t>（四）项目效益情况</w:t>
      </w:r>
      <w:bookmarkEnd w:id="139"/>
    </w:p>
    <w:p w14:paraId="178952BB">
      <w:pPr>
        <w:keepNext w:val="0"/>
        <w:keepLines w:val="0"/>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u w:color="000000"/>
          <w:lang w:val="zh-TW" w:eastAsia="zh-TW"/>
        </w:rPr>
      </w:pPr>
      <w:r>
        <w:rPr>
          <w:rFonts w:hint="eastAsia" w:ascii="仿宋_GB2312" w:hAnsi="仿宋_GB2312" w:eastAsia="仿宋_GB2312" w:cs="仿宋_GB2312"/>
          <w:color w:val="auto"/>
          <w:sz w:val="32"/>
          <w:szCs w:val="32"/>
          <w:u w:color="000000"/>
          <w:lang w:val="zh-TW" w:eastAsia="zh-TW"/>
        </w:rPr>
        <w:t>项目</w:t>
      </w:r>
      <w:r>
        <w:rPr>
          <w:rFonts w:hint="eastAsia" w:ascii="仿宋_GB2312" w:hAnsi="仿宋_GB2312" w:eastAsia="仿宋_GB2312" w:cs="仿宋_GB2312"/>
          <w:color w:val="auto"/>
          <w:sz w:val="32"/>
          <w:szCs w:val="32"/>
        </w:rPr>
        <w:t>效益</w:t>
      </w:r>
      <w:r>
        <w:rPr>
          <w:rFonts w:hint="eastAsia" w:ascii="仿宋_GB2312" w:hAnsi="仿宋_GB2312" w:eastAsia="仿宋_GB2312" w:cs="仿宋_GB2312"/>
          <w:color w:val="auto"/>
          <w:sz w:val="32"/>
          <w:szCs w:val="32"/>
          <w:u w:color="000000"/>
          <w:lang w:val="zh-TW" w:eastAsia="zh-TW"/>
        </w:rPr>
        <w:t>类指标</w:t>
      </w:r>
      <w:r>
        <w:rPr>
          <w:rFonts w:ascii="Times New Roman" w:hAnsi="Times New Roman" w:eastAsia="仿宋_GB2312" w:cs="Times New Roman"/>
          <w:color w:val="auto"/>
          <w:sz w:val="32"/>
          <w:szCs w:val="32"/>
        </w:rPr>
        <w:t>包括项目实施效益和满意度两方面的内容，</w:t>
      </w:r>
      <w:r>
        <w:rPr>
          <w:rFonts w:hint="eastAsia" w:ascii="仿宋_GB2312" w:hAnsi="仿宋_GB2312" w:eastAsia="仿宋_GB2312" w:cs="仿宋_GB2312"/>
          <w:color w:val="auto"/>
          <w:sz w:val="32"/>
          <w:szCs w:val="32"/>
          <w:u w:color="000000"/>
          <w:lang w:val="zh-TW" w:eastAsia="zh-TW"/>
        </w:rPr>
        <w:t>由</w:t>
      </w:r>
      <w:r>
        <w:rPr>
          <w:rFonts w:hint="eastAsia" w:ascii="仿宋_GB2312" w:hAnsi="仿宋_GB2312" w:eastAsia="仿宋_GB2312" w:cs="仿宋_GB2312"/>
          <w:color w:val="auto"/>
          <w:sz w:val="32"/>
          <w:szCs w:val="32"/>
          <w:u w:color="000000"/>
        </w:rPr>
        <w:t>1</w:t>
      </w:r>
      <w:r>
        <w:rPr>
          <w:rFonts w:hint="eastAsia" w:ascii="仿宋_GB2312" w:hAnsi="仿宋_GB2312" w:eastAsia="仿宋_GB2312" w:cs="仿宋_GB2312"/>
          <w:color w:val="auto"/>
          <w:sz w:val="32"/>
          <w:szCs w:val="32"/>
          <w:u w:color="000000"/>
          <w:lang w:val="zh-TW" w:eastAsia="zh-TW"/>
        </w:rPr>
        <w:t>个</w:t>
      </w:r>
      <w:r>
        <w:rPr>
          <w:rFonts w:hint="eastAsia" w:ascii="仿宋_GB2312" w:hAnsi="仿宋_GB2312" w:eastAsia="仿宋_GB2312" w:cs="仿宋_GB2312"/>
          <w:color w:val="auto"/>
          <w:sz w:val="32"/>
          <w:szCs w:val="32"/>
          <w:u w:color="000000"/>
          <w:lang w:val="zh-TW"/>
        </w:rPr>
        <w:t>二</w:t>
      </w:r>
      <w:r>
        <w:rPr>
          <w:rFonts w:hint="eastAsia" w:ascii="仿宋_GB2312" w:hAnsi="仿宋_GB2312" w:eastAsia="仿宋_GB2312" w:cs="仿宋_GB2312"/>
          <w:color w:val="auto"/>
          <w:sz w:val="32"/>
          <w:szCs w:val="32"/>
          <w:u w:color="000000"/>
          <w:lang w:val="zh-TW" w:eastAsia="zh-TW"/>
        </w:rPr>
        <w:t>级指标和</w:t>
      </w:r>
      <w:r>
        <w:rPr>
          <w:rFonts w:hint="eastAsia" w:ascii="仿宋_GB2312" w:hAnsi="仿宋_GB2312" w:eastAsia="仿宋_GB2312" w:cs="仿宋_GB2312"/>
          <w:color w:val="auto"/>
          <w:sz w:val="32"/>
          <w:szCs w:val="32"/>
          <w:u w:color="000000"/>
        </w:rPr>
        <w:t>2</w:t>
      </w:r>
      <w:r>
        <w:rPr>
          <w:rFonts w:hint="eastAsia" w:ascii="仿宋_GB2312" w:hAnsi="仿宋_GB2312" w:eastAsia="仿宋_GB2312" w:cs="仿宋_GB2312"/>
          <w:color w:val="auto"/>
          <w:sz w:val="32"/>
          <w:szCs w:val="32"/>
          <w:u w:color="000000"/>
          <w:lang w:val="zh-TW" w:eastAsia="zh-TW"/>
        </w:rPr>
        <w:t>个</w:t>
      </w:r>
      <w:r>
        <w:rPr>
          <w:rFonts w:hint="eastAsia" w:ascii="仿宋_GB2312" w:hAnsi="仿宋_GB2312" w:eastAsia="仿宋_GB2312" w:cs="仿宋_GB2312"/>
          <w:color w:val="auto"/>
          <w:sz w:val="32"/>
          <w:szCs w:val="32"/>
          <w:u w:color="000000"/>
        </w:rPr>
        <w:t>三</w:t>
      </w:r>
      <w:r>
        <w:rPr>
          <w:rFonts w:hint="eastAsia" w:ascii="仿宋_GB2312" w:hAnsi="仿宋_GB2312" w:eastAsia="仿宋_GB2312" w:cs="仿宋_GB2312"/>
          <w:color w:val="auto"/>
          <w:sz w:val="32"/>
          <w:szCs w:val="32"/>
          <w:u w:color="000000"/>
          <w:lang w:val="zh-TW" w:eastAsia="zh-TW"/>
        </w:rPr>
        <w:t>级指标构成，权重分</w:t>
      </w:r>
      <w:r>
        <w:rPr>
          <w:rFonts w:hint="eastAsia" w:ascii="仿宋_GB2312" w:hAnsi="仿宋_GB2312" w:eastAsia="仿宋_GB2312" w:cs="仿宋_GB2312"/>
          <w:color w:val="auto"/>
          <w:sz w:val="32"/>
          <w:szCs w:val="32"/>
          <w:u w:color="000000"/>
        </w:rPr>
        <w:t>20</w:t>
      </w:r>
      <w:r>
        <w:rPr>
          <w:rFonts w:hint="eastAsia" w:ascii="仿宋_GB2312" w:hAnsi="仿宋_GB2312" w:eastAsia="仿宋_GB2312" w:cs="仿宋_GB2312"/>
          <w:color w:val="auto"/>
          <w:sz w:val="32"/>
          <w:szCs w:val="32"/>
          <w:u w:color="000000"/>
          <w:lang w:val="zh-TW" w:eastAsia="zh-TW"/>
        </w:rPr>
        <w:t>分，实际得分</w:t>
      </w:r>
      <w:r>
        <w:rPr>
          <w:rFonts w:hint="eastAsia" w:ascii="仿宋_GB2312" w:hAnsi="仿宋_GB2312" w:eastAsia="仿宋_GB2312" w:cs="仿宋_GB2312"/>
          <w:color w:val="auto"/>
          <w:sz w:val="32"/>
          <w:szCs w:val="32"/>
          <w:u w:color="000000"/>
        </w:rPr>
        <w:t>20</w:t>
      </w:r>
      <w:r>
        <w:rPr>
          <w:rFonts w:hint="eastAsia" w:ascii="仿宋_GB2312" w:hAnsi="仿宋_GB2312" w:eastAsia="仿宋_GB2312" w:cs="仿宋_GB2312"/>
          <w:color w:val="auto"/>
          <w:sz w:val="32"/>
          <w:szCs w:val="32"/>
          <w:u w:color="000000"/>
          <w:lang w:val="zh-TW" w:eastAsia="zh-TW"/>
        </w:rPr>
        <w:t>分</w:t>
      </w:r>
      <w:r>
        <w:rPr>
          <w:rFonts w:hint="eastAsia" w:ascii="仿宋_GB2312" w:hAnsi="仿宋_GB2312" w:eastAsia="仿宋_GB2312" w:cs="仿宋_GB2312"/>
          <w:color w:val="auto"/>
          <w:sz w:val="32"/>
          <w:szCs w:val="32"/>
          <w:u w:color="000000"/>
          <w:lang w:val="zh-TW"/>
        </w:rPr>
        <w:t>，</w:t>
      </w:r>
      <w:r>
        <w:rPr>
          <w:rFonts w:hint="eastAsia" w:ascii="仿宋_GB2312" w:hAnsi="仿宋_GB2312" w:eastAsia="仿宋_GB2312" w:cs="仿宋_GB2312"/>
          <w:color w:val="auto"/>
          <w:sz w:val="32"/>
          <w:szCs w:val="32"/>
          <w:u w:color="000000"/>
          <w:lang w:val="zh-TW" w:eastAsia="zh-TW"/>
        </w:rPr>
        <w:t>各指标业绩值和绩效分值如表</w:t>
      </w:r>
      <w:r>
        <w:rPr>
          <w:rFonts w:hint="eastAsia" w:ascii="仿宋_GB2312" w:hAnsi="仿宋_GB2312" w:eastAsia="仿宋_GB2312" w:cs="仿宋_GB2312"/>
          <w:color w:val="auto"/>
          <w:sz w:val="32"/>
          <w:szCs w:val="32"/>
          <w:u w:color="000000"/>
        </w:rPr>
        <w:t>4-4</w:t>
      </w:r>
      <w:r>
        <w:rPr>
          <w:rFonts w:hint="eastAsia" w:ascii="仿宋_GB2312" w:hAnsi="仿宋_GB2312" w:eastAsia="仿宋_GB2312" w:cs="仿宋_GB2312"/>
          <w:color w:val="auto"/>
          <w:sz w:val="32"/>
          <w:szCs w:val="32"/>
          <w:u w:color="000000"/>
          <w:lang w:val="zh-TW" w:eastAsia="zh-TW"/>
        </w:rPr>
        <w:t>所示</w:t>
      </w:r>
      <w:r>
        <w:rPr>
          <w:rFonts w:hint="eastAsia" w:ascii="仿宋_GB2312" w:hAnsi="仿宋_GB2312" w:eastAsia="仿宋_GB2312" w:cs="仿宋_GB2312"/>
          <w:b/>
          <w:bCs/>
          <w:color w:val="auto"/>
          <w:sz w:val="32"/>
          <w:szCs w:val="32"/>
          <w:u w:color="000000"/>
          <w:lang w:val="zh-TW"/>
        </w:rPr>
        <w:t>（</w:t>
      </w:r>
      <w:r>
        <w:rPr>
          <w:rFonts w:hint="eastAsia" w:ascii="仿宋_GB2312" w:hAnsi="仿宋_GB2312" w:eastAsia="仿宋_GB2312" w:cs="仿宋_GB2312"/>
          <w:b/>
          <w:bCs/>
          <w:color w:val="auto"/>
          <w:sz w:val="32"/>
          <w:szCs w:val="32"/>
          <w:u w:color="000000"/>
        </w:rPr>
        <w:t>详见上传的附件</w:t>
      </w:r>
      <w:r>
        <w:rPr>
          <w:rFonts w:hint="eastAsia" w:ascii="仿宋_GB2312" w:hAnsi="仿宋_GB2312" w:eastAsia="仿宋_GB2312" w:cs="仿宋_GB2312"/>
          <w:b/>
          <w:bCs/>
          <w:color w:val="auto"/>
          <w:sz w:val="32"/>
          <w:szCs w:val="32"/>
          <w:u w:color="000000"/>
          <w:lang w:val="zh-TW"/>
        </w:rPr>
        <w:t>）</w:t>
      </w:r>
      <w:r>
        <w:rPr>
          <w:rFonts w:hint="eastAsia" w:ascii="仿宋_GB2312" w:hAnsi="仿宋_GB2312" w:eastAsia="仿宋_GB2312" w:cs="仿宋_GB2312"/>
          <w:color w:val="auto"/>
          <w:sz w:val="32"/>
          <w:szCs w:val="32"/>
          <w:u w:color="000000"/>
          <w:lang w:val="zh-TW" w:eastAsia="zh-TW"/>
        </w:rPr>
        <w:t>：</w:t>
      </w:r>
    </w:p>
    <w:p w14:paraId="0A378463">
      <w:pPr>
        <w:pageBreakBefore w:val="0"/>
        <w:kinsoku/>
        <w:wordWrap/>
        <w:overflowPunct/>
        <w:topLinePunct w:val="0"/>
        <w:autoSpaceDE/>
        <w:autoSpaceDN/>
        <w:bidi w:val="0"/>
        <w:adjustRightInd/>
        <w:snapToGrid w:val="0"/>
        <w:spacing w:line="560" w:lineRule="exact"/>
        <w:ind w:left="0" w:leftChars="0" w:firstLine="562" w:firstLineChars="200"/>
        <w:jc w:val="both"/>
        <w:textAlignment w:val="auto"/>
        <w:rPr>
          <w:rFonts w:hint="eastAsia"/>
          <w:b/>
          <w:bCs/>
          <w:color w:val="auto"/>
          <w:kern w:val="0"/>
        </w:rPr>
      </w:pPr>
      <w:r>
        <w:rPr>
          <w:rFonts w:hint="eastAsia"/>
          <w:b/>
          <w:bCs/>
          <w:color w:val="auto"/>
          <w:kern w:val="0"/>
          <w:lang w:val="zh-TW" w:eastAsia="zh-TW"/>
        </w:rPr>
        <w:t>表</w:t>
      </w:r>
      <w:r>
        <w:rPr>
          <w:rFonts w:hint="eastAsia"/>
          <w:b/>
          <w:bCs/>
          <w:color w:val="auto"/>
          <w:kern w:val="0"/>
        </w:rPr>
        <w:t>4-4项目效益</w:t>
      </w:r>
      <w:r>
        <w:rPr>
          <w:rFonts w:hint="eastAsia"/>
          <w:b/>
          <w:bCs/>
          <w:color w:val="auto"/>
          <w:kern w:val="0"/>
          <w:lang w:val="zh-TW" w:eastAsia="zh-TW"/>
        </w:rPr>
        <w:t>指标及分值</w:t>
      </w:r>
      <w:r>
        <w:rPr>
          <w:rFonts w:hint="eastAsia"/>
          <w:b/>
          <w:bCs/>
          <w:color w:val="auto"/>
          <w:kern w:val="0"/>
        </w:rPr>
        <w:t>情况</w:t>
      </w:r>
    </w:p>
    <w:tbl>
      <w:tblPr>
        <w:tblStyle w:val="18"/>
        <w:tblW w:w="8372" w:type="dxa"/>
        <w:jc w:val="center"/>
        <w:tblLayout w:type="fixed"/>
        <w:tblCellMar>
          <w:top w:w="0" w:type="dxa"/>
          <w:left w:w="0" w:type="dxa"/>
          <w:bottom w:w="0" w:type="dxa"/>
          <w:right w:w="0" w:type="dxa"/>
        </w:tblCellMar>
      </w:tblPr>
      <w:tblGrid>
        <w:gridCol w:w="685"/>
        <w:gridCol w:w="1725"/>
        <w:gridCol w:w="2744"/>
        <w:gridCol w:w="870"/>
        <w:gridCol w:w="645"/>
        <w:gridCol w:w="1050"/>
        <w:gridCol w:w="653"/>
      </w:tblGrid>
      <w:tr w14:paraId="02BE7C7A">
        <w:tblPrEx>
          <w:tblCellMar>
            <w:top w:w="0" w:type="dxa"/>
            <w:left w:w="0" w:type="dxa"/>
            <w:bottom w:w="0" w:type="dxa"/>
            <w:right w:w="0" w:type="dxa"/>
          </w:tblCellMar>
        </w:tblPrEx>
        <w:trPr>
          <w:trHeight w:val="1613"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EDE8323">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b/>
                <w:bCs/>
                <w:color w:val="auto"/>
                <w:kern w:val="0"/>
                <w:sz w:val="20"/>
                <w:szCs w:val="20"/>
              </w:rPr>
            </w:pPr>
            <w:r>
              <w:rPr>
                <w:rFonts w:hint="eastAsia"/>
                <w:b/>
                <w:bCs/>
                <w:color w:val="auto"/>
                <w:kern w:val="0"/>
                <w:sz w:val="20"/>
                <w:szCs w:val="20"/>
              </w:rPr>
              <w:t>一级</w:t>
            </w:r>
          </w:p>
          <w:p w14:paraId="09599FE6">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b/>
                <w:bCs/>
                <w:color w:val="auto"/>
                <w:kern w:val="0"/>
                <w:sz w:val="20"/>
                <w:szCs w:val="20"/>
              </w:rPr>
            </w:pPr>
            <w:r>
              <w:rPr>
                <w:rFonts w:hint="eastAsia"/>
                <w:b/>
                <w:bCs/>
                <w:color w:val="auto"/>
                <w:kern w:val="0"/>
                <w:sz w:val="20"/>
                <w:szCs w:val="20"/>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E57E749">
            <w:pPr>
              <w:pageBreakBefore w:val="0"/>
              <w:widowControl/>
              <w:kinsoku/>
              <w:wordWrap/>
              <w:overflowPunct/>
              <w:topLinePunct w:val="0"/>
              <w:autoSpaceDE/>
              <w:autoSpaceDN/>
              <w:bidi w:val="0"/>
              <w:adjustRightInd/>
              <w:snapToGrid w:val="0"/>
              <w:spacing w:line="240" w:lineRule="auto"/>
              <w:jc w:val="center"/>
              <w:textAlignment w:val="auto"/>
              <w:rPr>
                <w:rFonts w:hint="eastAsia"/>
                <w:b/>
                <w:bCs/>
                <w:color w:val="auto"/>
                <w:kern w:val="0"/>
                <w:sz w:val="20"/>
                <w:szCs w:val="20"/>
              </w:rPr>
            </w:pPr>
            <w:r>
              <w:rPr>
                <w:rFonts w:hint="eastAsia"/>
                <w:b/>
                <w:bCs/>
                <w:color w:val="auto"/>
                <w:kern w:val="0"/>
                <w:sz w:val="20"/>
                <w:szCs w:val="20"/>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0C638">
            <w:pPr>
              <w:pageBreakBefore w:val="0"/>
              <w:widowControl/>
              <w:kinsoku/>
              <w:wordWrap/>
              <w:overflowPunct/>
              <w:topLinePunct w:val="0"/>
              <w:autoSpaceDE/>
              <w:autoSpaceDN/>
              <w:bidi w:val="0"/>
              <w:adjustRightInd/>
              <w:snapToGrid w:val="0"/>
              <w:spacing w:line="240" w:lineRule="auto"/>
              <w:ind w:left="0" w:leftChars="0" w:firstLine="402" w:firstLineChars="200"/>
              <w:jc w:val="center"/>
              <w:textAlignment w:val="auto"/>
              <w:rPr>
                <w:rFonts w:hint="eastAsia"/>
                <w:b/>
                <w:bCs/>
                <w:color w:val="auto"/>
                <w:kern w:val="0"/>
                <w:sz w:val="20"/>
                <w:szCs w:val="20"/>
              </w:rPr>
            </w:pPr>
            <w:r>
              <w:rPr>
                <w:rFonts w:hint="eastAsia"/>
                <w:b/>
                <w:bCs/>
                <w:color w:val="auto"/>
                <w:kern w:val="0"/>
                <w:sz w:val="20"/>
                <w:szCs w:val="20"/>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EEF81">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b/>
                <w:bCs/>
                <w:color w:val="auto"/>
                <w:kern w:val="0"/>
                <w:sz w:val="20"/>
                <w:szCs w:val="20"/>
              </w:rPr>
            </w:pPr>
            <w:r>
              <w:rPr>
                <w:rFonts w:hint="eastAsia"/>
                <w:b/>
                <w:bCs/>
                <w:color w:val="auto"/>
                <w:kern w:val="0"/>
                <w:sz w:val="20"/>
                <w:szCs w:val="20"/>
              </w:rPr>
              <w:t>年度指标值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DACE8">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b/>
                <w:bCs/>
                <w:color w:val="auto"/>
                <w:kern w:val="0"/>
                <w:sz w:val="20"/>
                <w:szCs w:val="20"/>
              </w:rPr>
            </w:pPr>
            <w:r>
              <w:rPr>
                <w:rFonts w:hint="eastAsia"/>
                <w:b/>
                <w:bCs/>
                <w:color w:val="auto"/>
                <w:kern w:val="0"/>
                <w:sz w:val="20"/>
                <w:szCs w:val="20"/>
              </w:rPr>
              <w:t>标杆分值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ECAE0">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b/>
                <w:bCs/>
                <w:color w:val="auto"/>
                <w:kern w:val="0"/>
                <w:sz w:val="20"/>
                <w:szCs w:val="20"/>
              </w:rPr>
            </w:pPr>
            <w:r>
              <w:rPr>
                <w:rFonts w:hint="eastAsia"/>
                <w:b/>
                <w:bCs/>
                <w:color w:val="auto"/>
                <w:kern w:val="0"/>
                <w:sz w:val="20"/>
                <w:szCs w:val="20"/>
              </w:rPr>
              <w:t>全年实际完成值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5432B">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b/>
                <w:bCs/>
                <w:color w:val="auto"/>
                <w:kern w:val="0"/>
                <w:sz w:val="20"/>
                <w:szCs w:val="20"/>
              </w:rPr>
            </w:pPr>
            <w:r>
              <w:rPr>
                <w:rFonts w:hint="eastAsia"/>
                <w:b/>
                <w:bCs/>
                <w:color w:val="auto"/>
                <w:kern w:val="0"/>
                <w:sz w:val="20"/>
                <w:szCs w:val="20"/>
              </w:rPr>
              <w:t>指标得分</w:t>
            </w:r>
          </w:p>
        </w:tc>
      </w:tr>
      <w:tr w14:paraId="58AFA16A">
        <w:tblPrEx>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60B9FC1B">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highlight w:val="none"/>
              </w:rPr>
            </w:pPr>
            <w:r>
              <w:rPr>
                <w:rFonts w:hint="eastAsia"/>
                <w:color w:val="auto"/>
                <w:kern w:val="0"/>
                <w:sz w:val="20"/>
                <w:szCs w:val="20"/>
                <w:highlight w:val="none"/>
              </w:rPr>
              <w:t>效益指标</w:t>
            </w: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5A0982F5">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highlight w:val="none"/>
              </w:rPr>
            </w:pPr>
            <w:r>
              <w:rPr>
                <w:rFonts w:hint="eastAsia"/>
                <w:color w:val="auto"/>
                <w:kern w:val="0"/>
                <w:sz w:val="20"/>
                <w:szCs w:val="20"/>
                <w:highlight w:val="none"/>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9F1D81B">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highlight w:val="none"/>
              </w:rPr>
            </w:pPr>
            <w:r>
              <w:rPr>
                <w:rFonts w:hint="eastAsia"/>
                <w:color w:val="auto"/>
                <w:kern w:val="0"/>
                <w:sz w:val="20"/>
                <w:szCs w:val="20"/>
                <w:highlight w:val="none"/>
              </w:rPr>
              <w:t>居民健康水平提高</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C5B41">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highlight w:val="none"/>
              </w:rPr>
            </w:pPr>
            <w:r>
              <w:rPr>
                <w:rFonts w:hint="eastAsia"/>
                <w:color w:val="auto"/>
                <w:kern w:val="0"/>
                <w:sz w:val="20"/>
                <w:szCs w:val="20"/>
                <w:highlight w:val="none"/>
              </w:rPr>
              <w:t>逐步提高</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57F1E">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highlight w:val="none"/>
              </w:rPr>
            </w:pPr>
            <w:r>
              <w:rPr>
                <w:rFonts w:hint="eastAsia"/>
                <w:color w:val="auto"/>
                <w:kern w:val="0"/>
                <w:sz w:val="20"/>
                <w:szCs w:val="20"/>
                <w:highlight w:val="none"/>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A65B5">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highlight w:val="none"/>
                <w:lang w:eastAsia="zh-CN"/>
              </w:rPr>
            </w:pPr>
            <w:r>
              <w:rPr>
                <w:rFonts w:hint="eastAsia"/>
                <w:color w:val="auto"/>
                <w:kern w:val="0"/>
                <w:sz w:val="20"/>
                <w:szCs w:val="20"/>
                <w:highlight w:val="none"/>
                <w:lang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CB95A">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highlight w:val="none"/>
              </w:rPr>
            </w:pPr>
            <w:r>
              <w:rPr>
                <w:rFonts w:hint="eastAsia"/>
                <w:color w:val="auto"/>
                <w:kern w:val="0"/>
                <w:sz w:val="20"/>
                <w:szCs w:val="20"/>
                <w:highlight w:val="none"/>
              </w:rPr>
              <w:t>10</w:t>
            </w:r>
          </w:p>
        </w:tc>
      </w:tr>
      <w:tr w14:paraId="7A477F64">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4070964">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highlight w:val="none"/>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016D2">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highlight w:val="none"/>
              </w:rPr>
            </w:pPr>
            <w:r>
              <w:rPr>
                <w:rFonts w:hint="eastAsia"/>
                <w:color w:val="auto"/>
                <w:kern w:val="0"/>
                <w:sz w:val="20"/>
                <w:szCs w:val="20"/>
                <w:highlight w:val="none"/>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9A2FB">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highlight w:val="none"/>
              </w:rPr>
            </w:pPr>
            <w:r>
              <w:rPr>
                <w:rFonts w:hint="eastAsia"/>
                <w:color w:val="auto"/>
                <w:kern w:val="0"/>
                <w:sz w:val="20"/>
                <w:szCs w:val="20"/>
                <w:highlight w:val="none"/>
              </w:rPr>
              <w:t>体检居民满意度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E2FAD">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highlight w:val="none"/>
              </w:rPr>
            </w:pPr>
            <w:r>
              <w:rPr>
                <w:rFonts w:hint="eastAsia"/>
                <w:color w:val="auto"/>
                <w:kern w:val="0"/>
                <w:sz w:val="20"/>
                <w:szCs w:val="20"/>
                <w:highlight w:val="none"/>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7FE67">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highlight w:val="none"/>
              </w:rPr>
            </w:pPr>
            <w:r>
              <w:rPr>
                <w:rFonts w:hint="eastAsia"/>
                <w:color w:val="auto"/>
                <w:kern w:val="0"/>
                <w:sz w:val="20"/>
                <w:szCs w:val="20"/>
                <w:highlight w:val="none"/>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7873E">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highlight w:val="none"/>
              </w:rPr>
            </w:pPr>
            <w:r>
              <w:rPr>
                <w:rFonts w:hint="eastAsia"/>
                <w:color w:val="auto"/>
                <w:kern w:val="0"/>
                <w:sz w:val="20"/>
                <w:szCs w:val="20"/>
                <w:highlight w:val="none"/>
                <w:lang w:val="en-US" w:eastAsia="zh-CN"/>
              </w:rPr>
              <w:t>9</w:t>
            </w:r>
            <w:r>
              <w:rPr>
                <w:rFonts w:hint="eastAsia"/>
                <w:color w:val="auto"/>
                <w:kern w:val="0"/>
                <w:sz w:val="20"/>
                <w:szCs w:val="20"/>
                <w:highlight w:val="none"/>
              </w:rPr>
              <w:t>9.4%</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C167C">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highlight w:val="none"/>
              </w:rPr>
            </w:pPr>
            <w:r>
              <w:rPr>
                <w:rFonts w:hint="eastAsia"/>
                <w:color w:val="auto"/>
                <w:kern w:val="0"/>
                <w:sz w:val="20"/>
                <w:szCs w:val="20"/>
                <w:highlight w:val="none"/>
              </w:rPr>
              <w:t>10</w:t>
            </w:r>
          </w:p>
        </w:tc>
      </w:tr>
      <w:tr w14:paraId="08B35541">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F1232">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rPr>
            </w:pPr>
            <w:r>
              <w:rPr>
                <w:rFonts w:hint="eastAsia"/>
                <w:color w:val="auto"/>
                <w:kern w:val="0"/>
                <w:sz w:val="20"/>
                <w:szCs w:val="20"/>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9CD2D">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highlight w:val="none"/>
              </w:rPr>
            </w:pPr>
            <w:r>
              <w:rPr>
                <w:rFonts w:hint="eastAsia"/>
                <w:color w:val="auto"/>
                <w:kern w:val="0"/>
                <w:sz w:val="20"/>
                <w:szCs w:val="20"/>
                <w:highlight w:val="none"/>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0F5FE">
            <w:pPr>
              <w:pageBreakBefore w:val="0"/>
              <w:widowControl/>
              <w:kinsoku/>
              <w:wordWrap/>
              <w:overflowPunct/>
              <w:topLinePunct w:val="0"/>
              <w:autoSpaceDE/>
              <w:autoSpaceDN/>
              <w:bidi w:val="0"/>
              <w:adjustRightInd/>
              <w:snapToGrid w:val="0"/>
              <w:spacing w:line="240" w:lineRule="auto"/>
              <w:ind w:left="0" w:leftChars="0" w:firstLine="400" w:firstLineChars="200"/>
              <w:jc w:val="center"/>
              <w:textAlignment w:val="auto"/>
              <w:rPr>
                <w:rFonts w:hint="eastAsia"/>
                <w:color w:val="auto"/>
                <w:kern w:val="0"/>
                <w:sz w:val="20"/>
                <w:szCs w:val="20"/>
                <w:highlight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9BF0E">
            <w:pPr>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color w:val="auto"/>
                <w:kern w:val="0"/>
                <w:sz w:val="20"/>
                <w:szCs w:val="20"/>
                <w:highlight w:val="none"/>
              </w:rPr>
            </w:pPr>
            <w:r>
              <w:rPr>
                <w:rFonts w:hint="eastAsia"/>
                <w:color w:val="auto"/>
                <w:kern w:val="0"/>
                <w:sz w:val="20"/>
                <w:szCs w:val="20"/>
                <w:highlight w:val="none"/>
              </w:rPr>
              <w:t>20</w:t>
            </w:r>
          </w:p>
        </w:tc>
      </w:tr>
    </w:tbl>
    <w:p w14:paraId="62DA57EE">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3" w:firstLineChars="200"/>
        <w:jc w:val="both"/>
        <w:textAlignment w:val="auto"/>
        <w:outlineLvl w:val="2"/>
        <w:rPr>
          <w:rFonts w:hint="eastAsia" w:ascii="仿宋_GB2312" w:hAnsi="仿宋_GB2312" w:eastAsia="仿宋_GB2312" w:cs="仿宋_GB2312"/>
          <w:b/>
          <w:bCs/>
          <w:color w:val="auto"/>
          <w:sz w:val="32"/>
          <w:szCs w:val="32"/>
        </w:rPr>
      </w:pPr>
      <w:bookmarkStart w:id="140" w:name="_Toc27006"/>
      <w:bookmarkStart w:id="141" w:name="_Toc29606"/>
      <w:r>
        <w:rPr>
          <w:rFonts w:hint="eastAsia" w:ascii="仿宋_GB2312" w:hAnsi="仿宋_GB2312" w:eastAsia="仿宋_GB2312" w:cs="仿宋_GB2312"/>
          <w:b/>
          <w:bCs/>
          <w:color w:val="auto"/>
          <w:sz w:val="32"/>
          <w:szCs w:val="32"/>
        </w:rPr>
        <w:t>1.社会效益指标</w:t>
      </w:r>
      <w:bookmarkEnd w:id="140"/>
      <w:r>
        <w:rPr>
          <w:rFonts w:hint="eastAsia" w:ascii="仿宋_GB2312" w:hAnsi="仿宋_GB2312" w:eastAsia="仿宋_GB2312" w:cs="仿宋_GB2312"/>
          <w:b/>
          <w:bCs/>
          <w:color w:val="auto"/>
          <w:sz w:val="32"/>
          <w:szCs w:val="32"/>
        </w:rPr>
        <w:t>完成情况</w:t>
      </w:r>
      <w:bookmarkEnd w:id="141"/>
    </w:p>
    <w:p w14:paraId="6D6C43F0">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rPr>
        <w:t>居民健康水平提高”指标，预期目标值为逐步提高，实</w:t>
      </w:r>
      <w:bookmarkStart w:id="142" w:name="OLE_LINK1"/>
      <w:r>
        <w:rPr>
          <w:rFonts w:hint="eastAsia" w:ascii="仿宋_GB2312" w:hAnsi="仿宋_GB2312" w:eastAsia="仿宋_GB2312" w:cs="仿宋_GB2312"/>
          <w:color w:val="auto"/>
          <w:sz w:val="32"/>
          <w:szCs w:val="32"/>
          <w:highlight w:val="none"/>
        </w:rPr>
        <w:t>际完成为</w:t>
      </w:r>
      <w:r>
        <w:rPr>
          <w:rFonts w:hint="eastAsia" w:ascii="仿宋_GB2312" w:hAnsi="仿宋_GB2312" w:eastAsia="仿宋_GB2312" w:cs="仿宋_GB2312"/>
          <w:color w:val="auto"/>
          <w:sz w:val="32"/>
          <w:szCs w:val="32"/>
          <w:highlight w:val="none"/>
          <w:lang w:eastAsia="zh-CN"/>
        </w:rPr>
        <w:t>达到预期指标</w:t>
      </w:r>
      <w:r>
        <w:rPr>
          <w:rFonts w:hint="eastAsia" w:ascii="仿宋_GB2312" w:hAnsi="仿宋_GB2312" w:eastAsia="仿宋_GB2312" w:cs="仿宋_GB2312"/>
          <w:color w:val="auto"/>
          <w:sz w:val="32"/>
          <w:szCs w:val="32"/>
          <w:highlight w:val="none"/>
        </w:rPr>
        <w:t>。</w:t>
      </w:r>
    </w:p>
    <w:p w14:paraId="6D773F67">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通过项目的实施，提高了全民健康意识和水平。</w:t>
      </w:r>
    </w:p>
    <w:p w14:paraId="12C83DF1">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综上，该项指标满分10分，得分10分。</w:t>
      </w:r>
    </w:p>
    <w:p w14:paraId="26FD1334">
      <w:pPr>
        <w:pStyle w:val="16"/>
        <w:pageBreakBefore w:val="0"/>
        <w:widowControl/>
        <w:kinsoku/>
        <w:wordWrap/>
        <w:overflowPunct/>
        <w:topLinePunct w:val="0"/>
        <w:autoSpaceDE/>
        <w:autoSpaceDN/>
        <w:bidi w:val="0"/>
        <w:adjustRightInd/>
        <w:snapToGrid w:val="0"/>
        <w:spacing w:before="0" w:after="0" w:line="560" w:lineRule="exact"/>
        <w:ind w:left="0" w:leftChars="0" w:firstLine="643" w:firstLineChars="200"/>
        <w:jc w:val="both"/>
        <w:textAlignment w:val="auto"/>
        <w:rPr>
          <w:rFonts w:ascii="Times New Roman" w:hAnsi="Times New Roman" w:eastAsia="楷体_GB2312" w:cs="Times New Roman"/>
          <w:color w:val="auto"/>
          <w:kern w:val="28"/>
          <w:sz w:val="32"/>
          <w:highlight w:val="none"/>
        </w:rPr>
      </w:pPr>
      <w:bookmarkStart w:id="143" w:name="_Toc23313"/>
      <w:r>
        <w:rPr>
          <w:rFonts w:hint="eastAsia" w:ascii="Times New Roman" w:hAnsi="Times New Roman" w:eastAsia="楷体_GB2312" w:cs="Times New Roman"/>
          <w:color w:val="auto"/>
          <w:kern w:val="28"/>
          <w:sz w:val="32"/>
          <w:highlight w:val="none"/>
        </w:rPr>
        <w:t>（五）满意度指标完成情况分析</w:t>
      </w:r>
      <w:bookmarkEnd w:id="143"/>
    </w:p>
    <w:p w14:paraId="55D684C3">
      <w:pPr>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t>“体检居民满意度”指标，预期目标值为≥90%，实际完成为99.40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w:t>
      </w:r>
    </w:p>
    <w:p w14:paraId="21B002A3">
      <w:pPr>
        <w:pageBreakBefore w:val="0"/>
        <w:kinsoku/>
        <w:wordWrap/>
        <w:overflowPunct/>
        <w:topLinePunct w:val="0"/>
        <w:autoSpaceDE/>
        <w:autoSpaceDN/>
        <w:bidi w:val="0"/>
        <w:adjustRightInd/>
        <w:snapToGrid w:val="0"/>
        <w:spacing w:after="0" w:line="560" w:lineRule="exact"/>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综上，该项指标满分10分，得分10分。</w:t>
      </w:r>
    </w:p>
    <w:bookmarkEnd w:id="142"/>
    <w:p w14:paraId="7861D9DD">
      <w:pPr>
        <w:pStyle w:val="4"/>
        <w:pageBreakBefore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黑体" w:hAnsi="黑体" w:cs="黑体"/>
          <w:color w:val="auto"/>
          <w:highlight w:val="none"/>
        </w:rPr>
      </w:pPr>
      <w:bookmarkStart w:id="144" w:name="_Toc6622"/>
      <w:r>
        <w:rPr>
          <w:rFonts w:hint="eastAsia" w:ascii="黑体" w:hAnsi="黑体" w:cs="黑体"/>
          <w:color w:val="auto"/>
          <w:highlight w:val="none"/>
        </w:rPr>
        <w:t>五、主要经验及做法、存在的问题及原因分析</w:t>
      </w:r>
      <w:bookmarkEnd w:id="144"/>
    </w:p>
    <w:p w14:paraId="5CEFEB65">
      <w:pPr>
        <w:pStyle w:val="16"/>
        <w:pageBreakBefore w:val="0"/>
        <w:widowControl/>
        <w:kinsoku/>
        <w:wordWrap/>
        <w:overflowPunct/>
        <w:topLinePunct w:val="0"/>
        <w:autoSpaceDE/>
        <w:autoSpaceDN/>
        <w:bidi w:val="0"/>
        <w:adjustRightInd/>
        <w:snapToGrid w:val="0"/>
        <w:spacing w:before="0" w:after="0" w:line="560" w:lineRule="exact"/>
        <w:ind w:left="0" w:leftChars="0" w:firstLine="643" w:firstLineChars="200"/>
        <w:jc w:val="both"/>
        <w:textAlignment w:val="auto"/>
        <w:rPr>
          <w:rFonts w:ascii="Times New Roman" w:hAnsi="Times New Roman" w:eastAsia="楷体_GB2312" w:cs="Times New Roman"/>
          <w:color w:val="auto"/>
          <w:kern w:val="28"/>
          <w:sz w:val="32"/>
          <w:highlight w:val="none"/>
        </w:rPr>
      </w:pPr>
      <w:bookmarkStart w:id="145" w:name="_Toc15449"/>
      <w:bookmarkStart w:id="146" w:name="_Toc28290"/>
      <w:bookmarkStart w:id="147" w:name="_Toc1921"/>
      <w:r>
        <w:rPr>
          <w:rFonts w:hint="eastAsia" w:ascii="Times New Roman" w:hAnsi="Times New Roman" w:eastAsia="楷体_GB2312" w:cs="Times New Roman"/>
          <w:color w:val="auto"/>
          <w:kern w:val="28"/>
          <w:sz w:val="32"/>
          <w:highlight w:val="none"/>
        </w:rPr>
        <w:t>（一）主要经验及做法</w:t>
      </w:r>
      <w:bookmarkEnd w:id="145"/>
    </w:p>
    <w:p w14:paraId="7B26621F">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highlight w:val="none"/>
        </w:rPr>
        <w:t>阜康市中医医院2024年自治区公共卫生服</w:t>
      </w:r>
      <w:r>
        <w:rPr>
          <w:rFonts w:hint="eastAsia" w:ascii="仿宋_GB2312" w:hAnsi="仿宋_GB2312" w:eastAsia="仿宋_GB2312" w:cs="仿宋_GB2312"/>
          <w:color w:val="auto"/>
          <w:sz w:val="32"/>
          <w:szCs w:val="32"/>
        </w:rPr>
        <w:t>务（地方公卫）全民健康体检补助资金项目2024年预算数为58.27万元，截至2024年12月31日共支出58.27万元，预算执行率为100%。</w:t>
      </w:r>
    </w:p>
    <w:p w14:paraId="0A8F36B3">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阜康市中医医院建立健全了预算管理规章制度，各部门严格按照预算编制的原则和要求做好当年预算编制工作，在预算绩效管理工作中，做到合理安排各项资金，重点保障基本支出，按轻重缓急顺序原则，优先安排了阜康市中医医院事业发展中关系民生与稳定的项目，切实优化资源配置，提高了资金使用的效率和效果。</w:t>
      </w:r>
    </w:p>
    <w:bookmarkEnd w:id="146"/>
    <w:bookmarkEnd w:id="147"/>
    <w:p w14:paraId="6FA641CA">
      <w:pPr>
        <w:pStyle w:val="16"/>
        <w:pageBreakBefore w:val="0"/>
        <w:widowControl/>
        <w:numPr>
          <w:ilvl w:val="0"/>
          <w:numId w:val="2"/>
        </w:numPr>
        <w:kinsoku/>
        <w:wordWrap/>
        <w:overflowPunct/>
        <w:topLinePunct w:val="0"/>
        <w:autoSpaceDE/>
        <w:autoSpaceDN/>
        <w:bidi w:val="0"/>
        <w:adjustRightInd/>
        <w:snapToGrid w:val="0"/>
        <w:spacing w:before="0" w:after="0" w:line="560" w:lineRule="exact"/>
        <w:ind w:left="0" w:leftChars="0" w:firstLine="643" w:firstLineChars="200"/>
        <w:jc w:val="both"/>
        <w:textAlignment w:val="auto"/>
        <w:rPr>
          <w:rFonts w:hint="eastAsia" w:ascii="Times New Roman" w:hAnsi="Times New Roman" w:eastAsia="楷体_GB2312" w:cs="Times New Roman"/>
          <w:color w:val="auto"/>
          <w:kern w:val="28"/>
          <w:sz w:val="32"/>
        </w:rPr>
      </w:pPr>
      <w:bookmarkStart w:id="148" w:name="_Toc29168"/>
      <w:r>
        <w:rPr>
          <w:rFonts w:hint="eastAsia" w:ascii="Times New Roman" w:hAnsi="Times New Roman" w:eastAsia="楷体_GB2312" w:cs="Times New Roman"/>
          <w:color w:val="auto"/>
          <w:kern w:val="28"/>
          <w:sz w:val="32"/>
        </w:rPr>
        <w:t>存在的问题及原因分析</w:t>
      </w:r>
      <w:bookmarkEnd w:id="148"/>
      <w:bookmarkStart w:id="149" w:name="_Toc3333"/>
    </w:p>
    <w:p w14:paraId="28C896D8">
      <w:pPr>
        <w:pStyle w:val="4"/>
        <w:pageBreakBefore w:val="0"/>
        <w:widowControl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kern w:val="2"/>
          <w:szCs w:val="32"/>
          <w:lang w:val="en-US" w:eastAsia="zh-CN"/>
        </w:rPr>
      </w:pPr>
      <w:r>
        <w:rPr>
          <w:rFonts w:hint="eastAsia" w:ascii="仿宋_GB2312" w:hAnsi="仿宋_GB2312" w:eastAsia="仿宋_GB2312" w:cs="仿宋_GB2312"/>
          <w:b w:val="0"/>
          <w:bCs w:val="0"/>
          <w:color w:val="auto"/>
          <w:kern w:val="2"/>
          <w:sz w:val="32"/>
          <w:szCs w:val="32"/>
          <w:lang w:val="en-US" w:eastAsia="zh-CN" w:bidi="ar-SA"/>
        </w:rPr>
        <w:t>全民健康体检宣传、组织、发动工作力度有待进一步加强。各乡镇（街道）、各相关部门对全民健康体检的宣传工作动员方式单一，部分群众对实施全民健康体检的重要意义认识不足，主动参与意识不强，自我健康管理意识淡薄，一部</w:t>
      </w:r>
      <w:r>
        <w:rPr>
          <w:rFonts w:hint="eastAsia" w:ascii="仿宋_GB2312" w:hAnsi="仿宋_GB2312" w:eastAsia="仿宋_GB2312" w:cs="仿宋_GB2312"/>
          <w:color w:val="auto"/>
          <w:kern w:val="2"/>
          <w:szCs w:val="32"/>
          <w:lang w:val="en-US" w:eastAsia="zh-CN"/>
        </w:rPr>
        <w:t>分群众没有参与全民健康体检，影响疾病早发现、早干预、早治疗。</w:t>
      </w:r>
    </w:p>
    <w:p w14:paraId="324F9CFC">
      <w:pPr>
        <w:pStyle w:val="4"/>
        <w:pageBreakBefore w:val="0"/>
        <w:widowControl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黑体" w:hAnsi="黑体" w:cs="黑体"/>
          <w:color w:val="auto"/>
        </w:rPr>
      </w:pPr>
      <w:r>
        <w:rPr>
          <w:rFonts w:hint="eastAsia" w:ascii="黑体" w:hAnsi="黑体" w:cs="黑体"/>
          <w:color w:val="auto"/>
        </w:rPr>
        <w:t>六、有关建议</w:t>
      </w:r>
      <w:bookmarkEnd w:id="149"/>
    </w:p>
    <w:p w14:paraId="33463216">
      <w:pPr>
        <w:pStyle w:val="4"/>
        <w:pageBreakBefore w:val="0"/>
        <w:widowControl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kern w:val="2"/>
          <w:szCs w:val="32"/>
        </w:rPr>
      </w:pPr>
      <w:bookmarkStart w:id="150" w:name="_Toc14256"/>
      <w:r>
        <w:rPr>
          <w:rFonts w:hint="eastAsia" w:ascii="仿宋_GB2312" w:hAnsi="仿宋_GB2312" w:eastAsia="仿宋_GB2312" w:cs="仿宋_GB2312"/>
          <w:color w:val="auto"/>
          <w:kern w:val="2"/>
          <w:szCs w:val="32"/>
        </w:rPr>
        <w:t>加强组织领导，健全各部门协调配合机制，层层压实责任。充分发挥乡镇（街道）全民健康体检主体责任，利用广播、电视、微信、网络等媒介对健康体检工作进行广泛宣传，积极采取多种方式持续开展健康体检惠民政策的引导，提升各族群众自我保健意识，提高群众知晓率及参与度。</w:t>
      </w:r>
    </w:p>
    <w:p w14:paraId="26FC34DC">
      <w:pPr>
        <w:pStyle w:val="4"/>
        <w:pageBreakBefore w:val="0"/>
        <w:widowControl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黑体" w:hAnsi="黑体" w:cs="黑体"/>
          <w:color w:val="auto"/>
        </w:rPr>
      </w:pPr>
      <w:r>
        <w:rPr>
          <w:rFonts w:hint="eastAsia" w:ascii="黑体" w:hAnsi="黑体" w:cs="黑体"/>
          <w:color w:val="auto"/>
        </w:rPr>
        <w:t>七、其他需要说明的问题</w:t>
      </w:r>
      <w:bookmarkEnd w:id="150"/>
    </w:p>
    <w:p w14:paraId="34849E9C">
      <w:pPr>
        <w:pageBreakBefore w:val="0"/>
        <w:widowControl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无其他需要说明的问题。</w:t>
      </w:r>
    </w:p>
    <w:p w14:paraId="27508948">
      <w:pPr>
        <w:pageBreakBefore w:val="0"/>
        <w:kinsoku/>
        <w:wordWrap/>
        <w:overflowPunct/>
        <w:topLinePunct w:val="0"/>
        <w:autoSpaceDE/>
        <w:autoSpaceDN/>
        <w:bidi w:val="0"/>
        <w:adjustRightInd/>
        <w:snapToGrid w:val="0"/>
        <w:spacing w:line="560" w:lineRule="exact"/>
        <w:ind w:firstLine="560"/>
        <w:jc w:val="both"/>
        <w:textAlignment w:val="auto"/>
        <w:rPr>
          <w:rFonts w:hint="eastAsia"/>
          <w:color w:val="auto"/>
        </w:rPr>
        <w:sectPr>
          <w:footerReference r:id="rId11" w:type="default"/>
          <w:pgSz w:w="11906" w:h="16838"/>
          <w:pgMar w:top="1440" w:right="1800" w:bottom="1440" w:left="1800" w:header="737" w:footer="851" w:gutter="0"/>
          <w:cols w:space="720" w:num="1"/>
          <w:docGrid w:type="lines" w:linePitch="408" w:charSpace="0"/>
        </w:sectPr>
      </w:pPr>
    </w:p>
    <w:p w14:paraId="57AF60E7">
      <w:pPr>
        <w:pStyle w:val="4"/>
        <w:ind w:firstLine="0" w:firstLineChars="0"/>
        <w:rPr>
          <w:color w:val="auto"/>
        </w:rPr>
      </w:pPr>
      <w:bookmarkStart w:id="151" w:name="_Toc28971"/>
      <w:bookmarkStart w:id="152" w:name="_Toc11349"/>
      <w:r>
        <w:rPr>
          <w:rFonts w:hint="eastAsia" w:ascii="宋体" w:hAnsi="宋体" w:eastAsia="宋体"/>
          <w:b/>
          <w:bCs/>
          <w:color w:val="auto"/>
        </w:rPr>
        <w:t>附件一、项目支出绩效自评表</w:t>
      </w:r>
      <w:bookmarkEnd w:id="151"/>
      <w:bookmarkEnd w:id="152"/>
    </w:p>
    <w:tbl>
      <w:tblPr>
        <w:tblStyle w:val="1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40" w:type="dxa"/>
          <w:left w:w="64" w:type="dxa"/>
          <w:bottom w:w="40" w:type="dxa"/>
          <w:right w:w="64" w:type="dxa"/>
        </w:tblCellMar>
      </w:tblPr>
      <w:tblGrid>
        <w:gridCol w:w="860"/>
        <w:gridCol w:w="860"/>
        <w:gridCol w:w="860"/>
        <w:gridCol w:w="860"/>
        <w:gridCol w:w="1126"/>
        <w:gridCol w:w="1304"/>
        <w:gridCol w:w="1215"/>
        <w:gridCol w:w="1304"/>
        <w:gridCol w:w="1126"/>
        <w:gridCol w:w="861"/>
        <w:gridCol w:w="861"/>
        <w:gridCol w:w="861"/>
        <w:gridCol w:w="861"/>
        <w:gridCol w:w="1127"/>
      </w:tblGrid>
      <w:tr w14:paraId="1072B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40" w:type="dxa"/>
            <w:left w:w="64" w:type="dxa"/>
            <w:bottom w:w="40" w:type="dxa"/>
            <w:right w:w="64" w:type="dxa"/>
          </w:tblCellMar>
        </w:tblPrEx>
        <w:trPr>
          <w:trHeight w:val="567" w:hRule="atLeast"/>
          <w:jc w:val="center"/>
        </w:trPr>
        <w:tc>
          <w:tcPr>
            <w:tcW w:w="5000" w:type="pct"/>
            <w:gridSpan w:val="14"/>
            <w:tcBorders>
              <w:top w:val="nil"/>
              <w:left w:val="nil"/>
              <w:bottom w:val="nil"/>
              <w:right w:val="nil"/>
            </w:tcBorders>
            <w:shd w:val="clear" w:color="auto" w:fill="auto"/>
            <w:vAlign w:val="center"/>
          </w:tcPr>
          <w:p w14:paraId="6D05396F">
            <w:pPr>
              <w:keepNext w:val="0"/>
              <w:keepLines w:val="0"/>
              <w:widowControl/>
              <w:suppressLineNumbers w:val="0"/>
              <w:snapToGrid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64FEB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387" w:hRule="atLeast"/>
          <w:jc w:val="center"/>
        </w:trPr>
        <w:tc>
          <w:tcPr>
            <w:tcW w:w="5000" w:type="pct"/>
            <w:gridSpan w:val="14"/>
            <w:tcBorders>
              <w:top w:val="nil"/>
              <w:left w:val="nil"/>
              <w:bottom w:val="single" w:color="auto" w:sz="4" w:space="0"/>
              <w:right w:val="nil"/>
            </w:tcBorders>
            <w:shd w:val="clear" w:color="auto" w:fill="auto"/>
            <w:vAlign w:val="center"/>
          </w:tcPr>
          <w:p w14:paraId="2B213A0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31619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445" w:hRule="atLeast"/>
          <w:jc w:val="center"/>
        </w:trPr>
        <w:tc>
          <w:tcPr>
            <w:tcW w:w="614"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736EEE65">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385"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6D65434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2024年自治区公共卫生服务（地方公卫）全民健康体检补助资金</w:t>
            </w:r>
          </w:p>
        </w:tc>
      </w:tr>
      <w:tr w14:paraId="42323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40" w:type="dxa"/>
            <w:left w:w="64" w:type="dxa"/>
            <w:bottom w:w="40" w:type="dxa"/>
            <w:right w:w="64" w:type="dxa"/>
          </w:tblCellMar>
        </w:tblPrEx>
        <w:trPr>
          <w:trHeight w:val="567" w:hRule="atLeast"/>
          <w:jc w:val="center"/>
        </w:trPr>
        <w:tc>
          <w:tcPr>
            <w:tcW w:w="6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C77299">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91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0956A7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阜康市中医医院</w:t>
            </w:r>
          </w:p>
        </w:tc>
        <w:tc>
          <w:tcPr>
            <w:tcW w:w="8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31BD3D">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163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C6B501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阜康市中医医院</w:t>
            </w:r>
          </w:p>
        </w:tc>
      </w:tr>
      <w:tr w14:paraId="72A55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567" w:hRule="atLeast"/>
          <w:jc w:val="center"/>
        </w:trPr>
        <w:tc>
          <w:tcPr>
            <w:tcW w:w="61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23D0BF">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AF6899">
            <w:pPr>
              <w:snapToGrid w:val="0"/>
              <w:jc w:val="center"/>
              <w:rPr>
                <w:rFonts w:hint="eastAsia" w:ascii="宋体" w:hAnsi="宋体" w:eastAsia="宋体" w:cs="宋体"/>
                <w:b/>
                <w:bCs/>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D4571">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36DFDE">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8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06BF25">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B8D6EC">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6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5999A3">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B2B57">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4FC02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567" w:hRule="atLeast"/>
          <w:jc w:val="center"/>
        </w:trPr>
        <w:tc>
          <w:tcPr>
            <w:tcW w:w="6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39A8A">
            <w:pPr>
              <w:snapToGrid w:val="0"/>
              <w:jc w:val="center"/>
              <w:rPr>
                <w:rFonts w:hint="eastAsia" w:ascii="宋体" w:hAnsi="宋体" w:eastAsia="宋体" w:cs="宋体"/>
                <w:b/>
                <w:bCs/>
                <w:i w:val="0"/>
                <w:iCs w:val="0"/>
                <w:color w:val="000000"/>
                <w:sz w:val="18"/>
                <w:szCs w:val="18"/>
                <w:u w:val="none"/>
              </w:rPr>
            </w:pPr>
          </w:p>
        </w:tc>
        <w:tc>
          <w:tcPr>
            <w:tcW w:w="6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2EE381">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CA59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58.27</w:t>
            </w:r>
          </w:p>
        </w:tc>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6D0AD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58.27</w:t>
            </w:r>
          </w:p>
        </w:tc>
        <w:tc>
          <w:tcPr>
            <w:tcW w:w="8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52F83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58.27</w:t>
            </w:r>
          </w:p>
        </w:tc>
        <w:tc>
          <w:tcPr>
            <w:tcW w:w="6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A33DA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06C89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4614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0A949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567" w:hRule="atLeast"/>
          <w:jc w:val="center"/>
        </w:trPr>
        <w:tc>
          <w:tcPr>
            <w:tcW w:w="6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09570">
            <w:pPr>
              <w:snapToGrid w:val="0"/>
              <w:jc w:val="center"/>
              <w:rPr>
                <w:rFonts w:hint="eastAsia" w:ascii="宋体" w:hAnsi="宋体" w:eastAsia="宋体" w:cs="宋体"/>
                <w:b/>
                <w:bCs/>
                <w:i w:val="0"/>
                <w:iCs w:val="0"/>
                <w:color w:val="000000"/>
                <w:sz w:val="18"/>
                <w:szCs w:val="18"/>
                <w:u w:val="none"/>
              </w:rPr>
            </w:pPr>
          </w:p>
        </w:tc>
        <w:tc>
          <w:tcPr>
            <w:tcW w:w="6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6DBBEA">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D041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58.27</w:t>
            </w:r>
          </w:p>
        </w:tc>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DF8EB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58.27</w:t>
            </w:r>
          </w:p>
        </w:tc>
        <w:tc>
          <w:tcPr>
            <w:tcW w:w="8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2AE28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58.27</w:t>
            </w:r>
          </w:p>
        </w:tc>
        <w:tc>
          <w:tcPr>
            <w:tcW w:w="6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D91A8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279A0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E438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FFAC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567" w:hRule="atLeast"/>
          <w:jc w:val="center"/>
        </w:trPr>
        <w:tc>
          <w:tcPr>
            <w:tcW w:w="6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DE98A">
            <w:pPr>
              <w:snapToGrid w:val="0"/>
              <w:jc w:val="center"/>
              <w:rPr>
                <w:rFonts w:hint="eastAsia" w:ascii="宋体" w:hAnsi="宋体" w:eastAsia="宋体" w:cs="宋体"/>
                <w:b/>
                <w:bCs/>
                <w:i w:val="0"/>
                <w:iCs w:val="0"/>
                <w:color w:val="000000"/>
                <w:sz w:val="18"/>
                <w:szCs w:val="18"/>
                <w:u w:val="none"/>
              </w:rPr>
            </w:pPr>
          </w:p>
        </w:tc>
        <w:tc>
          <w:tcPr>
            <w:tcW w:w="6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421972">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5FA7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1A734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895DE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4A182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C3EF3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45A3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B193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567" w:hRule="atLeast"/>
          <w:jc w:val="center"/>
        </w:trPr>
        <w:tc>
          <w:tcPr>
            <w:tcW w:w="3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826CE0">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222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4AF6A32">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46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4DD2A3B">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12AA1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40" w:type="dxa"/>
            <w:left w:w="64" w:type="dxa"/>
            <w:bottom w:w="40" w:type="dxa"/>
            <w:right w:w="64" w:type="dxa"/>
          </w:tblCellMar>
        </w:tblPrEx>
        <w:trPr>
          <w:trHeight w:val="567" w:hRule="atLeast"/>
          <w:jc w:val="center"/>
        </w:trPr>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5C7300">
            <w:pPr>
              <w:snapToGrid w:val="0"/>
              <w:jc w:val="center"/>
              <w:rPr>
                <w:rFonts w:hint="eastAsia" w:ascii="宋体" w:hAnsi="宋体" w:eastAsia="宋体" w:cs="宋体"/>
                <w:b/>
                <w:bCs/>
                <w:i w:val="0"/>
                <w:iCs w:val="0"/>
                <w:color w:val="000000"/>
                <w:sz w:val="18"/>
                <w:szCs w:val="18"/>
                <w:u w:val="none"/>
              </w:rPr>
            </w:pPr>
          </w:p>
        </w:tc>
        <w:tc>
          <w:tcPr>
            <w:tcW w:w="222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092058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院承担传染病防控、居民健康档案管理、健康教育、预防接种、慢病管理、孕产妇管理、0-6岁儿童健康管理、精神疾病管理、老年人健康管理、卫生监督协管、中医药服务、传染病及突发公共卫生事件报告和处理等基本公共卫生服务和家庭医生签约式服务工作。主要指导十三项基本公共卫生服务、家庭医生签约服务、慢病随访等各项工作。2024年预计通过完成全民健康体检人数9000人次、系统录入人次9000人次、胸部X线完成人次9000人次、全民健康体检完成率100%、系统录入合格率预期达到90%、全民健康体检工作完成及时率100%，预计于2024年12月完成。项目的实施预计达到居民健康水平逐渐提高。</w:t>
            </w:r>
          </w:p>
        </w:tc>
        <w:tc>
          <w:tcPr>
            <w:tcW w:w="246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CB9744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止12月31日，我院完成全民健康体检人数12822次、系统录入人次12822人次、胸部X线完成人次12822人次、全民健康体检完成率100%、系统录入合格率100%、全民健康体检工作完成及时率100%，于2024年12月完成、体检检验试剂投入48.00万元、日常运行办公投入10.46万元，体检居民满意度达到99.40%。通过项目的实施，达到居民健康水平逐渐提高的效益。</w:t>
            </w:r>
          </w:p>
        </w:tc>
      </w:tr>
      <w:tr w14:paraId="6081A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567" w:hRule="atLeast"/>
          <w:jc w:val="center"/>
        </w:trPr>
        <w:tc>
          <w:tcPr>
            <w:tcW w:w="3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D6D38C">
            <w:pPr>
              <w:snapToGrid w:val="0"/>
              <w:jc w:val="center"/>
              <w:rPr>
                <w:rFonts w:hint="eastAsia" w:ascii="宋体" w:hAnsi="宋体" w:eastAsia="宋体" w:cs="宋体"/>
                <w:i w:val="0"/>
                <w:iCs w:val="0"/>
                <w:color w:val="000000"/>
                <w:sz w:val="18"/>
                <w:szCs w:val="18"/>
                <w:u w:val="none"/>
              </w:rPr>
            </w:pPr>
          </w:p>
        </w:tc>
        <w:tc>
          <w:tcPr>
            <w:tcW w:w="3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72F6B8">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F219A2">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3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79D2A7">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4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72EE34">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46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2C7996">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254DBC">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33BD94">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4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ADD9A7">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51F98B">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C8A383">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4E4FC9">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7BADAB">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4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DAEEEC">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580FC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567" w:hRule="atLeast"/>
          <w:jc w:val="center"/>
        </w:trPr>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804C1E">
            <w:pPr>
              <w:snapToGrid w:val="0"/>
              <w:jc w:val="center"/>
              <w:rPr>
                <w:rFonts w:hint="eastAsia" w:ascii="宋体" w:hAnsi="宋体" w:eastAsia="宋体" w:cs="宋体"/>
                <w:i w:val="0"/>
                <w:iCs w:val="0"/>
                <w:color w:val="000000"/>
                <w:sz w:val="18"/>
                <w:szCs w:val="18"/>
                <w:u w:val="none"/>
              </w:rPr>
            </w:pPr>
          </w:p>
        </w:tc>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17ECA">
            <w:pPr>
              <w:snapToGrid w:val="0"/>
              <w:jc w:val="center"/>
              <w:rPr>
                <w:rFonts w:hint="eastAsia" w:ascii="宋体" w:hAnsi="宋体" w:eastAsia="宋体" w:cs="宋体"/>
                <w:b/>
                <w:bCs/>
                <w:i w:val="0"/>
                <w:iCs w:val="0"/>
                <w:color w:val="000000"/>
                <w:sz w:val="18"/>
                <w:szCs w:val="18"/>
                <w:u w:val="none"/>
              </w:rPr>
            </w:pPr>
          </w:p>
        </w:tc>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36A083">
            <w:pPr>
              <w:snapToGrid w:val="0"/>
              <w:jc w:val="center"/>
              <w:rPr>
                <w:rFonts w:hint="eastAsia" w:ascii="宋体" w:hAnsi="宋体" w:eastAsia="宋体" w:cs="宋体"/>
                <w:b/>
                <w:bCs/>
                <w:i w:val="0"/>
                <w:iCs w:val="0"/>
                <w:color w:val="000000"/>
                <w:sz w:val="18"/>
                <w:szCs w:val="18"/>
                <w:u w:val="none"/>
              </w:rPr>
            </w:pPr>
          </w:p>
        </w:tc>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62112">
            <w:pPr>
              <w:snapToGrid w:val="0"/>
              <w:jc w:val="center"/>
              <w:rPr>
                <w:rFonts w:hint="eastAsia" w:ascii="宋体" w:hAnsi="宋体" w:eastAsia="宋体" w:cs="宋体"/>
                <w:b/>
                <w:bCs/>
                <w:i w:val="0"/>
                <w:iCs w:val="0"/>
                <w:color w:val="000000"/>
                <w:sz w:val="18"/>
                <w:szCs w:val="18"/>
                <w:u w:val="none"/>
              </w:rPr>
            </w:pPr>
          </w:p>
        </w:tc>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A1F01">
            <w:pPr>
              <w:snapToGrid w:val="0"/>
              <w:jc w:val="center"/>
              <w:rPr>
                <w:rFonts w:hint="eastAsia" w:ascii="宋体" w:hAnsi="宋体" w:eastAsia="宋体" w:cs="宋体"/>
                <w:b/>
                <w:bCs/>
                <w:i w:val="0"/>
                <w:iCs w:val="0"/>
                <w:color w:val="000000"/>
                <w:sz w:val="18"/>
                <w:szCs w:val="18"/>
                <w:u w:val="none"/>
              </w:rPr>
            </w:pPr>
          </w:p>
        </w:tc>
        <w:tc>
          <w:tcPr>
            <w:tcW w:w="4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1EFB0">
            <w:pPr>
              <w:snapToGrid w:val="0"/>
              <w:jc w:val="center"/>
              <w:rPr>
                <w:rFonts w:hint="eastAsia" w:ascii="宋体" w:hAnsi="宋体" w:eastAsia="宋体" w:cs="宋体"/>
                <w:b/>
                <w:bCs/>
                <w:i w:val="0"/>
                <w:iCs w:val="0"/>
                <w:color w:val="000000"/>
                <w:sz w:val="18"/>
                <w:szCs w:val="18"/>
                <w:u w:val="none"/>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3258DE">
            <w:pPr>
              <w:snapToGrid w:val="0"/>
              <w:jc w:val="center"/>
              <w:rPr>
                <w:rFonts w:hint="eastAsia" w:ascii="宋体" w:hAnsi="宋体" w:eastAsia="宋体" w:cs="宋体"/>
                <w:b/>
                <w:bCs/>
                <w:i w:val="0"/>
                <w:iCs w:val="0"/>
                <w:color w:val="000000"/>
                <w:sz w:val="18"/>
                <w:szCs w:val="18"/>
                <w:u w:val="none"/>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6984A">
            <w:pPr>
              <w:snapToGrid w:val="0"/>
              <w:jc w:val="center"/>
              <w:rPr>
                <w:rFonts w:hint="eastAsia" w:ascii="宋体" w:hAnsi="宋体" w:eastAsia="宋体" w:cs="宋体"/>
                <w:b/>
                <w:bCs/>
                <w:i w:val="0"/>
                <w:iCs w:val="0"/>
                <w:color w:val="000000"/>
                <w:sz w:val="18"/>
                <w:szCs w:val="18"/>
                <w:u w:val="none"/>
              </w:rPr>
            </w:pPr>
          </w:p>
        </w:tc>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5087B">
            <w:pPr>
              <w:snapToGrid w:val="0"/>
              <w:jc w:val="center"/>
              <w:rPr>
                <w:rFonts w:hint="eastAsia" w:ascii="宋体" w:hAnsi="宋体" w:eastAsia="宋体" w:cs="宋体"/>
                <w:b/>
                <w:bCs/>
                <w:i w:val="0"/>
                <w:iCs w:val="0"/>
                <w:color w:val="000000"/>
                <w:sz w:val="18"/>
                <w:szCs w:val="18"/>
                <w:u w:val="none"/>
              </w:rPr>
            </w:pPr>
          </w:p>
        </w:tc>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95096">
            <w:pPr>
              <w:snapToGrid w:val="0"/>
              <w:jc w:val="center"/>
              <w:rPr>
                <w:rFonts w:hint="eastAsia" w:ascii="宋体" w:hAnsi="宋体" w:eastAsia="宋体" w:cs="宋体"/>
                <w:b/>
                <w:bCs/>
                <w:i w:val="0"/>
                <w:iCs w:val="0"/>
                <w:color w:val="000000"/>
                <w:sz w:val="18"/>
                <w:szCs w:val="18"/>
                <w:u w:val="none"/>
              </w:rPr>
            </w:pPr>
          </w:p>
        </w:tc>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FA4A8">
            <w:pPr>
              <w:snapToGrid w:val="0"/>
              <w:jc w:val="center"/>
              <w:rPr>
                <w:rFonts w:hint="eastAsia" w:ascii="宋体" w:hAnsi="宋体" w:eastAsia="宋体" w:cs="宋体"/>
                <w:b/>
                <w:bCs/>
                <w:i w:val="0"/>
                <w:iCs w:val="0"/>
                <w:color w:val="000000"/>
                <w:sz w:val="18"/>
                <w:szCs w:val="18"/>
                <w:u w:val="none"/>
              </w:rPr>
            </w:pPr>
          </w:p>
        </w:tc>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E36D6">
            <w:pPr>
              <w:snapToGrid w:val="0"/>
              <w:jc w:val="center"/>
              <w:rPr>
                <w:rFonts w:hint="eastAsia" w:ascii="宋体" w:hAnsi="宋体" w:eastAsia="宋体" w:cs="宋体"/>
                <w:b/>
                <w:bCs/>
                <w:i w:val="0"/>
                <w:iCs w:val="0"/>
                <w:color w:val="000000"/>
                <w:sz w:val="18"/>
                <w:szCs w:val="18"/>
                <w:u w:val="none"/>
              </w:rPr>
            </w:pPr>
          </w:p>
        </w:tc>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EAEDEB">
            <w:pPr>
              <w:snapToGrid w:val="0"/>
              <w:jc w:val="center"/>
              <w:rPr>
                <w:rFonts w:hint="eastAsia" w:ascii="宋体" w:hAnsi="宋体" w:eastAsia="宋体" w:cs="宋体"/>
                <w:b/>
                <w:bCs/>
                <w:i w:val="0"/>
                <w:iCs w:val="0"/>
                <w:color w:val="000000"/>
                <w:sz w:val="18"/>
                <w:szCs w:val="18"/>
                <w:u w:val="none"/>
              </w:rPr>
            </w:pPr>
          </w:p>
        </w:tc>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5DFE9">
            <w:pPr>
              <w:snapToGrid w:val="0"/>
              <w:jc w:val="center"/>
              <w:rPr>
                <w:rFonts w:hint="eastAsia" w:ascii="宋体" w:hAnsi="宋体" w:eastAsia="宋体" w:cs="宋体"/>
                <w:b/>
                <w:bCs/>
                <w:i w:val="0"/>
                <w:iCs w:val="0"/>
                <w:color w:val="000000"/>
                <w:sz w:val="18"/>
                <w:szCs w:val="18"/>
                <w:u w:val="none"/>
              </w:rPr>
            </w:pPr>
          </w:p>
        </w:tc>
      </w:tr>
      <w:tr w14:paraId="4C869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40" w:type="dxa"/>
            <w:left w:w="64" w:type="dxa"/>
            <w:bottom w:w="40" w:type="dxa"/>
            <w:right w:w="64" w:type="dxa"/>
          </w:tblCellMar>
        </w:tblPrEx>
        <w:trPr>
          <w:trHeight w:val="567" w:hRule="atLeast"/>
          <w:jc w:val="center"/>
        </w:trPr>
        <w:tc>
          <w:tcPr>
            <w:tcW w:w="3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A8209A">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3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C2511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CD76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1E13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全民健康体检人数</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EB92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67EA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&gt;=9293人次</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C8E9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=12822人次</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D659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137.97%</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8356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4665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3CCA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9D21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8341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18C0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偏差原因：辖区内流动人口增多。下一步改进措施：加强与社区的人口对接，确保体检人数的准确。</w:t>
            </w:r>
          </w:p>
        </w:tc>
      </w:tr>
      <w:tr w14:paraId="76EBC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567" w:hRule="atLeast"/>
          <w:jc w:val="center"/>
        </w:trPr>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AED45">
            <w:pPr>
              <w:snapToGrid w:val="0"/>
              <w:jc w:val="center"/>
              <w:rPr>
                <w:rFonts w:hint="eastAsia" w:ascii="宋体" w:hAnsi="宋体" w:eastAsia="宋体" w:cs="宋体"/>
                <w:b/>
                <w:bCs/>
                <w:i w:val="0"/>
                <w:iCs w:val="0"/>
                <w:color w:val="000000"/>
                <w:sz w:val="18"/>
                <w:szCs w:val="18"/>
                <w:u w:val="none"/>
              </w:rPr>
            </w:pPr>
          </w:p>
        </w:tc>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DC470">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E3D3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7B65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系统录入人次</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B3F7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101E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&gt;=9293人次</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8160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=12822人次</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465C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137.97%</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858B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3F46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7FCD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0FFF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B99B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D5F5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偏差原因：辖区内流动人口增多。下一步改进措施：加强与社区的人口对接，确保体检人数的准确。</w:t>
            </w:r>
          </w:p>
        </w:tc>
      </w:tr>
      <w:tr w14:paraId="72396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567" w:hRule="atLeast"/>
          <w:jc w:val="center"/>
        </w:trPr>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58C47">
            <w:pPr>
              <w:snapToGrid w:val="0"/>
              <w:jc w:val="center"/>
              <w:rPr>
                <w:rFonts w:hint="eastAsia" w:ascii="宋体" w:hAnsi="宋体" w:eastAsia="宋体" w:cs="宋体"/>
                <w:b/>
                <w:bCs/>
                <w:i w:val="0"/>
                <w:iCs w:val="0"/>
                <w:color w:val="000000"/>
                <w:sz w:val="18"/>
                <w:szCs w:val="18"/>
                <w:u w:val="none"/>
              </w:rPr>
            </w:pPr>
          </w:p>
        </w:tc>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74AC9">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7556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D3E5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胸部X线完成人次</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10A2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DDB2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&gt;=9293人次</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18CA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=12822人次</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DC87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137.97%</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1BA6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3D14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DBAF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9D95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7544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8ED6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偏差原因：辖区内流动人口增多。下一步改进措施：加强与社区的人口对接，确保体检人数的准确。</w:t>
            </w:r>
          </w:p>
        </w:tc>
      </w:tr>
      <w:tr w14:paraId="762B0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567" w:hRule="atLeast"/>
          <w:jc w:val="center"/>
        </w:trPr>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BD786">
            <w:pPr>
              <w:snapToGrid w:val="0"/>
              <w:jc w:val="center"/>
              <w:rPr>
                <w:rFonts w:hint="eastAsia" w:ascii="宋体" w:hAnsi="宋体" w:eastAsia="宋体" w:cs="宋体"/>
                <w:b/>
                <w:bCs/>
                <w:i w:val="0"/>
                <w:iCs w:val="0"/>
                <w:color w:val="000000"/>
                <w:sz w:val="18"/>
                <w:szCs w:val="18"/>
                <w:u w:val="none"/>
              </w:rPr>
            </w:pPr>
          </w:p>
        </w:tc>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0E261">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450C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FA95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全民健康体检完成率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C983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0BBC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B258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F03C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FAAD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C310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D949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8624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5A93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101AC">
            <w:pPr>
              <w:snapToGrid w:val="0"/>
              <w:jc w:val="center"/>
              <w:rPr>
                <w:rFonts w:hint="eastAsia" w:ascii="宋体" w:hAnsi="宋体" w:eastAsia="宋体" w:cs="宋体"/>
                <w:i w:val="0"/>
                <w:iCs w:val="0"/>
                <w:color w:val="000000"/>
                <w:sz w:val="18"/>
                <w:szCs w:val="18"/>
                <w:u w:val="none"/>
              </w:rPr>
            </w:pPr>
          </w:p>
        </w:tc>
      </w:tr>
      <w:tr w14:paraId="5D6E7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567" w:hRule="atLeast"/>
          <w:jc w:val="center"/>
        </w:trPr>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A130A">
            <w:pPr>
              <w:snapToGrid w:val="0"/>
              <w:jc w:val="center"/>
              <w:rPr>
                <w:rFonts w:hint="eastAsia" w:ascii="宋体" w:hAnsi="宋体" w:eastAsia="宋体" w:cs="宋体"/>
                <w:b/>
                <w:bCs/>
                <w:i w:val="0"/>
                <w:iCs w:val="0"/>
                <w:color w:val="000000"/>
                <w:sz w:val="18"/>
                <w:szCs w:val="18"/>
                <w:u w:val="none"/>
              </w:rPr>
            </w:pPr>
          </w:p>
        </w:tc>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14AE5A">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0B6C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143B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系统录入合格率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B522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3CAC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987D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BA67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111.11%</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41EE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DF18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BBAE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56F2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6BAA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BACD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偏差原因：辖区内流动人口增多。下一步改进措施：加强与社区的人口对接，确保体检人数的准确。</w:t>
            </w:r>
          </w:p>
        </w:tc>
      </w:tr>
      <w:tr w14:paraId="18540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567" w:hRule="atLeast"/>
          <w:jc w:val="center"/>
        </w:trPr>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A75BE1">
            <w:pPr>
              <w:snapToGrid w:val="0"/>
              <w:jc w:val="center"/>
              <w:rPr>
                <w:rFonts w:hint="eastAsia" w:ascii="宋体" w:hAnsi="宋体" w:eastAsia="宋体" w:cs="宋体"/>
                <w:b/>
                <w:bCs/>
                <w:i w:val="0"/>
                <w:iCs w:val="0"/>
                <w:color w:val="000000"/>
                <w:sz w:val="18"/>
                <w:szCs w:val="18"/>
                <w:u w:val="none"/>
              </w:rPr>
            </w:pPr>
          </w:p>
        </w:tc>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DAFB6">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DC19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5964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全民健康体检工作完成及时率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4752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0CB3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1EDF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EA2F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444D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D745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D9E8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90A3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510E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56A67">
            <w:pPr>
              <w:snapToGrid w:val="0"/>
              <w:jc w:val="center"/>
              <w:rPr>
                <w:rFonts w:hint="eastAsia" w:ascii="宋体" w:hAnsi="宋体" w:eastAsia="宋体" w:cs="宋体"/>
                <w:i w:val="0"/>
                <w:iCs w:val="0"/>
                <w:color w:val="000000"/>
                <w:sz w:val="18"/>
                <w:szCs w:val="18"/>
                <w:u w:val="none"/>
              </w:rPr>
            </w:pPr>
          </w:p>
        </w:tc>
      </w:tr>
      <w:tr w14:paraId="6E812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567" w:hRule="atLeast"/>
          <w:jc w:val="center"/>
        </w:trPr>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E62C50">
            <w:pPr>
              <w:snapToGrid w:val="0"/>
              <w:jc w:val="center"/>
              <w:rPr>
                <w:rFonts w:hint="eastAsia" w:ascii="宋体" w:hAnsi="宋体" w:eastAsia="宋体" w:cs="宋体"/>
                <w:b/>
                <w:bCs/>
                <w:i w:val="0"/>
                <w:iCs w:val="0"/>
                <w:color w:val="000000"/>
                <w:sz w:val="18"/>
                <w:szCs w:val="18"/>
                <w:u w:val="none"/>
              </w:rPr>
            </w:pPr>
          </w:p>
        </w:tc>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3DC83">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12BD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B476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全民健康体检完成时限</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E148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DA5E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D5D8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BA19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01D7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B736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20EC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D9FE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DD12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15111">
            <w:pPr>
              <w:snapToGrid w:val="0"/>
              <w:jc w:val="center"/>
              <w:rPr>
                <w:rFonts w:hint="eastAsia" w:ascii="宋体" w:hAnsi="宋体" w:eastAsia="宋体" w:cs="宋体"/>
                <w:i w:val="0"/>
                <w:iCs w:val="0"/>
                <w:color w:val="000000"/>
                <w:sz w:val="18"/>
                <w:szCs w:val="18"/>
                <w:u w:val="none"/>
              </w:rPr>
            </w:pPr>
          </w:p>
        </w:tc>
      </w:tr>
      <w:tr w14:paraId="54128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40" w:type="dxa"/>
            <w:left w:w="64" w:type="dxa"/>
            <w:bottom w:w="40" w:type="dxa"/>
            <w:right w:w="64" w:type="dxa"/>
          </w:tblCellMar>
        </w:tblPrEx>
        <w:trPr>
          <w:trHeight w:val="567" w:hRule="atLeast"/>
          <w:jc w:val="center"/>
        </w:trPr>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55F4B">
            <w:pPr>
              <w:snapToGrid w:val="0"/>
              <w:jc w:val="center"/>
              <w:rPr>
                <w:rFonts w:hint="eastAsia" w:ascii="宋体" w:hAnsi="宋体" w:eastAsia="宋体" w:cs="宋体"/>
                <w:b/>
                <w:bCs/>
                <w:i w:val="0"/>
                <w:iCs w:val="0"/>
                <w:color w:val="000000"/>
                <w:sz w:val="18"/>
                <w:szCs w:val="18"/>
                <w:u w:val="none"/>
              </w:rPr>
            </w:pPr>
          </w:p>
        </w:tc>
        <w:tc>
          <w:tcPr>
            <w:tcW w:w="3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FA6ED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E8E6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DC74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体检检验试剂投入</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8AD4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9878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&gt;=48万元</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E706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=48万元</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0176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CAB1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A98B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12A2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649E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F954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5AA4A">
            <w:pPr>
              <w:snapToGrid w:val="0"/>
              <w:jc w:val="center"/>
              <w:rPr>
                <w:rFonts w:hint="eastAsia" w:ascii="宋体" w:hAnsi="宋体" w:eastAsia="宋体" w:cs="宋体"/>
                <w:i w:val="0"/>
                <w:iCs w:val="0"/>
                <w:color w:val="000000"/>
                <w:sz w:val="18"/>
                <w:szCs w:val="18"/>
                <w:u w:val="none"/>
              </w:rPr>
            </w:pPr>
          </w:p>
        </w:tc>
      </w:tr>
      <w:tr w14:paraId="60E9A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567" w:hRule="atLeast"/>
          <w:jc w:val="center"/>
        </w:trPr>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A01000">
            <w:pPr>
              <w:snapToGrid w:val="0"/>
              <w:jc w:val="center"/>
              <w:rPr>
                <w:rFonts w:hint="eastAsia" w:ascii="宋体" w:hAnsi="宋体" w:eastAsia="宋体" w:cs="宋体"/>
                <w:b/>
                <w:bCs/>
                <w:i w:val="0"/>
                <w:iCs w:val="0"/>
                <w:color w:val="000000"/>
                <w:sz w:val="18"/>
                <w:szCs w:val="18"/>
                <w:u w:val="none"/>
              </w:rPr>
            </w:pPr>
          </w:p>
        </w:tc>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AE106">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36C8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4D14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日常运行办公投入</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0E61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67DF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&gt;=10.27万元</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B397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=10.27万元</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2D5A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0526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FF92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19BE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8D87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1219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E5947">
            <w:pPr>
              <w:snapToGrid w:val="0"/>
              <w:jc w:val="center"/>
              <w:rPr>
                <w:rFonts w:hint="eastAsia" w:ascii="宋体" w:hAnsi="宋体" w:eastAsia="宋体" w:cs="宋体"/>
                <w:i w:val="0"/>
                <w:iCs w:val="0"/>
                <w:color w:val="000000"/>
                <w:sz w:val="18"/>
                <w:szCs w:val="18"/>
                <w:u w:val="none"/>
              </w:rPr>
            </w:pPr>
          </w:p>
        </w:tc>
      </w:tr>
      <w:tr w14:paraId="6244A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40" w:type="dxa"/>
            <w:left w:w="64" w:type="dxa"/>
            <w:bottom w:w="40" w:type="dxa"/>
            <w:right w:w="64" w:type="dxa"/>
          </w:tblCellMar>
        </w:tblPrEx>
        <w:trPr>
          <w:trHeight w:val="567" w:hRule="atLeast"/>
          <w:jc w:val="center"/>
        </w:trPr>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9506B">
            <w:pPr>
              <w:snapToGrid w:val="0"/>
              <w:jc w:val="center"/>
              <w:rPr>
                <w:rFonts w:hint="eastAsia" w:ascii="宋体" w:hAnsi="宋体" w:eastAsia="宋体" w:cs="宋体"/>
                <w:b/>
                <w:bCs/>
                <w:i w:val="0"/>
                <w:iCs w:val="0"/>
                <w:color w:val="000000"/>
                <w:sz w:val="18"/>
                <w:szCs w:val="18"/>
                <w:u w:val="none"/>
              </w:rPr>
            </w:pPr>
          </w:p>
        </w:tc>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603C5">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D1B2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D1A1F">
            <w:pPr>
              <w:snapToGrid w:val="0"/>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BBB34">
            <w:pPr>
              <w:snapToGrid w:val="0"/>
              <w:jc w:val="center"/>
              <w:rPr>
                <w:rFonts w:hint="eastAsia" w:ascii="宋体" w:hAnsi="宋体" w:eastAsia="宋体" w:cs="宋体"/>
                <w:i w:val="0"/>
                <w:iCs w:val="0"/>
                <w:color w:val="000000"/>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F10AC">
            <w:pPr>
              <w:snapToGrid w:val="0"/>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7778E">
            <w:pPr>
              <w:snapToGrid w:val="0"/>
              <w:jc w:val="center"/>
              <w:rPr>
                <w:rFonts w:hint="eastAsia" w:ascii="宋体" w:hAnsi="宋体" w:eastAsia="宋体" w:cs="宋体"/>
                <w:i w:val="0"/>
                <w:iCs w:val="0"/>
                <w:color w:val="000000"/>
                <w:sz w:val="18"/>
                <w:szCs w:val="18"/>
                <w:u w:val="none"/>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F5F74">
            <w:pPr>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F900F">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4F240">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C43C3">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5CE07">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37F63">
            <w:pPr>
              <w:snapToGrid w:val="0"/>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6B5FA">
            <w:pPr>
              <w:snapToGrid w:val="0"/>
              <w:jc w:val="center"/>
              <w:rPr>
                <w:rFonts w:hint="eastAsia" w:ascii="宋体" w:hAnsi="宋体" w:eastAsia="宋体" w:cs="宋体"/>
                <w:i w:val="0"/>
                <w:iCs w:val="0"/>
                <w:color w:val="000000"/>
                <w:sz w:val="18"/>
                <w:szCs w:val="18"/>
                <w:u w:val="none"/>
              </w:rPr>
            </w:pPr>
          </w:p>
        </w:tc>
      </w:tr>
      <w:tr w14:paraId="29C70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40" w:type="dxa"/>
            <w:left w:w="64" w:type="dxa"/>
            <w:bottom w:w="40" w:type="dxa"/>
            <w:right w:w="64" w:type="dxa"/>
          </w:tblCellMar>
        </w:tblPrEx>
        <w:trPr>
          <w:trHeight w:val="567" w:hRule="atLeast"/>
          <w:jc w:val="center"/>
        </w:trPr>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34D812">
            <w:pPr>
              <w:snapToGrid w:val="0"/>
              <w:jc w:val="center"/>
              <w:rPr>
                <w:rFonts w:hint="eastAsia" w:ascii="宋体" w:hAnsi="宋体" w:eastAsia="宋体" w:cs="宋体"/>
                <w:b/>
                <w:bCs/>
                <w:i w:val="0"/>
                <w:iCs w:val="0"/>
                <w:color w:val="000000"/>
                <w:sz w:val="18"/>
                <w:szCs w:val="18"/>
                <w:u w:val="none"/>
              </w:rPr>
            </w:pPr>
          </w:p>
        </w:tc>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ACB2C">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4E08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3CF6B">
            <w:pPr>
              <w:snapToGrid w:val="0"/>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CF527">
            <w:pPr>
              <w:snapToGrid w:val="0"/>
              <w:jc w:val="center"/>
              <w:rPr>
                <w:rFonts w:hint="eastAsia" w:ascii="宋体" w:hAnsi="宋体" w:eastAsia="宋体" w:cs="宋体"/>
                <w:i w:val="0"/>
                <w:iCs w:val="0"/>
                <w:color w:val="000000"/>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60CF6">
            <w:pPr>
              <w:snapToGrid w:val="0"/>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DDE36">
            <w:pPr>
              <w:snapToGrid w:val="0"/>
              <w:jc w:val="center"/>
              <w:rPr>
                <w:rFonts w:hint="eastAsia" w:ascii="宋体" w:hAnsi="宋体" w:eastAsia="宋体" w:cs="宋体"/>
                <w:i w:val="0"/>
                <w:iCs w:val="0"/>
                <w:color w:val="000000"/>
                <w:sz w:val="18"/>
                <w:szCs w:val="18"/>
                <w:u w:val="none"/>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55B31">
            <w:pPr>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0A1A3">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E137A">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EE325">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B3F01">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4F109">
            <w:pPr>
              <w:snapToGrid w:val="0"/>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3B13A">
            <w:pPr>
              <w:snapToGrid w:val="0"/>
              <w:jc w:val="center"/>
              <w:rPr>
                <w:rFonts w:hint="eastAsia" w:ascii="宋体" w:hAnsi="宋体" w:eastAsia="宋体" w:cs="宋体"/>
                <w:i w:val="0"/>
                <w:iCs w:val="0"/>
                <w:color w:val="000000"/>
                <w:sz w:val="18"/>
                <w:szCs w:val="18"/>
                <w:u w:val="none"/>
              </w:rPr>
            </w:pPr>
          </w:p>
        </w:tc>
      </w:tr>
      <w:tr w14:paraId="23278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567" w:hRule="atLeast"/>
          <w:jc w:val="center"/>
        </w:trPr>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F640BE">
            <w:pPr>
              <w:snapToGrid w:val="0"/>
              <w:jc w:val="center"/>
              <w:rPr>
                <w:rFonts w:hint="eastAsia" w:ascii="宋体" w:hAnsi="宋体" w:eastAsia="宋体" w:cs="宋体"/>
                <w:b/>
                <w:bCs/>
                <w:i w:val="0"/>
                <w:iCs w:val="0"/>
                <w:color w:val="000000"/>
                <w:sz w:val="18"/>
                <w:szCs w:val="18"/>
                <w:u w:val="none"/>
              </w:rPr>
            </w:pPr>
          </w:p>
        </w:tc>
        <w:tc>
          <w:tcPr>
            <w:tcW w:w="3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33151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F29F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3EAA1">
            <w:pPr>
              <w:snapToGrid w:val="0"/>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B5C7C">
            <w:pPr>
              <w:snapToGrid w:val="0"/>
              <w:jc w:val="center"/>
              <w:rPr>
                <w:rFonts w:hint="eastAsia" w:ascii="宋体" w:hAnsi="宋体" w:eastAsia="宋体" w:cs="宋体"/>
                <w:i w:val="0"/>
                <w:iCs w:val="0"/>
                <w:color w:val="000000"/>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C7583">
            <w:pPr>
              <w:snapToGrid w:val="0"/>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7C3EC">
            <w:pPr>
              <w:snapToGrid w:val="0"/>
              <w:jc w:val="center"/>
              <w:rPr>
                <w:rFonts w:hint="eastAsia" w:ascii="宋体" w:hAnsi="宋体" w:eastAsia="宋体" w:cs="宋体"/>
                <w:i w:val="0"/>
                <w:iCs w:val="0"/>
                <w:color w:val="000000"/>
                <w:sz w:val="18"/>
                <w:szCs w:val="18"/>
                <w:u w:val="none"/>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62725">
            <w:pPr>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1C3D6">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7A5A2">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9EBD8">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ACF22">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1AF36">
            <w:pPr>
              <w:snapToGrid w:val="0"/>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E05E8">
            <w:pPr>
              <w:snapToGrid w:val="0"/>
              <w:jc w:val="center"/>
              <w:rPr>
                <w:rFonts w:hint="eastAsia" w:ascii="宋体" w:hAnsi="宋体" w:eastAsia="宋体" w:cs="宋体"/>
                <w:i w:val="0"/>
                <w:iCs w:val="0"/>
                <w:color w:val="000000"/>
                <w:sz w:val="18"/>
                <w:szCs w:val="18"/>
                <w:u w:val="none"/>
              </w:rPr>
            </w:pPr>
          </w:p>
        </w:tc>
      </w:tr>
      <w:tr w14:paraId="4C2AD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567" w:hRule="atLeast"/>
          <w:jc w:val="center"/>
        </w:trPr>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1A20D">
            <w:pPr>
              <w:snapToGrid w:val="0"/>
              <w:jc w:val="center"/>
              <w:rPr>
                <w:rFonts w:hint="eastAsia" w:ascii="宋体" w:hAnsi="宋体" w:eastAsia="宋体" w:cs="宋体"/>
                <w:b/>
                <w:bCs/>
                <w:i w:val="0"/>
                <w:iCs w:val="0"/>
                <w:color w:val="000000"/>
                <w:sz w:val="18"/>
                <w:szCs w:val="18"/>
                <w:u w:val="none"/>
              </w:rPr>
            </w:pPr>
          </w:p>
        </w:tc>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C9B19">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0B90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2EBE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居民健康水平提高</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05FC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C0A4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72FF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6ACF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1B89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EE12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519E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15E2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216D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6E4DC">
            <w:pPr>
              <w:snapToGrid w:val="0"/>
              <w:jc w:val="center"/>
              <w:rPr>
                <w:rFonts w:hint="eastAsia" w:ascii="宋体" w:hAnsi="宋体" w:eastAsia="宋体" w:cs="宋体"/>
                <w:i w:val="0"/>
                <w:iCs w:val="0"/>
                <w:color w:val="000000"/>
                <w:sz w:val="18"/>
                <w:szCs w:val="18"/>
                <w:u w:val="none"/>
              </w:rPr>
            </w:pPr>
          </w:p>
        </w:tc>
      </w:tr>
      <w:tr w14:paraId="06DFC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567" w:hRule="atLeast"/>
          <w:jc w:val="center"/>
        </w:trPr>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6D7FB5">
            <w:pPr>
              <w:snapToGrid w:val="0"/>
              <w:jc w:val="center"/>
              <w:rPr>
                <w:rFonts w:hint="eastAsia" w:ascii="宋体" w:hAnsi="宋体" w:eastAsia="宋体" w:cs="宋体"/>
                <w:b/>
                <w:bCs/>
                <w:i w:val="0"/>
                <w:iCs w:val="0"/>
                <w:color w:val="000000"/>
                <w:sz w:val="18"/>
                <w:szCs w:val="18"/>
                <w:u w:val="none"/>
              </w:rPr>
            </w:pPr>
          </w:p>
        </w:tc>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AFD341">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6C71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87E60">
            <w:pPr>
              <w:snapToGrid w:val="0"/>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435D1">
            <w:pPr>
              <w:snapToGrid w:val="0"/>
              <w:jc w:val="center"/>
              <w:rPr>
                <w:rFonts w:hint="eastAsia" w:ascii="宋体" w:hAnsi="宋体" w:eastAsia="宋体" w:cs="宋体"/>
                <w:i w:val="0"/>
                <w:iCs w:val="0"/>
                <w:color w:val="000000"/>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4D865">
            <w:pPr>
              <w:snapToGrid w:val="0"/>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337AE">
            <w:pPr>
              <w:snapToGrid w:val="0"/>
              <w:jc w:val="center"/>
              <w:rPr>
                <w:rFonts w:hint="eastAsia" w:ascii="宋体" w:hAnsi="宋体" w:eastAsia="宋体" w:cs="宋体"/>
                <w:i w:val="0"/>
                <w:iCs w:val="0"/>
                <w:color w:val="000000"/>
                <w:sz w:val="18"/>
                <w:szCs w:val="18"/>
                <w:u w:val="none"/>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A2245">
            <w:pPr>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26B1A">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FBA7E">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C3B9D">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B2B79">
            <w:pPr>
              <w:snapToGrid w:val="0"/>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6F25E">
            <w:pPr>
              <w:snapToGrid w:val="0"/>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60DA2">
            <w:pPr>
              <w:snapToGrid w:val="0"/>
              <w:jc w:val="center"/>
              <w:rPr>
                <w:rFonts w:hint="eastAsia" w:ascii="宋体" w:hAnsi="宋体" w:eastAsia="宋体" w:cs="宋体"/>
                <w:i w:val="0"/>
                <w:iCs w:val="0"/>
                <w:color w:val="000000"/>
                <w:sz w:val="18"/>
                <w:szCs w:val="18"/>
                <w:u w:val="none"/>
              </w:rPr>
            </w:pPr>
          </w:p>
        </w:tc>
      </w:tr>
      <w:tr w14:paraId="7B7ED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567" w:hRule="atLeast"/>
          <w:jc w:val="center"/>
        </w:trPr>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87157">
            <w:pPr>
              <w:snapToGrid w:val="0"/>
              <w:jc w:val="center"/>
              <w:rPr>
                <w:rFonts w:hint="eastAsia" w:ascii="宋体" w:hAnsi="宋体" w:eastAsia="宋体" w:cs="宋体"/>
                <w:b/>
                <w:bCs/>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F165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61D0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C2D2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体检居民满意度</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4CDC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3E3B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8023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bookmarkStart w:id="155" w:name="_GoBack"/>
            <w:bookmarkEnd w:id="155"/>
            <w:r>
              <w:rPr>
                <w:rFonts w:hint="eastAsia" w:ascii="宋体" w:hAnsi="宋体" w:eastAsia="宋体" w:cs="宋体"/>
                <w:i w:val="0"/>
                <w:iCs w:val="0"/>
                <w:color w:val="000000"/>
                <w:kern w:val="0"/>
                <w:sz w:val="18"/>
                <w:szCs w:val="18"/>
                <w:u w:val="none"/>
                <w:lang w:val="en-US" w:eastAsia="zh-CN" w:bidi="ar"/>
              </w:rPr>
              <w:t>=99.4%</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5168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110.44%</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8C30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6FD1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7534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1779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0FAF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F733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偏差原因：辖区内流动人口增多。下一步改进措施：加强与社区的人口对接，确保体检人数的准确。</w:t>
            </w:r>
          </w:p>
        </w:tc>
      </w:tr>
      <w:tr w14:paraId="323C1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567" w:hRule="atLeast"/>
          <w:jc w:val="center"/>
        </w:trPr>
        <w:tc>
          <w:tcPr>
            <w:tcW w:w="1228" w:type="pct"/>
            <w:gridSpan w:val="4"/>
            <w:tcBorders>
              <w:top w:val="single" w:color="000000" w:sz="4" w:space="0"/>
              <w:left w:val="single" w:color="000000" w:sz="4" w:space="0"/>
              <w:bottom w:val="single" w:color="000000" w:sz="4" w:space="0"/>
              <w:right w:val="nil"/>
            </w:tcBorders>
            <w:shd w:val="clear" w:color="auto" w:fill="auto"/>
            <w:vAlign w:val="center"/>
          </w:tcPr>
          <w:p w14:paraId="4DD64E47">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F0BC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66" w:type="pct"/>
            <w:tcBorders>
              <w:top w:val="single" w:color="000000" w:sz="4" w:space="0"/>
              <w:left w:val="nil"/>
              <w:bottom w:val="single" w:color="000000" w:sz="4" w:space="0"/>
              <w:right w:val="single" w:color="000000" w:sz="4" w:space="0"/>
            </w:tcBorders>
            <w:shd w:val="clear" w:color="auto" w:fill="auto"/>
            <w:vAlign w:val="center"/>
          </w:tcPr>
          <w:p w14:paraId="6DDB435A">
            <w:pPr>
              <w:snapToGrid w:val="0"/>
              <w:rPr>
                <w:rFonts w:hint="eastAsia" w:ascii="宋体" w:hAnsi="宋体" w:eastAsia="宋体" w:cs="宋体"/>
                <w:b/>
                <w:bCs/>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EADE9">
            <w:pPr>
              <w:snapToGrid w:val="0"/>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91D8A">
            <w:pPr>
              <w:snapToGrid w:val="0"/>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1EFB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93.14分</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57325">
            <w:pPr>
              <w:snapToGrid w:val="0"/>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156A2">
            <w:pPr>
              <w:snapToGrid w:val="0"/>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7ECED">
            <w:pPr>
              <w:snapToGrid w:val="0"/>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318E4">
            <w:pPr>
              <w:snapToGrid w:val="0"/>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B1E64">
            <w:pPr>
              <w:snapToGrid w:val="0"/>
              <w:rPr>
                <w:rFonts w:hint="eastAsia" w:ascii="宋体" w:hAnsi="宋体" w:eastAsia="宋体" w:cs="宋体"/>
                <w:i w:val="0"/>
                <w:iCs w:val="0"/>
                <w:color w:val="000000"/>
                <w:sz w:val="18"/>
                <w:szCs w:val="18"/>
                <w:u w:val="none"/>
              </w:rPr>
            </w:pPr>
          </w:p>
        </w:tc>
      </w:tr>
    </w:tbl>
    <w:p w14:paraId="6F1A7DAC">
      <w:pPr>
        <w:ind w:firstLine="0" w:firstLineChars="0"/>
        <w:rPr>
          <w:rFonts w:hint="eastAsia"/>
          <w:color w:val="auto"/>
        </w:rPr>
      </w:pPr>
      <w:r>
        <w:rPr>
          <w:color w:val="auto"/>
        </w:rPr>
        <w:br w:type="page"/>
      </w:r>
    </w:p>
    <w:p w14:paraId="665414B6">
      <w:pPr>
        <w:pStyle w:val="4"/>
        <w:ind w:firstLine="0" w:firstLineChars="0"/>
        <w:rPr>
          <w:rFonts w:hint="eastAsia" w:ascii="宋体" w:hAnsi="宋体" w:eastAsia="宋体"/>
          <w:b/>
          <w:bCs/>
          <w:color w:val="auto"/>
        </w:rPr>
      </w:pPr>
      <w:bookmarkStart w:id="153" w:name="_Toc15067"/>
      <w:bookmarkStart w:id="154" w:name="_Toc11223"/>
      <w:r>
        <w:rPr>
          <w:rFonts w:hint="eastAsia" w:ascii="宋体" w:hAnsi="宋体" w:eastAsia="宋体"/>
          <w:b/>
          <w:bCs/>
          <w:color w:val="auto"/>
        </w:rPr>
        <w:t>附件二、项目支出绩效评价指标体系打分表</w:t>
      </w:r>
      <w:bookmarkEnd w:id="153"/>
      <w:bookmarkEnd w:id="154"/>
    </w:p>
    <w:tbl>
      <w:tblPr>
        <w:tblStyle w:val="18"/>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4D5F78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vAlign w:val="center"/>
          </w:tcPr>
          <w:p w14:paraId="42AB733E">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b/>
                <w:bCs/>
                <w:color w:val="auto"/>
                <w:kern w:val="0"/>
                <w:sz w:val="22"/>
                <w:szCs w:val="22"/>
              </w:rPr>
            </w:pPr>
            <w:r>
              <w:rPr>
                <w:rFonts w:hint="eastAsia"/>
                <w:b/>
                <w:bCs/>
                <w:color w:val="auto"/>
                <w:kern w:val="0"/>
                <w:sz w:val="22"/>
                <w:szCs w:val="22"/>
              </w:rPr>
              <w:t>一级指标</w:t>
            </w:r>
          </w:p>
        </w:tc>
        <w:tc>
          <w:tcPr>
            <w:tcW w:w="727" w:type="dxa"/>
            <w:shd w:val="clear" w:color="auto" w:fill="auto"/>
            <w:vAlign w:val="center"/>
          </w:tcPr>
          <w:p w14:paraId="4670E54B">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b/>
                <w:bCs/>
                <w:color w:val="auto"/>
                <w:kern w:val="0"/>
                <w:sz w:val="22"/>
                <w:szCs w:val="22"/>
              </w:rPr>
            </w:pPr>
            <w:r>
              <w:rPr>
                <w:rFonts w:hint="eastAsia"/>
                <w:b/>
                <w:bCs/>
                <w:color w:val="auto"/>
                <w:kern w:val="0"/>
                <w:sz w:val="22"/>
                <w:szCs w:val="22"/>
              </w:rPr>
              <w:t>二级指标</w:t>
            </w:r>
          </w:p>
        </w:tc>
        <w:tc>
          <w:tcPr>
            <w:tcW w:w="820" w:type="dxa"/>
            <w:shd w:val="clear" w:color="auto" w:fill="auto"/>
            <w:vAlign w:val="center"/>
          </w:tcPr>
          <w:p w14:paraId="74194AEE">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b/>
                <w:bCs/>
                <w:color w:val="auto"/>
                <w:kern w:val="0"/>
                <w:sz w:val="22"/>
                <w:szCs w:val="22"/>
              </w:rPr>
            </w:pPr>
            <w:r>
              <w:rPr>
                <w:rFonts w:hint="eastAsia"/>
                <w:b/>
                <w:bCs/>
                <w:color w:val="auto"/>
                <w:kern w:val="0"/>
                <w:sz w:val="22"/>
                <w:szCs w:val="22"/>
              </w:rPr>
              <w:t>三级指标</w:t>
            </w:r>
          </w:p>
        </w:tc>
        <w:tc>
          <w:tcPr>
            <w:tcW w:w="2141" w:type="dxa"/>
            <w:shd w:val="clear" w:color="auto" w:fill="auto"/>
            <w:vAlign w:val="center"/>
          </w:tcPr>
          <w:p w14:paraId="095C80C1">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b/>
                <w:bCs/>
                <w:color w:val="auto"/>
                <w:kern w:val="0"/>
                <w:sz w:val="22"/>
                <w:szCs w:val="22"/>
              </w:rPr>
            </w:pPr>
            <w:r>
              <w:rPr>
                <w:rFonts w:hint="eastAsia"/>
                <w:b/>
                <w:bCs/>
                <w:color w:val="auto"/>
                <w:kern w:val="0"/>
                <w:sz w:val="22"/>
                <w:szCs w:val="22"/>
              </w:rPr>
              <w:t>指标解释</w:t>
            </w:r>
          </w:p>
        </w:tc>
        <w:tc>
          <w:tcPr>
            <w:tcW w:w="7821" w:type="dxa"/>
            <w:shd w:val="clear" w:color="auto" w:fill="auto"/>
            <w:vAlign w:val="center"/>
          </w:tcPr>
          <w:p w14:paraId="3CC41BFE">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b/>
                <w:bCs/>
                <w:color w:val="auto"/>
                <w:kern w:val="0"/>
                <w:sz w:val="22"/>
                <w:szCs w:val="22"/>
              </w:rPr>
            </w:pPr>
            <w:r>
              <w:rPr>
                <w:rFonts w:hint="eastAsia"/>
                <w:b/>
                <w:bCs/>
                <w:color w:val="auto"/>
                <w:kern w:val="0"/>
                <w:sz w:val="22"/>
                <w:szCs w:val="22"/>
              </w:rPr>
              <w:t>指标说明</w:t>
            </w:r>
          </w:p>
        </w:tc>
        <w:tc>
          <w:tcPr>
            <w:tcW w:w="785" w:type="dxa"/>
            <w:shd w:val="clear" w:color="auto" w:fill="auto"/>
            <w:vAlign w:val="center"/>
          </w:tcPr>
          <w:p w14:paraId="4A72BBBC">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b/>
                <w:bCs/>
                <w:color w:val="auto"/>
                <w:kern w:val="0"/>
                <w:sz w:val="22"/>
                <w:szCs w:val="22"/>
              </w:rPr>
            </w:pPr>
            <w:r>
              <w:rPr>
                <w:rFonts w:hint="eastAsia"/>
                <w:b/>
                <w:bCs/>
                <w:color w:val="auto"/>
                <w:kern w:val="0"/>
                <w:sz w:val="22"/>
                <w:szCs w:val="22"/>
              </w:rPr>
              <w:t>分值</w:t>
            </w:r>
          </w:p>
        </w:tc>
        <w:tc>
          <w:tcPr>
            <w:tcW w:w="769" w:type="dxa"/>
            <w:shd w:val="clear" w:color="auto" w:fill="auto"/>
            <w:vAlign w:val="center"/>
          </w:tcPr>
          <w:p w14:paraId="2E98FAAF">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b/>
                <w:bCs/>
                <w:color w:val="auto"/>
                <w:kern w:val="0"/>
                <w:sz w:val="22"/>
                <w:szCs w:val="22"/>
              </w:rPr>
            </w:pPr>
            <w:r>
              <w:rPr>
                <w:rFonts w:hint="eastAsia"/>
                <w:b/>
                <w:bCs/>
                <w:color w:val="auto"/>
                <w:kern w:val="0"/>
                <w:sz w:val="22"/>
                <w:szCs w:val="22"/>
              </w:rPr>
              <w:t>得分</w:t>
            </w:r>
          </w:p>
        </w:tc>
      </w:tr>
      <w:tr w14:paraId="0E62AD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vAlign w:val="center"/>
          </w:tcPr>
          <w:p w14:paraId="62958C49">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决策　</w:t>
            </w:r>
          </w:p>
          <w:p w14:paraId="1E33C695">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　</w:t>
            </w:r>
          </w:p>
          <w:p w14:paraId="4355F17C">
            <w:pPr>
              <w:keepNext w:val="0"/>
              <w:keepLines w:val="0"/>
              <w:pageBreakBefore w:val="0"/>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　</w:t>
            </w:r>
          </w:p>
        </w:tc>
        <w:tc>
          <w:tcPr>
            <w:tcW w:w="727" w:type="dxa"/>
            <w:vMerge w:val="restart"/>
            <w:shd w:val="clear" w:color="auto" w:fill="auto"/>
            <w:vAlign w:val="center"/>
          </w:tcPr>
          <w:p w14:paraId="531DF418">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项目立项　</w:t>
            </w:r>
          </w:p>
        </w:tc>
        <w:tc>
          <w:tcPr>
            <w:tcW w:w="820" w:type="dxa"/>
            <w:shd w:val="clear" w:color="auto" w:fill="auto"/>
            <w:vAlign w:val="center"/>
          </w:tcPr>
          <w:p w14:paraId="3F2A1296">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立项依据</w:t>
            </w:r>
          </w:p>
          <w:p w14:paraId="4C17E47A">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充分性</w:t>
            </w:r>
          </w:p>
        </w:tc>
        <w:tc>
          <w:tcPr>
            <w:tcW w:w="2141" w:type="dxa"/>
            <w:shd w:val="clear" w:color="auto" w:fill="auto"/>
            <w:vAlign w:val="center"/>
          </w:tcPr>
          <w:p w14:paraId="4BA4E9F2">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项目立项是否符合法律法规、相关政策、发展规划以及部门职责，用以反映和考核项目立项依据情况。</w:t>
            </w:r>
          </w:p>
        </w:tc>
        <w:tc>
          <w:tcPr>
            <w:tcW w:w="7821" w:type="dxa"/>
            <w:shd w:val="clear" w:color="auto" w:fill="auto"/>
            <w:vAlign w:val="center"/>
          </w:tcPr>
          <w:p w14:paraId="10AFC9A6">
            <w:pPr>
              <w:keepNext w:val="0"/>
              <w:keepLines w:val="0"/>
              <w:pageBreakBefore w:val="0"/>
              <w:widowControl/>
              <w:kinsoku/>
              <w:wordWrap/>
              <w:overflowPunct/>
              <w:topLinePunct w:val="0"/>
              <w:autoSpaceDE/>
              <w:autoSpaceDN/>
              <w:bidi w:val="0"/>
              <w:adjustRightInd/>
              <w:spacing w:line="360" w:lineRule="exact"/>
              <w:ind w:firstLine="0" w:firstLineChars="0"/>
              <w:jc w:val="left"/>
              <w:textAlignment w:val="auto"/>
              <w:rPr>
                <w:rFonts w:hint="eastAsia"/>
                <w:color w:val="auto"/>
                <w:kern w:val="0"/>
                <w:sz w:val="22"/>
                <w:szCs w:val="22"/>
              </w:rPr>
            </w:pPr>
            <w:r>
              <w:rPr>
                <w:rFonts w:hint="eastAsia"/>
                <w:color w:val="auto"/>
                <w:kern w:val="0"/>
                <w:sz w:val="22"/>
                <w:szCs w:val="22"/>
              </w:rPr>
              <w:t>评价要点：</w:t>
            </w:r>
          </w:p>
          <w:p w14:paraId="42D7ABE3">
            <w:pPr>
              <w:keepNext w:val="0"/>
              <w:keepLines w:val="0"/>
              <w:pageBreakBefore w:val="0"/>
              <w:widowControl/>
              <w:kinsoku/>
              <w:wordWrap/>
              <w:overflowPunct/>
              <w:topLinePunct w:val="0"/>
              <w:autoSpaceDE/>
              <w:autoSpaceDN/>
              <w:bidi w:val="0"/>
              <w:adjustRightInd/>
              <w:spacing w:line="360" w:lineRule="exact"/>
              <w:ind w:firstLine="0" w:firstLineChars="0"/>
              <w:jc w:val="left"/>
              <w:textAlignment w:val="auto"/>
              <w:rPr>
                <w:rFonts w:hint="eastAsia"/>
                <w:color w:val="auto"/>
                <w:kern w:val="0"/>
                <w:sz w:val="22"/>
                <w:szCs w:val="22"/>
              </w:rPr>
            </w:pPr>
            <w:r>
              <w:rPr>
                <w:rFonts w:hint="eastAsia"/>
                <w:color w:val="auto"/>
                <w:kern w:val="0"/>
                <w:sz w:val="22"/>
                <w:szCs w:val="22"/>
              </w:rPr>
              <w:t>①项目立项是否符合国家法律法规、国民经济发展规划和相关政策；</w:t>
            </w:r>
          </w:p>
          <w:p w14:paraId="66EA0159">
            <w:pPr>
              <w:keepNext w:val="0"/>
              <w:keepLines w:val="0"/>
              <w:pageBreakBefore w:val="0"/>
              <w:widowControl/>
              <w:kinsoku/>
              <w:wordWrap/>
              <w:overflowPunct/>
              <w:topLinePunct w:val="0"/>
              <w:autoSpaceDE/>
              <w:autoSpaceDN/>
              <w:bidi w:val="0"/>
              <w:adjustRightInd/>
              <w:spacing w:line="360" w:lineRule="exact"/>
              <w:ind w:firstLine="0" w:firstLineChars="0"/>
              <w:jc w:val="left"/>
              <w:textAlignment w:val="auto"/>
              <w:rPr>
                <w:rFonts w:hint="eastAsia"/>
                <w:color w:val="auto"/>
                <w:kern w:val="0"/>
                <w:sz w:val="22"/>
                <w:szCs w:val="22"/>
              </w:rPr>
            </w:pPr>
            <w:r>
              <w:rPr>
                <w:rFonts w:hint="eastAsia"/>
                <w:color w:val="auto"/>
                <w:kern w:val="0"/>
                <w:sz w:val="22"/>
                <w:szCs w:val="22"/>
              </w:rPr>
              <w:t>②项目立项是否符合行业发展规划和政策要求；</w:t>
            </w:r>
          </w:p>
          <w:p w14:paraId="3A42A406">
            <w:pPr>
              <w:keepNext w:val="0"/>
              <w:keepLines w:val="0"/>
              <w:pageBreakBefore w:val="0"/>
              <w:widowControl/>
              <w:kinsoku/>
              <w:wordWrap/>
              <w:overflowPunct/>
              <w:topLinePunct w:val="0"/>
              <w:autoSpaceDE/>
              <w:autoSpaceDN/>
              <w:bidi w:val="0"/>
              <w:adjustRightInd/>
              <w:spacing w:line="360" w:lineRule="exact"/>
              <w:ind w:firstLine="0" w:firstLineChars="0"/>
              <w:jc w:val="left"/>
              <w:textAlignment w:val="auto"/>
              <w:rPr>
                <w:rFonts w:hint="eastAsia"/>
                <w:color w:val="auto"/>
                <w:kern w:val="0"/>
                <w:sz w:val="22"/>
                <w:szCs w:val="22"/>
              </w:rPr>
            </w:pPr>
            <w:r>
              <w:rPr>
                <w:rFonts w:hint="eastAsia"/>
                <w:color w:val="auto"/>
                <w:kern w:val="0"/>
                <w:sz w:val="22"/>
                <w:szCs w:val="22"/>
              </w:rPr>
              <w:t>③项目立项是否与部门职责范围相符，属于部门履职所需；</w:t>
            </w:r>
          </w:p>
          <w:p w14:paraId="299B5B37">
            <w:pPr>
              <w:keepNext w:val="0"/>
              <w:keepLines w:val="0"/>
              <w:pageBreakBefore w:val="0"/>
              <w:widowControl/>
              <w:kinsoku/>
              <w:wordWrap/>
              <w:overflowPunct/>
              <w:topLinePunct w:val="0"/>
              <w:autoSpaceDE/>
              <w:autoSpaceDN/>
              <w:bidi w:val="0"/>
              <w:adjustRightInd/>
              <w:spacing w:line="360" w:lineRule="exact"/>
              <w:ind w:firstLine="0" w:firstLineChars="0"/>
              <w:jc w:val="left"/>
              <w:textAlignment w:val="auto"/>
              <w:rPr>
                <w:rFonts w:hint="eastAsia"/>
                <w:color w:val="auto"/>
                <w:kern w:val="0"/>
                <w:sz w:val="22"/>
                <w:szCs w:val="22"/>
              </w:rPr>
            </w:pPr>
            <w:r>
              <w:rPr>
                <w:rFonts w:hint="eastAsia"/>
                <w:color w:val="auto"/>
                <w:kern w:val="0"/>
                <w:sz w:val="22"/>
                <w:szCs w:val="22"/>
              </w:rPr>
              <w:t>④项目是否属于公共财政支持范围，是否符合中央、地方事权支出责任划分原则；</w:t>
            </w:r>
          </w:p>
          <w:p w14:paraId="48070913">
            <w:pPr>
              <w:keepNext w:val="0"/>
              <w:keepLines w:val="0"/>
              <w:pageBreakBefore w:val="0"/>
              <w:widowControl/>
              <w:kinsoku/>
              <w:wordWrap/>
              <w:overflowPunct/>
              <w:topLinePunct w:val="0"/>
              <w:autoSpaceDE/>
              <w:autoSpaceDN/>
              <w:bidi w:val="0"/>
              <w:adjustRightInd/>
              <w:spacing w:line="360" w:lineRule="exact"/>
              <w:ind w:firstLine="0" w:firstLineChars="0"/>
              <w:jc w:val="left"/>
              <w:textAlignment w:val="auto"/>
              <w:rPr>
                <w:rFonts w:hint="eastAsia"/>
                <w:color w:val="auto"/>
                <w:kern w:val="0"/>
                <w:sz w:val="22"/>
                <w:szCs w:val="22"/>
              </w:rPr>
            </w:pPr>
            <w:r>
              <w:rPr>
                <w:rFonts w:hint="eastAsia"/>
                <w:color w:val="auto"/>
                <w:kern w:val="0"/>
                <w:sz w:val="22"/>
                <w:szCs w:val="22"/>
              </w:rPr>
              <w:t>⑤项目是否与相关部门同类项目或部门内部相关项目重复。</w:t>
            </w:r>
          </w:p>
        </w:tc>
        <w:tc>
          <w:tcPr>
            <w:tcW w:w="785" w:type="dxa"/>
            <w:shd w:val="clear" w:color="auto" w:fill="auto"/>
            <w:vAlign w:val="center"/>
          </w:tcPr>
          <w:p w14:paraId="50F3EB4D">
            <w:pPr>
              <w:keepNext w:val="0"/>
              <w:keepLines w:val="0"/>
              <w:pageBreakBefore w:val="0"/>
              <w:widowControl/>
              <w:kinsoku/>
              <w:wordWrap/>
              <w:overflowPunct/>
              <w:topLinePunct w:val="0"/>
              <w:autoSpaceDE/>
              <w:autoSpaceDN/>
              <w:bidi w:val="0"/>
              <w:adjustRightInd/>
              <w:snapToGrid w:val="0"/>
              <w:spacing w:line="360" w:lineRule="exact"/>
              <w:ind w:firstLine="0" w:firstLineChars="0"/>
              <w:jc w:val="center"/>
              <w:textAlignment w:val="auto"/>
              <w:rPr>
                <w:rFonts w:hint="eastAsia"/>
                <w:color w:val="auto"/>
                <w:kern w:val="0"/>
                <w:sz w:val="20"/>
                <w:szCs w:val="20"/>
              </w:rPr>
            </w:pPr>
            <w:r>
              <w:rPr>
                <w:rFonts w:hint="eastAsia"/>
                <w:color w:val="auto"/>
                <w:kern w:val="0"/>
                <w:sz w:val="20"/>
                <w:szCs w:val="20"/>
              </w:rPr>
              <w:t>2</w:t>
            </w:r>
          </w:p>
        </w:tc>
        <w:tc>
          <w:tcPr>
            <w:tcW w:w="769" w:type="dxa"/>
            <w:shd w:val="clear" w:color="auto" w:fill="auto"/>
            <w:vAlign w:val="center"/>
          </w:tcPr>
          <w:p w14:paraId="3896DB2A">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2</w:t>
            </w:r>
          </w:p>
        </w:tc>
      </w:tr>
      <w:tr w14:paraId="30568A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vAlign w:val="center"/>
          </w:tcPr>
          <w:p w14:paraId="7A9B80A6">
            <w:pPr>
              <w:keepNext w:val="0"/>
              <w:keepLines w:val="0"/>
              <w:pageBreakBefore w:val="0"/>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p>
        </w:tc>
        <w:tc>
          <w:tcPr>
            <w:tcW w:w="727" w:type="dxa"/>
            <w:vMerge w:val="continue"/>
            <w:shd w:val="clear" w:color="auto" w:fill="auto"/>
            <w:vAlign w:val="center"/>
          </w:tcPr>
          <w:p w14:paraId="3AA35B90">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p>
        </w:tc>
        <w:tc>
          <w:tcPr>
            <w:tcW w:w="820" w:type="dxa"/>
            <w:shd w:val="clear" w:color="auto" w:fill="auto"/>
            <w:vAlign w:val="center"/>
          </w:tcPr>
          <w:p w14:paraId="27FC7583">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立项程序</w:t>
            </w:r>
          </w:p>
          <w:p w14:paraId="1B34E009">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规范性</w:t>
            </w:r>
          </w:p>
        </w:tc>
        <w:tc>
          <w:tcPr>
            <w:tcW w:w="2141" w:type="dxa"/>
            <w:shd w:val="clear" w:color="auto" w:fill="auto"/>
            <w:vAlign w:val="center"/>
          </w:tcPr>
          <w:p w14:paraId="56836AA5">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项目申请、设立过程是否符合相关要求，用以反映和考核项目立项的规范情况。</w:t>
            </w:r>
          </w:p>
        </w:tc>
        <w:tc>
          <w:tcPr>
            <w:tcW w:w="7821" w:type="dxa"/>
            <w:shd w:val="clear" w:color="auto" w:fill="auto"/>
            <w:vAlign w:val="center"/>
          </w:tcPr>
          <w:p w14:paraId="0A9F30AF">
            <w:pPr>
              <w:keepNext w:val="0"/>
              <w:keepLines w:val="0"/>
              <w:pageBreakBefore w:val="0"/>
              <w:widowControl/>
              <w:kinsoku/>
              <w:wordWrap/>
              <w:overflowPunct/>
              <w:topLinePunct w:val="0"/>
              <w:autoSpaceDE/>
              <w:autoSpaceDN/>
              <w:bidi w:val="0"/>
              <w:adjustRightInd/>
              <w:spacing w:line="360" w:lineRule="exact"/>
              <w:ind w:firstLine="0" w:firstLineChars="0"/>
              <w:jc w:val="left"/>
              <w:textAlignment w:val="auto"/>
              <w:rPr>
                <w:rFonts w:hint="eastAsia"/>
                <w:color w:val="auto"/>
                <w:kern w:val="0"/>
                <w:sz w:val="22"/>
                <w:szCs w:val="22"/>
              </w:rPr>
            </w:pPr>
            <w:r>
              <w:rPr>
                <w:rFonts w:hint="eastAsia"/>
                <w:color w:val="auto"/>
                <w:kern w:val="0"/>
                <w:sz w:val="22"/>
                <w:szCs w:val="22"/>
              </w:rPr>
              <w:t>评价要点：</w:t>
            </w:r>
          </w:p>
          <w:p w14:paraId="181B5CE7">
            <w:pPr>
              <w:keepNext w:val="0"/>
              <w:keepLines w:val="0"/>
              <w:pageBreakBefore w:val="0"/>
              <w:widowControl/>
              <w:kinsoku/>
              <w:wordWrap/>
              <w:overflowPunct/>
              <w:topLinePunct w:val="0"/>
              <w:autoSpaceDE/>
              <w:autoSpaceDN/>
              <w:bidi w:val="0"/>
              <w:adjustRightInd/>
              <w:spacing w:line="360" w:lineRule="exact"/>
              <w:ind w:firstLine="0" w:firstLineChars="0"/>
              <w:jc w:val="left"/>
              <w:textAlignment w:val="auto"/>
              <w:rPr>
                <w:rFonts w:hint="eastAsia"/>
                <w:color w:val="auto"/>
                <w:kern w:val="0"/>
                <w:sz w:val="22"/>
                <w:szCs w:val="22"/>
              </w:rPr>
            </w:pPr>
            <w:r>
              <w:rPr>
                <w:rFonts w:hint="eastAsia"/>
                <w:color w:val="auto"/>
                <w:kern w:val="0"/>
                <w:sz w:val="22"/>
                <w:szCs w:val="22"/>
              </w:rPr>
              <w:t>①项目是否按照规定的程序申请设立；</w:t>
            </w:r>
          </w:p>
          <w:p w14:paraId="6CC7CDA7">
            <w:pPr>
              <w:keepNext w:val="0"/>
              <w:keepLines w:val="0"/>
              <w:pageBreakBefore w:val="0"/>
              <w:widowControl/>
              <w:kinsoku/>
              <w:wordWrap/>
              <w:overflowPunct/>
              <w:topLinePunct w:val="0"/>
              <w:autoSpaceDE/>
              <w:autoSpaceDN/>
              <w:bidi w:val="0"/>
              <w:adjustRightInd/>
              <w:spacing w:line="360" w:lineRule="exact"/>
              <w:ind w:firstLine="0" w:firstLineChars="0"/>
              <w:jc w:val="left"/>
              <w:textAlignment w:val="auto"/>
              <w:rPr>
                <w:rFonts w:hint="eastAsia"/>
                <w:color w:val="auto"/>
                <w:kern w:val="0"/>
                <w:sz w:val="22"/>
                <w:szCs w:val="22"/>
              </w:rPr>
            </w:pPr>
            <w:r>
              <w:rPr>
                <w:rFonts w:hint="eastAsia"/>
                <w:color w:val="auto"/>
                <w:kern w:val="0"/>
                <w:sz w:val="22"/>
                <w:szCs w:val="22"/>
              </w:rPr>
              <w:t>②审批文件、材料是否符合相关要求；</w:t>
            </w:r>
          </w:p>
          <w:p w14:paraId="4829614D">
            <w:pPr>
              <w:keepNext w:val="0"/>
              <w:keepLines w:val="0"/>
              <w:pageBreakBefore w:val="0"/>
              <w:widowControl/>
              <w:kinsoku/>
              <w:wordWrap/>
              <w:overflowPunct/>
              <w:topLinePunct w:val="0"/>
              <w:autoSpaceDE/>
              <w:autoSpaceDN/>
              <w:bidi w:val="0"/>
              <w:adjustRightInd/>
              <w:spacing w:line="360" w:lineRule="exact"/>
              <w:ind w:firstLine="0" w:firstLineChars="0"/>
              <w:jc w:val="left"/>
              <w:textAlignment w:val="auto"/>
              <w:rPr>
                <w:rFonts w:hint="eastAsia"/>
                <w:color w:val="auto"/>
                <w:kern w:val="0"/>
                <w:sz w:val="22"/>
                <w:szCs w:val="22"/>
              </w:rPr>
            </w:pPr>
            <w:r>
              <w:rPr>
                <w:rFonts w:hint="eastAsia"/>
                <w:color w:val="auto"/>
                <w:kern w:val="0"/>
                <w:sz w:val="22"/>
                <w:szCs w:val="22"/>
              </w:rPr>
              <w:t>③事前是否已经过必要的可行性研究、专家论证、风险评估、绩效评估、集体决策。</w:t>
            </w:r>
          </w:p>
        </w:tc>
        <w:tc>
          <w:tcPr>
            <w:tcW w:w="785" w:type="dxa"/>
            <w:shd w:val="clear" w:color="auto" w:fill="auto"/>
            <w:vAlign w:val="center"/>
          </w:tcPr>
          <w:p w14:paraId="76869485">
            <w:pPr>
              <w:keepNext w:val="0"/>
              <w:keepLines w:val="0"/>
              <w:pageBreakBefore w:val="0"/>
              <w:widowControl/>
              <w:kinsoku/>
              <w:wordWrap/>
              <w:overflowPunct/>
              <w:topLinePunct w:val="0"/>
              <w:autoSpaceDE/>
              <w:autoSpaceDN/>
              <w:bidi w:val="0"/>
              <w:adjustRightInd/>
              <w:snapToGrid w:val="0"/>
              <w:spacing w:line="360" w:lineRule="exact"/>
              <w:ind w:firstLine="0" w:firstLineChars="0"/>
              <w:jc w:val="center"/>
              <w:textAlignment w:val="auto"/>
              <w:rPr>
                <w:rFonts w:hint="eastAsia"/>
                <w:color w:val="auto"/>
                <w:kern w:val="0"/>
                <w:sz w:val="20"/>
                <w:szCs w:val="20"/>
              </w:rPr>
            </w:pPr>
            <w:r>
              <w:rPr>
                <w:rFonts w:hint="eastAsia"/>
                <w:color w:val="auto"/>
                <w:kern w:val="0"/>
                <w:sz w:val="20"/>
                <w:szCs w:val="20"/>
              </w:rPr>
              <w:t>3</w:t>
            </w:r>
          </w:p>
        </w:tc>
        <w:tc>
          <w:tcPr>
            <w:tcW w:w="769" w:type="dxa"/>
            <w:shd w:val="clear" w:color="auto" w:fill="auto"/>
            <w:vAlign w:val="center"/>
          </w:tcPr>
          <w:p w14:paraId="23FCB272">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2</w:t>
            </w:r>
          </w:p>
        </w:tc>
      </w:tr>
      <w:tr w14:paraId="100181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vAlign w:val="center"/>
          </w:tcPr>
          <w:p w14:paraId="03033E28">
            <w:pPr>
              <w:keepNext w:val="0"/>
              <w:keepLines w:val="0"/>
              <w:pageBreakBefore w:val="0"/>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p>
        </w:tc>
        <w:tc>
          <w:tcPr>
            <w:tcW w:w="727" w:type="dxa"/>
            <w:shd w:val="clear" w:color="auto" w:fill="auto"/>
            <w:vAlign w:val="center"/>
          </w:tcPr>
          <w:p w14:paraId="2E7423C7">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绩效目标　</w:t>
            </w:r>
          </w:p>
        </w:tc>
        <w:tc>
          <w:tcPr>
            <w:tcW w:w="820" w:type="dxa"/>
            <w:shd w:val="clear" w:color="auto" w:fill="auto"/>
            <w:vAlign w:val="center"/>
          </w:tcPr>
          <w:p w14:paraId="388D5952">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绩效目标</w:t>
            </w:r>
          </w:p>
          <w:p w14:paraId="21A868F8">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合理性</w:t>
            </w:r>
          </w:p>
        </w:tc>
        <w:tc>
          <w:tcPr>
            <w:tcW w:w="2141" w:type="dxa"/>
            <w:shd w:val="clear" w:color="auto" w:fill="auto"/>
            <w:vAlign w:val="center"/>
          </w:tcPr>
          <w:p w14:paraId="54CFC530">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项目所设定的绩效目标是否依据充分，是否符合客观实际，用以反映和考核项目绩效目标与项目实施的相符情况。</w:t>
            </w:r>
          </w:p>
        </w:tc>
        <w:tc>
          <w:tcPr>
            <w:tcW w:w="7821" w:type="dxa"/>
            <w:shd w:val="clear" w:color="auto" w:fill="auto"/>
            <w:vAlign w:val="center"/>
          </w:tcPr>
          <w:p w14:paraId="41CCAD23">
            <w:pPr>
              <w:keepNext w:val="0"/>
              <w:keepLines w:val="0"/>
              <w:pageBreakBefore w:val="0"/>
              <w:widowControl/>
              <w:kinsoku/>
              <w:wordWrap/>
              <w:overflowPunct/>
              <w:topLinePunct w:val="0"/>
              <w:autoSpaceDE/>
              <w:autoSpaceDN/>
              <w:bidi w:val="0"/>
              <w:adjustRightInd/>
              <w:spacing w:line="360" w:lineRule="exact"/>
              <w:ind w:firstLine="0" w:firstLineChars="0"/>
              <w:jc w:val="left"/>
              <w:textAlignment w:val="auto"/>
              <w:rPr>
                <w:rFonts w:hint="eastAsia"/>
                <w:color w:val="auto"/>
                <w:kern w:val="0"/>
                <w:sz w:val="22"/>
                <w:szCs w:val="22"/>
              </w:rPr>
            </w:pPr>
            <w:r>
              <w:rPr>
                <w:rFonts w:hint="eastAsia"/>
                <w:color w:val="auto"/>
                <w:kern w:val="0"/>
                <w:sz w:val="22"/>
                <w:szCs w:val="22"/>
              </w:rPr>
              <w:t>评价要点：</w:t>
            </w:r>
          </w:p>
          <w:p w14:paraId="641AE45D">
            <w:pPr>
              <w:keepNext w:val="0"/>
              <w:keepLines w:val="0"/>
              <w:pageBreakBefore w:val="0"/>
              <w:widowControl/>
              <w:kinsoku/>
              <w:wordWrap/>
              <w:overflowPunct/>
              <w:topLinePunct w:val="0"/>
              <w:autoSpaceDE/>
              <w:autoSpaceDN/>
              <w:bidi w:val="0"/>
              <w:adjustRightInd/>
              <w:spacing w:line="360" w:lineRule="exact"/>
              <w:ind w:firstLine="0" w:firstLineChars="0"/>
              <w:jc w:val="left"/>
              <w:textAlignment w:val="auto"/>
              <w:rPr>
                <w:rFonts w:hint="eastAsia"/>
                <w:color w:val="auto"/>
                <w:kern w:val="0"/>
                <w:sz w:val="22"/>
                <w:szCs w:val="22"/>
              </w:rPr>
            </w:pPr>
            <w:r>
              <w:rPr>
                <w:rFonts w:hint="eastAsia"/>
                <w:color w:val="auto"/>
                <w:kern w:val="0"/>
                <w:sz w:val="22"/>
                <w:szCs w:val="22"/>
              </w:rPr>
              <w:t>（如未设定预算绩效目标，也可考核其他工作任务目标）</w:t>
            </w:r>
          </w:p>
          <w:p w14:paraId="76B7BD04">
            <w:pPr>
              <w:keepNext w:val="0"/>
              <w:keepLines w:val="0"/>
              <w:pageBreakBefore w:val="0"/>
              <w:widowControl/>
              <w:kinsoku/>
              <w:wordWrap/>
              <w:overflowPunct/>
              <w:topLinePunct w:val="0"/>
              <w:autoSpaceDE/>
              <w:autoSpaceDN/>
              <w:bidi w:val="0"/>
              <w:adjustRightInd/>
              <w:spacing w:line="360" w:lineRule="exact"/>
              <w:ind w:firstLine="0" w:firstLineChars="0"/>
              <w:jc w:val="left"/>
              <w:textAlignment w:val="auto"/>
              <w:rPr>
                <w:rFonts w:hint="eastAsia"/>
                <w:color w:val="auto"/>
                <w:kern w:val="0"/>
                <w:sz w:val="22"/>
                <w:szCs w:val="22"/>
              </w:rPr>
            </w:pPr>
            <w:r>
              <w:rPr>
                <w:rFonts w:hint="eastAsia"/>
                <w:color w:val="auto"/>
                <w:kern w:val="0"/>
                <w:sz w:val="22"/>
                <w:szCs w:val="22"/>
              </w:rPr>
              <w:t>①项目是否有绩效目标；</w:t>
            </w:r>
          </w:p>
          <w:p w14:paraId="01DB3E9D">
            <w:pPr>
              <w:keepNext w:val="0"/>
              <w:keepLines w:val="0"/>
              <w:pageBreakBefore w:val="0"/>
              <w:widowControl/>
              <w:kinsoku/>
              <w:wordWrap/>
              <w:overflowPunct/>
              <w:topLinePunct w:val="0"/>
              <w:autoSpaceDE/>
              <w:autoSpaceDN/>
              <w:bidi w:val="0"/>
              <w:adjustRightInd/>
              <w:spacing w:line="360" w:lineRule="exact"/>
              <w:ind w:firstLine="0" w:firstLineChars="0"/>
              <w:jc w:val="left"/>
              <w:textAlignment w:val="auto"/>
              <w:rPr>
                <w:rFonts w:hint="eastAsia"/>
                <w:color w:val="auto"/>
                <w:kern w:val="0"/>
                <w:sz w:val="22"/>
                <w:szCs w:val="22"/>
              </w:rPr>
            </w:pPr>
            <w:r>
              <w:rPr>
                <w:rFonts w:hint="eastAsia"/>
                <w:color w:val="auto"/>
                <w:kern w:val="0"/>
                <w:sz w:val="22"/>
                <w:szCs w:val="22"/>
              </w:rPr>
              <w:t>②项目绩效目标与实际工作内容是否具有相关性；</w:t>
            </w:r>
          </w:p>
          <w:p w14:paraId="52FDBFC3">
            <w:pPr>
              <w:keepNext w:val="0"/>
              <w:keepLines w:val="0"/>
              <w:pageBreakBefore w:val="0"/>
              <w:widowControl/>
              <w:kinsoku/>
              <w:wordWrap/>
              <w:overflowPunct/>
              <w:topLinePunct w:val="0"/>
              <w:autoSpaceDE/>
              <w:autoSpaceDN/>
              <w:bidi w:val="0"/>
              <w:adjustRightInd/>
              <w:spacing w:line="360" w:lineRule="exact"/>
              <w:ind w:firstLine="0" w:firstLineChars="0"/>
              <w:jc w:val="left"/>
              <w:textAlignment w:val="auto"/>
              <w:rPr>
                <w:rFonts w:hint="eastAsia"/>
                <w:color w:val="auto"/>
                <w:kern w:val="0"/>
                <w:sz w:val="22"/>
                <w:szCs w:val="22"/>
              </w:rPr>
            </w:pPr>
            <w:r>
              <w:rPr>
                <w:rFonts w:hint="eastAsia"/>
                <w:color w:val="auto"/>
                <w:kern w:val="0"/>
                <w:sz w:val="22"/>
                <w:szCs w:val="22"/>
              </w:rPr>
              <w:t>③项目预期产出效益和效果是否符合正常的业绩水平；</w:t>
            </w:r>
          </w:p>
          <w:p w14:paraId="6BB2748E">
            <w:pPr>
              <w:keepNext w:val="0"/>
              <w:keepLines w:val="0"/>
              <w:pageBreakBefore w:val="0"/>
              <w:widowControl/>
              <w:kinsoku/>
              <w:wordWrap/>
              <w:overflowPunct/>
              <w:topLinePunct w:val="0"/>
              <w:autoSpaceDE/>
              <w:autoSpaceDN/>
              <w:bidi w:val="0"/>
              <w:adjustRightInd/>
              <w:spacing w:line="360" w:lineRule="exact"/>
              <w:ind w:firstLine="0" w:firstLineChars="0"/>
              <w:jc w:val="left"/>
              <w:textAlignment w:val="auto"/>
              <w:rPr>
                <w:rFonts w:hint="eastAsia"/>
                <w:color w:val="auto"/>
                <w:kern w:val="0"/>
                <w:sz w:val="22"/>
                <w:szCs w:val="22"/>
              </w:rPr>
            </w:pPr>
            <w:r>
              <w:rPr>
                <w:rFonts w:hint="eastAsia"/>
                <w:color w:val="auto"/>
                <w:kern w:val="0"/>
                <w:sz w:val="22"/>
                <w:szCs w:val="22"/>
              </w:rPr>
              <w:t>④是否与预算确定的项目投资额或资金量相匹配。</w:t>
            </w:r>
          </w:p>
        </w:tc>
        <w:tc>
          <w:tcPr>
            <w:tcW w:w="785" w:type="dxa"/>
            <w:shd w:val="clear" w:color="auto" w:fill="auto"/>
            <w:vAlign w:val="center"/>
          </w:tcPr>
          <w:p w14:paraId="382E5ED4">
            <w:pPr>
              <w:keepNext w:val="0"/>
              <w:keepLines w:val="0"/>
              <w:pageBreakBefore w:val="0"/>
              <w:widowControl/>
              <w:kinsoku/>
              <w:wordWrap/>
              <w:overflowPunct/>
              <w:topLinePunct w:val="0"/>
              <w:autoSpaceDE/>
              <w:autoSpaceDN/>
              <w:bidi w:val="0"/>
              <w:adjustRightInd/>
              <w:snapToGrid w:val="0"/>
              <w:spacing w:line="360" w:lineRule="exact"/>
              <w:ind w:firstLine="0" w:firstLineChars="0"/>
              <w:jc w:val="center"/>
              <w:textAlignment w:val="auto"/>
              <w:rPr>
                <w:rFonts w:hint="eastAsia"/>
                <w:color w:val="auto"/>
                <w:kern w:val="0"/>
                <w:sz w:val="20"/>
                <w:szCs w:val="20"/>
              </w:rPr>
            </w:pPr>
            <w:r>
              <w:rPr>
                <w:rFonts w:hint="eastAsia"/>
                <w:color w:val="auto"/>
                <w:kern w:val="0"/>
                <w:sz w:val="20"/>
                <w:szCs w:val="20"/>
              </w:rPr>
              <w:t>5</w:t>
            </w:r>
          </w:p>
        </w:tc>
        <w:tc>
          <w:tcPr>
            <w:tcW w:w="769" w:type="dxa"/>
            <w:shd w:val="clear" w:color="auto" w:fill="auto"/>
            <w:vAlign w:val="center"/>
          </w:tcPr>
          <w:p w14:paraId="65F8AC93">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5</w:t>
            </w:r>
          </w:p>
        </w:tc>
      </w:tr>
      <w:tr w14:paraId="1AEEDF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vAlign w:val="center"/>
          </w:tcPr>
          <w:p w14:paraId="24C3C740">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决策　</w:t>
            </w:r>
          </w:p>
        </w:tc>
        <w:tc>
          <w:tcPr>
            <w:tcW w:w="727" w:type="dxa"/>
            <w:shd w:val="clear" w:color="auto" w:fill="auto"/>
            <w:vAlign w:val="center"/>
          </w:tcPr>
          <w:p w14:paraId="05BFAA2F">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绩效目标</w:t>
            </w:r>
          </w:p>
        </w:tc>
        <w:tc>
          <w:tcPr>
            <w:tcW w:w="820" w:type="dxa"/>
            <w:shd w:val="clear" w:color="auto" w:fill="auto"/>
            <w:vAlign w:val="center"/>
          </w:tcPr>
          <w:p w14:paraId="24F08EF0">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绩效指标</w:t>
            </w:r>
          </w:p>
          <w:p w14:paraId="3BA85A11">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明确性</w:t>
            </w:r>
          </w:p>
        </w:tc>
        <w:tc>
          <w:tcPr>
            <w:tcW w:w="2141" w:type="dxa"/>
            <w:shd w:val="clear" w:color="auto" w:fill="auto"/>
            <w:vAlign w:val="center"/>
          </w:tcPr>
          <w:p w14:paraId="4493FF97">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依据绩效目标设定的绩效指标是否清晰、细化、可衡量等，用以反映和考核项目绩效目标的明细化情况。</w:t>
            </w:r>
          </w:p>
        </w:tc>
        <w:tc>
          <w:tcPr>
            <w:tcW w:w="7821" w:type="dxa"/>
            <w:shd w:val="clear" w:color="auto" w:fill="auto"/>
            <w:vAlign w:val="center"/>
          </w:tcPr>
          <w:p w14:paraId="7CC10D48">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评价要点：</w:t>
            </w:r>
          </w:p>
          <w:p w14:paraId="152783A9">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①是否将项目绩效目标细化分解为具体的绩效指标；</w:t>
            </w:r>
          </w:p>
          <w:p w14:paraId="27F2B1A7">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②是否通过清晰、可衡量的指标值予以体现；</w:t>
            </w:r>
          </w:p>
          <w:p w14:paraId="2496238B">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③是否与项目目标任务数或计划数相对应。</w:t>
            </w:r>
          </w:p>
          <w:p w14:paraId="2EDE571A">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p>
        </w:tc>
        <w:tc>
          <w:tcPr>
            <w:tcW w:w="785" w:type="dxa"/>
            <w:shd w:val="clear" w:color="auto" w:fill="auto"/>
            <w:vAlign w:val="center"/>
          </w:tcPr>
          <w:p w14:paraId="22C03E7D">
            <w:pPr>
              <w:keepNext w:val="0"/>
              <w:keepLines w:val="0"/>
              <w:pageBreakBefore w:val="0"/>
              <w:widowControl/>
              <w:kinsoku/>
              <w:wordWrap/>
              <w:overflowPunct/>
              <w:topLinePunct w:val="0"/>
              <w:autoSpaceDE/>
              <w:autoSpaceDN/>
              <w:bidi w:val="0"/>
              <w:adjustRightInd/>
              <w:snapToGrid w:val="0"/>
              <w:spacing w:line="360" w:lineRule="exact"/>
              <w:ind w:firstLine="0" w:firstLineChars="0"/>
              <w:jc w:val="center"/>
              <w:textAlignment w:val="auto"/>
              <w:rPr>
                <w:rFonts w:hint="eastAsia"/>
                <w:color w:val="auto"/>
                <w:kern w:val="0"/>
                <w:sz w:val="20"/>
                <w:szCs w:val="20"/>
              </w:rPr>
            </w:pPr>
            <w:r>
              <w:rPr>
                <w:rFonts w:hint="eastAsia"/>
                <w:color w:val="auto"/>
                <w:kern w:val="0"/>
                <w:sz w:val="20"/>
                <w:szCs w:val="20"/>
              </w:rPr>
              <w:t>5</w:t>
            </w:r>
          </w:p>
        </w:tc>
        <w:tc>
          <w:tcPr>
            <w:tcW w:w="769" w:type="dxa"/>
            <w:shd w:val="clear" w:color="auto" w:fill="auto"/>
            <w:vAlign w:val="center"/>
          </w:tcPr>
          <w:p w14:paraId="442A042C">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5</w:t>
            </w:r>
          </w:p>
        </w:tc>
      </w:tr>
      <w:tr w14:paraId="4AB2BF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vAlign w:val="center"/>
          </w:tcPr>
          <w:p w14:paraId="590ACBCC">
            <w:pPr>
              <w:keepNext w:val="0"/>
              <w:keepLines w:val="0"/>
              <w:pageBreakBefore w:val="0"/>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p>
        </w:tc>
        <w:tc>
          <w:tcPr>
            <w:tcW w:w="727" w:type="dxa"/>
            <w:vMerge w:val="restart"/>
            <w:shd w:val="clear" w:color="auto" w:fill="auto"/>
            <w:vAlign w:val="center"/>
          </w:tcPr>
          <w:p w14:paraId="0E394567">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资金投入</w:t>
            </w:r>
          </w:p>
          <w:p w14:paraId="4628304C">
            <w:pPr>
              <w:keepNext w:val="0"/>
              <w:keepLines w:val="0"/>
              <w:pageBreakBefore w:val="0"/>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　</w:t>
            </w:r>
          </w:p>
        </w:tc>
        <w:tc>
          <w:tcPr>
            <w:tcW w:w="820" w:type="dxa"/>
            <w:shd w:val="clear" w:color="auto" w:fill="auto"/>
            <w:vAlign w:val="center"/>
          </w:tcPr>
          <w:p w14:paraId="0ED1B013">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预算编制</w:t>
            </w:r>
          </w:p>
          <w:p w14:paraId="1D5C81ED">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科学性</w:t>
            </w:r>
          </w:p>
        </w:tc>
        <w:tc>
          <w:tcPr>
            <w:tcW w:w="2141" w:type="dxa"/>
            <w:shd w:val="clear" w:color="auto" w:fill="auto"/>
            <w:vAlign w:val="center"/>
          </w:tcPr>
          <w:p w14:paraId="00F11D58">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vAlign w:val="center"/>
          </w:tcPr>
          <w:p w14:paraId="3CFF6DF2">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评价要点：</w:t>
            </w:r>
          </w:p>
          <w:p w14:paraId="2E29A081">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①预算编制是否经过科学论证；</w:t>
            </w:r>
          </w:p>
          <w:p w14:paraId="0DFF2DAA">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②预算内容与项目内容是否匹配；</w:t>
            </w:r>
          </w:p>
          <w:p w14:paraId="11877A19">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③预算额度测算依据是否充分，是否按照标准编制；</w:t>
            </w:r>
          </w:p>
          <w:p w14:paraId="1563D26C">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④预算确定的项目投资额或资金量是否与工作任务相匹配。</w:t>
            </w:r>
          </w:p>
        </w:tc>
        <w:tc>
          <w:tcPr>
            <w:tcW w:w="785" w:type="dxa"/>
            <w:shd w:val="clear" w:color="auto" w:fill="auto"/>
            <w:vAlign w:val="center"/>
          </w:tcPr>
          <w:p w14:paraId="318C3BB2">
            <w:pPr>
              <w:keepNext w:val="0"/>
              <w:keepLines w:val="0"/>
              <w:pageBreakBefore w:val="0"/>
              <w:widowControl/>
              <w:kinsoku/>
              <w:wordWrap/>
              <w:overflowPunct/>
              <w:topLinePunct w:val="0"/>
              <w:autoSpaceDE/>
              <w:autoSpaceDN/>
              <w:bidi w:val="0"/>
              <w:adjustRightInd/>
              <w:snapToGrid w:val="0"/>
              <w:spacing w:line="360" w:lineRule="exact"/>
              <w:ind w:firstLine="0" w:firstLineChars="0"/>
              <w:jc w:val="center"/>
              <w:textAlignment w:val="auto"/>
              <w:rPr>
                <w:rFonts w:hint="eastAsia"/>
                <w:color w:val="auto"/>
                <w:kern w:val="0"/>
                <w:sz w:val="20"/>
                <w:szCs w:val="20"/>
              </w:rPr>
            </w:pPr>
            <w:r>
              <w:rPr>
                <w:rFonts w:hint="eastAsia"/>
                <w:color w:val="auto"/>
                <w:kern w:val="0"/>
                <w:sz w:val="20"/>
                <w:szCs w:val="20"/>
              </w:rPr>
              <w:t>2</w:t>
            </w:r>
          </w:p>
        </w:tc>
        <w:tc>
          <w:tcPr>
            <w:tcW w:w="769" w:type="dxa"/>
            <w:shd w:val="clear" w:color="auto" w:fill="auto"/>
            <w:vAlign w:val="center"/>
          </w:tcPr>
          <w:p w14:paraId="6BDAF9EC">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2</w:t>
            </w:r>
          </w:p>
        </w:tc>
      </w:tr>
      <w:tr w14:paraId="32094A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vAlign w:val="center"/>
          </w:tcPr>
          <w:p w14:paraId="4678F3C8">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p>
        </w:tc>
        <w:tc>
          <w:tcPr>
            <w:tcW w:w="727" w:type="dxa"/>
            <w:vMerge w:val="continue"/>
            <w:shd w:val="clear" w:color="auto" w:fill="auto"/>
            <w:vAlign w:val="center"/>
          </w:tcPr>
          <w:p w14:paraId="292D2AF5">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p>
        </w:tc>
        <w:tc>
          <w:tcPr>
            <w:tcW w:w="820" w:type="dxa"/>
            <w:shd w:val="clear" w:color="auto" w:fill="auto"/>
            <w:vAlign w:val="center"/>
          </w:tcPr>
          <w:p w14:paraId="54E7B51D">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资金分配合理性</w:t>
            </w:r>
          </w:p>
        </w:tc>
        <w:tc>
          <w:tcPr>
            <w:tcW w:w="2141" w:type="dxa"/>
            <w:shd w:val="clear" w:color="auto" w:fill="auto"/>
            <w:vAlign w:val="center"/>
          </w:tcPr>
          <w:p w14:paraId="581BF253">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vAlign w:val="center"/>
          </w:tcPr>
          <w:p w14:paraId="432C3D5C">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评价要点：</w:t>
            </w:r>
          </w:p>
          <w:p w14:paraId="133AB8C8">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①预算资金分配依据是否充分；</w:t>
            </w:r>
          </w:p>
          <w:p w14:paraId="4ECF99A3">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②资金分配额度是否合理，与项目单位或地方实际是否相适应。</w:t>
            </w:r>
          </w:p>
        </w:tc>
        <w:tc>
          <w:tcPr>
            <w:tcW w:w="785" w:type="dxa"/>
            <w:shd w:val="clear" w:color="auto" w:fill="auto"/>
            <w:vAlign w:val="center"/>
          </w:tcPr>
          <w:p w14:paraId="0D45D8E9">
            <w:pPr>
              <w:keepNext w:val="0"/>
              <w:keepLines w:val="0"/>
              <w:pageBreakBefore w:val="0"/>
              <w:widowControl/>
              <w:kinsoku/>
              <w:wordWrap/>
              <w:overflowPunct/>
              <w:topLinePunct w:val="0"/>
              <w:autoSpaceDE/>
              <w:autoSpaceDN/>
              <w:bidi w:val="0"/>
              <w:adjustRightInd/>
              <w:snapToGrid w:val="0"/>
              <w:spacing w:line="360" w:lineRule="exact"/>
              <w:ind w:firstLine="0" w:firstLineChars="0"/>
              <w:jc w:val="center"/>
              <w:textAlignment w:val="auto"/>
              <w:rPr>
                <w:rFonts w:hint="eastAsia"/>
                <w:color w:val="auto"/>
                <w:kern w:val="0"/>
                <w:sz w:val="20"/>
                <w:szCs w:val="20"/>
              </w:rPr>
            </w:pPr>
            <w:r>
              <w:rPr>
                <w:rFonts w:hint="eastAsia"/>
                <w:color w:val="auto"/>
                <w:kern w:val="0"/>
                <w:sz w:val="20"/>
                <w:szCs w:val="20"/>
              </w:rPr>
              <w:t>3</w:t>
            </w:r>
          </w:p>
        </w:tc>
        <w:tc>
          <w:tcPr>
            <w:tcW w:w="769" w:type="dxa"/>
            <w:shd w:val="clear" w:color="auto" w:fill="auto"/>
            <w:vAlign w:val="center"/>
          </w:tcPr>
          <w:p w14:paraId="4B9F1C30">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3</w:t>
            </w:r>
          </w:p>
        </w:tc>
      </w:tr>
      <w:tr w14:paraId="77521E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vAlign w:val="center"/>
          </w:tcPr>
          <w:p w14:paraId="297A4F5C">
            <w:pPr>
              <w:keepNext w:val="0"/>
              <w:keepLines w:val="0"/>
              <w:pageBreakBefore w:val="0"/>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过程</w:t>
            </w:r>
          </w:p>
        </w:tc>
        <w:tc>
          <w:tcPr>
            <w:tcW w:w="727" w:type="dxa"/>
            <w:vMerge w:val="restart"/>
            <w:shd w:val="clear" w:color="auto" w:fill="auto"/>
            <w:vAlign w:val="center"/>
          </w:tcPr>
          <w:p w14:paraId="544342A1">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资金管理</w:t>
            </w:r>
          </w:p>
        </w:tc>
        <w:tc>
          <w:tcPr>
            <w:tcW w:w="820" w:type="dxa"/>
            <w:shd w:val="clear" w:color="auto" w:fill="auto"/>
            <w:vAlign w:val="center"/>
          </w:tcPr>
          <w:p w14:paraId="335FFBE5">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资金到位率</w:t>
            </w:r>
          </w:p>
        </w:tc>
        <w:tc>
          <w:tcPr>
            <w:tcW w:w="2141" w:type="dxa"/>
            <w:shd w:val="clear" w:color="auto" w:fill="auto"/>
            <w:vAlign w:val="center"/>
          </w:tcPr>
          <w:p w14:paraId="044F5F21">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实际到位资金与预算资金的比率，用以反映和考核资金落实情况对项目实施的总体保障程度。</w:t>
            </w:r>
          </w:p>
        </w:tc>
        <w:tc>
          <w:tcPr>
            <w:tcW w:w="7821" w:type="dxa"/>
            <w:shd w:val="clear" w:color="auto" w:fill="auto"/>
            <w:vAlign w:val="center"/>
          </w:tcPr>
          <w:p w14:paraId="74012DC8">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资金到位率=（</w:t>
            </w:r>
          </w:p>
          <w:p w14:paraId="6C4645B8">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实际到位资金/预算资金）×100%。</w:t>
            </w:r>
          </w:p>
          <w:p w14:paraId="5EED8B9E">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实际到位资金：一定时期（本年度或项目期）内落实到具体项目的资金。</w:t>
            </w:r>
          </w:p>
          <w:p w14:paraId="5A121C44">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预算资金：一定时期（本年度或项目期）内预算安排到具体项目的资金。</w:t>
            </w:r>
          </w:p>
        </w:tc>
        <w:tc>
          <w:tcPr>
            <w:tcW w:w="785" w:type="dxa"/>
            <w:shd w:val="clear" w:color="auto" w:fill="auto"/>
            <w:vAlign w:val="center"/>
          </w:tcPr>
          <w:p w14:paraId="03D33DD0">
            <w:pPr>
              <w:keepNext w:val="0"/>
              <w:keepLines w:val="0"/>
              <w:pageBreakBefore w:val="0"/>
              <w:widowControl/>
              <w:kinsoku/>
              <w:wordWrap/>
              <w:overflowPunct/>
              <w:topLinePunct w:val="0"/>
              <w:autoSpaceDE/>
              <w:autoSpaceDN/>
              <w:bidi w:val="0"/>
              <w:adjustRightInd/>
              <w:snapToGrid w:val="0"/>
              <w:spacing w:line="360" w:lineRule="exact"/>
              <w:ind w:firstLine="0" w:firstLineChars="0"/>
              <w:jc w:val="center"/>
              <w:textAlignment w:val="auto"/>
              <w:rPr>
                <w:rFonts w:hint="eastAsia"/>
                <w:color w:val="auto"/>
                <w:kern w:val="0"/>
                <w:sz w:val="20"/>
                <w:szCs w:val="20"/>
              </w:rPr>
            </w:pPr>
            <w:r>
              <w:rPr>
                <w:rFonts w:hint="eastAsia"/>
                <w:color w:val="auto"/>
                <w:kern w:val="0"/>
                <w:sz w:val="20"/>
                <w:szCs w:val="20"/>
              </w:rPr>
              <w:t>4</w:t>
            </w:r>
          </w:p>
        </w:tc>
        <w:tc>
          <w:tcPr>
            <w:tcW w:w="769" w:type="dxa"/>
            <w:shd w:val="clear" w:color="auto" w:fill="auto"/>
            <w:vAlign w:val="center"/>
          </w:tcPr>
          <w:p w14:paraId="59F7179F">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4</w:t>
            </w:r>
          </w:p>
        </w:tc>
      </w:tr>
      <w:tr w14:paraId="504F13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vAlign w:val="center"/>
          </w:tcPr>
          <w:p w14:paraId="246547FC">
            <w:pPr>
              <w:keepNext w:val="0"/>
              <w:keepLines w:val="0"/>
              <w:pageBreakBefore w:val="0"/>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p>
        </w:tc>
        <w:tc>
          <w:tcPr>
            <w:tcW w:w="727" w:type="dxa"/>
            <w:vMerge w:val="continue"/>
            <w:shd w:val="clear" w:color="auto" w:fill="auto"/>
            <w:vAlign w:val="center"/>
          </w:tcPr>
          <w:p w14:paraId="5C875E0B">
            <w:pPr>
              <w:keepNext w:val="0"/>
              <w:keepLines w:val="0"/>
              <w:pageBreakBefore w:val="0"/>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p>
        </w:tc>
        <w:tc>
          <w:tcPr>
            <w:tcW w:w="820" w:type="dxa"/>
            <w:shd w:val="clear" w:color="auto" w:fill="auto"/>
            <w:vAlign w:val="center"/>
          </w:tcPr>
          <w:p w14:paraId="502FC17C">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预算执行率</w:t>
            </w:r>
          </w:p>
        </w:tc>
        <w:tc>
          <w:tcPr>
            <w:tcW w:w="2141" w:type="dxa"/>
            <w:shd w:val="clear" w:color="auto" w:fill="auto"/>
            <w:vAlign w:val="center"/>
          </w:tcPr>
          <w:p w14:paraId="531E84B1">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项目预算资金是否按照计划执行，用以反映或考核项目预算执行情况。</w:t>
            </w:r>
          </w:p>
        </w:tc>
        <w:tc>
          <w:tcPr>
            <w:tcW w:w="7821" w:type="dxa"/>
            <w:shd w:val="clear" w:color="auto" w:fill="auto"/>
            <w:vAlign w:val="center"/>
          </w:tcPr>
          <w:p w14:paraId="54D5618D">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预算执行率=（实际支出资金/实际到位资金）×100%。</w:t>
            </w:r>
          </w:p>
          <w:p w14:paraId="190C439A">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实际支出资金：一定时期（本年度或项目期）内项目实际拨付的资金。</w:t>
            </w:r>
          </w:p>
        </w:tc>
        <w:tc>
          <w:tcPr>
            <w:tcW w:w="785" w:type="dxa"/>
            <w:shd w:val="clear" w:color="auto" w:fill="auto"/>
            <w:vAlign w:val="center"/>
          </w:tcPr>
          <w:p w14:paraId="068A3B92">
            <w:pPr>
              <w:keepNext w:val="0"/>
              <w:keepLines w:val="0"/>
              <w:pageBreakBefore w:val="0"/>
              <w:widowControl/>
              <w:kinsoku/>
              <w:wordWrap/>
              <w:overflowPunct/>
              <w:topLinePunct w:val="0"/>
              <w:autoSpaceDE/>
              <w:autoSpaceDN/>
              <w:bidi w:val="0"/>
              <w:adjustRightInd/>
              <w:snapToGrid w:val="0"/>
              <w:spacing w:line="360" w:lineRule="exact"/>
              <w:ind w:firstLine="0" w:firstLineChars="0"/>
              <w:jc w:val="center"/>
              <w:textAlignment w:val="auto"/>
              <w:rPr>
                <w:rFonts w:hint="eastAsia"/>
                <w:color w:val="auto"/>
                <w:kern w:val="0"/>
                <w:sz w:val="20"/>
                <w:szCs w:val="20"/>
              </w:rPr>
            </w:pPr>
            <w:r>
              <w:rPr>
                <w:rFonts w:hint="eastAsia"/>
                <w:color w:val="auto"/>
                <w:kern w:val="0"/>
                <w:sz w:val="20"/>
                <w:szCs w:val="20"/>
              </w:rPr>
              <w:t>4</w:t>
            </w:r>
          </w:p>
        </w:tc>
        <w:tc>
          <w:tcPr>
            <w:tcW w:w="769" w:type="dxa"/>
            <w:shd w:val="clear" w:color="auto" w:fill="auto"/>
            <w:vAlign w:val="center"/>
          </w:tcPr>
          <w:p w14:paraId="001C149A">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4</w:t>
            </w:r>
          </w:p>
        </w:tc>
      </w:tr>
      <w:tr w14:paraId="6FEA85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vAlign w:val="center"/>
          </w:tcPr>
          <w:p w14:paraId="049E1297">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　</w:t>
            </w:r>
          </w:p>
          <w:p w14:paraId="3F3BE9CC">
            <w:pPr>
              <w:keepNext w:val="0"/>
              <w:keepLines w:val="0"/>
              <w:pageBreakBefore w:val="0"/>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过程　</w:t>
            </w:r>
          </w:p>
        </w:tc>
        <w:tc>
          <w:tcPr>
            <w:tcW w:w="727" w:type="dxa"/>
            <w:shd w:val="clear" w:color="auto" w:fill="auto"/>
            <w:vAlign w:val="center"/>
          </w:tcPr>
          <w:p w14:paraId="788500C3">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资金管理</w:t>
            </w:r>
          </w:p>
        </w:tc>
        <w:tc>
          <w:tcPr>
            <w:tcW w:w="820" w:type="dxa"/>
            <w:shd w:val="clear" w:color="auto" w:fill="auto"/>
            <w:vAlign w:val="center"/>
          </w:tcPr>
          <w:p w14:paraId="217B27E3">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资金使用</w:t>
            </w:r>
          </w:p>
          <w:p w14:paraId="0CB5EA70">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合规性</w:t>
            </w:r>
          </w:p>
        </w:tc>
        <w:tc>
          <w:tcPr>
            <w:tcW w:w="2141" w:type="dxa"/>
            <w:shd w:val="clear" w:color="auto" w:fill="auto"/>
            <w:vAlign w:val="center"/>
          </w:tcPr>
          <w:p w14:paraId="39EF7C4A">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项目资金使用是否符合相关的财务管理制度规定，用以反映和考核项目资金的规范运行情况。</w:t>
            </w:r>
          </w:p>
        </w:tc>
        <w:tc>
          <w:tcPr>
            <w:tcW w:w="7821" w:type="dxa"/>
            <w:shd w:val="clear" w:color="auto" w:fill="auto"/>
            <w:vAlign w:val="center"/>
          </w:tcPr>
          <w:p w14:paraId="3380062A">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评价要点：</w:t>
            </w:r>
          </w:p>
          <w:p w14:paraId="51794695">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①是否符合国家财经法规和财务管理制度以及有关专项资金管理办法的规定；</w:t>
            </w:r>
          </w:p>
          <w:p w14:paraId="3495AD5A">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②资金的拨付是否有完整的审批程序和手续；</w:t>
            </w:r>
          </w:p>
          <w:p w14:paraId="6D282CC2">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③是否符合项目预算批复或合同规定的用途；</w:t>
            </w:r>
          </w:p>
          <w:p w14:paraId="394A113A">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④是否存在截留、挤占、挪用、虚列支出等情况。</w:t>
            </w:r>
          </w:p>
        </w:tc>
        <w:tc>
          <w:tcPr>
            <w:tcW w:w="785" w:type="dxa"/>
            <w:shd w:val="clear" w:color="auto" w:fill="auto"/>
            <w:vAlign w:val="center"/>
          </w:tcPr>
          <w:p w14:paraId="6983B68F">
            <w:pPr>
              <w:keepNext w:val="0"/>
              <w:keepLines w:val="0"/>
              <w:pageBreakBefore w:val="0"/>
              <w:widowControl/>
              <w:kinsoku/>
              <w:wordWrap/>
              <w:overflowPunct/>
              <w:topLinePunct w:val="0"/>
              <w:autoSpaceDE/>
              <w:autoSpaceDN/>
              <w:bidi w:val="0"/>
              <w:adjustRightInd/>
              <w:snapToGrid w:val="0"/>
              <w:spacing w:line="360" w:lineRule="exact"/>
              <w:ind w:firstLine="0" w:firstLineChars="0"/>
              <w:jc w:val="center"/>
              <w:textAlignment w:val="auto"/>
              <w:rPr>
                <w:rFonts w:hint="eastAsia"/>
                <w:color w:val="auto"/>
                <w:kern w:val="0"/>
                <w:sz w:val="20"/>
                <w:szCs w:val="20"/>
              </w:rPr>
            </w:pPr>
            <w:r>
              <w:rPr>
                <w:rFonts w:hint="eastAsia"/>
                <w:color w:val="auto"/>
                <w:kern w:val="0"/>
                <w:sz w:val="20"/>
                <w:szCs w:val="20"/>
              </w:rPr>
              <w:t>4</w:t>
            </w:r>
          </w:p>
        </w:tc>
        <w:tc>
          <w:tcPr>
            <w:tcW w:w="769" w:type="dxa"/>
            <w:shd w:val="clear" w:color="auto" w:fill="auto"/>
            <w:vAlign w:val="center"/>
          </w:tcPr>
          <w:p w14:paraId="7CFF79A4">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4</w:t>
            </w:r>
          </w:p>
        </w:tc>
      </w:tr>
      <w:tr w14:paraId="42CDE5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vAlign w:val="center"/>
          </w:tcPr>
          <w:p w14:paraId="131B3794">
            <w:pPr>
              <w:keepNext w:val="0"/>
              <w:keepLines w:val="0"/>
              <w:pageBreakBefore w:val="0"/>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p>
        </w:tc>
        <w:tc>
          <w:tcPr>
            <w:tcW w:w="727" w:type="dxa"/>
            <w:vMerge w:val="restart"/>
            <w:shd w:val="clear" w:color="auto" w:fill="auto"/>
            <w:vAlign w:val="center"/>
          </w:tcPr>
          <w:p w14:paraId="162FEE3A">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组织实施</w:t>
            </w:r>
          </w:p>
          <w:p w14:paraId="47D2E928">
            <w:pPr>
              <w:keepNext w:val="0"/>
              <w:keepLines w:val="0"/>
              <w:pageBreakBefore w:val="0"/>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　</w:t>
            </w:r>
          </w:p>
        </w:tc>
        <w:tc>
          <w:tcPr>
            <w:tcW w:w="820" w:type="dxa"/>
            <w:shd w:val="clear" w:color="auto" w:fill="auto"/>
            <w:vAlign w:val="center"/>
          </w:tcPr>
          <w:p w14:paraId="01478551">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管理制度</w:t>
            </w:r>
          </w:p>
          <w:p w14:paraId="2FD2297A">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健全性</w:t>
            </w:r>
          </w:p>
        </w:tc>
        <w:tc>
          <w:tcPr>
            <w:tcW w:w="2141" w:type="dxa"/>
            <w:shd w:val="clear" w:color="auto" w:fill="auto"/>
            <w:vAlign w:val="center"/>
          </w:tcPr>
          <w:p w14:paraId="2C8DF7E0">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项目实施单位的财务和业务管理制度是否健全，用以反映和考核财务和业务管理制度对项目顺利实施的保障情况。</w:t>
            </w:r>
          </w:p>
        </w:tc>
        <w:tc>
          <w:tcPr>
            <w:tcW w:w="7821" w:type="dxa"/>
            <w:shd w:val="clear" w:color="auto" w:fill="auto"/>
            <w:vAlign w:val="center"/>
          </w:tcPr>
          <w:p w14:paraId="5D6B2773">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评价要点：</w:t>
            </w:r>
          </w:p>
          <w:p w14:paraId="72D54B84">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①是否已制定或具有相应的财务和业务管理制度；</w:t>
            </w:r>
          </w:p>
          <w:p w14:paraId="7BBEFC4A">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②财务和业务管理制度是否合法、合规、完整。</w:t>
            </w:r>
          </w:p>
        </w:tc>
        <w:tc>
          <w:tcPr>
            <w:tcW w:w="785" w:type="dxa"/>
            <w:shd w:val="clear" w:color="auto" w:fill="auto"/>
            <w:vAlign w:val="center"/>
          </w:tcPr>
          <w:p w14:paraId="68E18E1A">
            <w:pPr>
              <w:keepNext w:val="0"/>
              <w:keepLines w:val="0"/>
              <w:pageBreakBefore w:val="0"/>
              <w:widowControl/>
              <w:kinsoku/>
              <w:wordWrap/>
              <w:overflowPunct/>
              <w:topLinePunct w:val="0"/>
              <w:autoSpaceDE/>
              <w:autoSpaceDN/>
              <w:bidi w:val="0"/>
              <w:adjustRightInd/>
              <w:snapToGrid w:val="0"/>
              <w:spacing w:line="360" w:lineRule="exact"/>
              <w:ind w:firstLine="0" w:firstLineChars="0"/>
              <w:jc w:val="center"/>
              <w:textAlignment w:val="auto"/>
              <w:rPr>
                <w:rFonts w:hint="eastAsia"/>
                <w:color w:val="auto"/>
                <w:kern w:val="0"/>
                <w:sz w:val="20"/>
                <w:szCs w:val="20"/>
              </w:rPr>
            </w:pPr>
            <w:r>
              <w:rPr>
                <w:rFonts w:hint="eastAsia"/>
                <w:color w:val="auto"/>
                <w:kern w:val="0"/>
                <w:sz w:val="20"/>
                <w:szCs w:val="20"/>
              </w:rPr>
              <w:t>4</w:t>
            </w:r>
          </w:p>
        </w:tc>
        <w:tc>
          <w:tcPr>
            <w:tcW w:w="769" w:type="dxa"/>
            <w:shd w:val="clear" w:color="auto" w:fill="auto"/>
            <w:vAlign w:val="center"/>
          </w:tcPr>
          <w:p w14:paraId="301578F4">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4</w:t>
            </w:r>
          </w:p>
        </w:tc>
      </w:tr>
      <w:tr w14:paraId="11071F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vAlign w:val="center"/>
          </w:tcPr>
          <w:p w14:paraId="6FEF4C25">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p>
        </w:tc>
        <w:tc>
          <w:tcPr>
            <w:tcW w:w="727" w:type="dxa"/>
            <w:vMerge w:val="continue"/>
            <w:shd w:val="clear" w:color="auto" w:fill="auto"/>
            <w:vAlign w:val="center"/>
          </w:tcPr>
          <w:p w14:paraId="4A490E8B">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p>
        </w:tc>
        <w:tc>
          <w:tcPr>
            <w:tcW w:w="820" w:type="dxa"/>
            <w:shd w:val="clear" w:color="auto" w:fill="auto"/>
            <w:vAlign w:val="center"/>
          </w:tcPr>
          <w:p w14:paraId="6FBFC1EF">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制度执行</w:t>
            </w:r>
          </w:p>
          <w:p w14:paraId="2A7FED0E">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有效性</w:t>
            </w:r>
          </w:p>
        </w:tc>
        <w:tc>
          <w:tcPr>
            <w:tcW w:w="2141" w:type="dxa"/>
            <w:shd w:val="clear" w:color="auto" w:fill="auto"/>
            <w:vAlign w:val="center"/>
          </w:tcPr>
          <w:p w14:paraId="08B5F60D">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项目实施是否符合相关管理规定，用以反映和考核相关管理制度的有效执行情况。</w:t>
            </w:r>
          </w:p>
        </w:tc>
        <w:tc>
          <w:tcPr>
            <w:tcW w:w="7821" w:type="dxa"/>
            <w:shd w:val="clear" w:color="auto" w:fill="auto"/>
            <w:vAlign w:val="center"/>
          </w:tcPr>
          <w:p w14:paraId="47ACFA88">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评价要点：</w:t>
            </w:r>
          </w:p>
          <w:p w14:paraId="52141AE2">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①是否遵守相关法律法规和相关管理规定；</w:t>
            </w:r>
          </w:p>
          <w:p w14:paraId="68582405">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②项目调整及支出调整手续是否完备；</w:t>
            </w:r>
          </w:p>
          <w:p w14:paraId="186ABE71">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③项目合同书、验收报告、技术鉴定等资料是否齐全并及时归档；</w:t>
            </w:r>
          </w:p>
          <w:p w14:paraId="5218BABC">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r>
              <w:rPr>
                <w:rFonts w:hint="eastAsia"/>
                <w:color w:val="auto"/>
                <w:kern w:val="0"/>
                <w:sz w:val="22"/>
                <w:szCs w:val="22"/>
              </w:rPr>
              <w:t>④项目实施的人员条件、场地设备、信息支撑等是否落实到位。</w:t>
            </w:r>
          </w:p>
        </w:tc>
        <w:tc>
          <w:tcPr>
            <w:tcW w:w="785" w:type="dxa"/>
            <w:shd w:val="clear" w:color="auto" w:fill="auto"/>
            <w:vAlign w:val="center"/>
          </w:tcPr>
          <w:p w14:paraId="19C0954B">
            <w:pPr>
              <w:keepNext w:val="0"/>
              <w:keepLines w:val="0"/>
              <w:pageBreakBefore w:val="0"/>
              <w:widowControl/>
              <w:kinsoku/>
              <w:wordWrap/>
              <w:overflowPunct/>
              <w:topLinePunct w:val="0"/>
              <w:autoSpaceDE/>
              <w:autoSpaceDN/>
              <w:bidi w:val="0"/>
              <w:adjustRightInd/>
              <w:snapToGrid w:val="0"/>
              <w:spacing w:line="360" w:lineRule="exact"/>
              <w:ind w:firstLine="0" w:firstLineChars="0"/>
              <w:jc w:val="center"/>
              <w:textAlignment w:val="auto"/>
              <w:rPr>
                <w:rFonts w:hint="eastAsia"/>
                <w:color w:val="auto"/>
                <w:kern w:val="0"/>
                <w:sz w:val="20"/>
                <w:szCs w:val="20"/>
              </w:rPr>
            </w:pPr>
            <w:r>
              <w:rPr>
                <w:rFonts w:hint="eastAsia"/>
                <w:color w:val="auto"/>
                <w:kern w:val="0"/>
                <w:sz w:val="20"/>
                <w:szCs w:val="20"/>
              </w:rPr>
              <w:t>4</w:t>
            </w:r>
          </w:p>
        </w:tc>
        <w:tc>
          <w:tcPr>
            <w:tcW w:w="769" w:type="dxa"/>
            <w:shd w:val="clear" w:color="auto" w:fill="auto"/>
            <w:vAlign w:val="center"/>
          </w:tcPr>
          <w:p w14:paraId="0C2C0D4E">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4</w:t>
            </w:r>
          </w:p>
        </w:tc>
      </w:tr>
      <w:tr w14:paraId="6AEC60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vMerge w:val="restart"/>
            <w:shd w:val="clear" w:color="auto" w:fill="auto"/>
            <w:vAlign w:val="center"/>
          </w:tcPr>
          <w:p w14:paraId="5950A494">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r>
              <w:rPr>
                <w:rFonts w:hint="eastAsia"/>
                <w:color w:val="auto"/>
                <w:kern w:val="0"/>
                <w:sz w:val="22"/>
                <w:szCs w:val="22"/>
                <w:highlight w:val="none"/>
              </w:rPr>
              <w:t>产出</w:t>
            </w:r>
          </w:p>
          <w:p w14:paraId="3FA53DB3">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p>
          <w:p w14:paraId="0E5B4C76">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p>
        </w:tc>
        <w:tc>
          <w:tcPr>
            <w:tcW w:w="727" w:type="dxa"/>
            <w:shd w:val="clear" w:color="auto" w:fill="auto"/>
            <w:vAlign w:val="center"/>
          </w:tcPr>
          <w:p w14:paraId="05C6A041">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r>
              <w:rPr>
                <w:rFonts w:hint="eastAsia"/>
                <w:color w:val="auto"/>
                <w:kern w:val="0"/>
                <w:sz w:val="22"/>
                <w:szCs w:val="22"/>
                <w:highlight w:val="none"/>
              </w:rPr>
              <w:t>产出数量</w:t>
            </w:r>
          </w:p>
        </w:tc>
        <w:tc>
          <w:tcPr>
            <w:tcW w:w="820" w:type="dxa"/>
            <w:shd w:val="clear" w:color="auto" w:fill="auto"/>
            <w:vAlign w:val="center"/>
          </w:tcPr>
          <w:p w14:paraId="2FFE92F7">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r>
              <w:rPr>
                <w:rFonts w:hint="eastAsia"/>
                <w:color w:val="auto"/>
                <w:kern w:val="0"/>
                <w:sz w:val="22"/>
                <w:szCs w:val="22"/>
                <w:highlight w:val="none"/>
              </w:rPr>
              <w:t>全民健康体检人数</w:t>
            </w:r>
          </w:p>
        </w:tc>
        <w:tc>
          <w:tcPr>
            <w:tcW w:w="2141" w:type="dxa"/>
            <w:shd w:val="clear" w:color="auto" w:fill="auto"/>
            <w:vAlign w:val="center"/>
          </w:tcPr>
          <w:p w14:paraId="5458CDCB">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项目实施的实际产出数与计划产出数的比率，用以反映和考核项目产出数量目标的实现程度。</w:t>
            </w:r>
          </w:p>
        </w:tc>
        <w:tc>
          <w:tcPr>
            <w:tcW w:w="7821" w:type="dxa"/>
            <w:shd w:val="clear" w:color="auto" w:fill="auto"/>
            <w:vAlign w:val="center"/>
          </w:tcPr>
          <w:p w14:paraId="6DDBCA32">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实际完成率=（实际产出数/计划产出数）×100%。</w:t>
            </w:r>
          </w:p>
          <w:p w14:paraId="23E8DE1F">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实际产出数：一定时期（本年度或项目期）内项目实际产出的产品或提供的服务数量。</w:t>
            </w:r>
          </w:p>
          <w:p w14:paraId="379E0BC7">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vAlign w:val="center"/>
          </w:tcPr>
          <w:p w14:paraId="453693D4">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4</w:t>
            </w:r>
          </w:p>
        </w:tc>
        <w:tc>
          <w:tcPr>
            <w:tcW w:w="769" w:type="dxa"/>
            <w:shd w:val="clear" w:color="auto" w:fill="auto"/>
            <w:vAlign w:val="center"/>
          </w:tcPr>
          <w:p w14:paraId="59D2113E">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2.48</w:t>
            </w:r>
          </w:p>
        </w:tc>
      </w:tr>
      <w:tr w14:paraId="011B4A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vMerge w:val="continue"/>
            <w:shd w:val="clear" w:color="auto" w:fill="auto"/>
            <w:vAlign w:val="center"/>
          </w:tcPr>
          <w:p w14:paraId="0941B435">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p>
        </w:tc>
        <w:tc>
          <w:tcPr>
            <w:tcW w:w="727" w:type="dxa"/>
            <w:shd w:val="clear" w:color="auto" w:fill="auto"/>
            <w:vAlign w:val="center"/>
          </w:tcPr>
          <w:p w14:paraId="38AB0FC6">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r>
              <w:rPr>
                <w:rFonts w:hint="eastAsia"/>
                <w:color w:val="auto"/>
                <w:kern w:val="0"/>
                <w:sz w:val="22"/>
                <w:szCs w:val="22"/>
                <w:highlight w:val="none"/>
              </w:rPr>
              <w:t>产出数量</w:t>
            </w:r>
          </w:p>
        </w:tc>
        <w:tc>
          <w:tcPr>
            <w:tcW w:w="820" w:type="dxa"/>
            <w:shd w:val="clear" w:color="auto" w:fill="auto"/>
            <w:vAlign w:val="center"/>
          </w:tcPr>
          <w:p w14:paraId="1588F374">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r>
              <w:rPr>
                <w:rFonts w:hint="eastAsia"/>
                <w:color w:val="auto"/>
                <w:kern w:val="0"/>
                <w:sz w:val="22"/>
                <w:szCs w:val="22"/>
                <w:highlight w:val="none"/>
              </w:rPr>
              <w:t>系统录入人次</w:t>
            </w:r>
          </w:p>
        </w:tc>
        <w:tc>
          <w:tcPr>
            <w:tcW w:w="2141" w:type="dxa"/>
            <w:shd w:val="clear" w:color="auto" w:fill="auto"/>
            <w:vAlign w:val="center"/>
          </w:tcPr>
          <w:p w14:paraId="41F0586C">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项目实施的实际产出数与计划产出数的比率，用以反映和考核项目产出数量目标的实现程度。</w:t>
            </w:r>
          </w:p>
        </w:tc>
        <w:tc>
          <w:tcPr>
            <w:tcW w:w="7821" w:type="dxa"/>
            <w:shd w:val="clear" w:color="auto" w:fill="auto"/>
            <w:vAlign w:val="center"/>
          </w:tcPr>
          <w:p w14:paraId="3C7CF250">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实际完成率=（实际产出数/计划产出数）×100%。</w:t>
            </w:r>
          </w:p>
          <w:p w14:paraId="2068C10E">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实际产出数：一定时期（本年度或项目期）内项目实际产出的产品或提供的服务数量。</w:t>
            </w:r>
          </w:p>
          <w:p w14:paraId="6DC2EF54">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vAlign w:val="center"/>
          </w:tcPr>
          <w:p w14:paraId="6A646106">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4</w:t>
            </w:r>
          </w:p>
        </w:tc>
        <w:tc>
          <w:tcPr>
            <w:tcW w:w="769" w:type="dxa"/>
            <w:shd w:val="clear" w:color="auto" w:fill="auto"/>
            <w:vAlign w:val="center"/>
          </w:tcPr>
          <w:p w14:paraId="27EB1898">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2.48</w:t>
            </w:r>
          </w:p>
        </w:tc>
      </w:tr>
      <w:tr w14:paraId="6ED3E8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vMerge w:val="continue"/>
            <w:shd w:val="clear" w:color="auto" w:fill="auto"/>
            <w:vAlign w:val="center"/>
          </w:tcPr>
          <w:p w14:paraId="0F151E91">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p>
        </w:tc>
        <w:tc>
          <w:tcPr>
            <w:tcW w:w="727" w:type="dxa"/>
            <w:shd w:val="clear" w:color="auto" w:fill="auto"/>
            <w:vAlign w:val="center"/>
          </w:tcPr>
          <w:p w14:paraId="38425F51">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r>
              <w:rPr>
                <w:rFonts w:hint="eastAsia"/>
                <w:color w:val="auto"/>
                <w:kern w:val="0"/>
                <w:sz w:val="22"/>
                <w:szCs w:val="22"/>
                <w:highlight w:val="none"/>
              </w:rPr>
              <w:t>产出数量</w:t>
            </w:r>
          </w:p>
        </w:tc>
        <w:tc>
          <w:tcPr>
            <w:tcW w:w="820" w:type="dxa"/>
            <w:shd w:val="clear" w:color="auto" w:fill="auto"/>
            <w:vAlign w:val="center"/>
          </w:tcPr>
          <w:p w14:paraId="654F8612">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r>
              <w:rPr>
                <w:rFonts w:hint="eastAsia"/>
                <w:color w:val="auto"/>
                <w:kern w:val="0"/>
                <w:sz w:val="22"/>
                <w:szCs w:val="22"/>
                <w:highlight w:val="none"/>
              </w:rPr>
              <w:t>胸部X线完成人次</w:t>
            </w:r>
          </w:p>
        </w:tc>
        <w:tc>
          <w:tcPr>
            <w:tcW w:w="2141" w:type="dxa"/>
            <w:shd w:val="clear" w:color="auto" w:fill="auto"/>
            <w:vAlign w:val="center"/>
          </w:tcPr>
          <w:p w14:paraId="36D74864">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项目实施的实际产出数与计划产出数的比率，用以反映和考核项目产出数量目标的实现程度。</w:t>
            </w:r>
          </w:p>
        </w:tc>
        <w:tc>
          <w:tcPr>
            <w:tcW w:w="7821" w:type="dxa"/>
            <w:shd w:val="clear" w:color="auto" w:fill="auto"/>
            <w:vAlign w:val="center"/>
          </w:tcPr>
          <w:p w14:paraId="7C00F4B9">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实际完成率=（实际产出数/计划产出数）×100%。</w:t>
            </w:r>
          </w:p>
          <w:p w14:paraId="4BB95996">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实际产出数：一定时期（本年度或项目期）内项目实际产出的产品或提供的服务数量。</w:t>
            </w:r>
          </w:p>
          <w:p w14:paraId="20AEBD6A">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vAlign w:val="center"/>
          </w:tcPr>
          <w:p w14:paraId="6AA550E4">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4</w:t>
            </w:r>
          </w:p>
        </w:tc>
        <w:tc>
          <w:tcPr>
            <w:tcW w:w="769" w:type="dxa"/>
            <w:shd w:val="clear" w:color="auto" w:fill="auto"/>
            <w:vAlign w:val="center"/>
          </w:tcPr>
          <w:p w14:paraId="631D1C4F">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2.48</w:t>
            </w:r>
          </w:p>
        </w:tc>
      </w:tr>
      <w:tr w14:paraId="0A3C39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continue"/>
            <w:shd w:val="clear" w:color="auto" w:fill="auto"/>
            <w:vAlign w:val="center"/>
          </w:tcPr>
          <w:p w14:paraId="528F36FB">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p>
        </w:tc>
        <w:tc>
          <w:tcPr>
            <w:tcW w:w="727" w:type="dxa"/>
            <w:vMerge w:val="restart"/>
            <w:shd w:val="clear" w:color="auto" w:fill="auto"/>
            <w:vAlign w:val="center"/>
          </w:tcPr>
          <w:p w14:paraId="5B3D2FB2">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r>
              <w:rPr>
                <w:rFonts w:hint="eastAsia"/>
                <w:color w:val="auto"/>
                <w:kern w:val="0"/>
                <w:sz w:val="22"/>
                <w:szCs w:val="22"/>
                <w:highlight w:val="none"/>
              </w:rPr>
              <w:t>产出质量</w:t>
            </w:r>
          </w:p>
        </w:tc>
        <w:tc>
          <w:tcPr>
            <w:tcW w:w="820" w:type="dxa"/>
            <w:shd w:val="clear" w:color="auto" w:fill="auto"/>
            <w:vAlign w:val="center"/>
          </w:tcPr>
          <w:p w14:paraId="555BAACF">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r>
              <w:rPr>
                <w:rFonts w:hint="eastAsia"/>
                <w:color w:val="auto"/>
                <w:kern w:val="0"/>
                <w:sz w:val="22"/>
                <w:szCs w:val="22"/>
                <w:highlight w:val="none"/>
              </w:rPr>
              <w:t>全民健康体检完成率</w:t>
            </w:r>
          </w:p>
        </w:tc>
        <w:tc>
          <w:tcPr>
            <w:tcW w:w="2141" w:type="dxa"/>
            <w:shd w:val="clear" w:color="auto" w:fill="auto"/>
            <w:vAlign w:val="center"/>
          </w:tcPr>
          <w:p w14:paraId="38B4BDA9">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vAlign w:val="center"/>
          </w:tcPr>
          <w:p w14:paraId="08DCDCE8">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质量达标率=（质量达标产出数/实际产出数）×100%。</w:t>
            </w:r>
          </w:p>
          <w:p w14:paraId="1C1361F6">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vAlign w:val="center"/>
          </w:tcPr>
          <w:p w14:paraId="2EA1DE41">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5</w:t>
            </w:r>
          </w:p>
        </w:tc>
        <w:tc>
          <w:tcPr>
            <w:tcW w:w="769" w:type="dxa"/>
            <w:shd w:val="clear" w:color="auto" w:fill="auto"/>
            <w:vAlign w:val="center"/>
          </w:tcPr>
          <w:p w14:paraId="12D82CD2">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5</w:t>
            </w:r>
          </w:p>
        </w:tc>
      </w:tr>
      <w:tr w14:paraId="44026C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continue"/>
            <w:shd w:val="clear" w:color="auto" w:fill="auto"/>
            <w:vAlign w:val="center"/>
          </w:tcPr>
          <w:p w14:paraId="43779D3A">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p>
        </w:tc>
        <w:tc>
          <w:tcPr>
            <w:tcW w:w="727" w:type="dxa"/>
            <w:vMerge w:val="continue"/>
            <w:shd w:val="clear" w:color="auto" w:fill="auto"/>
            <w:vAlign w:val="center"/>
          </w:tcPr>
          <w:p w14:paraId="5ED781DA">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p>
        </w:tc>
        <w:tc>
          <w:tcPr>
            <w:tcW w:w="820" w:type="dxa"/>
            <w:shd w:val="clear" w:color="auto" w:fill="auto"/>
            <w:vAlign w:val="center"/>
          </w:tcPr>
          <w:p w14:paraId="0C9D627D">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系统录入合格率</w:t>
            </w:r>
          </w:p>
        </w:tc>
        <w:tc>
          <w:tcPr>
            <w:tcW w:w="2141" w:type="dxa"/>
            <w:shd w:val="clear" w:color="auto" w:fill="auto"/>
            <w:vAlign w:val="center"/>
          </w:tcPr>
          <w:p w14:paraId="0CD8042B">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vAlign w:val="center"/>
          </w:tcPr>
          <w:p w14:paraId="5624A648">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质量达标率=（质量达标产出数/实际产出数）×100%。</w:t>
            </w:r>
          </w:p>
          <w:p w14:paraId="570C0EFE">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vAlign w:val="center"/>
          </w:tcPr>
          <w:p w14:paraId="04A80343">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5</w:t>
            </w:r>
          </w:p>
        </w:tc>
        <w:tc>
          <w:tcPr>
            <w:tcW w:w="769" w:type="dxa"/>
            <w:shd w:val="clear" w:color="auto" w:fill="auto"/>
            <w:vAlign w:val="center"/>
          </w:tcPr>
          <w:p w14:paraId="3C91E4C7">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4.44</w:t>
            </w:r>
          </w:p>
        </w:tc>
      </w:tr>
      <w:tr w14:paraId="08DFA6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vAlign w:val="center"/>
          </w:tcPr>
          <w:p w14:paraId="2BF80CAF">
            <w:pPr>
              <w:keepNext w:val="0"/>
              <w:keepLines w:val="0"/>
              <w:pageBreakBefore w:val="0"/>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yellow"/>
              </w:rPr>
            </w:pPr>
          </w:p>
        </w:tc>
        <w:tc>
          <w:tcPr>
            <w:tcW w:w="727" w:type="dxa"/>
            <w:vMerge w:val="restart"/>
            <w:shd w:val="clear" w:color="auto" w:fill="auto"/>
            <w:vAlign w:val="center"/>
          </w:tcPr>
          <w:p w14:paraId="660B66DF">
            <w:pPr>
              <w:keepNext w:val="0"/>
              <w:keepLines w:val="0"/>
              <w:pageBreakBefore w:val="0"/>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r>
              <w:rPr>
                <w:rFonts w:hint="eastAsia"/>
                <w:color w:val="auto"/>
                <w:kern w:val="0"/>
                <w:sz w:val="22"/>
                <w:szCs w:val="22"/>
                <w:highlight w:val="none"/>
              </w:rPr>
              <w:t>产出时效</w:t>
            </w:r>
          </w:p>
        </w:tc>
        <w:tc>
          <w:tcPr>
            <w:tcW w:w="820" w:type="dxa"/>
            <w:shd w:val="clear" w:color="auto" w:fill="auto"/>
            <w:vAlign w:val="center"/>
          </w:tcPr>
          <w:p w14:paraId="5E7655EC">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r>
              <w:rPr>
                <w:rFonts w:hint="eastAsia"/>
                <w:color w:val="auto"/>
                <w:kern w:val="0"/>
                <w:sz w:val="22"/>
                <w:szCs w:val="22"/>
                <w:highlight w:val="none"/>
              </w:rPr>
              <w:t>全民健康体检工作完成及时率</w:t>
            </w:r>
          </w:p>
        </w:tc>
        <w:tc>
          <w:tcPr>
            <w:tcW w:w="2141" w:type="dxa"/>
            <w:shd w:val="clear" w:color="auto" w:fill="auto"/>
            <w:vAlign w:val="center"/>
          </w:tcPr>
          <w:p w14:paraId="7CCB2190">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项目实际完成时间与计划完成时间的比较，用以反映和考核项目产出时效目标的实现程度。</w:t>
            </w:r>
          </w:p>
        </w:tc>
        <w:tc>
          <w:tcPr>
            <w:tcW w:w="7821" w:type="dxa"/>
            <w:shd w:val="clear" w:color="auto" w:fill="auto"/>
            <w:vAlign w:val="center"/>
          </w:tcPr>
          <w:p w14:paraId="17D3818F">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实际完成时间：项目实施单位完成该项目实际所耗用的时间。</w:t>
            </w:r>
          </w:p>
          <w:p w14:paraId="281E0253">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计划完成时间：按照项目实施计划或相关规定完成该项目所需的时间。</w:t>
            </w:r>
          </w:p>
        </w:tc>
        <w:tc>
          <w:tcPr>
            <w:tcW w:w="785" w:type="dxa"/>
            <w:shd w:val="clear" w:color="auto" w:fill="auto"/>
            <w:vAlign w:val="center"/>
          </w:tcPr>
          <w:p w14:paraId="224BE68C">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4</w:t>
            </w:r>
          </w:p>
        </w:tc>
        <w:tc>
          <w:tcPr>
            <w:tcW w:w="769" w:type="dxa"/>
            <w:shd w:val="clear" w:color="auto" w:fill="auto"/>
            <w:vAlign w:val="center"/>
          </w:tcPr>
          <w:p w14:paraId="54D84BC5">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4</w:t>
            </w:r>
          </w:p>
        </w:tc>
      </w:tr>
      <w:tr w14:paraId="3C3772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vAlign w:val="center"/>
          </w:tcPr>
          <w:p w14:paraId="06FA9FE1">
            <w:pPr>
              <w:keepNext w:val="0"/>
              <w:keepLines w:val="0"/>
              <w:pageBreakBefore w:val="0"/>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yellow"/>
              </w:rPr>
            </w:pPr>
          </w:p>
        </w:tc>
        <w:tc>
          <w:tcPr>
            <w:tcW w:w="727" w:type="dxa"/>
            <w:vMerge w:val="continue"/>
            <w:shd w:val="clear" w:color="auto" w:fill="auto"/>
            <w:vAlign w:val="center"/>
          </w:tcPr>
          <w:p w14:paraId="57D4230C">
            <w:pPr>
              <w:keepNext w:val="0"/>
              <w:keepLines w:val="0"/>
              <w:pageBreakBefore w:val="0"/>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p>
        </w:tc>
        <w:tc>
          <w:tcPr>
            <w:tcW w:w="820" w:type="dxa"/>
            <w:shd w:val="clear" w:color="auto" w:fill="auto"/>
            <w:vAlign w:val="center"/>
          </w:tcPr>
          <w:p w14:paraId="005178ED">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r>
              <w:rPr>
                <w:rFonts w:hint="eastAsia"/>
                <w:color w:val="auto"/>
                <w:kern w:val="0"/>
                <w:sz w:val="22"/>
                <w:szCs w:val="22"/>
                <w:highlight w:val="none"/>
              </w:rPr>
              <w:t>全民健康体检完成时限</w:t>
            </w:r>
          </w:p>
        </w:tc>
        <w:tc>
          <w:tcPr>
            <w:tcW w:w="2141" w:type="dxa"/>
            <w:shd w:val="clear" w:color="auto" w:fill="auto"/>
            <w:vAlign w:val="center"/>
          </w:tcPr>
          <w:p w14:paraId="5098CF59">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项目实际完成时间与计划完成时间的比较，用以反映和考核项目产出时效目标的实现程度。</w:t>
            </w:r>
          </w:p>
        </w:tc>
        <w:tc>
          <w:tcPr>
            <w:tcW w:w="7821" w:type="dxa"/>
            <w:shd w:val="clear" w:color="auto" w:fill="auto"/>
            <w:vAlign w:val="center"/>
          </w:tcPr>
          <w:p w14:paraId="11576C78">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实际完成时间：项目实施单位完成该项目实际所耗用的时间。</w:t>
            </w:r>
          </w:p>
          <w:p w14:paraId="61E8DF01">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计划完成时间：按照项目实施计划或相关规定完成该项目所需的时间。</w:t>
            </w:r>
          </w:p>
        </w:tc>
        <w:tc>
          <w:tcPr>
            <w:tcW w:w="785" w:type="dxa"/>
            <w:shd w:val="clear" w:color="auto" w:fill="auto"/>
            <w:vAlign w:val="center"/>
          </w:tcPr>
          <w:p w14:paraId="3DC01808">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4</w:t>
            </w:r>
          </w:p>
        </w:tc>
        <w:tc>
          <w:tcPr>
            <w:tcW w:w="769" w:type="dxa"/>
            <w:shd w:val="clear" w:color="auto" w:fill="auto"/>
            <w:vAlign w:val="center"/>
          </w:tcPr>
          <w:p w14:paraId="0D66CF9D">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4</w:t>
            </w:r>
          </w:p>
        </w:tc>
      </w:tr>
      <w:tr w14:paraId="790D0A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vAlign w:val="center"/>
          </w:tcPr>
          <w:p w14:paraId="362903FC">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yellow"/>
              </w:rPr>
            </w:pPr>
          </w:p>
        </w:tc>
        <w:tc>
          <w:tcPr>
            <w:tcW w:w="727" w:type="dxa"/>
            <w:vMerge w:val="restart"/>
            <w:shd w:val="clear" w:color="auto" w:fill="auto"/>
            <w:vAlign w:val="center"/>
          </w:tcPr>
          <w:p w14:paraId="5E8AB8BB">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r>
              <w:rPr>
                <w:rFonts w:hint="eastAsia"/>
                <w:color w:val="auto"/>
                <w:kern w:val="0"/>
                <w:sz w:val="22"/>
                <w:szCs w:val="22"/>
                <w:highlight w:val="none"/>
              </w:rPr>
              <w:t>产出成本</w:t>
            </w:r>
          </w:p>
        </w:tc>
        <w:tc>
          <w:tcPr>
            <w:tcW w:w="820" w:type="dxa"/>
            <w:shd w:val="clear" w:color="auto" w:fill="auto"/>
            <w:vAlign w:val="center"/>
          </w:tcPr>
          <w:p w14:paraId="0ADDC424">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r>
              <w:rPr>
                <w:rFonts w:hint="eastAsia"/>
                <w:color w:val="auto"/>
                <w:kern w:val="0"/>
                <w:sz w:val="22"/>
                <w:szCs w:val="22"/>
                <w:highlight w:val="none"/>
              </w:rPr>
              <w:t>体检检验试剂投入</w:t>
            </w:r>
          </w:p>
        </w:tc>
        <w:tc>
          <w:tcPr>
            <w:tcW w:w="2141" w:type="dxa"/>
            <w:shd w:val="clear" w:color="auto" w:fill="auto"/>
            <w:vAlign w:val="center"/>
          </w:tcPr>
          <w:p w14:paraId="78BA4342">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vAlign w:val="center"/>
          </w:tcPr>
          <w:p w14:paraId="1CB3454C">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p>
          <w:p w14:paraId="24763413">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成本节约率=[（计划成本-实际成本）/计划成本]×100%。</w:t>
            </w:r>
          </w:p>
          <w:p w14:paraId="65B890F8">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实际成本：项目实施单位如期、保质、保量完成既定工作目标实际所耗费的支出。</w:t>
            </w:r>
          </w:p>
          <w:p w14:paraId="749E72A7">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计划成本：项目实施单位为完成工作目标计划安排的支出，一般以项目预算为参考。</w:t>
            </w:r>
          </w:p>
        </w:tc>
        <w:tc>
          <w:tcPr>
            <w:tcW w:w="785" w:type="dxa"/>
            <w:shd w:val="clear" w:color="auto" w:fill="auto"/>
            <w:vAlign w:val="center"/>
          </w:tcPr>
          <w:p w14:paraId="7DA15478">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5</w:t>
            </w:r>
          </w:p>
        </w:tc>
        <w:tc>
          <w:tcPr>
            <w:tcW w:w="769" w:type="dxa"/>
            <w:shd w:val="clear" w:color="auto" w:fill="auto"/>
            <w:vAlign w:val="center"/>
          </w:tcPr>
          <w:p w14:paraId="31327DB3">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5</w:t>
            </w:r>
          </w:p>
        </w:tc>
      </w:tr>
      <w:tr w14:paraId="7225E7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04" w:hRule="atLeast"/>
          <w:jc w:val="center"/>
        </w:trPr>
        <w:tc>
          <w:tcPr>
            <w:tcW w:w="861" w:type="dxa"/>
            <w:vMerge w:val="continue"/>
            <w:shd w:val="clear" w:color="auto" w:fill="auto"/>
            <w:vAlign w:val="center"/>
          </w:tcPr>
          <w:p w14:paraId="0457CAFB">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yellow"/>
              </w:rPr>
            </w:pPr>
          </w:p>
        </w:tc>
        <w:tc>
          <w:tcPr>
            <w:tcW w:w="727" w:type="dxa"/>
            <w:vMerge w:val="continue"/>
            <w:shd w:val="clear" w:color="auto" w:fill="auto"/>
            <w:vAlign w:val="center"/>
          </w:tcPr>
          <w:p w14:paraId="3712BEF3">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p>
        </w:tc>
        <w:tc>
          <w:tcPr>
            <w:tcW w:w="820" w:type="dxa"/>
            <w:shd w:val="clear" w:color="auto" w:fill="auto"/>
            <w:vAlign w:val="center"/>
          </w:tcPr>
          <w:p w14:paraId="653439DB">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r>
              <w:rPr>
                <w:rFonts w:hint="eastAsia"/>
                <w:color w:val="auto"/>
                <w:kern w:val="0"/>
                <w:sz w:val="22"/>
                <w:szCs w:val="22"/>
                <w:highlight w:val="none"/>
              </w:rPr>
              <w:t>日常运行办公投入</w:t>
            </w:r>
          </w:p>
        </w:tc>
        <w:tc>
          <w:tcPr>
            <w:tcW w:w="2141" w:type="dxa"/>
            <w:shd w:val="clear" w:color="auto" w:fill="auto"/>
            <w:vAlign w:val="center"/>
          </w:tcPr>
          <w:p w14:paraId="1F9C6EA3">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vAlign w:val="center"/>
          </w:tcPr>
          <w:p w14:paraId="4F4D2227">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p>
          <w:p w14:paraId="5D24222F">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成本节约率=[（计划成本-实际成本）/计划成本]×100%。</w:t>
            </w:r>
          </w:p>
          <w:p w14:paraId="4E40541E">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实际成本：项目实施单位如期、保质、保量完成既定工作目标实际所耗费的支出。</w:t>
            </w:r>
          </w:p>
          <w:p w14:paraId="14E7E415">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计划成本：项目实施单位为完成工作目标计划安排的支出，一般以项目预算为参考。</w:t>
            </w:r>
          </w:p>
        </w:tc>
        <w:tc>
          <w:tcPr>
            <w:tcW w:w="785" w:type="dxa"/>
            <w:shd w:val="clear" w:color="auto" w:fill="auto"/>
            <w:vAlign w:val="center"/>
          </w:tcPr>
          <w:p w14:paraId="1F25C3A9">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5</w:t>
            </w:r>
          </w:p>
        </w:tc>
        <w:tc>
          <w:tcPr>
            <w:tcW w:w="769" w:type="dxa"/>
            <w:shd w:val="clear" w:color="auto" w:fill="auto"/>
            <w:vAlign w:val="center"/>
          </w:tcPr>
          <w:p w14:paraId="06CFEF8F">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5</w:t>
            </w:r>
          </w:p>
        </w:tc>
      </w:tr>
      <w:tr w14:paraId="3A9BB9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vAlign w:val="center"/>
          </w:tcPr>
          <w:p w14:paraId="33220229">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r>
              <w:rPr>
                <w:rFonts w:hint="eastAsia"/>
                <w:color w:val="auto"/>
                <w:kern w:val="0"/>
                <w:sz w:val="22"/>
                <w:szCs w:val="22"/>
                <w:highlight w:val="none"/>
              </w:rPr>
              <w:t>效益</w:t>
            </w:r>
          </w:p>
        </w:tc>
        <w:tc>
          <w:tcPr>
            <w:tcW w:w="727" w:type="dxa"/>
            <w:vMerge w:val="restart"/>
            <w:shd w:val="clear" w:color="auto" w:fill="auto"/>
            <w:vAlign w:val="center"/>
          </w:tcPr>
          <w:p w14:paraId="3AB9B8E2">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r>
              <w:rPr>
                <w:rFonts w:hint="eastAsia"/>
                <w:color w:val="auto"/>
                <w:kern w:val="0"/>
                <w:sz w:val="22"/>
                <w:szCs w:val="22"/>
                <w:highlight w:val="none"/>
              </w:rPr>
              <w:t>项目效益　</w:t>
            </w:r>
          </w:p>
        </w:tc>
        <w:tc>
          <w:tcPr>
            <w:tcW w:w="820" w:type="dxa"/>
            <w:shd w:val="clear" w:color="auto" w:fill="auto"/>
            <w:vAlign w:val="center"/>
          </w:tcPr>
          <w:p w14:paraId="01F695B7">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r>
              <w:rPr>
                <w:rFonts w:hint="eastAsia"/>
                <w:color w:val="auto"/>
                <w:kern w:val="0"/>
                <w:sz w:val="22"/>
                <w:szCs w:val="22"/>
                <w:highlight w:val="none"/>
              </w:rPr>
              <w:t>居民健康水平提高</w:t>
            </w:r>
          </w:p>
        </w:tc>
        <w:tc>
          <w:tcPr>
            <w:tcW w:w="2141" w:type="dxa"/>
            <w:shd w:val="clear" w:color="auto" w:fill="auto"/>
            <w:vAlign w:val="center"/>
          </w:tcPr>
          <w:p w14:paraId="6BDA3843">
            <w:pPr>
              <w:keepNext w:val="0"/>
              <w:keepLines w:val="0"/>
              <w:pageBreakBefore w:val="0"/>
              <w:widowControl/>
              <w:kinsoku/>
              <w:wordWrap/>
              <w:overflowPunct/>
              <w:topLinePunct w:val="0"/>
              <w:autoSpaceDE/>
              <w:autoSpaceDN/>
              <w:bidi w:val="0"/>
              <w:adjustRightInd/>
              <w:spacing w:line="360" w:lineRule="exact"/>
              <w:ind w:firstLine="0" w:firstLineChars="0"/>
              <w:jc w:val="left"/>
              <w:textAlignment w:val="auto"/>
              <w:rPr>
                <w:rFonts w:hint="eastAsia"/>
                <w:color w:val="auto"/>
                <w:kern w:val="0"/>
                <w:sz w:val="22"/>
                <w:szCs w:val="22"/>
                <w:highlight w:val="none"/>
              </w:rPr>
            </w:pPr>
            <w:r>
              <w:rPr>
                <w:rFonts w:hint="eastAsia"/>
                <w:color w:val="auto"/>
                <w:kern w:val="0"/>
                <w:sz w:val="22"/>
                <w:szCs w:val="22"/>
                <w:highlight w:val="none"/>
              </w:rPr>
              <w:t>项目实施所产生的效益。</w:t>
            </w:r>
          </w:p>
        </w:tc>
        <w:tc>
          <w:tcPr>
            <w:tcW w:w="7821" w:type="dxa"/>
            <w:shd w:val="clear" w:color="auto" w:fill="auto"/>
            <w:vAlign w:val="center"/>
          </w:tcPr>
          <w:p w14:paraId="2DAD57AE">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vAlign w:val="center"/>
          </w:tcPr>
          <w:p w14:paraId="6E0989FF">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10</w:t>
            </w:r>
          </w:p>
        </w:tc>
        <w:tc>
          <w:tcPr>
            <w:tcW w:w="769" w:type="dxa"/>
            <w:shd w:val="clear" w:color="auto" w:fill="auto"/>
            <w:vAlign w:val="center"/>
          </w:tcPr>
          <w:p w14:paraId="7EFFE907">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10</w:t>
            </w:r>
          </w:p>
        </w:tc>
      </w:tr>
      <w:tr w14:paraId="56916C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vAlign w:val="center"/>
          </w:tcPr>
          <w:p w14:paraId="031E3134">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yellow"/>
              </w:rPr>
            </w:pPr>
          </w:p>
        </w:tc>
        <w:tc>
          <w:tcPr>
            <w:tcW w:w="727" w:type="dxa"/>
            <w:vMerge w:val="continue"/>
            <w:shd w:val="clear" w:color="auto" w:fill="auto"/>
            <w:vAlign w:val="center"/>
          </w:tcPr>
          <w:p w14:paraId="38525BC7">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p>
        </w:tc>
        <w:tc>
          <w:tcPr>
            <w:tcW w:w="820" w:type="dxa"/>
            <w:shd w:val="clear" w:color="auto" w:fill="auto"/>
            <w:vAlign w:val="center"/>
          </w:tcPr>
          <w:p w14:paraId="4A97AA80">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highlight w:val="none"/>
              </w:rPr>
            </w:pPr>
            <w:r>
              <w:rPr>
                <w:rFonts w:hint="eastAsia"/>
                <w:color w:val="auto"/>
                <w:kern w:val="0"/>
                <w:sz w:val="22"/>
                <w:szCs w:val="22"/>
                <w:highlight w:val="none"/>
              </w:rPr>
              <w:t>体检居民满意度</w:t>
            </w:r>
          </w:p>
        </w:tc>
        <w:tc>
          <w:tcPr>
            <w:tcW w:w="2141" w:type="dxa"/>
            <w:shd w:val="clear" w:color="auto" w:fill="auto"/>
            <w:vAlign w:val="center"/>
          </w:tcPr>
          <w:p w14:paraId="3774CCBD">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社会公众或服务对象对项目实施效果的满意程度。</w:t>
            </w:r>
          </w:p>
        </w:tc>
        <w:tc>
          <w:tcPr>
            <w:tcW w:w="7821" w:type="dxa"/>
            <w:shd w:val="clear" w:color="auto" w:fill="auto"/>
            <w:vAlign w:val="center"/>
          </w:tcPr>
          <w:p w14:paraId="16DF3924">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highlight w:val="none"/>
              </w:rPr>
            </w:pPr>
            <w:r>
              <w:rPr>
                <w:rFonts w:hint="eastAsia"/>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vAlign w:val="center"/>
          </w:tcPr>
          <w:p w14:paraId="0C9FE2B0">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10</w:t>
            </w:r>
          </w:p>
        </w:tc>
        <w:tc>
          <w:tcPr>
            <w:tcW w:w="769" w:type="dxa"/>
            <w:shd w:val="clear" w:color="auto" w:fill="auto"/>
            <w:vAlign w:val="center"/>
          </w:tcPr>
          <w:p w14:paraId="6CC82DC9">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10</w:t>
            </w:r>
          </w:p>
        </w:tc>
      </w:tr>
      <w:tr w14:paraId="6E602F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vAlign w:val="center"/>
          </w:tcPr>
          <w:p w14:paraId="23FD88A1">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合计</w:t>
            </w:r>
          </w:p>
        </w:tc>
        <w:tc>
          <w:tcPr>
            <w:tcW w:w="7821" w:type="dxa"/>
            <w:shd w:val="clear" w:color="auto" w:fill="auto"/>
            <w:vAlign w:val="center"/>
          </w:tcPr>
          <w:p w14:paraId="506F5F8E">
            <w:pPr>
              <w:keepNext w:val="0"/>
              <w:keepLines w:val="0"/>
              <w:pageBreakBefore w:val="0"/>
              <w:widowControl/>
              <w:kinsoku/>
              <w:wordWrap/>
              <w:overflowPunct/>
              <w:topLinePunct w:val="0"/>
              <w:autoSpaceDE/>
              <w:autoSpaceDN/>
              <w:bidi w:val="0"/>
              <w:adjustRightInd/>
              <w:spacing w:line="360" w:lineRule="exact"/>
              <w:ind w:firstLine="0" w:firstLineChars="0"/>
              <w:textAlignment w:val="auto"/>
              <w:rPr>
                <w:rFonts w:hint="eastAsia"/>
                <w:color w:val="auto"/>
                <w:kern w:val="0"/>
                <w:sz w:val="22"/>
                <w:szCs w:val="22"/>
              </w:rPr>
            </w:pPr>
          </w:p>
        </w:tc>
        <w:tc>
          <w:tcPr>
            <w:tcW w:w="785" w:type="dxa"/>
            <w:shd w:val="clear" w:color="auto" w:fill="auto"/>
            <w:vAlign w:val="center"/>
          </w:tcPr>
          <w:p w14:paraId="5BB1A6F9">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100</w:t>
            </w:r>
          </w:p>
        </w:tc>
        <w:tc>
          <w:tcPr>
            <w:tcW w:w="769" w:type="dxa"/>
            <w:shd w:val="clear" w:color="auto" w:fill="auto"/>
            <w:vAlign w:val="center"/>
          </w:tcPr>
          <w:p w14:paraId="495F76DF">
            <w:pPr>
              <w:keepNext w:val="0"/>
              <w:keepLines w:val="0"/>
              <w:pageBreakBefore w:val="0"/>
              <w:widowControl/>
              <w:kinsoku/>
              <w:wordWrap/>
              <w:overflowPunct/>
              <w:topLinePunct w:val="0"/>
              <w:autoSpaceDE/>
              <w:autoSpaceDN/>
              <w:bidi w:val="0"/>
              <w:adjustRightInd/>
              <w:spacing w:line="360" w:lineRule="exact"/>
              <w:ind w:firstLine="0" w:firstLineChars="0"/>
              <w:jc w:val="center"/>
              <w:textAlignment w:val="auto"/>
              <w:rPr>
                <w:rFonts w:hint="eastAsia"/>
                <w:color w:val="auto"/>
                <w:kern w:val="0"/>
                <w:sz w:val="22"/>
                <w:szCs w:val="22"/>
              </w:rPr>
            </w:pPr>
            <w:r>
              <w:rPr>
                <w:rFonts w:hint="eastAsia"/>
                <w:color w:val="auto"/>
                <w:kern w:val="0"/>
                <w:sz w:val="22"/>
                <w:szCs w:val="22"/>
              </w:rPr>
              <w:t>93.88</w:t>
            </w:r>
          </w:p>
        </w:tc>
      </w:tr>
    </w:tbl>
    <w:p w14:paraId="7B14409F">
      <w:pPr>
        <w:spacing w:line="560" w:lineRule="exact"/>
        <w:ind w:firstLine="0" w:firstLineChars="0"/>
        <w:rPr>
          <w:rFonts w:ascii="Times New Roman" w:hAnsi="Times New Roman" w:eastAsia="仿宋_GB2312" w:cs="Times New Roman"/>
          <w:color w:val="auto"/>
          <w:sz w:val="30"/>
          <w:szCs w:val="24"/>
        </w:rPr>
      </w:pPr>
    </w:p>
    <w:p w14:paraId="53000162">
      <w:pPr>
        <w:spacing w:line="560" w:lineRule="exact"/>
        <w:ind w:firstLine="560"/>
        <w:rPr>
          <w:rFonts w:hint="eastAsia"/>
          <w:color w:val="auto"/>
        </w:rPr>
      </w:pPr>
    </w:p>
    <w:sectPr>
      <w:pgSz w:w="16838" w:h="11906" w:orient="landscape"/>
      <w:pgMar w:top="1800" w:right="1440" w:bottom="1800" w:left="1440" w:header="737" w:footer="851" w:gutter="0"/>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A1073">
    <w:pPr>
      <w:pStyle w:val="10"/>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1A1DA">
    <w:pPr>
      <w:pStyle w:val="10"/>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880DF">
    <w:pPr>
      <w:pStyle w:val="10"/>
      <w:ind w:firstLine="36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C2939">
    <w:pPr>
      <w:pStyle w:val="10"/>
      <w:ind w:firstLine="360"/>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B66515">
                          <w:pPr>
                            <w:pStyle w:val="10"/>
                            <w:ind w:firstLine="360"/>
                            <w:rPr>
                              <w:rFonts w:hint="eastAsia" w:eastAsia="仿宋_GB2312"/>
                            </w:rPr>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3B66515">
                    <w:pPr>
                      <w:pStyle w:val="10"/>
                      <w:ind w:firstLine="360"/>
                      <w:rPr>
                        <w:rFonts w:hint="eastAsia" w:eastAsia="仿宋_GB2312"/>
                      </w:rPr>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560"/>
      </w:pPr>
      <w:r>
        <w:separator/>
      </w:r>
    </w:p>
  </w:footnote>
  <w:footnote w:type="continuationSeparator" w:id="1">
    <w:p>
      <w:pPr>
        <w:spacing w:before="0" w:after="0"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FF8C7">
    <w:pPr>
      <w:pStyle w:val="11"/>
      <w:ind w:firstLine="36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59EEC">
    <w:pPr>
      <w:pStyle w:val="11"/>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14B9A">
    <w:pPr>
      <w:pStyle w:val="11"/>
      <w:ind w:firstLine="360"/>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0BC379AE"/>
    <w:multiLevelType w:val="singleLevel"/>
    <w:tmpl w:val="0BC379AE"/>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162EB5"/>
    <w:rsid w:val="0034207F"/>
    <w:rsid w:val="005A0DB2"/>
    <w:rsid w:val="007D6A04"/>
    <w:rsid w:val="00CC4382"/>
    <w:rsid w:val="00E178B5"/>
    <w:rsid w:val="00E23C81"/>
    <w:rsid w:val="01253350"/>
    <w:rsid w:val="01282E62"/>
    <w:rsid w:val="01380087"/>
    <w:rsid w:val="014029CF"/>
    <w:rsid w:val="01470C4C"/>
    <w:rsid w:val="02200440"/>
    <w:rsid w:val="02284B43"/>
    <w:rsid w:val="02961DC0"/>
    <w:rsid w:val="02B015E2"/>
    <w:rsid w:val="02DC08FA"/>
    <w:rsid w:val="033B569D"/>
    <w:rsid w:val="039C3BA0"/>
    <w:rsid w:val="03A845BB"/>
    <w:rsid w:val="03B45AD1"/>
    <w:rsid w:val="04D12EE4"/>
    <w:rsid w:val="04D63993"/>
    <w:rsid w:val="04F00ED6"/>
    <w:rsid w:val="069246B2"/>
    <w:rsid w:val="06F03EEB"/>
    <w:rsid w:val="07890F4F"/>
    <w:rsid w:val="08892439"/>
    <w:rsid w:val="08EB30F3"/>
    <w:rsid w:val="09237408"/>
    <w:rsid w:val="09781BD6"/>
    <w:rsid w:val="09F359DF"/>
    <w:rsid w:val="0A575E65"/>
    <w:rsid w:val="0ACA0AB6"/>
    <w:rsid w:val="0C032502"/>
    <w:rsid w:val="0C27698C"/>
    <w:rsid w:val="0D4452F3"/>
    <w:rsid w:val="0EB126E9"/>
    <w:rsid w:val="0F5E5042"/>
    <w:rsid w:val="0FA56D0F"/>
    <w:rsid w:val="0FE95707"/>
    <w:rsid w:val="10510571"/>
    <w:rsid w:val="10787A20"/>
    <w:rsid w:val="10840253"/>
    <w:rsid w:val="108672DE"/>
    <w:rsid w:val="10D12BCF"/>
    <w:rsid w:val="10EC685A"/>
    <w:rsid w:val="117170CA"/>
    <w:rsid w:val="11FA6155"/>
    <w:rsid w:val="12CF0947"/>
    <w:rsid w:val="12F1313F"/>
    <w:rsid w:val="136C678E"/>
    <w:rsid w:val="13EB2FF5"/>
    <w:rsid w:val="14ED4CAC"/>
    <w:rsid w:val="15A46B04"/>
    <w:rsid w:val="15FD22FE"/>
    <w:rsid w:val="165825BC"/>
    <w:rsid w:val="16BC5D73"/>
    <w:rsid w:val="176F36D7"/>
    <w:rsid w:val="1795226D"/>
    <w:rsid w:val="18456B1E"/>
    <w:rsid w:val="1867206B"/>
    <w:rsid w:val="18CB353C"/>
    <w:rsid w:val="1A554870"/>
    <w:rsid w:val="1C1171C5"/>
    <w:rsid w:val="1C3E3673"/>
    <w:rsid w:val="1D0676F9"/>
    <w:rsid w:val="1D265138"/>
    <w:rsid w:val="1D7B6BCA"/>
    <w:rsid w:val="1DA41A79"/>
    <w:rsid w:val="1DF53469"/>
    <w:rsid w:val="1E2F24F2"/>
    <w:rsid w:val="1E58492F"/>
    <w:rsid w:val="1E5B6757"/>
    <w:rsid w:val="1ED10AC6"/>
    <w:rsid w:val="1F89225F"/>
    <w:rsid w:val="1F900A1F"/>
    <w:rsid w:val="1FC0575D"/>
    <w:rsid w:val="206132C7"/>
    <w:rsid w:val="21B00C1D"/>
    <w:rsid w:val="23031BEB"/>
    <w:rsid w:val="23917691"/>
    <w:rsid w:val="244D65B8"/>
    <w:rsid w:val="245E1E24"/>
    <w:rsid w:val="25AD5E5D"/>
    <w:rsid w:val="26A6725D"/>
    <w:rsid w:val="2732478D"/>
    <w:rsid w:val="27661469"/>
    <w:rsid w:val="27900EAD"/>
    <w:rsid w:val="279B538A"/>
    <w:rsid w:val="27BA1294"/>
    <w:rsid w:val="286F545C"/>
    <w:rsid w:val="28857747"/>
    <w:rsid w:val="29314FBC"/>
    <w:rsid w:val="2AA2081A"/>
    <w:rsid w:val="2C024B86"/>
    <w:rsid w:val="2C927671"/>
    <w:rsid w:val="2CC6306F"/>
    <w:rsid w:val="2CC633AC"/>
    <w:rsid w:val="2D7C5CD6"/>
    <w:rsid w:val="2D906C52"/>
    <w:rsid w:val="2E483E7E"/>
    <w:rsid w:val="2E690493"/>
    <w:rsid w:val="2E9854BD"/>
    <w:rsid w:val="2F0D407F"/>
    <w:rsid w:val="2F454B19"/>
    <w:rsid w:val="302C2861"/>
    <w:rsid w:val="304F36E7"/>
    <w:rsid w:val="30D845E5"/>
    <w:rsid w:val="310224D9"/>
    <w:rsid w:val="31B4621C"/>
    <w:rsid w:val="31E3230A"/>
    <w:rsid w:val="32787319"/>
    <w:rsid w:val="330957E0"/>
    <w:rsid w:val="33356F64"/>
    <w:rsid w:val="33944516"/>
    <w:rsid w:val="34B62907"/>
    <w:rsid w:val="36BD137C"/>
    <w:rsid w:val="38053EDF"/>
    <w:rsid w:val="380812A4"/>
    <w:rsid w:val="38312021"/>
    <w:rsid w:val="385D37E7"/>
    <w:rsid w:val="38782EDD"/>
    <w:rsid w:val="3B42664A"/>
    <w:rsid w:val="3CAD1E92"/>
    <w:rsid w:val="3D836A4E"/>
    <w:rsid w:val="3EA37E97"/>
    <w:rsid w:val="3F3146B5"/>
    <w:rsid w:val="3FBE0BC5"/>
    <w:rsid w:val="4048103A"/>
    <w:rsid w:val="40736643"/>
    <w:rsid w:val="40D24A7A"/>
    <w:rsid w:val="42621029"/>
    <w:rsid w:val="435241E2"/>
    <w:rsid w:val="43975C51"/>
    <w:rsid w:val="439E3FA7"/>
    <w:rsid w:val="44B32266"/>
    <w:rsid w:val="44FC64F4"/>
    <w:rsid w:val="467F4585"/>
    <w:rsid w:val="470628CB"/>
    <w:rsid w:val="4729480B"/>
    <w:rsid w:val="47555BD4"/>
    <w:rsid w:val="47694908"/>
    <w:rsid w:val="47BC2DB1"/>
    <w:rsid w:val="47E96399"/>
    <w:rsid w:val="47F76025"/>
    <w:rsid w:val="486E33F5"/>
    <w:rsid w:val="48B15519"/>
    <w:rsid w:val="48E12B50"/>
    <w:rsid w:val="499441BE"/>
    <w:rsid w:val="499A6C1C"/>
    <w:rsid w:val="4A195607"/>
    <w:rsid w:val="4A2138F0"/>
    <w:rsid w:val="4A583887"/>
    <w:rsid w:val="4B9F6E02"/>
    <w:rsid w:val="4C89637B"/>
    <w:rsid w:val="4E6E48A8"/>
    <w:rsid w:val="4ECD3EE9"/>
    <w:rsid w:val="4EEC036B"/>
    <w:rsid w:val="4F714FA1"/>
    <w:rsid w:val="501D2673"/>
    <w:rsid w:val="50C80BF1"/>
    <w:rsid w:val="51852833"/>
    <w:rsid w:val="52F11AC8"/>
    <w:rsid w:val="534F49D9"/>
    <w:rsid w:val="53555F0F"/>
    <w:rsid w:val="535D23D5"/>
    <w:rsid w:val="53D17DBD"/>
    <w:rsid w:val="56440D1A"/>
    <w:rsid w:val="568106DE"/>
    <w:rsid w:val="56F4341A"/>
    <w:rsid w:val="575A7321"/>
    <w:rsid w:val="580C3AB9"/>
    <w:rsid w:val="583C7AE0"/>
    <w:rsid w:val="586C1E9A"/>
    <w:rsid w:val="586E0800"/>
    <w:rsid w:val="5898359F"/>
    <w:rsid w:val="59216F96"/>
    <w:rsid w:val="598C4145"/>
    <w:rsid w:val="59957D1B"/>
    <w:rsid w:val="59D4294E"/>
    <w:rsid w:val="5B634312"/>
    <w:rsid w:val="5B9D2CCD"/>
    <w:rsid w:val="5B9E71EA"/>
    <w:rsid w:val="5E226FBC"/>
    <w:rsid w:val="5FE72BD2"/>
    <w:rsid w:val="60120613"/>
    <w:rsid w:val="618D5292"/>
    <w:rsid w:val="622E78FA"/>
    <w:rsid w:val="63343F70"/>
    <w:rsid w:val="64296E1C"/>
    <w:rsid w:val="64386FCC"/>
    <w:rsid w:val="649E64A2"/>
    <w:rsid w:val="65E5270A"/>
    <w:rsid w:val="663D3C54"/>
    <w:rsid w:val="667A6962"/>
    <w:rsid w:val="66862C89"/>
    <w:rsid w:val="66BB486D"/>
    <w:rsid w:val="67394C7D"/>
    <w:rsid w:val="68126B38"/>
    <w:rsid w:val="68291A1A"/>
    <w:rsid w:val="68352BB8"/>
    <w:rsid w:val="691327EB"/>
    <w:rsid w:val="691B1594"/>
    <w:rsid w:val="693A016B"/>
    <w:rsid w:val="6A17429C"/>
    <w:rsid w:val="6A567EA3"/>
    <w:rsid w:val="6B4B4368"/>
    <w:rsid w:val="6B79100E"/>
    <w:rsid w:val="6C844C00"/>
    <w:rsid w:val="6E10212C"/>
    <w:rsid w:val="6E36784A"/>
    <w:rsid w:val="6E43561A"/>
    <w:rsid w:val="6E557973"/>
    <w:rsid w:val="6E9568DB"/>
    <w:rsid w:val="6F0D6C22"/>
    <w:rsid w:val="6F47657F"/>
    <w:rsid w:val="6FAF23D9"/>
    <w:rsid w:val="6FE10477"/>
    <w:rsid w:val="70635CF6"/>
    <w:rsid w:val="70670707"/>
    <w:rsid w:val="71154628"/>
    <w:rsid w:val="715734E1"/>
    <w:rsid w:val="720E3691"/>
    <w:rsid w:val="7249173A"/>
    <w:rsid w:val="724E244C"/>
    <w:rsid w:val="72DA6946"/>
    <w:rsid w:val="732764B3"/>
    <w:rsid w:val="74017DF2"/>
    <w:rsid w:val="74026044"/>
    <w:rsid w:val="74325A77"/>
    <w:rsid w:val="74746410"/>
    <w:rsid w:val="75022074"/>
    <w:rsid w:val="75460939"/>
    <w:rsid w:val="75A629FF"/>
    <w:rsid w:val="75C8506C"/>
    <w:rsid w:val="75E5007C"/>
    <w:rsid w:val="76C65494"/>
    <w:rsid w:val="77636B63"/>
    <w:rsid w:val="77813724"/>
    <w:rsid w:val="77861774"/>
    <w:rsid w:val="78F31435"/>
    <w:rsid w:val="79300B45"/>
    <w:rsid w:val="794D3E18"/>
    <w:rsid w:val="79F3729A"/>
    <w:rsid w:val="7A880722"/>
    <w:rsid w:val="7ABE6120"/>
    <w:rsid w:val="7ACB0498"/>
    <w:rsid w:val="7AED0B4D"/>
    <w:rsid w:val="7C1E4487"/>
    <w:rsid w:val="7C215E02"/>
    <w:rsid w:val="7CF23764"/>
    <w:rsid w:val="7D851A94"/>
    <w:rsid w:val="7E797F74"/>
    <w:rsid w:val="7F6A0F42"/>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ind w:firstLine="723" w:firstLineChars="200"/>
      <w:jc w:val="both"/>
    </w:pPr>
    <w:rPr>
      <w:rFonts w:ascii="宋体" w:hAnsi="宋体" w:eastAsia="宋体" w:cs="宋体"/>
      <w:kern w:val="2"/>
      <w:sz w:val="28"/>
      <w:szCs w:val="28"/>
      <w:lang w:val="en-US" w:eastAsia="zh-CN" w:bidi="ar-SA"/>
    </w:rPr>
  </w:style>
  <w:style w:type="paragraph" w:styleId="4">
    <w:name w:val="heading 1"/>
    <w:basedOn w:val="1"/>
    <w:next w:val="1"/>
    <w:qFormat/>
    <w:uiPriority w:val="0"/>
    <w:pPr>
      <w:keepNext/>
      <w:keepLines/>
      <w:spacing w:line="560" w:lineRule="exact"/>
      <w:ind w:firstLine="964"/>
      <w:outlineLvl w:val="0"/>
    </w:pPr>
    <w:rPr>
      <w:rFonts w:ascii="Times New Roman" w:hAnsi="Times New Roman" w:eastAsia="黑体"/>
      <w:kern w:val="44"/>
      <w:sz w:val="32"/>
      <w:szCs w:val="22"/>
    </w:rPr>
  </w:style>
  <w:style w:type="paragraph" w:styleId="5">
    <w:name w:val="heading 2"/>
    <w:basedOn w:val="1"/>
    <w:next w:val="1"/>
    <w:link w:val="22"/>
    <w:unhideWhenUsed/>
    <w:qFormat/>
    <w:uiPriority w:val="0"/>
    <w:pPr>
      <w:keepNext/>
      <w:keepLines/>
      <w:spacing w:line="560" w:lineRule="exact"/>
      <w:ind w:firstLine="964"/>
      <w:outlineLvl w:val="1"/>
    </w:pPr>
    <w:rPr>
      <w:rFonts w:ascii="Arial" w:hAnsi="Arial" w:eastAsia="楷体"/>
      <w:b/>
      <w:sz w:val="32"/>
    </w:rPr>
  </w:style>
  <w:style w:type="paragraph" w:styleId="6">
    <w:name w:val="heading 3"/>
    <w:basedOn w:val="1"/>
    <w:next w:val="1"/>
    <w:qFormat/>
    <w:uiPriority w:val="99"/>
    <w:pPr>
      <w:keepNext/>
      <w:keepLines/>
      <w:spacing w:line="560" w:lineRule="exact"/>
      <w:ind w:firstLine="883"/>
      <w:outlineLvl w:val="2"/>
    </w:pPr>
    <w:rPr>
      <w:rFonts w:ascii="仿宋_GB2312" w:hAnsi="仿宋_GB2312" w:eastAsia="仿宋_GB2312"/>
      <w:b/>
      <w:bCs/>
      <w:kern w:val="0"/>
      <w:szCs w:val="3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customStyle="1" w:styleId="2">
    <w:name w:val="Body Text First Indent 2"/>
    <w:basedOn w:val="3"/>
    <w:qFormat/>
    <w:uiPriority w:val="0"/>
    <w:pPr>
      <w:ind w:firstLine="420"/>
    </w:pPr>
    <w:rPr>
      <w:rFonts w:ascii="Calibri" w:hAnsi="Calibri"/>
      <w:sz w:val="28"/>
      <w:szCs w:val="22"/>
    </w:rPr>
  </w:style>
  <w:style w:type="paragraph" w:customStyle="1" w:styleId="3">
    <w:name w:val="Body Text Indent"/>
    <w:basedOn w:val="1"/>
    <w:qFormat/>
    <w:uiPriority w:val="0"/>
    <w:pPr>
      <w:spacing w:after="120"/>
      <w:ind w:left="420" w:leftChars="200"/>
    </w:pPr>
    <w:rPr>
      <w:sz w:val="21"/>
      <w:szCs w:val="20"/>
    </w:rPr>
  </w:style>
  <w:style w:type="paragraph" w:styleId="7">
    <w:name w:val="annotation text"/>
    <w:basedOn w:val="1"/>
    <w:qFormat/>
    <w:uiPriority w:val="0"/>
    <w:pPr>
      <w:jc w:val="left"/>
    </w:pPr>
  </w:style>
  <w:style w:type="paragraph" w:styleId="8">
    <w:name w:val="Body Text"/>
    <w:basedOn w:val="1"/>
    <w:qFormat/>
    <w:uiPriority w:val="0"/>
    <w:pPr>
      <w:spacing w:before="240" w:after="240"/>
      <w:jc w:val="center"/>
    </w:pPr>
    <w:rPr>
      <w:b/>
      <w:sz w:val="44"/>
    </w:rPr>
  </w:style>
  <w:style w:type="paragraph" w:styleId="9">
    <w:name w:val="toc 3"/>
    <w:basedOn w:val="1"/>
    <w:next w:val="1"/>
    <w:qFormat/>
    <w:uiPriority w:val="0"/>
    <w:pPr>
      <w:ind w:left="840" w:leftChars="4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Body Text 2"/>
    <w:basedOn w:val="1"/>
    <w:qFormat/>
    <w:uiPriority w:val="0"/>
    <w:pPr>
      <w:spacing w:after="120" w:line="480" w:lineRule="auto"/>
    </w:pPr>
    <w:rPr>
      <w:rFonts w:ascii="Times New Roman" w:hAnsi="Times New Roman" w:cs="Times New Roman"/>
    </w:rPr>
  </w:style>
  <w:style w:type="paragraph" w:styleId="15">
    <w:name w:val="Normal (Web)"/>
    <w:basedOn w:val="1"/>
    <w:qFormat/>
    <w:uiPriority w:val="0"/>
    <w:pPr>
      <w:spacing w:beforeAutospacing="1" w:after="0" w:afterAutospacing="1"/>
      <w:jc w:val="left"/>
    </w:pPr>
    <w:rPr>
      <w:rFonts w:cs="Times New Roman"/>
      <w:kern w:val="0"/>
      <w:sz w:val="24"/>
    </w:rPr>
  </w:style>
  <w:style w:type="paragraph" w:styleId="16">
    <w:name w:val="Title"/>
    <w:basedOn w:val="1"/>
    <w:next w:val="1"/>
    <w:qFormat/>
    <w:uiPriority w:val="0"/>
    <w:pPr>
      <w:spacing w:before="240" w:after="60"/>
      <w:jc w:val="left"/>
      <w:outlineLvl w:val="0"/>
    </w:pPr>
    <w:rPr>
      <w:rFonts w:ascii="MS Sans Serif" w:hAnsi="MS Sans Serif" w:cs="MS Sans Serif"/>
      <w:b/>
      <w:bCs/>
      <w:sz w:val="24"/>
      <w:szCs w:val="32"/>
    </w:rPr>
  </w:style>
  <w:style w:type="paragraph" w:styleId="17">
    <w:name w:val="Body Text First Indent"/>
    <w:basedOn w:val="8"/>
    <w:qFormat/>
    <w:uiPriority w:val="0"/>
    <w:pPr>
      <w:spacing w:after="0"/>
      <w:ind w:firstLine="200"/>
    </w:pPr>
  </w:style>
  <w:style w:type="character" w:styleId="20">
    <w:name w:val="annotation reference"/>
    <w:basedOn w:val="19"/>
    <w:qFormat/>
    <w:uiPriority w:val="0"/>
    <w:rPr>
      <w:sz w:val="21"/>
      <w:szCs w:val="21"/>
    </w:rPr>
  </w:style>
  <w:style w:type="paragraph" w:customStyle="1" w:styleId="21">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2">
    <w:name w:val="标题 2 字符"/>
    <w:link w:val="5"/>
    <w:qFormat/>
    <w:uiPriority w:val="0"/>
    <w:rPr>
      <w:rFonts w:ascii="Arial" w:hAnsi="Arial" w:eastAsia="楷体"/>
      <w:b/>
      <w:sz w:val="32"/>
    </w:rPr>
  </w:style>
  <w:style w:type="paragraph" w:customStyle="1" w:styleId="23">
    <w:name w:val="WPSOffice手动目录 1"/>
    <w:qFormat/>
    <w:uiPriority w:val="0"/>
    <w:pPr>
      <w:spacing w:after="160" w:line="278" w:lineRule="auto"/>
    </w:pPr>
    <w:rPr>
      <w:rFonts w:ascii="Times New Roman" w:hAnsi="Times New Roman" w:eastAsia="宋体" w:cs="Times New Roman"/>
      <w:lang w:val="en-US" w:eastAsia="zh-CN" w:bidi="ar-SA"/>
    </w:rPr>
  </w:style>
  <w:style w:type="paragraph" w:customStyle="1" w:styleId="24">
    <w:name w:val="WPSOffice手动目录 2"/>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25">
    <w:name w:val="WPSOffice手动目录 3"/>
    <w:qFormat/>
    <w:uiPriority w:val="0"/>
    <w:pPr>
      <w:spacing w:after="160" w:line="278" w:lineRule="auto"/>
      <w:ind w:left="400" w:leftChars="4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42</Pages>
  <Words>11022</Words>
  <Characters>11783</Characters>
  <Lines>1079</Lines>
  <Paragraphs>943</Paragraphs>
  <TotalTime>5</TotalTime>
  <ScaleCrop>false</ScaleCrop>
  <LinksUpToDate>false</LinksUpToDate>
  <CharactersWithSpaces>11853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2025-10-24T03:52:55Z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