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DD8E7">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53472BB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24D59E3">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750EA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29123"/>
      <w:bookmarkStart w:id="2" w:name="_Toc1949"/>
      <w:bookmarkStart w:id="3" w:name="_Toc15679"/>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C4E3B4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97F2A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06B3A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93BAE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6A3F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1A564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BAB0D71">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744E2F3">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项目名称：2024年选聘教师工资补助经费</w:t>
      </w:r>
    </w:p>
    <w:p w14:paraId="523EEB74">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阜康市幼儿园</w:t>
      </w:r>
    </w:p>
    <w:p w14:paraId="3D7B012C">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阜康市教育局</w:t>
      </w:r>
    </w:p>
    <w:p w14:paraId="30A68BE1">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：袁文阳</w:t>
      </w:r>
    </w:p>
    <w:p w14:paraId="7A20CC31">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6526AB59">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4E58A563">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072CDAEE">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64C05230">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212EB5B7">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3014B3D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1C2AC08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13E6013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52C215E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2CB1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5CC796A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4AFEDC6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157433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FDEB1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64285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0E5095C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5C51CD0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0B70759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796D6C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BF8EE0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5E1F59F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440F96C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58DED9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2BCDFDD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33058D0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F4EC4B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1E6F577">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6A3D9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8204749">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color w:val="auto"/>
              <w:szCs w:val="28"/>
              <w:highlight w:val="none"/>
              <w:lang w:val="en-US" w:eastAsia="zh-CN"/>
            </w:rPr>
            <w:fldChar w:fldCharType="end"/>
          </w:r>
        </w:p>
      </w:sdtContent>
    </w:sdt>
    <w:p w14:paraId="23BEAC5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OLE_LINK1"/>
      <w:bookmarkStart w:id="5" w:name="_Toc3663"/>
      <w:bookmarkStart w:id="6" w:name="_Toc22946"/>
      <w:bookmarkStart w:id="7" w:name="_Toc1194"/>
      <w:bookmarkStart w:id="8" w:name="_Toc20432"/>
      <w:r>
        <w:rPr>
          <w:rFonts w:hint="eastAsia" w:cs="宋体"/>
          <w:b/>
          <w:bCs/>
          <w:color w:val="auto"/>
          <w:sz w:val="36"/>
          <w:szCs w:val="36"/>
          <w:highlight w:val="none"/>
          <w:shd w:val="clear" w:color="auto" w:fill="auto"/>
          <w:lang w:val="en-US" w:eastAsia="zh-CN"/>
        </w:rPr>
        <w:t>2024年选聘教师工资补助经费</w:t>
      </w:r>
      <w:bookmarkEnd w:id="4"/>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5"/>
      <w:bookmarkEnd w:id="6"/>
      <w:bookmarkEnd w:id="7"/>
      <w:bookmarkEnd w:id="8"/>
    </w:p>
    <w:p w14:paraId="2BEE760A">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9" w:name="_Toc18485"/>
      <w:r>
        <w:rPr>
          <w:rFonts w:hint="eastAsia" w:ascii="黑体" w:hAnsi="黑体" w:eastAsia="黑体" w:cs="黑体"/>
          <w:b w:val="0"/>
          <w:bCs w:val="0"/>
          <w:color w:val="auto"/>
          <w:highlight w:val="none"/>
          <w:shd w:val="clear" w:color="auto" w:fill="auto"/>
        </w:rPr>
        <w:t>一、基本情况</w:t>
      </w:r>
      <w:bookmarkEnd w:id="9"/>
    </w:p>
    <w:p w14:paraId="3F64D7C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 w:name="_Toc23184"/>
      <w:r>
        <w:rPr>
          <w:rFonts w:hint="eastAsia" w:ascii="Times New Roman" w:hAnsi="Times New Roman" w:eastAsia="楷体_GB2312" w:cs="Times New Roman"/>
          <w:color w:val="auto"/>
          <w:kern w:val="28"/>
          <w:sz w:val="32"/>
          <w:highlight w:val="none"/>
          <w:lang w:val="en-US" w:eastAsia="zh-CN"/>
        </w:rPr>
        <w:t>（一）项目概况</w:t>
      </w:r>
      <w:bookmarkEnd w:id="10"/>
    </w:p>
    <w:p w14:paraId="3B0FC6CE">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1" w:name="_Toc5043"/>
      <w:bookmarkStart w:id="12" w:name="_Toc22346"/>
      <w:bookmarkStart w:id="13" w:name="_Toc10645"/>
      <w:bookmarkStart w:id="14"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1"/>
      <w:bookmarkEnd w:id="12"/>
      <w:bookmarkEnd w:id="13"/>
      <w:bookmarkEnd w:id="14"/>
    </w:p>
    <w:p w14:paraId="1F043731">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学前教育蓬勃发展的当下，社会对优质学前教育的需求日益增长。为响应《中华人民共和国学前教育法》中推进普及学前教育，构建公益普惠、安全优质的学前教育公共服务体系，保障幼儿园教师工资福利、依法缴纳社会保险 、实行同工同酬的号召，本地区积极推动学前教育事业发展。然而，随着公办幼儿园在园幼儿数量持续上升，现有编制内教师难以满足教学需求，师资力量不足的问题愈发突出。同时，周边幼儿园调研显示，教师工资待遇较低是导致教师流动性大的关键因素，严重影响教学稳定性和教育质量。为解决这些问题，特设立 2024 年选聘教师工资补助经费。</w:t>
      </w:r>
    </w:p>
    <w:p w14:paraId="2051CCF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5" w:name="_Toc1630"/>
      <w:bookmarkStart w:id="16" w:name="_Toc10730"/>
      <w:bookmarkStart w:id="17" w:name="_Toc27343"/>
      <w:bookmarkStart w:id="18" w:name="_Toc1788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5"/>
      <w:bookmarkEnd w:id="16"/>
      <w:bookmarkEnd w:id="17"/>
      <w:bookmarkEnd w:id="18"/>
    </w:p>
    <w:p w14:paraId="2BFD85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9" w:name="_Toc27245"/>
      <w:bookmarkStart w:id="20" w:name="_Toc21898"/>
      <w:bookmarkStart w:id="21" w:name="_Toc27409"/>
      <w:bookmarkStart w:id="22"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9"/>
      <w:bookmarkEnd w:id="20"/>
      <w:bookmarkEnd w:id="21"/>
      <w:bookmarkEnd w:id="22"/>
    </w:p>
    <w:p w14:paraId="44D273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①资金筹集：通过财政拨款等渠道，筹集选聘教师工资补助经费281.1万元，确保资金充足。</w:t>
      </w:r>
    </w:p>
    <w:p w14:paraId="52EFB4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②教师选聘：依据严格的招聘流程，面向社会公开选聘优秀幼儿园教师。明确招聘条件，要求应聘者具备学前教育专业背景、相应教师资格证书，且有一定教学经验或突出教学能力。</w:t>
      </w:r>
    </w:p>
    <w:p w14:paraId="773D36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lang w:val="en-US" w:eastAsia="zh-CN"/>
        </w:rPr>
        <w:t>③工资发放：根据当地教师工资水平和市场行情，制定合理的工资标准。为选聘教师按时、足额发放工资，包含基本工资、工龄工资等，确保教师待遇具有竞争力。同时，依法为教师缴纳社会保险和住房公积金，保障其合法权益。</w:t>
      </w:r>
    </w:p>
    <w:p w14:paraId="497518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lang w:val="en-US" w:eastAsia="zh-CN"/>
        </w:rPr>
        <w:t>本项目自2024年2月1日经</w:t>
      </w:r>
      <w:bookmarkStart w:id="23" w:name="OLE_LINK14"/>
      <w:r>
        <w:rPr>
          <w:rFonts w:hint="eastAsia" w:ascii="仿宋_GB2312" w:hAnsi="仿宋_GB2312" w:eastAsia="仿宋_GB2312" w:cs="仿宋_GB2312"/>
          <w:color w:val="auto"/>
          <w:sz w:val="32"/>
          <w:szCs w:val="32"/>
          <w:highlight w:val="none"/>
          <w:lang w:val="en-US" w:eastAsia="zh-CN"/>
        </w:rPr>
        <w:t>《阜康市财政局关于2024年部门预算批复》【阜财预字（2024）7号】</w:t>
      </w:r>
      <w:bookmarkEnd w:id="23"/>
      <w:r>
        <w:rPr>
          <w:rFonts w:hint="eastAsia" w:ascii="仿宋_GB2312" w:hAnsi="仿宋_GB2312" w:eastAsia="仿宋_GB2312" w:cs="仿宋_GB2312"/>
          <w:color w:val="auto"/>
          <w:sz w:val="32"/>
          <w:szCs w:val="32"/>
          <w:highlight w:val="none"/>
          <w:lang w:val="en-US" w:eastAsia="zh-CN"/>
        </w:rPr>
        <w:t>文件批复，经阜康市幼儿园财经会议和党支部会议，确定了项目领导小组，明确了责任分工：组长为钱俊莉，副组长为马雪梅，项目负责人为袁文阳,组员为徐娇、张杰、郑婷婷，其中：徐娇负责监管工作，郑婷婷负责项目档案资料，张杰负责资金拨付工作。</w:t>
      </w:r>
    </w:p>
    <w:p w14:paraId="6E4D76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本项目按每人每月0.47万元的标准，完成50名选聘教师工资发放12次，共支付281.1万元。项目实施达到保障教师的正常工资待遇，提高教师的归属感，减少教师队伍人员流失，有效改善教学环境，提供良好的幼儿成长条件。</w:t>
      </w:r>
    </w:p>
    <w:p w14:paraId="6C89BF3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4" w:name="_Toc569"/>
      <w:bookmarkStart w:id="25" w:name="_Toc1858"/>
      <w:bookmarkStart w:id="26" w:name="_Toc12348"/>
      <w:bookmarkStart w:id="27"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4"/>
      <w:bookmarkEnd w:id="25"/>
      <w:bookmarkEnd w:id="26"/>
      <w:bookmarkEnd w:id="27"/>
    </w:p>
    <w:p w14:paraId="354DFDE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8" w:name="_Toc26369"/>
      <w:bookmarkStart w:id="29" w:name="_Toc23509"/>
      <w:bookmarkStart w:id="30" w:name="_Toc694"/>
      <w:r>
        <w:rPr>
          <w:rFonts w:hint="eastAsia" w:ascii="仿宋_GB2312" w:hAnsi="仿宋_GB2312" w:eastAsia="仿宋_GB2312" w:cs="仿宋_GB2312"/>
          <w:color w:val="auto"/>
          <w:sz w:val="32"/>
          <w:szCs w:val="32"/>
          <w:highlight w:val="none"/>
          <w:lang w:val="en-US" w:eastAsia="zh-CN"/>
        </w:rPr>
        <w:t>（1）资金投入情况</w:t>
      </w:r>
      <w:bookmarkEnd w:id="28"/>
      <w:bookmarkEnd w:id="29"/>
      <w:bookmarkEnd w:id="30"/>
    </w:p>
    <w:p w14:paraId="2CA9249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1" w:name="_Toc9464"/>
      <w:bookmarkStart w:id="32" w:name="_Toc5573"/>
      <w:bookmarkStart w:id="33" w:name="_Toc29190"/>
      <w:r>
        <w:rPr>
          <w:rFonts w:hint="eastAsia" w:ascii="仿宋_GB2312" w:hAnsi="仿宋_GB2312" w:eastAsia="仿宋_GB2312" w:cs="仿宋_GB2312"/>
          <w:color w:val="auto"/>
          <w:sz w:val="32"/>
          <w:szCs w:val="32"/>
          <w:highlight w:val="none"/>
          <w:lang w:val="en-US" w:eastAsia="zh-CN"/>
        </w:rPr>
        <w:t>该项目年初预算数281.10万元，全年预算数281.10万元，该项目资金已全部落实到位，资金来源为财政拨款</w:t>
      </w:r>
      <w:bookmarkEnd w:id="31"/>
      <w:bookmarkEnd w:id="32"/>
      <w:bookmarkEnd w:id="33"/>
      <w:bookmarkStart w:id="34" w:name="_Toc28187"/>
      <w:bookmarkStart w:id="35" w:name="_Toc3409"/>
      <w:bookmarkStart w:id="36" w:name="_Toc1166"/>
      <w:r>
        <w:rPr>
          <w:rFonts w:hint="eastAsia" w:ascii="仿宋_GB2312" w:hAnsi="仿宋_GB2312" w:eastAsia="仿宋_GB2312" w:cs="仿宋_GB2312"/>
          <w:color w:val="auto"/>
          <w:sz w:val="32"/>
          <w:szCs w:val="32"/>
          <w:highlight w:val="none"/>
          <w:lang w:val="en-US" w:eastAsia="zh-CN"/>
        </w:rPr>
        <w:t>。</w:t>
      </w:r>
    </w:p>
    <w:p w14:paraId="0F2AA3F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4"/>
      <w:bookmarkEnd w:id="35"/>
      <w:bookmarkEnd w:id="36"/>
    </w:p>
    <w:p w14:paraId="6C28F35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7" w:name="_Toc11647"/>
      <w:bookmarkStart w:id="38" w:name="_Toc29121"/>
      <w:bookmarkStart w:id="39" w:name="_Toc1430"/>
      <w:r>
        <w:rPr>
          <w:rFonts w:hint="eastAsia" w:ascii="仿宋_GB2312" w:hAnsi="仿宋_GB2312" w:eastAsia="仿宋_GB2312" w:cs="仿宋_GB2312"/>
          <w:color w:val="auto"/>
          <w:sz w:val="32"/>
          <w:szCs w:val="32"/>
          <w:highlight w:val="none"/>
          <w:lang w:val="en-US" w:eastAsia="zh-CN"/>
        </w:rPr>
        <w:t>该项目年初预算数281.10万元，全年预算数281.10万元，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全年执行数276.98万元，预算执行率为98.53%，主要用于50名选聘教师的工资发放及社保缴纳。</w:t>
      </w:r>
      <w:bookmarkEnd w:id="37"/>
      <w:bookmarkEnd w:id="38"/>
      <w:bookmarkEnd w:id="39"/>
    </w:p>
    <w:p w14:paraId="497085E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0" w:name="_Toc9109"/>
      <w:r>
        <w:rPr>
          <w:rFonts w:hint="eastAsia" w:ascii="Times New Roman" w:hAnsi="Times New Roman" w:eastAsia="楷体_GB2312" w:cs="Times New Roman"/>
          <w:color w:val="auto"/>
          <w:kern w:val="28"/>
          <w:sz w:val="32"/>
          <w:highlight w:val="none"/>
          <w:lang w:val="en-US" w:eastAsia="zh-CN"/>
        </w:rPr>
        <w:t>（二）项目绩效目标</w:t>
      </w:r>
      <w:bookmarkEnd w:id="40"/>
    </w:p>
    <w:p w14:paraId="3EBA01F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1" w:name="_Toc14758"/>
      <w:bookmarkStart w:id="42" w:name="_Toc10047"/>
      <w:bookmarkStart w:id="43" w:name="_Toc2547"/>
      <w:bookmarkStart w:id="44"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41"/>
      <w:bookmarkEnd w:id="42"/>
      <w:bookmarkEnd w:id="43"/>
      <w:bookmarkEnd w:id="44"/>
    </w:p>
    <w:p w14:paraId="13F267F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绩效总体目标为：保障2024年幼儿园正常运转，维持幼儿园正常教学秩序。计划全年按时支付选聘教师50人12次工资补助经费，每人每年5.62万元。通过按时发放选聘教师工资，保障学前段幼儿园教师工资待遇，提高教师的归属感，减少教师队伍人员流失，有效改善教学环境，提升学前教育教学质量，为幼儿提供良好的成长条件，达到幼儿园正常运转的目的。</w:t>
      </w:r>
    </w:p>
    <w:p w14:paraId="6BACC17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5" w:name="_Toc3255"/>
      <w:bookmarkStart w:id="46" w:name="_Toc4007"/>
      <w:bookmarkStart w:id="47" w:name="_Toc8990"/>
      <w:bookmarkStart w:id="48"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5"/>
      <w:bookmarkEnd w:id="46"/>
      <w:bookmarkEnd w:id="47"/>
      <w:bookmarkEnd w:id="48"/>
    </w:p>
    <w:p w14:paraId="62F50FF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620B67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9" w:name="_Toc26567"/>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2EF670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774668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指标，预期目标值为≧50人；</w:t>
      </w:r>
    </w:p>
    <w:p w14:paraId="457E6F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435A0E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0" w:name="OLE_LINK3"/>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9D6FE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bookmarkEnd w:id="50"/>
    </w:p>
    <w:p w14:paraId="6A564B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369911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“选聘教师工资发放时间”指标，预期目标值为=1次/月；</w:t>
      </w:r>
    </w:p>
    <w:p w14:paraId="1A7345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695D0C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指标，预期目标值为=5.62万元/人/学年；</w:t>
      </w:r>
    </w:p>
    <w:p w14:paraId="5D5814E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D078FA7">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2A518A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项目不涉及经济效益指标。</w:t>
      </w:r>
    </w:p>
    <w:p w14:paraId="74244F7D">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5428C6D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val="en-US" w:eastAsia="zh-CN"/>
        </w:rPr>
        <w:tab/>
      </w:r>
    </w:p>
    <w:p w14:paraId="310FA60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5C9A8B8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32BB9AB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项目不涉及生态效益指标。</w:t>
      </w:r>
    </w:p>
    <w:p w14:paraId="109A706C">
      <w:pPr>
        <w:pageBreakBefore w:val="0"/>
        <w:widowControl w:val="0"/>
        <w:kinsoku/>
        <w:wordWrap/>
        <w:overflowPunct/>
        <w:topLinePunct w:val="0"/>
        <w:autoSpaceDE/>
        <w:autoSpaceDN/>
        <w:bidi w:val="0"/>
        <w:adjustRightInd/>
        <w:snapToGrid/>
        <w:spacing w:line="560" w:lineRule="exact"/>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64BC2BA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项目不涉及可持续影响指标。</w:t>
      </w:r>
    </w:p>
    <w:p w14:paraId="75D34AD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7EF56EC7">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项目不涉及满意度指标。</w:t>
      </w:r>
    </w:p>
    <w:p w14:paraId="08A2026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rPr>
        <w:t>二、绩效评价工作开展情况</w:t>
      </w:r>
      <w:bookmarkEnd w:id="49"/>
    </w:p>
    <w:p w14:paraId="5C04CAC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1" w:name="_Toc26632"/>
      <w:bookmarkStart w:id="52" w:name="_Toc12868"/>
      <w:bookmarkStart w:id="53" w:name="_Toc22169_WPSOffice_Level2"/>
      <w:bookmarkStart w:id="54" w:name="_Toc5258"/>
      <w:bookmarkStart w:id="55" w:name="_Toc21664"/>
      <w:bookmarkStart w:id="56" w:name="_Toc5462343"/>
      <w:bookmarkStart w:id="57" w:name="_Toc22922"/>
      <w:bookmarkStart w:id="58" w:name="_Toc480473081"/>
      <w:bookmarkStart w:id="59" w:name="_Toc22839"/>
      <w:r>
        <w:rPr>
          <w:rFonts w:hint="eastAsia" w:ascii="Times New Roman" w:hAnsi="Times New Roman" w:eastAsia="楷体_GB2312" w:cs="Times New Roman"/>
          <w:color w:val="auto"/>
          <w:kern w:val="28"/>
          <w:sz w:val="32"/>
          <w:highlight w:val="none"/>
          <w:lang w:val="en-US" w:eastAsia="zh-CN"/>
        </w:rPr>
        <w:t>（一）绩效评价的目的</w:t>
      </w:r>
      <w:bookmarkEnd w:id="51"/>
      <w:bookmarkEnd w:id="52"/>
      <w:bookmarkEnd w:id="53"/>
      <w:bookmarkEnd w:id="54"/>
      <w:bookmarkEnd w:id="55"/>
      <w:bookmarkEnd w:id="56"/>
      <w:bookmarkEnd w:id="57"/>
      <w:bookmarkEnd w:id="58"/>
      <w:r>
        <w:rPr>
          <w:rFonts w:hint="eastAsia" w:ascii="Times New Roman" w:hAnsi="Times New Roman" w:eastAsia="楷体_GB2312" w:cs="Times New Roman"/>
          <w:color w:val="auto"/>
          <w:kern w:val="28"/>
          <w:sz w:val="32"/>
          <w:highlight w:val="none"/>
          <w:lang w:val="en-US" w:eastAsia="zh-CN"/>
        </w:rPr>
        <w:t>、对象和范围</w:t>
      </w:r>
      <w:bookmarkEnd w:id="59"/>
    </w:p>
    <w:p w14:paraId="21159F44">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60"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5D6A98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65BA8C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2EE945F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7338DA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7B5788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832A6D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21770"/>
      <w:bookmarkStart w:id="62"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60"/>
      <w:bookmarkEnd w:id="61"/>
      <w:bookmarkEnd w:id="62"/>
    </w:p>
    <w:p w14:paraId="73779A1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22968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3" w:name="_Toc30609"/>
      <w:r>
        <w:rPr>
          <w:rFonts w:hint="default" w:ascii="Times New Roman" w:hAnsi="Times New Roman" w:eastAsia="仿宋_GB2312" w:cs="Times New Roman"/>
          <w:color w:val="auto"/>
          <w:sz w:val="32"/>
          <w:szCs w:val="32"/>
          <w:highlight w:val="none"/>
        </w:rPr>
        <w:t>（1）评估项目实施效果</w:t>
      </w:r>
    </w:p>
    <w:p w14:paraId="129FB6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7A2694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0B086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F0FF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90329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72D7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9C9F5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F130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384F0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C8B07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C82F389">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4" w:name="_Toc16346"/>
      <w:bookmarkStart w:id="65"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3"/>
      <w:bookmarkEnd w:id="64"/>
      <w:bookmarkEnd w:id="65"/>
    </w:p>
    <w:p w14:paraId="3C9864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6" w:name="OLE_LINK5"/>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6"/>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65B5864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保障教师的正常工资待遇，提高教师的归属感，减少教师队伍人员流失，有效改善教学环境，提供良好的幼儿成长条件</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color w:val="auto"/>
          <w:sz w:val="32"/>
          <w:szCs w:val="32"/>
          <w:highlight w:val="none"/>
          <w:lang w:val="en-US" w:eastAsia="zh-CN"/>
        </w:rPr>
        <w:t>276.98</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093964D">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7" w:name="_Toc21311"/>
      <w:bookmarkStart w:id="68" w:name="_Toc11666"/>
      <w:r>
        <w:rPr>
          <w:rFonts w:hint="default" w:cs="仿宋_GB2312"/>
          <w:color w:val="auto"/>
          <w:sz w:val="32"/>
          <w:szCs w:val="32"/>
          <w:highlight w:val="none"/>
          <w:shd w:val="clear" w:color="auto" w:fill="auto"/>
          <w:lang w:val="en-US" w:eastAsia="zh-CN"/>
        </w:rPr>
        <w:t>4.绩效评价的范围</w:t>
      </w:r>
      <w:bookmarkEnd w:id="67"/>
      <w:bookmarkEnd w:id="68"/>
    </w:p>
    <w:p w14:paraId="57A9C704">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708DF6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3DF8CF2B">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6171BA8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545D99F1">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71B1ED2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9" w:name="_Toc29785"/>
      <w:bookmarkStart w:id="70"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9"/>
      <w:bookmarkEnd w:id="70"/>
    </w:p>
    <w:p w14:paraId="22CA90D1">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71" w:name="_Toc5354"/>
      <w:bookmarkStart w:id="72" w:name="_Toc24506"/>
      <w:bookmarkStart w:id="73" w:name="_Toc1369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71"/>
      <w:bookmarkEnd w:id="72"/>
      <w:bookmarkEnd w:id="73"/>
    </w:p>
    <w:p w14:paraId="18B8FD09">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06D865B1">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10EBC28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2E06B97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3CDA983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4A73FE9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165447D1">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4" w:name="_Toc419984722"/>
      <w:bookmarkStart w:id="75" w:name="_Toc26131"/>
      <w:bookmarkStart w:id="76" w:name="_Toc428278230"/>
      <w:bookmarkStart w:id="77" w:name="_Toc1913"/>
      <w:bookmarkStart w:id="78"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4"/>
      <w:bookmarkEnd w:id="75"/>
      <w:bookmarkEnd w:id="76"/>
      <w:bookmarkEnd w:id="77"/>
      <w:bookmarkEnd w:id="78"/>
    </w:p>
    <w:p w14:paraId="719D6BC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9"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65B2B2E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49A52F5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53B70F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48D12D3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057988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503325A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3B63663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B302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9443DB6">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0" w:name="_Toc30114"/>
      <w:bookmarkStart w:id="81"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9"/>
      <w:bookmarkEnd w:id="80"/>
      <w:bookmarkEnd w:id="81"/>
    </w:p>
    <w:p w14:paraId="2563EA29">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2"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1335FACF">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2834C76">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（1）比较法。是指将实施情况与绩效目标、历史情况、不同部门和地区同类支出情况进行比较的方法。</w:t>
      </w:r>
    </w:p>
    <w:p w14:paraId="50D465AF">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原因：通过将项目的实际效果与预定目标、历史数据或同类项目进行对比，能直观地反映出项目的绩对项目绩效的影响程度。</w:t>
      </w:r>
    </w:p>
    <w:p w14:paraId="74AB40B8">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（2）因素分析法。是指综合分析影响绩效目标实现、实施效果的内外部因素的方法。</w:t>
      </w:r>
    </w:p>
    <w:p w14:paraId="5B72823C">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原因：项目涉及多个影响因素，如生均经费利用效率、政策环境的变化等。 因素分析法可以将这些因素进行分解和分析，确定每个因素对项目绩效的影响程度。通过这种方法，能够找出影响项目绩效的关键因素，以便有针对性地采取措施加以改进，提高项目的绩效水平。 </w:t>
      </w:r>
    </w:p>
    <w:p w14:paraId="6F0961B5">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（3）公众评判法。是指通过专家评估、公众问卷及抽样调查等方式进行评判的方法。</w:t>
      </w:r>
    </w:p>
    <w:p w14:paraId="02C9301B">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原因：项目实施情况等相关公众对项目的实施效果有直接或间接的感受。公众评判法可以充分听取他们的意见和建议，从不同角度评价项目的绩效。比如， 项目实施的周边群众的满意度角度进行评价，可以了解项目运行的效果，使绩效评价更具全面性和客观性，也能增强评价结果的可信度和社会认可度。</w:t>
      </w:r>
    </w:p>
    <w:p w14:paraId="20159CF3">
      <w:pPr>
        <w:spacing w:line="560" w:lineRule="exact"/>
        <w:ind w:firstLine="640"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本次绩效评价采用的方法为比较法、因素分析法、公众评判法对项目绩效目标预期目标值与实施情况进行比较，以及采取公众问卷及抽样调查等方式进行评判的方法对2024年学前教育生均经费项目进行评价。</w:t>
      </w:r>
    </w:p>
    <w:p w14:paraId="2E2F76BA">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3" w:name="_Toc25651"/>
      <w:bookmarkStart w:id="84"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2"/>
      <w:bookmarkEnd w:id="83"/>
      <w:bookmarkEnd w:id="84"/>
    </w:p>
    <w:p w14:paraId="794A7D21">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历史标准</w:t>
      </w:r>
      <w:r>
        <w:rPr>
          <w:rFonts w:hint="default" w:ascii="Times New Roman" w:hAnsi="Times New Roman" w:eastAsia="仿宋_GB2312" w:cs="Times New Roman"/>
          <w:color w:val="auto"/>
          <w:spacing w:val="17"/>
          <w:sz w:val="32"/>
          <w:szCs w:val="32"/>
          <w:highlight w:val="none"/>
        </w:rPr>
        <w:t>。</w:t>
      </w:r>
    </w:p>
    <w:p w14:paraId="1951470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E774E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14FC960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5" w:name="_Toc21435"/>
      <w:r>
        <w:rPr>
          <w:rFonts w:hint="eastAsia" w:ascii="Times New Roman" w:hAnsi="Times New Roman" w:eastAsia="楷体_GB2312" w:cs="Times New Roman"/>
          <w:color w:val="auto"/>
          <w:kern w:val="28"/>
          <w:sz w:val="32"/>
          <w:highlight w:val="none"/>
          <w:lang w:val="en-US" w:eastAsia="zh-CN"/>
        </w:rPr>
        <w:t>（三）绩效评价工作过程</w:t>
      </w:r>
      <w:bookmarkEnd w:id="85"/>
    </w:p>
    <w:p w14:paraId="107F635C">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6"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6"/>
    </w:p>
    <w:p w14:paraId="7B2B7F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29C1C82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FF6577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7"/>
    </w:p>
    <w:p w14:paraId="2C35836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8"/>
    </w:p>
    <w:p w14:paraId="3D1C793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9"/>
    </w:p>
    <w:p w14:paraId="2E9305E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0"/>
    </w:p>
    <w:p w14:paraId="7A9BAEEF">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1"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1"/>
    </w:p>
    <w:p w14:paraId="5580883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2"/>
    </w:p>
    <w:p w14:paraId="76BF5D7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3"/>
    </w:p>
    <w:p w14:paraId="12EC3DB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4"/>
    </w:p>
    <w:p w14:paraId="489CAED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5"/>
    </w:p>
    <w:p w14:paraId="36D0B4D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6"/>
    </w:p>
    <w:p w14:paraId="356DC03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7"/>
    </w:p>
    <w:p w14:paraId="06B50BB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8"/>
    </w:p>
    <w:p w14:paraId="28D8C9C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9"/>
    </w:p>
    <w:p w14:paraId="4759D87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0"/>
    </w:p>
    <w:p w14:paraId="78B78A3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1"/>
    </w:p>
    <w:p w14:paraId="6EE7CC22">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2"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2"/>
    </w:p>
    <w:p w14:paraId="40EA4C4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3"/>
    </w:p>
    <w:p w14:paraId="33F6682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4"/>
    </w:p>
    <w:p w14:paraId="3DBA25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5"/>
    </w:p>
    <w:p w14:paraId="20D2B6A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6"/>
    </w:p>
    <w:p w14:paraId="7316EAD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7"/>
    </w:p>
    <w:p w14:paraId="7D59892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8"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8"/>
    </w:p>
    <w:p w14:paraId="2F0D1D4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9"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9"/>
    </w:p>
    <w:p w14:paraId="02F7273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2C86B6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4735D7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10" w:name="_Toc11863"/>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保障教师的正常工资待遇，提高教师的归属感，减少教师队伍人员流失</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10278EC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4384E66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（二）相关评分表</w:t>
      </w:r>
      <w:bookmarkEnd w:id="110"/>
    </w:p>
    <w:p w14:paraId="5D3A0FDC">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99.10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19.94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99.7</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98.75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1F8BC4B">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DF08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宋体" w:hAnsi="宋体" w:eastAsia="宋体" w:cs="宋体"/>
                <w:b/>
                <w:bCs/>
                <w:color w:val="auto"/>
                <w:kern w:val="0"/>
                <w:sz w:val="28"/>
                <w:szCs w:val="28"/>
                <w:highlight w:val="none"/>
                <w:shd w:val="clear" w:color="auto" w:fill="auto"/>
                <w:lang w:val="en-US" w:eastAsia="zh-CN"/>
              </w:rPr>
              <w:t>得分表</w:t>
            </w:r>
          </w:p>
          <w:p w14:paraId="1D042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cs="宋体"/>
                <w:b/>
                <w:bCs/>
                <w:color w:val="auto"/>
                <w:kern w:val="0"/>
                <w:sz w:val="28"/>
                <w:szCs w:val="28"/>
                <w:highlight w:val="none"/>
                <w:shd w:val="clear" w:color="auto" w:fill="auto"/>
                <w:lang w:val="en-US" w:eastAsia="zh-CN"/>
              </w:rPr>
              <w:t>（与指标体系分值对应，全部填写不得有空，</w:t>
            </w:r>
            <w:r>
              <w:rPr>
                <w:rFonts w:hint="eastAsia" w:ascii="宋体" w:hAnsi="宋体" w:eastAsia="宋体" w:cs="宋体"/>
                <w:b/>
                <w:bCs/>
                <w:color w:val="auto"/>
                <w:highlight w:val="none"/>
                <w:shd w:val="clear" w:color="auto" w:fill="auto"/>
                <w:lang w:val="en-US" w:eastAsia="zh-CN"/>
              </w:rPr>
              <w:t>完成后删除批注</w:t>
            </w:r>
            <w:r>
              <w:rPr>
                <w:rFonts w:hint="eastAsia" w:cs="宋体"/>
                <w:b/>
                <w:bCs/>
                <w:color w:val="auto"/>
                <w:kern w:val="0"/>
                <w:sz w:val="28"/>
                <w:szCs w:val="28"/>
                <w:highlight w:val="none"/>
                <w:shd w:val="clear" w:color="auto" w:fill="auto"/>
                <w:lang w:val="en-US" w:eastAsia="zh-CN"/>
              </w:rPr>
              <w:t>）</w:t>
            </w:r>
          </w:p>
        </w:tc>
      </w:tr>
      <w:tr w14:paraId="5A06F5C3">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4FF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88A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C23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25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F6E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708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6270A38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8C0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B60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AF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DD8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C03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489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01EB034">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639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FA8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AF5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19.94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51B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39.5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EAB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F5B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98.64</w:t>
            </w:r>
          </w:p>
        </w:tc>
      </w:tr>
      <w:tr w14:paraId="7184534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356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90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1DF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99.7%</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48E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98.75%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2F0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C44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98.64%</w:t>
            </w:r>
          </w:p>
        </w:tc>
      </w:tr>
    </w:tbl>
    <w:p w14:paraId="5A464DA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1" w:name="_Toc14941"/>
      <w:r>
        <w:rPr>
          <w:rFonts w:hint="eastAsia" w:ascii="黑体" w:hAnsi="黑体" w:eastAsia="黑体" w:cs="黑体"/>
          <w:b w:val="0"/>
          <w:bCs w:val="0"/>
          <w:color w:val="auto"/>
          <w:highlight w:val="none"/>
          <w:shd w:val="clear" w:color="auto" w:fill="auto"/>
          <w:lang w:val="en-US" w:eastAsia="zh-CN"/>
        </w:rPr>
        <w:t>四、绩效评价指标分析</w:t>
      </w:r>
      <w:bookmarkEnd w:id="111"/>
    </w:p>
    <w:p w14:paraId="762CACE6">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2" w:name="_Toc6759"/>
      <w:r>
        <w:rPr>
          <w:rFonts w:hint="eastAsia" w:ascii="Times New Roman" w:hAnsi="Times New Roman" w:eastAsia="楷体_GB2312" w:cs="Times New Roman"/>
          <w:color w:val="auto"/>
          <w:kern w:val="28"/>
          <w:sz w:val="32"/>
          <w:highlight w:val="none"/>
        </w:rPr>
        <w:t>（一）项目决策情况</w:t>
      </w:r>
      <w:bookmarkEnd w:id="112"/>
    </w:p>
    <w:p w14:paraId="2BD5DF0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3AF91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4C7FF8C5">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EC040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5DC1F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82EC2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997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9F1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0E5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D37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0BDACE3">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DE033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8573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10E14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14:paraId="7625DA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D7F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F09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E6F1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D63E7F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EEC49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7DDEA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14:paraId="557E9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29A909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1BD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DB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A4B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D7811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3DCB75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055AB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55731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CA4A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C32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8C3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7B0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39A3C4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4356E2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1229A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75C3E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457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C64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8D6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6CF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F158B1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8A556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271F0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410CD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E188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460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D7A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7A8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F7B9A7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C3060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DC209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52639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BC2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CF8C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607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AADF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66D7E2B5">
        <w:tblPrEx>
          <w:tblCellMar>
            <w:top w:w="0" w:type="dxa"/>
            <w:left w:w="0" w:type="dxa"/>
            <w:bottom w:w="0" w:type="dxa"/>
            <w:right w:w="0" w:type="dxa"/>
          </w:tblCellMar>
        </w:tblPrEx>
        <w:trPr>
          <w:trHeight w:val="334" w:hRule="atLeast"/>
          <w:tblHeader/>
          <w:jc w:val="center"/>
        </w:trPr>
        <w:tc>
          <w:tcPr>
            <w:tcW w:w="3285" w:type="dxa"/>
            <w:gridSpan w:val="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22F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E543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895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D98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CDC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488050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8069"/>
      <w:bookmarkStart w:id="114" w:name="_Toc13522"/>
      <w:r>
        <w:rPr>
          <w:rFonts w:hint="eastAsia" w:ascii="仿宋_GB2312" w:hAnsi="仿宋_GB2312" w:eastAsia="仿宋_GB2312" w:cs="仿宋_GB2312"/>
          <w:b/>
          <w:bCs/>
          <w:color w:val="auto"/>
          <w:sz w:val="32"/>
          <w:szCs w:val="32"/>
          <w:highlight w:val="none"/>
          <w:lang w:val="en-US" w:eastAsia="zh-CN"/>
        </w:rPr>
        <w:t>1.立项依据充分性</w:t>
      </w:r>
      <w:bookmarkEnd w:id="113"/>
      <w:bookmarkEnd w:id="114"/>
    </w:p>
    <w:p w14:paraId="3C5B81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①项目立项符合《中华人民共和国学前教育法》、《关于学前教育深化改革规范发展的若干意见》</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w:t>
      </w:r>
    </w:p>
    <w:p w14:paraId="1DFE5B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2F5B5F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0A4CED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6B3885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0E3A8D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29699F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21976"/>
      <w:bookmarkStart w:id="116" w:name="_Toc23240"/>
      <w:r>
        <w:rPr>
          <w:rFonts w:hint="eastAsia" w:ascii="仿宋_GB2312" w:hAnsi="仿宋_GB2312" w:eastAsia="仿宋_GB2312" w:cs="仿宋_GB2312"/>
          <w:b/>
          <w:bCs/>
          <w:color w:val="auto"/>
          <w:sz w:val="32"/>
          <w:szCs w:val="32"/>
          <w:highlight w:val="none"/>
          <w:lang w:val="en-US" w:eastAsia="zh-CN"/>
        </w:rPr>
        <w:t>2.立项程序规范性</w:t>
      </w:r>
      <w:bookmarkEnd w:id="115"/>
      <w:bookmarkEnd w:id="116"/>
    </w:p>
    <w:p w14:paraId="0E1A6A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11B10C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2606E92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w:t>
      </w:r>
      <w:r>
        <w:rPr>
          <w:rFonts w:hint="eastAsia" w:ascii="仿宋_GB2312" w:hAnsi="仿宋_GB2312" w:eastAsia="仿宋_GB2312" w:cs="仿宋_GB2312"/>
          <w:color w:val="auto"/>
          <w:sz w:val="32"/>
          <w:szCs w:val="32"/>
          <w:highlight w:val="none"/>
          <w:lang w:eastAsia="zh-CN"/>
        </w:rPr>
        <w:t>风险评估、绩效评估。扣</w:t>
      </w:r>
      <w:r>
        <w:rPr>
          <w:rFonts w:hint="eastAsia" w:ascii="仿宋_GB2312" w:hAnsi="仿宋_GB2312" w:eastAsia="仿宋_GB2312" w:cs="仿宋_GB2312"/>
          <w:color w:val="auto"/>
          <w:sz w:val="32"/>
          <w:szCs w:val="32"/>
          <w:highlight w:val="none"/>
          <w:lang w:val="en-US" w:eastAsia="zh-CN"/>
        </w:rPr>
        <w:t>0.8分</w:t>
      </w:r>
    </w:p>
    <w:p w14:paraId="620176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758487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5382"/>
      <w:bookmarkStart w:id="118" w:name="_Toc23542"/>
      <w:r>
        <w:rPr>
          <w:rFonts w:hint="eastAsia" w:ascii="仿宋_GB2312" w:hAnsi="仿宋_GB2312" w:eastAsia="仿宋_GB2312" w:cs="仿宋_GB2312"/>
          <w:b/>
          <w:bCs/>
          <w:color w:val="auto"/>
          <w:sz w:val="32"/>
          <w:szCs w:val="32"/>
          <w:highlight w:val="none"/>
          <w:lang w:val="en-US" w:eastAsia="zh-CN"/>
        </w:rPr>
        <w:t>3.绩效目标合理性</w:t>
      </w:r>
      <w:bookmarkEnd w:id="117"/>
      <w:bookmarkEnd w:id="118"/>
    </w:p>
    <w:p w14:paraId="76C63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861B0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19" w:name="OLE_LINK13"/>
      <w:r>
        <w:rPr>
          <w:rFonts w:hint="eastAsia" w:ascii="仿宋_GB2312" w:hAnsi="仿宋_GB2312" w:eastAsia="仿宋_GB2312" w:cs="仿宋_GB2312"/>
          <w:color w:val="auto"/>
          <w:sz w:val="32"/>
          <w:szCs w:val="32"/>
          <w:highlight w:val="none"/>
          <w:lang w:eastAsia="zh-CN"/>
        </w:rPr>
        <w:t>按每人每月0.47万元的标准，完成5</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名选聘教师工资发放12次</w:t>
      </w:r>
      <w:bookmarkEnd w:id="119"/>
      <w:r>
        <w:rPr>
          <w:rFonts w:hint="eastAsia" w:ascii="仿宋_GB2312" w:hAnsi="仿宋_GB2312" w:eastAsia="仿宋_GB2312" w:cs="仿宋_GB2312"/>
          <w:color w:val="auto"/>
          <w:sz w:val="32"/>
          <w:szCs w:val="32"/>
          <w:highlight w:val="none"/>
          <w:lang w:eastAsia="zh-CN"/>
        </w:rPr>
        <w:t>，共支付28</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.1万元。绩效目标与实际工作内容一致，两者具有相关性。</w:t>
      </w:r>
    </w:p>
    <w:p w14:paraId="5034E5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③该项目按照绩效目标完成数量指标、质量指标、时效指标、成本指标，完成了按每人每月0.47万元的标准</w:t>
      </w:r>
      <w:r>
        <w:rPr>
          <w:rFonts w:hint="eastAsia" w:ascii="仿宋_GB2312" w:hAnsi="仿宋_GB2312" w:eastAsia="仿宋_GB2312" w:cs="仿宋_GB2312"/>
          <w:color w:val="auto"/>
          <w:sz w:val="32"/>
          <w:szCs w:val="32"/>
          <w:highlight w:val="none"/>
          <w:lang w:val="en-US" w:eastAsia="zh-CN"/>
        </w:rPr>
        <w:t>发放</w:t>
      </w:r>
      <w:r>
        <w:rPr>
          <w:rFonts w:hint="eastAsia" w:ascii="仿宋_GB2312" w:hAnsi="仿宋_GB2312" w:eastAsia="仿宋_GB2312" w:cs="仿宋_GB2312"/>
          <w:color w:val="auto"/>
          <w:sz w:val="32"/>
          <w:szCs w:val="32"/>
          <w:highlight w:val="none"/>
          <w:lang w:eastAsia="zh-CN"/>
        </w:rPr>
        <w:t>5名选聘教师工资12次，达到改善教学环境，提供良好的学生成长条件，</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eastAsia="zh-CN"/>
        </w:rPr>
        <w:t>幼儿园正常运转的社会效益，预期产出效益和效果符合正常的业绩水平。</w:t>
      </w:r>
    </w:p>
    <w:p w14:paraId="26CE53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1948D9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34616C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18198"/>
      <w:bookmarkStart w:id="121" w:name="_Toc10650"/>
      <w:r>
        <w:rPr>
          <w:rFonts w:hint="eastAsia" w:ascii="仿宋_GB2312" w:hAnsi="仿宋_GB2312" w:eastAsia="仿宋_GB2312" w:cs="仿宋_GB2312"/>
          <w:b/>
          <w:bCs/>
          <w:color w:val="auto"/>
          <w:sz w:val="32"/>
          <w:szCs w:val="32"/>
          <w:highlight w:val="none"/>
          <w:lang w:val="en-US" w:eastAsia="zh-CN"/>
        </w:rPr>
        <w:t>4.绩效指标明确性</w:t>
      </w:r>
      <w:bookmarkEnd w:id="120"/>
      <w:bookmarkEnd w:id="121"/>
    </w:p>
    <w:p w14:paraId="29CBD7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252ACC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6FBDD7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2BBE1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CA282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5BDF4E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8296"/>
      <w:bookmarkStart w:id="123" w:name="_Toc19401"/>
      <w:r>
        <w:rPr>
          <w:rFonts w:hint="eastAsia" w:ascii="仿宋_GB2312" w:hAnsi="仿宋_GB2312" w:eastAsia="仿宋_GB2312" w:cs="仿宋_GB2312"/>
          <w:b/>
          <w:bCs/>
          <w:color w:val="auto"/>
          <w:sz w:val="32"/>
          <w:szCs w:val="32"/>
          <w:highlight w:val="none"/>
          <w:lang w:val="en-US" w:eastAsia="zh-CN"/>
        </w:rPr>
        <w:t>5.预算编制科学性</w:t>
      </w:r>
      <w:bookmarkEnd w:id="122"/>
      <w:bookmarkEnd w:id="123"/>
    </w:p>
    <w:p w14:paraId="5D7C6E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67EF78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预算申请内容为2024年选聘教师工资补助经费，项目实际内容为2024年选聘教师工资补助经费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，预算申请与项目内容匹配；</w:t>
      </w:r>
    </w:p>
    <w:p w14:paraId="73A89C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281.10万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商品服务支出中列支选聘教师工资的劳务费281.10</w:t>
      </w:r>
      <w:r>
        <w:rPr>
          <w:rFonts w:hint="eastAsia" w:ascii="仿宋_GB2312" w:hAnsi="仿宋_GB2312" w:eastAsia="仿宋_GB2312" w:cs="仿宋_GB2312"/>
          <w:color w:val="auto"/>
          <w:sz w:val="32"/>
          <w:szCs w:val="32"/>
          <w:highlight w:val="none"/>
          <w:lang w:eastAsia="zh-CN"/>
        </w:rPr>
        <w:t>万元。</w:t>
      </w:r>
    </w:p>
    <w:p w14:paraId="3B3924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3BA4AF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E5B235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697"/>
      <w:bookmarkStart w:id="125" w:name="_Toc20556"/>
      <w:r>
        <w:rPr>
          <w:rFonts w:hint="eastAsia" w:ascii="仿宋_GB2312" w:hAnsi="仿宋_GB2312" w:eastAsia="仿宋_GB2312" w:cs="仿宋_GB2312"/>
          <w:b/>
          <w:bCs/>
          <w:color w:val="auto"/>
          <w:sz w:val="32"/>
          <w:szCs w:val="32"/>
          <w:highlight w:val="none"/>
          <w:lang w:val="en-US" w:eastAsia="zh-CN"/>
        </w:rPr>
        <w:t>6.资金分配合理性</w:t>
      </w:r>
      <w:bookmarkEnd w:id="124"/>
      <w:bookmarkEnd w:id="125"/>
    </w:p>
    <w:p w14:paraId="746F2B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CN"/>
        </w:rPr>
        <w:t>《阜康市财政局关于2024年部门预算批复》【阜财预字（2024）7号】</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Hans"/>
        </w:rPr>
        <w:t>依据进行资金分配，预算资金分配依据充分</w:t>
      </w:r>
      <w:r>
        <w:rPr>
          <w:rFonts w:hint="eastAsia" w:ascii="仿宋_GB2312" w:hAnsi="仿宋_GB2312" w:eastAsia="仿宋_GB2312" w:cs="仿宋_GB2312"/>
          <w:color w:val="auto"/>
          <w:sz w:val="32"/>
          <w:szCs w:val="32"/>
          <w:highlight w:val="none"/>
          <w:lang w:eastAsia="zh-CN"/>
        </w:rPr>
        <w:t>。</w:t>
      </w:r>
    </w:p>
    <w:p w14:paraId="1BFE1C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7E62A6F5">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9AC9B25">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6"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6"/>
    </w:p>
    <w:p w14:paraId="29C25A3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19.94</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F2AC6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7D06AA7B">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A5CA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699D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299C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736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656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1ED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64D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9A4D4C3">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C2BC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AD87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E26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BA1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2D6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611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DB3A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666F57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BBCA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9635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D06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330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2A6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AA7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64F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3.94</w:t>
            </w:r>
          </w:p>
        </w:tc>
      </w:tr>
      <w:tr w14:paraId="2C4AAA8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962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B54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CCD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3FA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41C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6E7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96C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3A430A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E56F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8E0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822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5CF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3B8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6CC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89C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C5B0AB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FBDB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0307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59C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2237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57B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C8A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0AD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BC220E">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B961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791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84F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01C0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32B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19.94</w:t>
            </w:r>
          </w:p>
        </w:tc>
      </w:tr>
    </w:tbl>
    <w:p w14:paraId="53FD17C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7" w:name="_Toc20449"/>
      <w:bookmarkStart w:id="128" w:name="_Toc3886"/>
      <w:r>
        <w:rPr>
          <w:rFonts w:hint="eastAsia" w:ascii="仿宋_GB2312" w:hAnsi="仿宋_GB2312" w:eastAsia="仿宋_GB2312" w:cs="仿宋_GB2312"/>
          <w:b/>
          <w:bCs/>
          <w:color w:val="auto"/>
          <w:sz w:val="32"/>
          <w:szCs w:val="32"/>
          <w:highlight w:val="none"/>
          <w:lang w:val="en-US" w:eastAsia="zh-CN"/>
        </w:rPr>
        <w:t>1.资金到位率</w:t>
      </w:r>
      <w:bookmarkEnd w:id="127"/>
      <w:bookmarkEnd w:id="128"/>
    </w:p>
    <w:p w14:paraId="1A3122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302CD7B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5EF7F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B02082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9" w:name="_Toc9705"/>
      <w:bookmarkStart w:id="130" w:name="_Toc17709"/>
      <w:r>
        <w:rPr>
          <w:rFonts w:hint="eastAsia" w:ascii="仿宋_GB2312" w:hAnsi="仿宋_GB2312" w:eastAsia="仿宋_GB2312" w:cs="仿宋_GB2312"/>
          <w:b/>
          <w:bCs/>
          <w:color w:val="auto"/>
          <w:sz w:val="32"/>
          <w:szCs w:val="32"/>
          <w:highlight w:val="none"/>
          <w:lang w:val="en-US" w:eastAsia="zh-CN"/>
        </w:rPr>
        <w:t>2.预算执行率</w:t>
      </w:r>
      <w:bookmarkEnd w:id="129"/>
      <w:bookmarkEnd w:id="130"/>
    </w:p>
    <w:p w14:paraId="232162B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276.98</w:t>
      </w:r>
      <w:r>
        <w:rPr>
          <w:rFonts w:hint="eastAsia" w:ascii="仿宋_GB2312" w:hAnsi="仿宋_GB2312" w:eastAsia="仿宋_GB2312" w:cs="仿宋_GB2312"/>
          <w:color w:val="auto"/>
          <w:sz w:val="32"/>
          <w:szCs w:val="32"/>
          <w:highlight w:val="none"/>
          <w:lang w:val="en-US" w:eastAsia="zh-CN"/>
        </w:rPr>
        <w:t>万元。</w:t>
      </w:r>
    </w:p>
    <w:p w14:paraId="7EAFA14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276.98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val="en-US" w:eastAsia="zh-CN"/>
        </w:rPr>
        <w:t>8.53%，扣0.06分。</w:t>
      </w:r>
    </w:p>
    <w:p w14:paraId="5497F0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综上，该项指标满分4分，得分3.94分。</w:t>
      </w:r>
    </w:p>
    <w:p w14:paraId="526141D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8691"/>
      <w:bookmarkStart w:id="132" w:name="_Toc28875"/>
      <w:r>
        <w:rPr>
          <w:rFonts w:hint="eastAsia" w:ascii="仿宋_GB2312" w:hAnsi="仿宋_GB2312" w:eastAsia="仿宋_GB2312" w:cs="仿宋_GB2312"/>
          <w:b/>
          <w:bCs/>
          <w:color w:val="auto"/>
          <w:sz w:val="32"/>
          <w:szCs w:val="32"/>
          <w:highlight w:val="none"/>
          <w:lang w:val="en-US" w:eastAsia="zh-CN"/>
        </w:rPr>
        <w:t>3.资金使用合规性</w:t>
      </w:r>
      <w:bookmarkEnd w:id="131"/>
      <w:bookmarkEnd w:id="132"/>
    </w:p>
    <w:p w14:paraId="537D1F26">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3" w:name="OLE_LINK12"/>
      <w:r>
        <w:rPr>
          <w:rFonts w:hint="eastAsia" w:ascii="仿宋_GB2312" w:hAnsi="仿宋_GB2312" w:eastAsia="仿宋_GB2312" w:cs="仿宋_GB2312"/>
          <w:color w:val="auto"/>
          <w:sz w:val="32"/>
          <w:szCs w:val="32"/>
          <w:highlight w:val="none"/>
          <w:lang w:val="en-US" w:eastAsia="zh-CN"/>
        </w:rPr>
        <w:t>阜康市幼儿园</w:t>
      </w:r>
      <w:bookmarkEnd w:id="133"/>
      <w:r>
        <w:rPr>
          <w:rFonts w:hint="eastAsia" w:ascii="仿宋_GB2312" w:hAnsi="仿宋_GB2312" w:eastAsia="仿宋_GB2312" w:cs="仿宋_GB2312"/>
          <w:color w:val="auto"/>
          <w:sz w:val="32"/>
          <w:szCs w:val="32"/>
          <w:highlight w:val="none"/>
          <w:lang w:val="en-US" w:eastAsia="zh-CN"/>
        </w:rPr>
        <w:t>财务</w:t>
      </w:r>
      <w:r>
        <w:rPr>
          <w:rFonts w:hint="eastAsia" w:ascii="仿宋_GB2312" w:hAnsi="仿宋_GB2312" w:eastAsia="仿宋_GB2312" w:cs="仿宋_GB2312"/>
          <w:color w:val="auto"/>
          <w:sz w:val="32"/>
          <w:szCs w:val="32"/>
          <w:highlight w:val="none"/>
          <w:lang w:eastAsia="zh-CN"/>
        </w:rPr>
        <w:t>管理</w:t>
      </w:r>
      <w:r>
        <w:rPr>
          <w:rFonts w:hint="eastAsia" w:ascii="仿宋_GB2312" w:hAnsi="仿宋_GB2312" w:eastAsia="仿宋_GB2312" w:cs="仿宋_GB2312"/>
          <w:color w:val="auto"/>
          <w:sz w:val="32"/>
          <w:szCs w:val="32"/>
          <w:highlight w:val="none"/>
          <w:lang w:val="en-US" w:eastAsia="zh-CN"/>
        </w:rPr>
        <w:t>制度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阜康市</w:t>
      </w:r>
      <w:r>
        <w:rPr>
          <w:rFonts w:hint="eastAsia" w:ascii="仿宋_GB2312" w:hAnsi="仿宋_GB2312" w:eastAsia="仿宋_GB2312" w:cs="仿宋_GB2312"/>
          <w:color w:val="auto"/>
          <w:sz w:val="32"/>
          <w:szCs w:val="32"/>
          <w:highlight w:val="none"/>
          <w:lang w:eastAsia="zh-CN"/>
        </w:rPr>
        <w:t>专项资金管理办法》；</w:t>
      </w:r>
    </w:p>
    <w:p w14:paraId="27493A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1E386D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5E5364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44EBF1F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533F22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6FF92F3">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0B39D9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21E0D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678F9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E99CD02">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34" w:name="_Toc31684"/>
      <w:bookmarkStart w:id="135" w:name="_Toc13984"/>
      <w:r>
        <w:rPr>
          <w:rFonts w:hint="eastAsia" w:ascii="仿宋_GB2312" w:hAnsi="仿宋_GB2312" w:eastAsia="仿宋_GB2312" w:cs="仿宋_GB2312"/>
          <w:b/>
          <w:bCs/>
          <w:color w:val="auto"/>
          <w:sz w:val="32"/>
          <w:szCs w:val="32"/>
          <w:highlight w:val="none"/>
          <w:lang w:val="en-US" w:eastAsia="zh-CN"/>
        </w:rPr>
        <w:t>5.制度执行有效性</w:t>
      </w:r>
      <w:bookmarkEnd w:id="134"/>
      <w:bookmarkEnd w:id="135"/>
    </w:p>
    <w:p w14:paraId="0FC820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2BD9EC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4353979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项目合同书、财务支付凭证等资料齐全并及时归档</w:t>
      </w:r>
      <w:r>
        <w:rPr>
          <w:rFonts w:hint="eastAsia" w:ascii="仿宋_GB2312" w:hAnsi="仿宋_GB2312" w:eastAsia="仿宋_GB2312" w:cs="仿宋_GB2312"/>
          <w:color w:val="auto"/>
          <w:sz w:val="32"/>
          <w:szCs w:val="32"/>
          <w:highlight w:val="none"/>
          <w:lang w:eastAsia="zh-CN"/>
        </w:rPr>
        <w:t>；</w:t>
      </w:r>
    </w:p>
    <w:p w14:paraId="3EA33C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lang w:val="en-US" w:eastAsia="zh-CN"/>
        </w:rPr>
        <w:t>钱俊莉</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马雪梅</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张杰、郑婷婷</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徐娇</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4CD901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663780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6" w:name="_Toc2441"/>
      <w:r>
        <w:rPr>
          <w:rFonts w:hint="eastAsia" w:ascii="Times New Roman" w:hAnsi="Times New Roman" w:eastAsia="楷体_GB2312" w:cs="Times New Roman"/>
          <w:color w:val="auto"/>
          <w:kern w:val="28"/>
          <w:sz w:val="32"/>
          <w:highlight w:val="none"/>
          <w:lang w:val="en-US" w:eastAsia="zh-CN"/>
        </w:rPr>
        <w:t>（三）项目产出情况</w:t>
      </w:r>
      <w:bookmarkEnd w:id="136"/>
    </w:p>
    <w:p w14:paraId="428221A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39.5</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09E68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1D54F2F">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7E8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3D1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CC8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AA9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EA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E6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31E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4DF22B92">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DD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C2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6E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选聘教师人数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5D4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≧50人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3FB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DBE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49人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61C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r>
      <w:tr w14:paraId="283D818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92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76B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3C3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工资支付次数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074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25F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1F4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E32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4DD99BF">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3EC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FF4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048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人员经费享受比例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951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EC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A28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331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BD59B49">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83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542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616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2E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E4E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226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p w14:paraId="5160C067">
            <w:pPr>
              <w:keepNext w:val="0"/>
              <w:keepLines w:val="0"/>
              <w:pageBreakBefore w:val="0"/>
              <w:kinsoku/>
              <w:wordWrap/>
              <w:overflowPunct/>
              <w:topLinePunct w:val="0"/>
              <w:autoSpaceDE/>
              <w:autoSpaceDN/>
              <w:bidi w:val="0"/>
              <w:adjustRightInd/>
              <w:spacing w:line="300" w:lineRule="exact"/>
              <w:ind w:firstLine="400" w:firstLineChars="200"/>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B5C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FECAEE9">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3D0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813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2C0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39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=5.62万元/人/学年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91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FB9D">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i w:val="0"/>
                <w:color w:val="auto"/>
                <w:kern w:val="0"/>
                <w:sz w:val="20"/>
                <w:szCs w:val="20"/>
                <w:highlight w:val="none"/>
                <w:u w:val="none"/>
                <w:lang w:val="en-US" w:eastAsia="zh-CN" w:bidi="ar"/>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FEB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883B97F">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CF3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D4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1E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D78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39.5</w:t>
            </w:r>
          </w:p>
        </w:tc>
      </w:tr>
    </w:tbl>
    <w:p w14:paraId="7F244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7" w:name="_Toc26689"/>
      <w:bookmarkStart w:id="138" w:name="_Toc11067"/>
      <w:r>
        <w:rPr>
          <w:rFonts w:hint="eastAsia" w:ascii="仿宋_GB2312" w:hAnsi="仿宋_GB2312" w:eastAsia="仿宋_GB2312" w:cs="仿宋_GB2312"/>
          <w:b/>
          <w:bCs/>
          <w:color w:val="auto"/>
          <w:sz w:val="32"/>
          <w:szCs w:val="32"/>
          <w:highlight w:val="none"/>
          <w:lang w:val="en-US" w:eastAsia="zh-CN"/>
        </w:rPr>
        <w:t>1.数量指标完成情况</w:t>
      </w:r>
      <w:bookmarkEnd w:id="137"/>
      <w:bookmarkEnd w:id="138"/>
    </w:p>
    <w:p w14:paraId="161511F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指标，预期目标值为≧50人，实际完成为49人。实际完成率=（49人/50人）×100%=98%。偏差原因：本年度11月份我园辞职1人，因此截止12月完成值为49人。扣0.5分。</w:t>
      </w:r>
    </w:p>
    <w:p w14:paraId="37F29C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指标，预期目标值为=12次，实际完成为12次。实际完成率=（12次/12次）×100%=100%。</w:t>
      </w:r>
    </w:p>
    <w:p w14:paraId="0A5351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综上，该项指标满分20分，得分19.5分。</w:t>
      </w:r>
    </w:p>
    <w:p w14:paraId="2AC320B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9" w:name="_Toc31739"/>
      <w:bookmarkStart w:id="140" w:name="_Toc14255"/>
      <w:r>
        <w:rPr>
          <w:rFonts w:hint="eastAsia" w:ascii="仿宋_GB2312" w:hAnsi="仿宋_GB2312" w:eastAsia="仿宋_GB2312" w:cs="仿宋_GB2312"/>
          <w:b/>
          <w:bCs/>
          <w:color w:val="auto"/>
          <w:sz w:val="32"/>
          <w:szCs w:val="32"/>
          <w:highlight w:val="none"/>
          <w:lang w:val="en-US" w:eastAsia="zh-CN"/>
        </w:rPr>
        <w:t>2.</w:t>
      </w:r>
      <w:bookmarkEnd w:id="139"/>
      <w:r>
        <w:rPr>
          <w:rFonts w:hint="eastAsia" w:ascii="仿宋_GB2312" w:hAnsi="仿宋_GB2312" w:eastAsia="仿宋_GB2312" w:cs="仿宋_GB2312"/>
          <w:b/>
          <w:bCs/>
          <w:color w:val="auto"/>
          <w:sz w:val="32"/>
          <w:szCs w:val="32"/>
          <w:highlight w:val="none"/>
          <w:lang w:val="en-US" w:eastAsia="zh-CN"/>
        </w:rPr>
        <w:t>质量指标完成情况</w:t>
      </w:r>
      <w:bookmarkEnd w:id="140"/>
    </w:p>
    <w:p w14:paraId="7A22E8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54815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7A3725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41" w:name="_Toc18307"/>
      <w:bookmarkStart w:id="142" w:name="_Toc28885"/>
      <w:bookmarkStart w:id="143" w:name="_Toc19424"/>
      <w:r>
        <w:rPr>
          <w:rFonts w:hint="eastAsia" w:ascii="仿宋_GB2312" w:hAnsi="仿宋_GB2312" w:eastAsia="仿宋_GB2312" w:cs="仿宋_GB2312"/>
          <w:b/>
          <w:bCs/>
          <w:color w:val="auto"/>
          <w:sz w:val="32"/>
          <w:szCs w:val="32"/>
          <w:highlight w:val="none"/>
          <w:lang w:val="en-US" w:eastAsia="zh-CN"/>
        </w:rPr>
        <w:t>3.</w:t>
      </w:r>
      <w:bookmarkEnd w:id="141"/>
      <w:r>
        <w:rPr>
          <w:rFonts w:hint="eastAsia" w:ascii="仿宋_GB2312" w:hAnsi="仿宋_GB2312" w:eastAsia="仿宋_GB2312" w:cs="仿宋_GB2312"/>
          <w:b/>
          <w:bCs/>
          <w:color w:val="auto"/>
          <w:sz w:val="32"/>
          <w:szCs w:val="32"/>
          <w:highlight w:val="none"/>
          <w:lang w:val="en-US" w:eastAsia="zh-CN"/>
        </w:rPr>
        <w:t>时效指标完成情况</w:t>
      </w:r>
      <w:bookmarkEnd w:id="142"/>
    </w:p>
    <w:p w14:paraId="411F66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2830CD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DED29B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44" w:name="_Toc32765"/>
      <w:bookmarkStart w:id="145" w:name="_Toc20607"/>
      <w:r>
        <w:rPr>
          <w:rFonts w:hint="eastAsia" w:ascii="仿宋_GB2312" w:hAnsi="仿宋_GB2312" w:eastAsia="仿宋_GB2312" w:cs="仿宋_GB2312"/>
          <w:b/>
          <w:bCs/>
          <w:color w:val="auto"/>
          <w:sz w:val="32"/>
          <w:szCs w:val="32"/>
          <w:highlight w:val="none"/>
          <w:lang w:val="en-US" w:eastAsia="zh-CN"/>
        </w:rPr>
        <w:t>4.项目</w:t>
      </w:r>
      <w:bookmarkEnd w:id="144"/>
      <w:r>
        <w:rPr>
          <w:rFonts w:hint="eastAsia" w:ascii="仿宋_GB2312" w:hAnsi="仿宋_GB2312" w:eastAsia="仿宋_GB2312" w:cs="仿宋_GB2312"/>
          <w:b/>
          <w:bCs/>
          <w:color w:val="auto"/>
          <w:sz w:val="32"/>
          <w:szCs w:val="32"/>
          <w:highlight w:val="none"/>
          <w:lang w:val="en-US" w:eastAsia="zh-CN"/>
        </w:rPr>
        <w:t>成本情况</w:t>
      </w:r>
      <w:bookmarkEnd w:id="145"/>
    </w:p>
    <w:p w14:paraId="4E2C84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8156E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46" w:name="OLE_LINK24"/>
      <w:r>
        <w:rPr>
          <w:rFonts w:hint="eastAsia" w:ascii="仿宋_GB2312" w:hAnsi="仿宋_GB2312" w:eastAsia="仿宋_GB2312" w:cs="仿宋_GB2312"/>
          <w:color w:val="auto"/>
          <w:sz w:val="32"/>
          <w:szCs w:val="32"/>
          <w:highlight w:val="none"/>
          <w:lang w:val="en-US" w:eastAsia="zh-CN"/>
        </w:rPr>
        <w:t>5.62万元/人/学年</w:t>
      </w:r>
      <w:bookmarkEnd w:id="146"/>
      <w:r>
        <w:rPr>
          <w:rFonts w:hint="eastAsia" w:ascii="仿宋_GB2312" w:hAnsi="仿宋_GB2312" w:eastAsia="仿宋_GB2312" w:cs="仿宋_GB2312"/>
          <w:color w:val="auto"/>
          <w:sz w:val="32"/>
          <w:szCs w:val="32"/>
          <w:highlight w:val="none"/>
          <w:lang w:val="en-US" w:eastAsia="zh-CN"/>
        </w:rPr>
        <w:t>。实际完成率=（5.62万元/5.62万元）×100%=100%。</w:t>
      </w:r>
    </w:p>
    <w:p w14:paraId="1683C5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F5938B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（四）项目效益情况</w:t>
      </w:r>
      <w:bookmarkEnd w:id="143"/>
    </w:p>
    <w:p w14:paraId="721A269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C8713D6">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18ACF864">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8414E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bookmarkStart w:id="147" w:name="_Toc5170"/>
            <w:bookmarkStart w:id="148" w:name="_Toc8010"/>
            <w:r>
              <w:rPr>
                <w:rFonts w:hint="eastAsia" w:ascii="宋体" w:hAnsi="宋体" w:eastAsia="宋体" w:cs="宋体"/>
                <w:b/>
                <w:bCs/>
                <w:color w:val="auto"/>
                <w:kern w:val="0"/>
                <w:sz w:val="20"/>
                <w:szCs w:val="20"/>
                <w:highlight w:val="none"/>
                <w:shd w:val="clear" w:color="auto" w:fill="auto"/>
                <w:lang w:val="en-US" w:eastAsia="zh-CN"/>
              </w:rPr>
              <w:t>一级</w:t>
            </w:r>
          </w:p>
          <w:p w14:paraId="09FA59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7A1E1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EDC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47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3D2879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E47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D8EB2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E0A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7EEFD0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EE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1F4017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857A2BD">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5659B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60CCBA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25"/>
            <w:r>
              <w:rPr>
                <w:rFonts w:hint="eastAsia" w:ascii="宋体" w:hAnsi="宋体" w:eastAsia="宋体" w:cs="宋体"/>
                <w:color w:val="auto"/>
                <w:kern w:val="0"/>
                <w:sz w:val="20"/>
                <w:szCs w:val="20"/>
                <w:highlight w:val="none"/>
                <w:shd w:val="clear" w:color="auto" w:fill="auto"/>
                <w:lang w:val="en-US" w:eastAsia="zh-CN"/>
              </w:rPr>
              <w:t>社会效益指标</w:t>
            </w:r>
            <w:bookmarkEnd w:id="149"/>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A9C78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0" w:name="OLE_LINK29"/>
            <w:r>
              <w:rPr>
                <w:rFonts w:hint="default" w:ascii="宋体" w:hAnsi="宋体" w:eastAsia="宋体" w:cs="宋体"/>
                <w:color w:val="auto"/>
                <w:kern w:val="0"/>
                <w:sz w:val="20"/>
                <w:szCs w:val="20"/>
                <w:highlight w:val="none"/>
                <w:shd w:val="clear" w:color="auto" w:fill="auto"/>
                <w:lang w:val="en-US" w:eastAsia="zh-CN"/>
              </w:rPr>
              <w:t>学校正常运转率</w:t>
            </w:r>
            <w:bookmarkEnd w:id="150"/>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EB3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1" w:name="OLE_LINK30"/>
            <w:r>
              <w:rPr>
                <w:rFonts w:hint="default" w:ascii="宋体" w:hAnsi="宋体" w:eastAsia="宋体" w:cs="宋体"/>
                <w:color w:val="auto"/>
                <w:kern w:val="0"/>
                <w:sz w:val="20"/>
                <w:szCs w:val="20"/>
                <w:highlight w:val="none"/>
                <w:shd w:val="clear" w:color="auto" w:fill="auto"/>
                <w:lang w:val="en-US" w:eastAsia="zh-CN"/>
              </w:rPr>
              <w:t>=100%</w:t>
            </w:r>
            <w:bookmarkEnd w:id="151"/>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79E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F07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008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F571179">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1ABD8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2CB56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71CA2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2"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52"/>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648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542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08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4A8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8BF1B8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A7510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5EA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AB5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3" w:name="OLE_LINK32"/>
            <w:r>
              <w:rPr>
                <w:rFonts w:hint="eastAsia" w:ascii="宋体" w:hAnsi="宋体" w:eastAsia="宋体" w:cs="宋体"/>
                <w:color w:val="auto"/>
                <w:kern w:val="0"/>
                <w:sz w:val="20"/>
                <w:szCs w:val="20"/>
                <w:highlight w:val="none"/>
                <w:shd w:val="clear" w:color="auto" w:fill="auto"/>
                <w:lang w:val="en-US" w:eastAsia="zh-CN"/>
              </w:rPr>
              <w:t>师生满意度</w:t>
            </w:r>
            <w:bookmarkEnd w:id="153"/>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3A0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4" w:name="OLE_LINK33"/>
            <w:r>
              <w:rPr>
                <w:rFonts w:hint="eastAsia" w:ascii="宋体" w:hAnsi="宋体" w:eastAsia="宋体" w:cs="宋体"/>
                <w:color w:val="auto"/>
                <w:kern w:val="0"/>
                <w:sz w:val="20"/>
                <w:szCs w:val="20"/>
                <w:highlight w:val="none"/>
                <w:shd w:val="clear" w:color="auto" w:fill="auto"/>
                <w:lang w:val="en-US" w:eastAsia="zh-CN"/>
              </w:rPr>
              <w:t>≥90%</w:t>
            </w:r>
            <w:bookmarkEnd w:id="154"/>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207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598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D09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286A06F">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5F3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2F7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965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8D5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bookmarkEnd w:id="147"/>
      <w:bookmarkEnd w:id="148"/>
    </w:tbl>
    <w:p w14:paraId="3BA46E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5" w:name="_Toc23313"/>
      <w:r>
        <w:rPr>
          <w:rFonts w:hint="eastAsia" w:ascii="仿宋_GB2312" w:hAnsi="仿宋_GB2312" w:eastAsia="仿宋_GB2312" w:cs="仿宋_GB2312"/>
          <w:b/>
          <w:bCs/>
          <w:color w:val="auto"/>
          <w:sz w:val="32"/>
          <w:szCs w:val="32"/>
          <w:highlight w:val="none"/>
          <w:lang w:val="en-US" w:eastAsia="zh-CN"/>
        </w:rPr>
        <w:t>1社会效益指标完成情况</w:t>
      </w:r>
    </w:p>
    <w:p w14:paraId="0994F45E">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6" w:name="_Toc27006"/>
      <w:bookmarkStart w:id="157" w:name="_Toc29606"/>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学校正常运转率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End w:id="156"/>
      <w:bookmarkEnd w:id="157"/>
      <w:bookmarkStart w:id="158" w:name="OLE_LINK28"/>
    </w:p>
    <w:p w14:paraId="737B93C1">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21E53BCA">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253A2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bookmarkEnd w:id="158"/>
      <w:r>
        <w:rPr>
          <w:rFonts w:hint="eastAsia" w:ascii="仿宋_GB2312" w:hAnsi="仿宋_GB2312" w:eastAsia="仿宋_GB2312" w:cs="仿宋_GB2312"/>
          <w:b w:val="0"/>
          <w:bCs w:val="0"/>
          <w:color w:val="auto"/>
          <w:sz w:val="32"/>
          <w:szCs w:val="32"/>
          <w:highlight w:val="none"/>
          <w:lang w:val="en-US" w:eastAsia="zh-CN"/>
        </w:rPr>
        <w:t>保障了教师的正常工资待遇，提高教师的归属感，减少教师队伍人员流失，有效改善教学环境，提供良好的幼儿成长条件。</w:t>
      </w:r>
    </w:p>
    <w:p w14:paraId="15E2EB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9" w:name="OLE_LINK31"/>
      <w:r>
        <w:rPr>
          <w:rFonts w:hint="eastAsia" w:ascii="仿宋_GB2312" w:hAnsi="仿宋_GB2312" w:eastAsia="仿宋_GB2312" w:cs="仿宋_GB2312"/>
          <w:b/>
          <w:bCs/>
          <w:color w:val="auto"/>
          <w:sz w:val="32"/>
          <w:szCs w:val="32"/>
          <w:highlight w:val="none"/>
          <w:lang w:val="en-US" w:eastAsia="zh-CN"/>
        </w:rPr>
        <w:t>综上，该项指标满分15分，得分15分。</w:t>
      </w:r>
      <w:bookmarkEnd w:id="159"/>
    </w:p>
    <w:p w14:paraId="405BAAD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55"/>
    </w:p>
    <w:p w14:paraId="0015AF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60" w:name="_Toc6622"/>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30EBAC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19A0D5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60"/>
    </w:p>
    <w:p w14:paraId="369D31D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61" w:name="_Toc15449"/>
      <w:bookmarkStart w:id="162" w:name="_Toc28290"/>
      <w:bookmarkStart w:id="163"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61"/>
    </w:p>
    <w:p w14:paraId="664B47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276.98</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98.53</w:t>
      </w:r>
      <w:r>
        <w:rPr>
          <w:rFonts w:hint="eastAsia" w:ascii="仿宋_GB2312" w:hAnsi="仿宋_GB2312" w:eastAsia="仿宋_GB2312" w:cs="仿宋_GB2312"/>
          <w:color w:val="auto"/>
          <w:sz w:val="32"/>
          <w:szCs w:val="32"/>
          <w:highlight w:val="none"/>
          <w:lang w:eastAsia="zh-CN"/>
        </w:rPr>
        <w:t>%。</w:t>
      </w:r>
    </w:p>
    <w:p w14:paraId="1A5C11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62"/>
    <w:bookmarkEnd w:id="163"/>
    <w:p w14:paraId="01CD110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64"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64"/>
    </w:p>
    <w:p w14:paraId="3A28109E">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发放不及时：在项目实施过程中，存在工资补助经费发放不及时的情况。这可能是由于资金审批流程繁琐、部门之间协调不畅等原因导致的。工资发放延迟会给教师的生活带来不便，也容易引发教师的不满情绪，对幼儿园的正常教学秩序产生负面影响。财政投入有限：</w:t>
      </w:r>
      <w:r>
        <w:rPr>
          <w:rFonts w:hint="default" w:ascii="仿宋_GB2312" w:hAnsi="仿宋_GB2312" w:eastAsia="仿宋_GB2312" w:cs="仿宋_GB2312"/>
          <w:color w:val="auto"/>
          <w:sz w:val="32"/>
          <w:szCs w:val="32"/>
          <w:highlight w:val="none"/>
          <w:lang w:val="en-US" w:eastAsia="zh-CN"/>
        </w:rPr>
        <w:t>政府对学前教育的重视程度不够，导致用于幼儿园教师工资补助的资金不足。随着学前教育的快速发展，对教师数量和质量的要求不断提高，而财政投入未能相应增加，使得经费紧张的问题更加突出</w:t>
      </w:r>
      <w:r>
        <w:rPr>
          <w:rFonts w:hint="eastAsia" w:ascii="仿宋_GB2312" w:hAnsi="仿宋_GB2312" w:eastAsia="仿宋_GB2312" w:cs="仿宋_GB2312"/>
          <w:color w:val="auto"/>
          <w:sz w:val="32"/>
          <w:szCs w:val="32"/>
          <w:highlight w:val="none"/>
          <w:lang w:val="en-US" w:eastAsia="zh-CN"/>
        </w:rPr>
        <w:t>。</w:t>
      </w:r>
    </w:p>
    <w:p w14:paraId="6D345202">
      <w:pPr>
        <w:pStyle w:val="3"/>
        <w:pageBreakBefore w:val="0"/>
        <w:kinsoku/>
        <w:wordWrap/>
        <w:overflowPunct/>
        <w:topLinePunct w:val="0"/>
        <w:autoSpaceDE/>
        <w:autoSpaceDN/>
        <w:bidi w:val="0"/>
        <w:adjustRightInd/>
        <w:spacing w:beforeLines="0" w:afterLines="0" w:line="560" w:lineRule="exact"/>
        <w:textAlignment w:val="auto"/>
        <w:rPr>
          <w:rFonts w:hint="default"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2.监管机制不完善：对幼儿园教师工资补助经费的使用缺乏有效的监管机制，工资补助经费的预算与实际需求之间存在较大差距，难以满足幼儿园教师工资的合理增长。</w:t>
      </w:r>
      <w:r>
        <w:rPr>
          <w:rFonts w:hint="eastAsia" w:ascii="仿宋_GB2312" w:hAnsi="仿宋_GB2312" w:eastAsia="仿宋_GB2312" w:cs="仿宋_GB2312"/>
          <w:color w:val="auto"/>
          <w:kern w:val="2"/>
          <w:sz w:val="32"/>
          <w:szCs w:val="32"/>
          <w:highlight w:val="none"/>
          <w:lang w:val="en-US" w:eastAsia="zh-CN" w:bidi="ar-SA"/>
        </w:rPr>
        <w:t>理体制不顺畅：幼儿园教师工资补助经费的管理涉及多个部门，如财政部门、教育部门等，各部门之间职责不清、协调不畅，容易出现工作推诿、效率低下的问题。</w:t>
      </w:r>
      <w:r>
        <w:rPr>
          <w:rFonts w:hint="eastAsia" w:ascii="仿宋_GB2312" w:hAnsi="仿宋_GB2312" w:eastAsia="仿宋_GB2312" w:cs="仿宋_GB2312"/>
          <w:b w:val="0"/>
          <w:color w:val="auto"/>
          <w:kern w:val="2"/>
          <w:sz w:val="32"/>
          <w:szCs w:val="32"/>
          <w:highlight w:val="none"/>
          <w:lang w:val="en-US" w:eastAsia="zh-CN" w:bidi="ar-SA"/>
        </w:rPr>
        <w:t>对幼儿园教师工资补助经费的使用情况缺乏有效的监督和评估机制，无法及时掌握资金的流向和使用效果。虽然相关部门会进行一些检查，但往往形式大于内容，无法真正发挥监督作用。</w:t>
      </w:r>
    </w:p>
    <w:p w14:paraId="7B3EA236">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p>
    <w:p w14:paraId="011641A1">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65"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65"/>
    </w:p>
    <w:p w14:paraId="07111BF6">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166" w:name="_Toc14256"/>
      <w:r>
        <w:rPr>
          <w:rFonts w:hint="eastAsia" w:ascii="仿宋_GB2312" w:hAnsi="仿宋_GB2312" w:eastAsia="仿宋_GB2312" w:cs="仿宋_GB2312"/>
          <w:color w:val="auto"/>
          <w:kern w:val="2"/>
          <w:sz w:val="32"/>
          <w:szCs w:val="32"/>
          <w:highlight w:val="none"/>
          <w:lang w:val="en-US" w:eastAsia="zh-CN" w:bidi="ar-SA"/>
        </w:rPr>
        <w:t>（一）制定科学分配标准：摒弃简单依据地区经济发展水平和幼儿园性质的分配方式，综合考虑教师的工作量、教学质量、专业水平等因素。可采用量化考核指标，如教学成果、家长满意度、教师培训时长等，按考核结果分配资金，激励教师提升自身能力与教学质量。简化审批环节：对工资补助经费的审批流程进行全面梳理，减少不必要的中间环节，明确各部门职责与审批时限，建立高效的审批机制，确保资金快速、准确到位。</w:t>
      </w:r>
    </w:p>
    <w:p w14:paraId="333A3A9A">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建立健全监管制度：制定严格的幼儿园教师工资补助经费使用监管制度，明确资金使用范围、违规处罚措施等。规定资金只能用于教师工资发放，严禁挪作他用，对违规行为严肃查处。建立资金发放预警机制，对可能出现的发放延迟等问题提前预警。定期检查资金发放进度，若发现问题及时采取措施解决，保障教师按时领取工资。</w:t>
      </w:r>
    </w:p>
    <w:p w14:paraId="0949FE8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66"/>
    </w:p>
    <w:p w14:paraId="5EB261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07B51BF4">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54680097">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67" w:name="_Toc11349"/>
      <w:bookmarkStart w:id="168" w:name="_Toc28971"/>
      <w:r>
        <w:rPr>
          <w:rFonts w:hint="eastAsia" w:ascii="宋体" w:hAnsi="宋体" w:eastAsia="宋体" w:cs="宋体"/>
          <w:b/>
          <w:bCs/>
          <w:color w:val="auto"/>
          <w:highlight w:val="none"/>
          <w:shd w:val="clear" w:color="auto" w:fill="auto"/>
          <w:lang w:val="en-US" w:eastAsia="zh-CN"/>
        </w:rPr>
        <w:t>附件一、项目支出绩效自评表</w:t>
      </w:r>
      <w:bookmarkEnd w:id="167"/>
      <w:bookmarkEnd w:id="168"/>
      <w:bookmarkStart w:id="169" w:name="_Toc11223"/>
      <w:bookmarkStart w:id="170" w:name="_Toc1506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232"/>
        <w:gridCol w:w="1148"/>
        <w:gridCol w:w="1148"/>
        <w:gridCol w:w="1065"/>
        <w:gridCol w:w="1148"/>
        <w:gridCol w:w="900"/>
        <w:gridCol w:w="1065"/>
        <w:gridCol w:w="901"/>
        <w:gridCol w:w="901"/>
        <w:gridCol w:w="1066"/>
      </w:tblGrid>
      <w:tr w14:paraId="6CFBF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E4E707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B1B1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BBEE8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27EC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12226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0"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9D41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743A6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635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69A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86C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AA3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阜康市幼儿园</w:t>
            </w:r>
          </w:p>
        </w:tc>
      </w:tr>
      <w:tr w14:paraId="10A2A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398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F0A86">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DA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F7C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1A3D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8AD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B8A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01B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68EF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01FD5">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D34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70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16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BC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276.98</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A2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54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98.53%</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82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w:t>
            </w:r>
          </w:p>
        </w:tc>
      </w:tr>
      <w:tr w14:paraId="1A564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62F68">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AC0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3A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4B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4A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276.98</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FE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53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25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DB22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5F063">
            <w:pPr>
              <w:jc w:val="center"/>
              <w:rPr>
                <w:rFonts w:hint="eastAsia" w:ascii="宋体" w:hAnsi="宋体" w:eastAsia="宋体" w:cs="宋体"/>
                <w:b/>
                <w:bCs/>
                <w:i w:val="0"/>
                <w:iCs w:val="0"/>
                <w:color w:val="000000"/>
                <w:sz w:val="18"/>
                <w:szCs w:val="18"/>
                <w:u w:val="none"/>
              </w:rPr>
            </w:pP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5ED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CC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DB2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5A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30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E7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F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B66C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A0E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67C8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60BB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B8A8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07271">
            <w:pPr>
              <w:jc w:val="center"/>
              <w:rPr>
                <w:rFonts w:hint="eastAsia" w:ascii="宋体" w:hAnsi="宋体" w:eastAsia="宋体" w:cs="宋体"/>
                <w:b/>
                <w:bCs/>
                <w:i w:val="0"/>
                <w:iCs w:val="0"/>
                <w:color w:val="000000"/>
                <w:sz w:val="18"/>
                <w:szCs w:val="18"/>
                <w:u w:val="none"/>
              </w:rPr>
            </w:pPr>
          </w:p>
        </w:tc>
        <w:tc>
          <w:tcPr>
            <w:tcW w:w="19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422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50人12次工资补助经费，每人每年5.62万元。通过按时发放选聘教师工资，保障学前段幼儿园教师工资待遇，提高教师的归属感，减少教师队伍人员流失，有效改善教学环境，提升学前教育教学质量，为幼儿提供良好的成长条件，达到幼儿园正常运转的目的。</w:t>
            </w:r>
          </w:p>
        </w:tc>
        <w:tc>
          <w:tcPr>
            <w:tcW w:w="28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B68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选聘教师49人5.62万元/人/学年标准工资补助经费的发放，选聘教师工资发放时间每月一次，共支付12次，人员经费享受比例达到100%，项目的实施有效改善教学环境，提供良好的学生成长条件，幼儿园正常运转率达到100%。</w:t>
            </w:r>
          </w:p>
        </w:tc>
      </w:tr>
      <w:tr w14:paraId="009A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466C6">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D86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E49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465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577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EDE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16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5C9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725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1C9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40E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958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DEB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A1A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FC9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CDE42">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110A6">
            <w:pPr>
              <w:jc w:val="center"/>
              <w:rPr>
                <w:rFonts w:hint="eastAsia" w:ascii="宋体" w:hAnsi="宋体" w:eastAsia="宋体" w:cs="宋体"/>
                <w:b/>
                <w:bCs/>
                <w:i w:val="0"/>
                <w:iCs w:val="0"/>
                <w:color w:val="000000"/>
                <w:sz w:val="18"/>
                <w:szCs w:val="18"/>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5D9B7">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07F16">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7506A">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C660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0E961">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8DF0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9051E">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0E18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D3FC5">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7EE50">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3953E">
            <w:pPr>
              <w:jc w:val="center"/>
              <w:rPr>
                <w:rFonts w:hint="eastAsia" w:ascii="宋体" w:hAnsi="宋体" w:eastAsia="宋体" w:cs="宋体"/>
                <w:b/>
                <w:bCs/>
                <w:i w:val="0"/>
                <w:iCs w:val="0"/>
                <w:color w:val="000000"/>
                <w:sz w:val="18"/>
                <w:szCs w:val="18"/>
                <w:u w:val="none"/>
              </w:rPr>
            </w:pPr>
          </w:p>
        </w:tc>
        <w:tc>
          <w:tcPr>
            <w:tcW w:w="8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2C02D">
            <w:pPr>
              <w:jc w:val="center"/>
              <w:rPr>
                <w:rFonts w:hint="eastAsia" w:ascii="宋体" w:hAnsi="宋体" w:eastAsia="宋体" w:cs="宋体"/>
                <w:b/>
                <w:bCs/>
                <w:i w:val="0"/>
                <w:iCs w:val="0"/>
                <w:color w:val="000000"/>
                <w:sz w:val="18"/>
                <w:szCs w:val="18"/>
                <w:u w:val="none"/>
              </w:rPr>
            </w:pPr>
          </w:p>
        </w:tc>
      </w:tr>
      <w:tr w14:paraId="778A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AFA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39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27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D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F7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51F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A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56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B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bookmarkStart w:id="171" w:name="_GoBack"/>
            <w:bookmarkEnd w:id="171"/>
            <w:r>
              <w:rPr>
                <w:rFonts w:hint="eastAsia" w:ascii="宋体" w:hAnsi="宋体" w:eastAsia="宋体" w:cs="宋体"/>
                <w:i w:val="0"/>
                <w:iCs w:val="0"/>
                <w:color w:val="000000"/>
                <w:kern w:val="0"/>
                <w:sz w:val="18"/>
                <w:szCs w:val="18"/>
                <w:u w:val="none"/>
                <w:lang w:val="en-US" w:eastAsia="zh-CN" w:bidi="ar"/>
              </w:rPr>
              <w:t>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4C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8A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3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05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10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2024年11月份我园辞职1人，因此截止12月完成值为49人。</w:t>
            </w:r>
          </w:p>
        </w:tc>
      </w:tr>
      <w:tr w14:paraId="5C974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1270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BA0FA">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2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257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C2E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B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50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C2C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67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93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F5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B4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AF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8B749">
            <w:pPr>
              <w:jc w:val="center"/>
              <w:rPr>
                <w:rFonts w:hint="eastAsia" w:ascii="宋体" w:hAnsi="宋体" w:eastAsia="宋体" w:cs="宋体"/>
                <w:i w:val="0"/>
                <w:iCs w:val="0"/>
                <w:color w:val="000000"/>
                <w:sz w:val="18"/>
                <w:szCs w:val="18"/>
                <w:u w:val="none"/>
              </w:rPr>
            </w:pPr>
          </w:p>
        </w:tc>
      </w:tr>
      <w:tr w14:paraId="6B323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3073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5B9AD">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7A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3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26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1D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D3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208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8E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8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B4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E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01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9B126">
            <w:pPr>
              <w:jc w:val="center"/>
              <w:rPr>
                <w:rFonts w:hint="eastAsia" w:ascii="宋体" w:hAnsi="宋体" w:eastAsia="宋体" w:cs="宋体"/>
                <w:i w:val="0"/>
                <w:iCs w:val="0"/>
                <w:color w:val="000000"/>
                <w:sz w:val="18"/>
                <w:szCs w:val="18"/>
                <w:u w:val="none"/>
              </w:rPr>
            </w:pPr>
          </w:p>
        </w:tc>
      </w:tr>
      <w:tr w14:paraId="23FD8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D7DE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210B7">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88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6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485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19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=1月/次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9E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=1月/次</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BF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3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04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F5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BE1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3E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25ECA">
            <w:pPr>
              <w:jc w:val="center"/>
              <w:rPr>
                <w:rFonts w:hint="eastAsia" w:ascii="宋体" w:hAnsi="宋体" w:eastAsia="宋体" w:cs="宋体"/>
                <w:i w:val="0"/>
                <w:iCs w:val="0"/>
                <w:color w:val="000000"/>
                <w:sz w:val="18"/>
                <w:szCs w:val="18"/>
                <w:u w:val="none"/>
              </w:rPr>
            </w:pPr>
          </w:p>
        </w:tc>
      </w:tr>
      <w:tr w14:paraId="5A9A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7F2B4">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88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774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9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E0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8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A1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235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BD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12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5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5.48万元/人/学年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C9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95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15A85">
            <w:pPr>
              <w:jc w:val="center"/>
              <w:rPr>
                <w:rFonts w:hint="eastAsia" w:ascii="宋体" w:hAnsi="宋体" w:eastAsia="宋体" w:cs="宋体"/>
                <w:i w:val="0"/>
                <w:iCs w:val="0"/>
                <w:color w:val="000000"/>
                <w:sz w:val="18"/>
                <w:szCs w:val="18"/>
                <w:u w:val="none"/>
              </w:rPr>
            </w:pPr>
          </w:p>
        </w:tc>
      </w:tr>
      <w:tr w14:paraId="19D28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29F2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E263">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E5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A19A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8D8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7975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9636">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2D6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E99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F4E0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4B2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3516F">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D00B8">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3D4E2">
            <w:pPr>
              <w:jc w:val="center"/>
              <w:rPr>
                <w:rFonts w:hint="eastAsia" w:ascii="宋体" w:hAnsi="宋体" w:eastAsia="宋体" w:cs="宋体"/>
                <w:i w:val="0"/>
                <w:iCs w:val="0"/>
                <w:color w:val="000000"/>
                <w:sz w:val="18"/>
                <w:szCs w:val="18"/>
                <w:u w:val="none"/>
              </w:rPr>
            </w:pPr>
          </w:p>
        </w:tc>
      </w:tr>
      <w:tr w14:paraId="2516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6692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ACEDD">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37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CCFE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BEED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70D1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7F13">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560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57FA">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C14C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E08D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65B20">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02987">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EA4FC">
            <w:pPr>
              <w:jc w:val="center"/>
              <w:rPr>
                <w:rFonts w:hint="eastAsia" w:ascii="宋体" w:hAnsi="宋体" w:eastAsia="宋体" w:cs="宋体"/>
                <w:i w:val="0"/>
                <w:iCs w:val="0"/>
                <w:color w:val="000000"/>
                <w:sz w:val="18"/>
                <w:szCs w:val="18"/>
                <w:u w:val="none"/>
              </w:rPr>
            </w:pPr>
          </w:p>
        </w:tc>
      </w:tr>
      <w:tr w14:paraId="6CCE2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1C81C">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23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D3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705C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CAEA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2553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14A12">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1133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C6B8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5A64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AB6F">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30A7">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9B5EF">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A78A">
            <w:pPr>
              <w:jc w:val="center"/>
              <w:rPr>
                <w:rFonts w:hint="eastAsia" w:ascii="宋体" w:hAnsi="宋体" w:eastAsia="宋体" w:cs="宋体"/>
                <w:i w:val="0"/>
                <w:iCs w:val="0"/>
                <w:color w:val="000000"/>
                <w:sz w:val="18"/>
                <w:szCs w:val="18"/>
                <w:u w:val="none"/>
              </w:rPr>
            </w:pPr>
          </w:p>
        </w:tc>
      </w:tr>
      <w:tr w14:paraId="21235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F21D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293E3">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CE7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D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5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01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AE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C01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90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CF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9C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DB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A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139ED">
            <w:pPr>
              <w:jc w:val="center"/>
              <w:rPr>
                <w:rFonts w:hint="eastAsia" w:ascii="宋体" w:hAnsi="宋体" w:eastAsia="宋体" w:cs="宋体"/>
                <w:i w:val="0"/>
                <w:iCs w:val="0"/>
                <w:color w:val="000000"/>
                <w:sz w:val="18"/>
                <w:szCs w:val="18"/>
                <w:u w:val="none"/>
              </w:rPr>
            </w:pPr>
          </w:p>
        </w:tc>
      </w:tr>
      <w:tr w14:paraId="36391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48E8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092EE">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8E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CA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2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40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99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5E7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8B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16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41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D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AF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6B76F">
            <w:pPr>
              <w:jc w:val="center"/>
              <w:rPr>
                <w:rFonts w:hint="eastAsia" w:ascii="宋体" w:hAnsi="宋体" w:eastAsia="宋体" w:cs="宋体"/>
                <w:i w:val="0"/>
                <w:iCs w:val="0"/>
                <w:color w:val="000000"/>
                <w:sz w:val="18"/>
                <w:szCs w:val="18"/>
                <w:u w:val="none"/>
              </w:rPr>
            </w:pPr>
          </w:p>
        </w:tc>
      </w:tr>
      <w:tr w14:paraId="2DC17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77328">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C5C08">
            <w:pPr>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1D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CDA1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C3CF5">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9204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A6395">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D44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54AF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5BAF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E2C9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0BDD1">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EEA1">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B2A5C">
            <w:pPr>
              <w:jc w:val="center"/>
              <w:rPr>
                <w:rFonts w:hint="eastAsia" w:ascii="宋体" w:hAnsi="宋体" w:eastAsia="宋体" w:cs="宋体"/>
                <w:i w:val="0"/>
                <w:iCs w:val="0"/>
                <w:color w:val="000000"/>
                <w:sz w:val="18"/>
                <w:szCs w:val="18"/>
                <w:u w:val="none"/>
              </w:rPr>
            </w:pPr>
          </w:p>
        </w:tc>
      </w:tr>
      <w:tr w14:paraId="393E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6EDDE">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6E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10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483FA">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08F5">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58CF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839F4">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73C5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27A4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26B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D6AC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B1B4D">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49C8D">
            <w:pPr>
              <w:jc w:val="cente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40EF8">
            <w:pPr>
              <w:jc w:val="center"/>
              <w:rPr>
                <w:rFonts w:hint="eastAsia" w:ascii="宋体" w:hAnsi="宋体" w:eastAsia="宋体" w:cs="宋体"/>
                <w:i w:val="0"/>
                <w:iCs w:val="0"/>
                <w:color w:val="000000"/>
                <w:sz w:val="18"/>
                <w:szCs w:val="18"/>
                <w:u w:val="none"/>
              </w:rPr>
            </w:pPr>
          </w:p>
        </w:tc>
      </w:tr>
      <w:tr w14:paraId="193F4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60" w:type="pct"/>
            <w:gridSpan w:val="4"/>
            <w:tcBorders>
              <w:top w:val="single" w:color="000000" w:sz="4" w:space="0"/>
              <w:left w:val="single" w:color="000000" w:sz="4" w:space="0"/>
              <w:bottom w:val="single" w:color="000000" w:sz="4" w:space="0"/>
              <w:right w:val="nil"/>
            </w:tcBorders>
            <w:shd w:val="clear" w:color="auto" w:fill="auto"/>
            <w:vAlign w:val="center"/>
          </w:tcPr>
          <w:p w14:paraId="471424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42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04AE6EF6">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B05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C8A6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07B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99.10分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43698">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F0C2">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1096B">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55472">
            <w:pPr>
              <w:rPr>
                <w:rFonts w:hint="eastAsia" w:ascii="宋体" w:hAnsi="宋体" w:eastAsia="宋体" w:cs="宋体"/>
                <w:i w:val="0"/>
                <w:iCs w:val="0"/>
                <w:color w:val="000000"/>
                <w:sz w:val="18"/>
                <w:szCs w:val="18"/>
                <w:u w:val="none"/>
              </w:rPr>
            </w:pP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AFCB0">
            <w:pPr>
              <w:rPr>
                <w:rFonts w:hint="eastAsia" w:ascii="宋体" w:hAnsi="宋体" w:eastAsia="宋体" w:cs="宋体"/>
                <w:i w:val="0"/>
                <w:iCs w:val="0"/>
                <w:color w:val="000000"/>
                <w:sz w:val="18"/>
                <w:szCs w:val="18"/>
                <w:u w:val="none"/>
              </w:rPr>
            </w:pPr>
          </w:p>
        </w:tc>
      </w:tr>
    </w:tbl>
    <w:p w14:paraId="25D8466E">
      <w:pPr>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br w:type="page"/>
      </w:r>
    </w:p>
    <w:p w14:paraId="6B08C8DB">
      <w:pPr>
        <w:rPr>
          <w:rFonts w:hint="eastAsia"/>
          <w:lang w:val="en-US" w:eastAsia="zh-CN"/>
        </w:rPr>
      </w:pPr>
    </w:p>
    <w:p w14:paraId="1611D6FD">
      <w:pPr>
        <w:pStyle w:val="3"/>
        <w:pageBreakBefore w:val="0"/>
        <w:numPr>
          <w:ilvl w:val="0"/>
          <w:numId w:val="0"/>
        </w:numPr>
        <w:kinsoku/>
        <w:wordWrap/>
        <w:overflowPunct/>
        <w:topLinePunct w:val="0"/>
        <w:autoSpaceDE/>
        <w:autoSpaceDN/>
        <w:bidi w:val="0"/>
        <w:adjustRightInd/>
        <w:snapToGrid/>
        <w:spacing w:beforeLines="0" w:afterLines="0" w:line="3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69"/>
      <w:bookmarkEnd w:id="170"/>
    </w:p>
    <w:tbl>
      <w:tblPr>
        <w:tblStyle w:val="16"/>
        <w:tblpPr w:leftFromText="180" w:rightFromText="180" w:vertAnchor="text" w:horzAnchor="page" w:tblpX="1556" w:tblpY="541"/>
        <w:tblOverlap w:val="never"/>
        <w:tblW w:w="1392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087"/>
        <w:gridCol w:w="2160"/>
        <w:gridCol w:w="7535"/>
        <w:gridCol w:w="785"/>
        <w:gridCol w:w="769"/>
      </w:tblGrid>
      <w:tr w14:paraId="2D455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trPr>
        <w:tc>
          <w:tcPr>
            <w:tcW w:w="861" w:type="dxa"/>
            <w:shd w:val="clear" w:color="auto" w:fill="auto"/>
            <w:noWrap w:val="0"/>
            <w:vAlign w:val="center"/>
          </w:tcPr>
          <w:p w14:paraId="07D84EA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562A1B7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087" w:type="dxa"/>
            <w:shd w:val="clear" w:color="auto" w:fill="auto"/>
            <w:noWrap w:val="0"/>
            <w:vAlign w:val="center"/>
          </w:tcPr>
          <w:p w14:paraId="1C3D8E3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60" w:type="dxa"/>
            <w:shd w:val="clear" w:color="auto" w:fill="auto"/>
            <w:noWrap w:val="0"/>
            <w:vAlign w:val="center"/>
          </w:tcPr>
          <w:p w14:paraId="71BE6D9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535" w:type="dxa"/>
            <w:shd w:val="clear" w:color="auto" w:fill="auto"/>
            <w:noWrap w:val="0"/>
            <w:vAlign w:val="center"/>
          </w:tcPr>
          <w:p w14:paraId="2487EC2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660C11E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57C37B0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35F5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861" w:type="dxa"/>
            <w:vMerge w:val="restart"/>
            <w:shd w:val="clear" w:color="auto" w:fill="auto"/>
            <w:noWrap w:val="0"/>
            <w:vAlign w:val="center"/>
          </w:tcPr>
          <w:p w14:paraId="5BE2E7C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587BEDB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8B729DD">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3D6C13A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087" w:type="dxa"/>
            <w:shd w:val="clear" w:color="auto" w:fill="auto"/>
            <w:noWrap w:val="0"/>
            <w:vAlign w:val="center"/>
          </w:tcPr>
          <w:p w14:paraId="6721A13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F46BB2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60" w:type="dxa"/>
            <w:shd w:val="clear" w:color="auto" w:fill="auto"/>
            <w:noWrap w:val="0"/>
            <w:vAlign w:val="center"/>
          </w:tcPr>
          <w:p w14:paraId="6107082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535" w:type="dxa"/>
            <w:shd w:val="clear" w:color="auto" w:fill="auto"/>
            <w:noWrap w:val="0"/>
            <w:vAlign w:val="center"/>
          </w:tcPr>
          <w:p w14:paraId="1358F96B">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8C5A330">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7CCCD1B6">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85875F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21B5355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BE5481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D1B087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2C9DAB5">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41C8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5" w:hRule="atLeast"/>
        </w:trPr>
        <w:tc>
          <w:tcPr>
            <w:tcW w:w="861" w:type="dxa"/>
            <w:vMerge w:val="continue"/>
            <w:shd w:val="clear" w:color="auto" w:fill="auto"/>
            <w:noWrap w:val="0"/>
            <w:vAlign w:val="center"/>
          </w:tcPr>
          <w:p w14:paraId="416E0269">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73544C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1087" w:type="dxa"/>
            <w:shd w:val="clear" w:color="auto" w:fill="auto"/>
            <w:noWrap w:val="0"/>
            <w:vAlign w:val="center"/>
          </w:tcPr>
          <w:p w14:paraId="5AD9FA2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48B44C5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60" w:type="dxa"/>
            <w:shd w:val="clear" w:color="auto" w:fill="auto"/>
            <w:noWrap w:val="0"/>
            <w:vAlign w:val="center"/>
          </w:tcPr>
          <w:p w14:paraId="0386A52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535" w:type="dxa"/>
            <w:shd w:val="clear" w:color="auto" w:fill="auto"/>
            <w:noWrap w:val="0"/>
            <w:vAlign w:val="center"/>
          </w:tcPr>
          <w:p w14:paraId="039A54F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36F615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1461C14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F2FAF3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081F6AC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961F2AE">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default" w:ascii="宋体" w:hAnsi="宋体" w:eastAsia="宋体" w:cs="宋体"/>
                <w:color w:val="auto"/>
                <w:kern w:val="0"/>
                <w:sz w:val="22"/>
                <w:szCs w:val="22"/>
                <w:highlight w:val="none"/>
                <w:lang w:val="en-US"/>
              </w:rPr>
            </w:pPr>
            <w:r>
              <w:rPr>
                <w:rFonts w:hint="eastAsia" w:ascii="宋体" w:hAnsi="宋体" w:eastAsia="宋体" w:cs="宋体"/>
                <w:i w:val="0"/>
                <w:iCs w:val="0"/>
                <w:color w:val="auto"/>
                <w:kern w:val="0"/>
                <w:sz w:val="20"/>
                <w:szCs w:val="20"/>
                <w:highlight w:val="none"/>
                <w:u w:val="none"/>
                <w:lang w:val="en-US" w:eastAsia="zh-CN" w:bidi="ar"/>
              </w:rPr>
              <w:t>2.</w:t>
            </w:r>
            <w:r>
              <w:rPr>
                <w:rFonts w:hint="eastAsia" w:cs="宋体"/>
                <w:i w:val="0"/>
                <w:iCs w:val="0"/>
                <w:color w:val="auto"/>
                <w:kern w:val="0"/>
                <w:sz w:val="20"/>
                <w:szCs w:val="20"/>
                <w:highlight w:val="none"/>
                <w:u w:val="none"/>
                <w:lang w:val="en-US" w:eastAsia="zh-CN" w:bidi="ar"/>
              </w:rPr>
              <w:t>2</w:t>
            </w:r>
          </w:p>
        </w:tc>
      </w:tr>
      <w:tr w14:paraId="68289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861" w:type="dxa"/>
            <w:vMerge w:val="continue"/>
            <w:shd w:val="clear" w:color="auto" w:fill="auto"/>
            <w:noWrap w:val="0"/>
            <w:vAlign w:val="center"/>
          </w:tcPr>
          <w:p w14:paraId="6AE6C14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C721B8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087" w:type="dxa"/>
            <w:shd w:val="clear" w:color="auto" w:fill="auto"/>
            <w:noWrap w:val="0"/>
            <w:vAlign w:val="center"/>
          </w:tcPr>
          <w:p w14:paraId="7DDE158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0D2CDA6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60" w:type="dxa"/>
            <w:shd w:val="clear" w:color="auto" w:fill="auto"/>
            <w:noWrap w:val="0"/>
            <w:vAlign w:val="center"/>
          </w:tcPr>
          <w:p w14:paraId="143EC32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535" w:type="dxa"/>
            <w:shd w:val="clear" w:color="auto" w:fill="auto"/>
            <w:noWrap w:val="0"/>
            <w:vAlign w:val="center"/>
          </w:tcPr>
          <w:p w14:paraId="0B537B3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4F3591F">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5BAC3C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0878717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881DF3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C788D8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89E2B3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4B11881">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772F6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trPr>
        <w:tc>
          <w:tcPr>
            <w:tcW w:w="861" w:type="dxa"/>
            <w:vMerge w:val="restart"/>
            <w:shd w:val="clear" w:color="auto" w:fill="auto"/>
            <w:noWrap w:val="0"/>
            <w:vAlign w:val="center"/>
          </w:tcPr>
          <w:p w14:paraId="18FFB32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173397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087" w:type="dxa"/>
            <w:shd w:val="clear" w:color="auto" w:fill="auto"/>
            <w:noWrap w:val="0"/>
            <w:vAlign w:val="center"/>
          </w:tcPr>
          <w:p w14:paraId="4F03A7D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CF2648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60" w:type="dxa"/>
            <w:shd w:val="clear" w:color="auto" w:fill="auto"/>
            <w:noWrap w:val="0"/>
            <w:vAlign w:val="center"/>
          </w:tcPr>
          <w:p w14:paraId="770E621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535" w:type="dxa"/>
            <w:shd w:val="clear" w:color="auto" w:fill="auto"/>
            <w:noWrap w:val="0"/>
            <w:vAlign w:val="center"/>
          </w:tcPr>
          <w:p w14:paraId="51611E5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0FF2EB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3DB16B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2F12113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AFCB7B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4CD40C9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62894A9">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1472E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trPr>
        <w:tc>
          <w:tcPr>
            <w:tcW w:w="861" w:type="dxa"/>
            <w:vMerge w:val="continue"/>
            <w:shd w:val="clear" w:color="auto" w:fill="auto"/>
            <w:noWrap w:val="0"/>
            <w:vAlign w:val="center"/>
          </w:tcPr>
          <w:p w14:paraId="584F879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682A7F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2B42215D">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087" w:type="dxa"/>
            <w:shd w:val="clear" w:color="auto" w:fill="auto"/>
            <w:noWrap w:val="0"/>
            <w:vAlign w:val="center"/>
          </w:tcPr>
          <w:p w14:paraId="2DE991C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6D4BFFA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60" w:type="dxa"/>
            <w:shd w:val="clear" w:color="auto" w:fill="auto"/>
            <w:noWrap w:val="0"/>
            <w:vAlign w:val="center"/>
          </w:tcPr>
          <w:p w14:paraId="3322799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535" w:type="dxa"/>
            <w:shd w:val="clear" w:color="auto" w:fill="auto"/>
            <w:noWrap w:val="0"/>
            <w:vAlign w:val="center"/>
          </w:tcPr>
          <w:p w14:paraId="09DB470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824185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7DC918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15DF72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448FB8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5C1D806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AD5E86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4BFE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74" w:hRule="atLeast"/>
        </w:trPr>
        <w:tc>
          <w:tcPr>
            <w:tcW w:w="861" w:type="dxa"/>
            <w:vMerge w:val="continue"/>
            <w:shd w:val="clear" w:color="auto" w:fill="auto"/>
            <w:noWrap w:val="0"/>
            <w:vAlign w:val="center"/>
          </w:tcPr>
          <w:p w14:paraId="116ED63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2F028F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1087" w:type="dxa"/>
            <w:shd w:val="clear" w:color="auto" w:fill="auto"/>
            <w:noWrap w:val="0"/>
            <w:vAlign w:val="center"/>
          </w:tcPr>
          <w:p w14:paraId="2D03186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1E45D2E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60" w:type="dxa"/>
            <w:shd w:val="clear" w:color="auto" w:fill="auto"/>
            <w:noWrap w:val="0"/>
            <w:vAlign w:val="center"/>
          </w:tcPr>
          <w:p w14:paraId="733EB10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535" w:type="dxa"/>
            <w:shd w:val="clear" w:color="auto" w:fill="auto"/>
            <w:noWrap w:val="0"/>
            <w:vAlign w:val="center"/>
          </w:tcPr>
          <w:p w14:paraId="1ECDCF8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AC1FD7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9BC76E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3D710B2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8940954">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83B0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368" w:hRule="atLeast"/>
        </w:trPr>
        <w:tc>
          <w:tcPr>
            <w:tcW w:w="861" w:type="dxa"/>
            <w:vMerge w:val="restart"/>
            <w:shd w:val="clear" w:color="auto" w:fill="auto"/>
            <w:noWrap w:val="0"/>
            <w:vAlign w:val="center"/>
          </w:tcPr>
          <w:p w14:paraId="5C596223">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268D3B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087" w:type="dxa"/>
            <w:shd w:val="clear" w:color="auto" w:fill="auto"/>
            <w:noWrap w:val="0"/>
            <w:vAlign w:val="center"/>
          </w:tcPr>
          <w:p w14:paraId="24C16A9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60" w:type="dxa"/>
            <w:shd w:val="clear" w:color="auto" w:fill="auto"/>
            <w:noWrap w:val="0"/>
            <w:vAlign w:val="center"/>
          </w:tcPr>
          <w:p w14:paraId="248BE7F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535" w:type="dxa"/>
            <w:shd w:val="clear" w:color="auto" w:fill="auto"/>
            <w:noWrap w:val="0"/>
            <w:vAlign w:val="center"/>
          </w:tcPr>
          <w:p w14:paraId="388BB3B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08746A1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4DC8B78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3F4300B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5B6ACA2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30EABB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70E1D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3" w:hRule="atLeast"/>
        </w:trPr>
        <w:tc>
          <w:tcPr>
            <w:tcW w:w="861" w:type="dxa"/>
            <w:vMerge w:val="continue"/>
            <w:shd w:val="clear" w:color="auto" w:fill="auto"/>
            <w:noWrap w:val="0"/>
            <w:vAlign w:val="center"/>
          </w:tcPr>
          <w:p w14:paraId="70D41D4A">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3EBBED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1087" w:type="dxa"/>
            <w:shd w:val="clear" w:color="auto" w:fill="auto"/>
            <w:noWrap w:val="0"/>
            <w:vAlign w:val="center"/>
          </w:tcPr>
          <w:p w14:paraId="6375672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60" w:type="dxa"/>
            <w:shd w:val="clear" w:color="auto" w:fill="auto"/>
            <w:noWrap w:val="0"/>
            <w:vAlign w:val="center"/>
          </w:tcPr>
          <w:p w14:paraId="0FF2F2E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535" w:type="dxa"/>
            <w:shd w:val="clear" w:color="auto" w:fill="auto"/>
            <w:noWrap w:val="0"/>
            <w:vAlign w:val="center"/>
          </w:tcPr>
          <w:p w14:paraId="51F4868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1F6B73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3BD5911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8B17C5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rPr>
            </w:pPr>
            <w:r>
              <w:rPr>
                <w:rFonts w:hint="eastAsia" w:ascii="宋体" w:hAnsi="宋体" w:eastAsia="宋体" w:cs="宋体"/>
                <w:color w:val="auto"/>
                <w:kern w:val="0"/>
                <w:sz w:val="20"/>
                <w:szCs w:val="20"/>
                <w:highlight w:val="none"/>
                <w:shd w:val="clear" w:color="auto" w:fill="auto"/>
                <w:lang w:val="en-US" w:eastAsia="zh-CN"/>
              </w:rPr>
              <w:t>3.</w:t>
            </w:r>
            <w:r>
              <w:rPr>
                <w:rFonts w:hint="eastAsia" w:cs="宋体"/>
                <w:color w:val="auto"/>
                <w:kern w:val="0"/>
                <w:sz w:val="20"/>
                <w:szCs w:val="20"/>
                <w:highlight w:val="none"/>
                <w:shd w:val="clear" w:color="auto" w:fill="auto"/>
                <w:lang w:val="en-US" w:eastAsia="zh-CN"/>
              </w:rPr>
              <w:t>94</w:t>
            </w:r>
          </w:p>
        </w:tc>
      </w:tr>
      <w:tr w14:paraId="785FF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0" w:hRule="atLeast"/>
        </w:trPr>
        <w:tc>
          <w:tcPr>
            <w:tcW w:w="861" w:type="dxa"/>
            <w:vMerge w:val="restart"/>
            <w:shd w:val="clear" w:color="auto" w:fill="auto"/>
            <w:noWrap w:val="0"/>
            <w:vAlign w:val="center"/>
          </w:tcPr>
          <w:p w14:paraId="3F7D821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2F9DF27A">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556C5FD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087" w:type="dxa"/>
            <w:shd w:val="clear" w:color="auto" w:fill="auto"/>
            <w:noWrap w:val="0"/>
            <w:vAlign w:val="center"/>
          </w:tcPr>
          <w:p w14:paraId="5982C51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8C413D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60" w:type="dxa"/>
            <w:shd w:val="clear" w:color="auto" w:fill="auto"/>
            <w:noWrap w:val="0"/>
            <w:vAlign w:val="center"/>
          </w:tcPr>
          <w:p w14:paraId="0796538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535" w:type="dxa"/>
            <w:shd w:val="clear" w:color="auto" w:fill="auto"/>
            <w:noWrap w:val="0"/>
            <w:vAlign w:val="center"/>
          </w:tcPr>
          <w:p w14:paraId="20B91C2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3D7D13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4933807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7A30B39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AE315A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320F8AE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887235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44E5B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trPr>
        <w:tc>
          <w:tcPr>
            <w:tcW w:w="861" w:type="dxa"/>
            <w:vMerge w:val="continue"/>
            <w:shd w:val="clear" w:color="auto" w:fill="auto"/>
            <w:noWrap w:val="0"/>
            <w:vAlign w:val="center"/>
          </w:tcPr>
          <w:p w14:paraId="63E977A9">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2BD1D8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17DE67CE">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087" w:type="dxa"/>
            <w:shd w:val="clear" w:color="auto" w:fill="auto"/>
            <w:noWrap w:val="0"/>
            <w:vAlign w:val="center"/>
          </w:tcPr>
          <w:p w14:paraId="6056388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B106CB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60" w:type="dxa"/>
            <w:shd w:val="clear" w:color="auto" w:fill="auto"/>
            <w:noWrap w:val="0"/>
            <w:vAlign w:val="center"/>
          </w:tcPr>
          <w:p w14:paraId="7284C56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535" w:type="dxa"/>
            <w:shd w:val="clear" w:color="auto" w:fill="auto"/>
            <w:noWrap w:val="0"/>
            <w:vAlign w:val="center"/>
          </w:tcPr>
          <w:p w14:paraId="2C44455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2D1366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2073C4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146308E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9A2111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6E73A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37" w:hRule="atLeast"/>
        </w:trPr>
        <w:tc>
          <w:tcPr>
            <w:tcW w:w="861" w:type="dxa"/>
            <w:vMerge w:val="continue"/>
            <w:shd w:val="clear" w:color="auto" w:fill="auto"/>
            <w:noWrap w:val="0"/>
            <w:vAlign w:val="center"/>
          </w:tcPr>
          <w:p w14:paraId="023E27D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0A7E39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1087" w:type="dxa"/>
            <w:shd w:val="clear" w:color="auto" w:fill="auto"/>
            <w:noWrap w:val="0"/>
            <w:vAlign w:val="center"/>
          </w:tcPr>
          <w:p w14:paraId="0880585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6D5B05E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60" w:type="dxa"/>
            <w:shd w:val="clear" w:color="auto" w:fill="auto"/>
            <w:noWrap w:val="0"/>
            <w:vAlign w:val="center"/>
          </w:tcPr>
          <w:p w14:paraId="17ED303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535" w:type="dxa"/>
            <w:shd w:val="clear" w:color="auto" w:fill="auto"/>
            <w:noWrap w:val="0"/>
            <w:vAlign w:val="center"/>
          </w:tcPr>
          <w:p w14:paraId="4FE8D2C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51BBC7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02629DD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662855F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6BA6A4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0D089A71">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46C39D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101D0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4" w:hRule="atLeast"/>
        </w:trPr>
        <w:tc>
          <w:tcPr>
            <w:tcW w:w="861" w:type="dxa"/>
            <w:shd w:val="clear" w:color="auto" w:fill="auto"/>
            <w:noWrap w:val="0"/>
            <w:vAlign w:val="center"/>
          </w:tcPr>
          <w:p w14:paraId="16A0E28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7060F8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087" w:type="dxa"/>
            <w:shd w:val="clear" w:color="auto" w:fill="auto"/>
            <w:noWrap w:val="0"/>
            <w:vAlign w:val="center"/>
          </w:tcPr>
          <w:p w14:paraId="28F3EE4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选聘教师人数</w:t>
            </w:r>
          </w:p>
        </w:tc>
        <w:tc>
          <w:tcPr>
            <w:tcW w:w="2160" w:type="dxa"/>
            <w:shd w:val="clear" w:color="auto" w:fill="auto"/>
            <w:noWrap w:val="0"/>
            <w:vAlign w:val="center"/>
          </w:tcPr>
          <w:p w14:paraId="57340B1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535" w:type="dxa"/>
            <w:shd w:val="clear" w:color="auto" w:fill="auto"/>
            <w:noWrap w:val="0"/>
            <w:vAlign w:val="center"/>
          </w:tcPr>
          <w:p w14:paraId="665BDFD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695EEC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C0998F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32CE3F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764EE50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9.5</w:t>
            </w:r>
          </w:p>
        </w:tc>
      </w:tr>
      <w:tr w14:paraId="58C6FF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9" w:hRule="atLeast"/>
        </w:trPr>
        <w:tc>
          <w:tcPr>
            <w:tcW w:w="861" w:type="dxa"/>
            <w:shd w:val="clear" w:color="auto" w:fill="auto"/>
            <w:noWrap w:val="0"/>
            <w:vAlign w:val="center"/>
          </w:tcPr>
          <w:p w14:paraId="29A3931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4521B09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1087" w:type="dxa"/>
            <w:shd w:val="clear" w:color="auto" w:fill="auto"/>
            <w:noWrap w:val="0"/>
            <w:vAlign w:val="center"/>
          </w:tcPr>
          <w:p w14:paraId="6E438D1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工资支付次数</w:t>
            </w:r>
          </w:p>
        </w:tc>
        <w:tc>
          <w:tcPr>
            <w:tcW w:w="2160" w:type="dxa"/>
            <w:shd w:val="clear" w:color="auto" w:fill="auto"/>
            <w:noWrap w:val="0"/>
            <w:vAlign w:val="center"/>
          </w:tcPr>
          <w:p w14:paraId="39E1129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535" w:type="dxa"/>
            <w:shd w:val="clear" w:color="auto" w:fill="auto"/>
            <w:noWrap w:val="0"/>
            <w:vAlign w:val="center"/>
          </w:tcPr>
          <w:p w14:paraId="2D40607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E4DD5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36534C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A11C02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680773F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r>
      <w:tr w14:paraId="3F56E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trPr>
        <w:tc>
          <w:tcPr>
            <w:tcW w:w="861" w:type="dxa"/>
            <w:vMerge w:val="restart"/>
            <w:shd w:val="clear" w:color="auto" w:fill="auto"/>
            <w:noWrap w:val="0"/>
            <w:vAlign w:val="center"/>
          </w:tcPr>
          <w:p w14:paraId="1178352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4B870EA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087" w:type="dxa"/>
            <w:shd w:val="clear" w:color="auto" w:fill="auto"/>
            <w:noWrap w:val="0"/>
            <w:vAlign w:val="center"/>
          </w:tcPr>
          <w:p w14:paraId="57FC186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人员经费享受比例</w:t>
            </w:r>
          </w:p>
        </w:tc>
        <w:tc>
          <w:tcPr>
            <w:tcW w:w="2160" w:type="dxa"/>
            <w:shd w:val="clear" w:color="auto" w:fill="auto"/>
            <w:noWrap w:val="0"/>
            <w:vAlign w:val="center"/>
          </w:tcPr>
          <w:p w14:paraId="166B316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535" w:type="dxa"/>
            <w:shd w:val="clear" w:color="auto" w:fill="auto"/>
            <w:noWrap w:val="0"/>
            <w:vAlign w:val="center"/>
          </w:tcPr>
          <w:p w14:paraId="566BBD9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5DE93B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DFC257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F5F69E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47FB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trPr>
        <w:tc>
          <w:tcPr>
            <w:tcW w:w="861" w:type="dxa"/>
            <w:vMerge w:val="continue"/>
            <w:shd w:val="clear" w:color="auto" w:fill="auto"/>
            <w:noWrap w:val="0"/>
            <w:vAlign w:val="center"/>
          </w:tcPr>
          <w:p w14:paraId="33BC8D0C">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430E92D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087" w:type="dxa"/>
            <w:shd w:val="clear" w:color="auto" w:fill="auto"/>
            <w:noWrap w:val="0"/>
            <w:vAlign w:val="center"/>
          </w:tcPr>
          <w:p w14:paraId="426AB91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选聘教师工资发放时间</w:t>
            </w:r>
          </w:p>
        </w:tc>
        <w:tc>
          <w:tcPr>
            <w:tcW w:w="2160" w:type="dxa"/>
            <w:shd w:val="clear" w:color="auto" w:fill="auto"/>
            <w:noWrap w:val="0"/>
            <w:vAlign w:val="center"/>
          </w:tcPr>
          <w:p w14:paraId="3C594A1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535" w:type="dxa"/>
            <w:shd w:val="clear" w:color="auto" w:fill="auto"/>
            <w:noWrap w:val="0"/>
            <w:vAlign w:val="center"/>
          </w:tcPr>
          <w:p w14:paraId="7A6482F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4D619A9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E450EE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FE06AE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5458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41" w:hRule="atLeast"/>
        </w:trPr>
        <w:tc>
          <w:tcPr>
            <w:tcW w:w="861" w:type="dxa"/>
            <w:vMerge w:val="continue"/>
            <w:shd w:val="clear" w:color="auto" w:fill="auto"/>
            <w:noWrap w:val="0"/>
            <w:vAlign w:val="center"/>
          </w:tcPr>
          <w:p w14:paraId="3232304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6CA268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087" w:type="dxa"/>
            <w:shd w:val="clear" w:color="auto" w:fill="auto"/>
            <w:noWrap w:val="0"/>
            <w:vAlign w:val="center"/>
          </w:tcPr>
          <w:p w14:paraId="02D4DA8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人员经费标准</w:t>
            </w:r>
          </w:p>
        </w:tc>
        <w:tc>
          <w:tcPr>
            <w:tcW w:w="2160" w:type="dxa"/>
            <w:shd w:val="clear" w:color="auto" w:fill="auto"/>
            <w:noWrap w:val="0"/>
            <w:vAlign w:val="center"/>
          </w:tcPr>
          <w:p w14:paraId="14E0BE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35" w:type="dxa"/>
            <w:shd w:val="clear" w:color="auto" w:fill="auto"/>
            <w:noWrap w:val="0"/>
            <w:vAlign w:val="center"/>
          </w:tcPr>
          <w:p w14:paraId="26590FF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p>
          <w:p w14:paraId="28B862C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A46754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3D02032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DBECD3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7C0DDA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1E855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8" w:hRule="atLeast"/>
        </w:trPr>
        <w:tc>
          <w:tcPr>
            <w:tcW w:w="861" w:type="dxa"/>
            <w:vMerge w:val="restart"/>
            <w:shd w:val="clear" w:color="auto" w:fill="auto"/>
            <w:noWrap w:val="0"/>
            <w:vAlign w:val="center"/>
          </w:tcPr>
          <w:p w14:paraId="65A6348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2BFD63A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1087" w:type="dxa"/>
            <w:shd w:val="clear" w:color="auto" w:fill="auto"/>
            <w:noWrap w:val="0"/>
            <w:vAlign w:val="center"/>
          </w:tcPr>
          <w:p w14:paraId="0EDC574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学校正常运转率</w:t>
            </w:r>
          </w:p>
        </w:tc>
        <w:tc>
          <w:tcPr>
            <w:tcW w:w="2160" w:type="dxa"/>
            <w:shd w:val="clear" w:color="auto" w:fill="auto"/>
            <w:noWrap w:val="0"/>
            <w:vAlign w:val="center"/>
          </w:tcPr>
          <w:p w14:paraId="444559E1">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535" w:type="dxa"/>
            <w:shd w:val="clear" w:color="auto" w:fill="auto"/>
            <w:noWrap w:val="0"/>
            <w:vAlign w:val="center"/>
          </w:tcPr>
          <w:p w14:paraId="0A9BDEF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0A3DD4E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96915F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7CCC4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0" w:hRule="atLeast"/>
        </w:trPr>
        <w:tc>
          <w:tcPr>
            <w:tcW w:w="861" w:type="dxa"/>
            <w:vMerge w:val="continue"/>
            <w:shd w:val="clear" w:color="auto" w:fill="auto"/>
            <w:noWrap w:val="0"/>
            <w:vAlign w:val="center"/>
          </w:tcPr>
          <w:p w14:paraId="06E3C24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E6A887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rPr>
            </w:pPr>
          </w:p>
        </w:tc>
        <w:tc>
          <w:tcPr>
            <w:tcW w:w="1087" w:type="dxa"/>
            <w:shd w:val="clear" w:color="auto" w:fill="auto"/>
            <w:noWrap w:val="0"/>
            <w:vAlign w:val="center"/>
          </w:tcPr>
          <w:p w14:paraId="1606B11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改善教学环境，提供良好的学生成长条件</w:t>
            </w:r>
          </w:p>
        </w:tc>
        <w:tc>
          <w:tcPr>
            <w:tcW w:w="2160" w:type="dxa"/>
            <w:shd w:val="clear" w:color="auto" w:fill="auto"/>
            <w:noWrap w:val="0"/>
            <w:vAlign w:val="center"/>
          </w:tcPr>
          <w:p w14:paraId="2B23D54E">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535" w:type="dxa"/>
            <w:shd w:val="clear" w:color="auto" w:fill="auto"/>
            <w:noWrap w:val="0"/>
            <w:vAlign w:val="center"/>
          </w:tcPr>
          <w:p w14:paraId="3F85A85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8B09B8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81E794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36E51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trPr>
        <w:tc>
          <w:tcPr>
            <w:tcW w:w="861" w:type="dxa"/>
            <w:vMerge w:val="continue"/>
            <w:shd w:val="clear" w:color="auto" w:fill="auto"/>
            <w:noWrap w:val="0"/>
            <w:vAlign w:val="center"/>
          </w:tcPr>
          <w:p w14:paraId="1523FEB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8D6683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2"/>
                <w:szCs w:val="22"/>
                <w:highlight w:val="none"/>
              </w:rPr>
            </w:pPr>
          </w:p>
        </w:tc>
        <w:tc>
          <w:tcPr>
            <w:tcW w:w="1087" w:type="dxa"/>
            <w:shd w:val="clear" w:color="auto" w:fill="auto"/>
            <w:noWrap w:val="0"/>
            <w:vAlign w:val="center"/>
          </w:tcPr>
          <w:p w14:paraId="6CA0B461">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师生满意度</w:t>
            </w:r>
          </w:p>
        </w:tc>
        <w:tc>
          <w:tcPr>
            <w:tcW w:w="2160" w:type="dxa"/>
            <w:shd w:val="clear" w:color="auto" w:fill="auto"/>
            <w:noWrap w:val="0"/>
            <w:vAlign w:val="center"/>
          </w:tcPr>
          <w:p w14:paraId="400DC68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535" w:type="dxa"/>
            <w:shd w:val="clear" w:color="auto" w:fill="auto"/>
            <w:noWrap w:val="0"/>
            <w:vAlign w:val="center"/>
          </w:tcPr>
          <w:p w14:paraId="762D761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AE4F66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0457FA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29A48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trPr>
        <w:tc>
          <w:tcPr>
            <w:tcW w:w="4835" w:type="dxa"/>
            <w:gridSpan w:val="4"/>
            <w:shd w:val="clear" w:color="auto" w:fill="auto"/>
            <w:noWrap w:val="0"/>
            <w:vAlign w:val="center"/>
          </w:tcPr>
          <w:p w14:paraId="00412D9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535" w:type="dxa"/>
            <w:shd w:val="clear" w:color="auto" w:fill="auto"/>
            <w:noWrap w:val="0"/>
            <w:vAlign w:val="center"/>
          </w:tcPr>
          <w:p w14:paraId="46BB1B4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EE66F0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30BA7B2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98.64</w:t>
            </w:r>
          </w:p>
        </w:tc>
      </w:tr>
    </w:tbl>
    <w:p w14:paraId="5FB0EB08">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7D75681F">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E2BF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E52F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7E52F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6139F6"/>
    <w:rsid w:val="02B015E2"/>
    <w:rsid w:val="02B763EF"/>
    <w:rsid w:val="02DC08FA"/>
    <w:rsid w:val="033B569D"/>
    <w:rsid w:val="039C3BA0"/>
    <w:rsid w:val="03A845BB"/>
    <w:rsid w:val="03B45AD1"/>
    <w:rsid w:val="04D12EE4"/>
    <w:rsid w:val="04D63993"/>
    <w:rsid w:val="04FA2372"/>
    <w:rsid w:val="07890F4F"/>
    <w:rsid w:val="08892439"/>
    <w:rsid w:val="08D21C65"/>
    <w:rsid w:val="08EB30F3"/>
    <w:rsid w:val="09237408"/>
    <w:rsid w:val="09285D2B"/>
    <w:rsid w:val="09781BD6"/>
    <w:rsid w:val="09F359DF"/>
    <w:rsid w:val="0A575E65"/>
    <w:rsid w:val="0ACA0AB6"/>
    <w:rsid w:val="0C032502"/>
    <w:rsid w:val="0C27698C"/>
    <w:rsid w:val="0C7C600D"/>
    <w:rsid w:val="0D4452F3"/>
    <w:rsid w:val="0F5E5042"/>
    <w:rsid w:val="0FE95707"/>
    <w:rsid w:val="10510571"/>
    <w:rsid w:val="10787A20"/>
    <w:rsid w:val="108672DE"/>
    <w:rsid w:val="10EC685A"/>
    <w:rsid w:val="11FA6155"/>
    <w:rsid w:val="12CF0947"/>
    <w:rsid w:val="12F1313F"/>
    <w:rsid w:val="136C678E"/>
    <w:rsid w:val="13EB2FF5"/>
    <w:rsid w:val="14CE781D"/>
    <w:rsid w:val="14ED4CAC"/>
    <w:rsid w:val="15A46B04"/>
    <w:rsid w:val="165825BC"/>
    <w:rsid w:val="16BC5D73"/>
    <w:rsid w:val="176F36D7"/>
    <w:rsid w:val="1795226D"/>
    <w:rsid w:val="18456B1E"/>
    <w:rsid w:val="1C085448"/>
    <w:rsid w:val="1C1171C5"/>
    <w:rsid w:val="1D265138"/>
    <w:rsid w:val="1D7B6BCA"/>
    <w:rsid w:val="1DA41A79"/>
    <w:rsid w:val="1DF53469"/>
    <w:rsid w:val="1E2F24F2"/>
    <w:rsid w:val="1E58492F"/>
    <w:rsid w:val="1E5B6757"/>
    <w:rsid w:val="1ED10AC6"/>
    <w:rsid w:val="1F89225F"/>
    <w:rsid w:val="1F900A1F"/>
    <w:rsid w:val="1FC0575D"/>
    <w:rsid w:val="206132C7"/>
    <w:rsid w:val="2129063D"/>
    <w:rsid w:val="21B00C1D"/>
    <w:rsid w:val="23031BEB"/>
    <w:rsid w:val="23917691"/>
    <w:rsid w:val="244D65B8"/>
    <w:rsid w:val="245E1E24"/>
    <w:rsid w:val="257E6620"/>
    <w:rsid w:val="258B3B49"/>
    <w:rsid w:val="25AD5E5D"/>
    <w:rsid w:val="2732478D"/>
    <w:rsid w:val="27661469"/>
    <w:rsid w:val="27900EAD"/>
    <w:rsid w:val="279B538A"/>
    <w:rsid w:val="286F545C"/>
    <w:rsid w:val="29314FBC"/>
    <w:rsid w:val="2AA2081A"/>
    <w:rsid w:val="2C024B86"/>
    <w:rsid w:val="2C927671"/>
    <w:rsid w:val="2C976E40"/>
    <w:rsid w:val="2CC6306F"/>
    <w:rsid w:val="2D7C5CD6"/>
    <w:rsid w:val="2E483E7E"/>
    <w:rsid w:val="2E690493"/>
    <w:rsid w:val="2E9854BD"/>
    <w:rsid w:val="2F0D407F"/>
    <w:rsid w:val="2F454B19"/>
    <w:rsid w:val="310224D9"/>
    <w:rsid w:val="31B4621C"/>
    <w:rsid w:val="31E3230A"/>
    <w:rsid w:val="330957E0"/>
    <w:rsid w:val="33356F64"/>
    <w:rsid w:val="33944516"/>
    <w:rsid w:val="33AE644E"/>
    <w:rsid w:val="34B62907"/>
    <w:rsid w:val="35BF5B92"/>
    <w:rsid w:val="36BD137C"/>
    <w:rsid w:val="36E9354C"/>
    <w:rsid w:val="377762F0"/>
    <w:rsid w:val="38053EDF"/>
    <w:rsid w:val="380812A4"/>
    <w:rsid w:val="385D37E7"/>
    <w:rsid w:val="38782EDD"/>
    <w:rsid w:val="3B42664A"/>
    <w:rsid w:val="3C7C4FA1"/>
    <w:rsid w:val="3CAD1E92"/>
    <w:rsid w:val="3D836A4E"/>
    <w:rsid w:val="3E484F1D"/>
    <w:rsid w:val="3EA37E97"/>
    <w:rsid w:val="3FA13DE3"/>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372396"/>
    <w:rsid w:val="4B9F6E02"/>
    <w:rsid w:val="4C89637B"/>
    <w:rsid w:val="4E6E48A8"/>
    <w:rsid w:val="4EEC036B"/>
    <w:rsid w:val="4F714FA1"/>
    <w:rsid w:val="501D2673"/>
    <w:rsid w:val="50C80BF1"/>
    <w:rsid w:val="51852833"/>
    <w:rsid w:val="52BE7F3F"/>
    <w:rsid w:val="52F11AC8"/>
    <w:rsid w:val="534F49D9"/>
    <w:rsid w:val="53555F0F"/>
    <w:rsid w:val="535D23D5"/>
    <w:rsid w:val="55C64819"/>
    <w:rsid w:val="568665B4"/>
    <w:rsid w:val="56F4341A"/>
    <w:rsid w:val="575A7321"/>
    <w:rsid w:val="580C3AB9"/>
    <w:rsid w:val="583C7AE0"/>
    <w:rsid w:val="586C1E9A"/>
    <w:rsid w:val="586E0800"/>
    <w:rsid w:val="58995736"/>
    <w:rsid w:val="59216F96"/>
    <w:rsid w:val="598C4145"/>
    <w:rsid w:val="59957D1B"/>
    <w:rsid w:val="59D4294E"/>
    <w:rsid w:val="5B634312"/>
    <w:rsid w:val="5B9D2CCD"/>
    <w:rsid w:val="5B9E71EA"/>
    <w:rsid w:val="5D6A7427"/>
    <w:rsid w:val="5DE03035"/>
    <w:rsid w:val="5E226FBC"/>
    <w:rsid w:val="5FE72BD2"/>
    <w:rsid w:val="60120613"/>
    <w:rsid w:val="618D5292"/>
    <w:rsid w:val="622E78FA"/>
    <w:rsid w:val="63343F70"/>
    <w:rsid w:val="633E69CB"/>
    <w:rsid w:val="64296E1C"/>
    <w:rsid w:val="64386FCC"/>
    <w:rsid w:val="649E64A2"/>
    <w:rsid w:val="65E5270A"/>
    <w:rsid w:val="663D3C54"/>
    <w:rsid w:val="667A6962"/>
    <w:rsid w:val="66862C89"/>
    <w:rsid w:val="66BB486D"/>
    <w:rsid w:val="67394C7D"/>
    <w:rsid w:val="68126B38"/>
    <w:rsid w:val="68291A1A"/>
    <w:rsid w:val="68352BB8"/>
    <w:rsid w:val="68CC2CB5"/>
    <w:rsid w:val="691327EB"/>
    <w:rsid w:val="691B1594"/>
    <w:rsid w:val="693A016B"/>
    <w:rsid w:val="6A17429C"/>
    <w:rsid w:val="6A567EA3"/>
    <w:rsid w:val="6B4B4368"/>
    <w:rsid w:val="6B4D26DB"/>
    <w:rsid w:val="6B79100E"/>
    <w:rsid w:val="6C844C00"/>
    <w:rsid w:val="6E10212C"/>
    <w:rsid w:val="6E43561A"/>
    <w:rsid w:val="6E557973"/>
    <w:rsid w:val="6E9568DB"/>
    <w:rsid w:val="6F0D6C22"/>
    <w:rsid w:val="6F47657F"/>
    <w:rsid w:val="6FAF23D9"/>
    <w:rsid w:val="70255CE6"/>
    <w:rsid w:val="70635CF6"/>
    <w:rsid w:val="70670707"/>
    <w:rsid w:val="720E3691"/>
    <w:rsid w:val="7249173A"/>
    <w:rsid w:val="724E244C"/>
    <w:rsid w:val="72DA6946"/>
    <w:rsid w:val="732764B3"/>
    <w:rsid w:val="74026044"/>
    <w:rsid w:val="74325A77"/>
    <w:rsid w:val="74746410"/>
    <w:rsid w:val="74BF0E6E"/>
    <w:rsid w:val="754778BB"/>
    <w:rsid w:val="75C8506C"/>
    <w:rsid w:val="75E5007C"/>
    <w:rsid w:val="77636B63"/>
    <w:rsid w:val="77813724"/>
    <w:rsid w:val="77861774"/>
    <w:rsid w:val="77CF2DA8"/>
    <w:rsid w:val="78F31435"/>
    <w:rsid w:val="79300B45"/>
    <w:rsid w:val="794D3E18"/>
    <w:rsid w:val="79F3729A"/>
    <w:rsid w:val="7A880722"/>
    <w:rsid w:val="7ABE6120"/>
    <w:rsid w:val="7ACB0498"/>
    <w:rsid w:val="7AED0B4D"/>
    <w:rsid w:val="7AEF0120"/>
    <w:rsid w:val="7C1E4487"/>
    <w:rsid w:val="7C215E02"/>
    <w:rsid w:val="7CF23764"/>
    <w:rsid w:val="7CF260AF"/>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11460</Words>
  <Characters>12097</Characters>
  <Lines>0</Lines>
  <Paragraphs>0</Paragraphs>
  <TotalTime>0</TotalTime>
  <ScaleCrop>false</ScaleCrop>
  <LinksUpToDate>false</LinksUpToDate>
  <CharactersWithSpaces>12177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