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9123"/>
      <w:bookmarkStart w:id="2" w:name="_Toc15679"/>
      <w:bookmarkStart w:id="3" w:name="_Toc25575"/>
      <w:r>
        <w:rPr>
          <w:rFonts w:hint="eastAsia" w:cs="宋体"/>
          <w:b/>
          <w:bCs/>
          <w:color w:val="auto"/>
          <w:sz w:val="40"/>
          <w:szCs w:val="40"/>
          <w:highlight w:val="none"/>
          <w:shd w:val="clear" w:color="auto" w:fill="auto"/>
          <w:lang w:val="en-US" w:eastAsia="zh-CN"/>
        </w:rPr>
        <w:t>阜康市煤田火区治理项目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val="en-US" w:eastAsia="zh-CN"/>
        </w:rPr>
        <w:t>阜康市煤田火区治理项目</w:t>
      </w:r>
    </w:p>
    <w:p w14:paraId="7CB8A243">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阜康市应急管理局</w:t>
      </w:r>
    </w:p>
    <w:p w14:paraId="1CD13478">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阜康市应急管理局</w:t>
      </w:r>
    </w:p>
    <w:p w14:paraId="065BEE39">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val="en-US" w:eastAsia="zh-CN"/>
        </w:rPr>
        <w:t>项目负责人：蔡万卿</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17</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21</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25</w:t>
          </w:r>
          <w:r>
            <w:fldChar w:fldCharType="end"/>
          </w:r>
          <w:r>
            <w:rPr>
              <w:rFonts w:hint="eastAsia"/>
              <w:szCs w:val="28"/>
              <w:lang w:val="en-US" w:eastAsia="zh-CN"/>
            </w:rPr>
            <w:fldChar w:fldCharType="end"/>
          </w:r>
        </w:p>
        <w:p w14:paraId="28EABB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tab/>
          </w:r>
          <w:r>
            <w:fldChar w:fldCharType="begin"/>
          </w:r>
          <w:r>
            <w:instrText xml:space="preserve"> PAGEREF _Toc19424 \h </w:instrText>
          </w:r>
          <w:r>
            <w:fldChar w:fldCharType="separate"/>
          </w:r>
          <w:r>
            <w:t>2</w:t>
          </w:r>
          <w:r>
            <w:rPr>
              <w:rFonts w:hint="eastAsia"/>
              <w:lang w:val="en-US" w:eastAsia="zh-CN"/>
            </w:rPr>
            <w:t>6</w:t>
          </w:r>
          <w:r>
            <w:fldChar w:fldCharType="end"/>
          </w:r>
          <w:r>
            <w:rPr>
              <w:rFonts w:hint="eastAsia"/>
              <w:szCs w:val="28"/>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26</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27</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lang w:val="en-US" w:eastAsia="zh-CN"/>
            </w:rPr>
            <w:t xml:space="preserve">      </w:t>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lang w:val="en-US" w:eastAsia="zh-CN"/>
            </w:rPr>
            <w:t>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2946"/>
      <w:bookmarkStart w:id="5" w:name="_Toc3663"/>
      <w:bookmarkStart w:id="6" w:name="_Toc1194"/>
      <w:bookmarkStart w:id="7" w:name="_Toc20432"/>
      <w:r>
        <w:rPr>
          <w:rFonts w:hint="eastAsia" w:cs="宋体"/>
          <w:b/>
          <w:bCs/>
          <w:color w:val="auto"/>
          <w:sz w:val="36"/>
          <w:szCs w:val="36"/>
          <w:highlight w:val="none"/>
          <w:shd w:val="clear" w:color="auto" w:fill="auto"/>
          <w:lang w:val="en-US" w:eastAsia="zh-CN"/>
        </w:rPr>
        <w:t>阜康市煤田火区治理项目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9" w:name="_Toc23184"/>
      <w:r>
        <w:rPr>
          <w:rFonts w:hint="eastAsia" w:ascii="Times New Roman" w:hAnsi="Times New Roman" w:eastAsia="楷体_GB2312" w:cs="Times New Roman"/>
          <w:color w:val="auto"/>
          <w:kern w:val="28"/>
          <w:sz w:val="32"/>
          <w:lang w:val="en-US" w:eastAsia="zh-CN"/>
        </w:rPr>
        <w:t>（一）项目概况</w:t>
      </w:r>
      <w:bookmarkEnd w:id="9"/>
    </w:p>
    <w:p w14:paraId="6CEBF9B9">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0" w:name="_Toc22346"/>
      <w:bookmarkStart w:id="11" w:name="_Toc10645"/>
      <w:bookmarkStart w:id="12" w:name="_Toc5043"/>
      <w:bookmarkStart w:id="13" w:name="_Toc29812"/>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p>
    <w:p w14:paraId="33D1C297">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cs="仿宋_GB2312"/>
          <w:b w:val="0"/>
          <w:bCs w:val="0"/>
          <w:color w:val="auto"/>
          <w:sz w:val="32"/>
          <w:szCs w:val="32"/>
          <w:highlight w:val="none"/>
          <w:shd w:val="clear" w:color="auto" w:fill="auto"/>
          <w:lang w:val="en-US" w:eastAsia="zh-CN"/>
        </w:rPr>
        <w:t>为</w:t>
      </w:r>
      <w:r>
        <w:rPr>
          <w:rFonts w:hint="eastAsia" w:ascii="仿宋_GB2312" w:hAnsi="仿宋_GB2312" w:eastAsia="仿宋_GB2312" w:cs="仿宋_GB2312"/>
          <w:b w:val="0"/>
          <w:bCs w:val="0"/>
          <w:color w:val="auto"/>
          <w:sz w:val="32"/>
          <w:szCs w:val="32"/>
          <w:highlight w:val="none"/>
          <w:shd w:val="clear" w:color="auto" w:fill="auto"/>
          <w:lang w:val="en-US" w:eastAsia="zh-CN"/>
        </w:rPr>
        <w:t>推进煤田火区健康发展，消除火灾危害，保护煤炭资源，改善火区生态环境。根据自治区人民政府办公厅下发的《新疆维吾尔自治区煤田灭火工作实施方案》（新政办发〔2022〕54号）和昌古回族自治州人民政府下发的关于阜康市丁家湾煤田火区工程初步设计(代可研)的批复（昌州政函【2024】29号）昌州政函【2024】143号昌吉回族自治州人民政府关于阜康绿草沟煤田火区灭火工程初步设计(代可研)的批复，开展阜康丁家湾</w:t>
      </w:r>
      <w:r>
        <w:rPr>
          <w:rFonts w:hint="eastAsia" w:cs="仿宋_GB2312"/>
          <w:b w:val="0"/>
          <w:bCs w:val="0"/>
          <w:color w:val="auto"/>
          <w:sz w:val="32"/>
          <w:szCs w:val="32"/>
          <w:highlight w:val="none"/>
          <w:shd w:val="clear" w:color="auto" w:fill="auto"/>
          <w:lang w:val="en-US" w:eastAsia="zh-CN"/>
        </w:rPr>
        <w:t>、绿草沟2处</w:t>
      </w:r>
      <w:r>
        <w:rPr>
          <w:rFonts w:hint="eastAsia" w:ascii="仿宋_GB2312" w:hAnsi="仿宋_GB2312" w:eastAsia="仿宋_GB2312" w:cs="仿宋_GB2312"/>
          <w:b w:val="0"/>
          <w:bCs w:val="0"/>
          <w:color w:val="auto"/>
          <w:sz w:val="32"/>
          <w:szCs w:val="32"/>
          <w:highlight w:val="none"/>
          <w:shd w:val="clear" w:color="auto" w:fill="auto"/>
          <w:lang w:val="en-US" w:eastAsia="zh-CN"/>
        </w:rPr>
        <w:t>煤田火区治理工作。完成5处火区的详细勘查工作；完成2处火区初步设计工作；完成2处火区水保、环评手续办理工作</w:t>
      </w:r>
      <w:bookmarkEnd w:id="10"/>
      <w:bookmarkEnd w:id="11"/>
      <w:bookmarkEnd w:id="12"/>
      <w:bookmarkEnd w:id="13"/>
      <w:r>
        <w:rPr>
          <w:rFonts w:hint="eastAsia" w:cs="仿宋_GB2312"/>
          <w:b w:val="0"/>
          <w:bCs w:val="0"/>
          <w:color w:val="auto"/>
          <w:sz w:val="32"/>
          <w:szCs w:val="32"/>
          <w:highlight w:val="none"/>
          <w:shd w:val="clear" w:color="auto" w:fill="auto"/>
          <w:lang w:val="en-US" w:eastAsia="zh-CN"/>
        </w:rPr>
        <w:t>。</w:t>
      </w:r>
    </w:p>
    <w:p w14:paraId="4F5AE6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7880"/>
      <w:bookmarkStart w:id="15" w:name="_Toc10730"/>
      <w:bookmarkStart w:id="16" w:name="_Toc1630"/>
      <w:bookmarkStart w:id="17" w:name="_Toc27343"/>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0C22C6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bookmarkStart w:id="18" w:name="_Toc27245"/>
      <w:bookmarkStart w:id="19" w:name="_Toc27409"/>
      <w:bookmarkStart w:id="20" w:name="_Toc16592"/>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color w:val="auto"/>
          <w:sz w:val="32"/>
          <w:szCs w:val="32"/>
          <w:highlight w:val="none"/>
          <w:shd w:val="clear" w:color="auto" w:fill="auto"/>
          <w:lang w:val="en-US" w:eastAsia="zh-CN"/>
        </w:rPr>
        <w:t>按照《新疆阜康市煤田火区灭火工程初步设计（代可研）》说明书，开展阜康市煤田火区治理工程包括：剥离土方工程、覆盖土方工程、注水工程、注浆工程、钻探工程以及水、电等配套附属工程。</w:t>
      </w:r>
    </w:p>
    <w:p w14:paraId="161449A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本项目自2024年2月5日经</w:t>
      </w:r>
      <w:r>
        <w:rPr>
          <w:rFonts w:hint="eastAsia" w:ascii="仿宋_GB2312" w:hAnsi="仿宋_GB2312" w:eastAsia="仿宋_GB2312" w:cs="仿宋_GB2312"/>
          <w:sz w:val="32"/>
          <w:szCs w:val="32"/>
          <w:lang w:val="en-US" w:eastAsia="zh-CN"/>
        </w:rPr>
        <w:t>昌古回族自治州人民政府下发的关于阜康市丁家湾、绿草沟煤田火区工程初步设计(代可研)的批复</w:t>
      </w:r>
      <w:r>
        <w:rPr>
          <w:rFonts w:hint="eastAsia" w:ascii="仿宋_GB2312" w:hAnsi="仿宋_GB2312" w:eastAsia="仿宋_GB2312" w:cs="仿宋_GB2312"/>
          <w:color w:val="auto"/>
          <w:sz w:val="32"/>
          <w:szCs w:val="32"/>
          <w:highlight w:val="none"/>
          <w:shd w:val="clear" w:color="auto" w:fill="auto"/>
          <w:lang w:val="en-US" w:eastAsia="zh-CN"/>
        </w:rPr>
        <w:t>文件，经阜康市煤田火区治理工作领导小组办公室会议，确定了项目领导小组，明确了责任分工：组长为李星辰，副组长为</w:t>
      </w:r>
      <w:r>
        <w:rPr>
          <w:rFonts w:hint="default" w:ascii="Times New Roman" w:hAnsi="Times New Roman" w:eastAsia="仿宋_GB2312" w:cs="Times New Roman"/>
          <w:color w:val="auto"/>
          <w:sz w:val="32"/>
          <w:szCs w:val="32"/>
          <w:highlight w:val="none"/>
          <w:lang w:val="en-US" w:eastAsia="zh-CN"/>
        </w:rPr>
        <w:t>包旭刚</w:t>
      </w:r>
      <w:r>
        <w:rPr>
          <w:rFonts w:hint="eastAsia" w:ascii="Times New Roman" w:hAnsi="Times New Roman" w:eastAsia="仿宋_GB2312" w:cs="Times New Roman"/>
          <w:color w:val="auto"/>
          <w:sz w:val="32"/>
          <w:szCs w:val="32"/>
          <w:highlight w:val="none"/>
          <w:lang w:val="en-US" w:eastAsia="zh-CN"/>
        </w:rPr>
        <w:t>和赵伟</w:t>
      </w:r>
      <w:r>
        <w:rPr>
          <w:rFonts w:hint="eastAsia" w:ascii="仿宋_GB2312" w:hAnsi="仿宋_GB2312" w:eastAsia="仿宋_GB2312" w:cs="仿宋_GB2312"/>
          <w:color w:val="auto"/>
          <w:sz w:val="32"/>
          <w:szCs w:val="32"/>
          <w:highlight w:val="none"/>
          <w:shd w:val="clear" w:color="auto" w:fill="auto"/>
          <w:lang w:val="en-US" w:eastAsia="zh-CN"/>
        </w:rPr>
        <w:t>，项目负责人为</w:t>
      </w:r>
      <w:r>
        <w:rPr>
          <w:rFonts w:hint="default" w:ascii="Times New Roman" w:hAnsi="Times New Roman" w:eastAsia="仿宋_GB2312" w:cs="Times New Roman"/>
          <w:color w:val="auto"/>
          <w:spacing w:val="0"/>
          <w:sz w:val="32"/>
          <w:szCs w:val="32"/>
          <w:highlight w:val="none"/>
          <w:lang w:val="en-US" w:eastAsia="zh-CN"/>
        </w:rPr>
        <w:t>李发辉</w:t>
      </w:r>
      <w:r>
        <w:rPr>
          <w:rFonts w:hint="eastAsia" w:ascii="仿宋_GB2312" w:hAnsi="仿宋_GB2312" w:eastAsia="仿宋_GB2312" w:cs="仿宋_GB2312"/>
          <w:color w:val="auto"/>
          <w:sz w:val="32"/>
          <w:szCs w:val="32"/>
          <w:highlight w:val="none"/>
          <w:shd w:val="clear" w:color="auto" w:fill="auto"/>
          <w:lang w:val="en-US" w:eastAsia="zh-CN"/>
        </w:rPr>
        <w:t>,组员为王琴、</w:t>
      </w:r>
      <w:r>
        <w:rPr>
          <w:rFonts w:hint="default" w:ascii="Times New Roman" w:hAnsi="Times New Roman" w:eastAsia="仿宋_GB2312" w:cs="Times New Roman"/>
          <w:color w:val="auto"/>
          <w:sz w:val="32"/>
          <w:szCs w:val="40"/>
          <w:lang w:val="en-US" w:eastAsia="zh-CN"/>
        </w:rPr>
        <w:t>张宸浩</w:t>
      </w:r>
      <w:r>
        <w:rPr>
          <w:rFonts w:hint="eastAsia" w:ascii="仿宋_GB2312" w:hAnsi="仿宋_GB2312" w:eastAsia="仿宋_GB2312" w:cs="仿宋_GB2312"/>
          <w:color w:val="auto"/>
          <w:sz w:val="32"/>
          <w:szCs w:val="32"/>
          <w:highlight w:val="none"/>
          <w:shd w:val="clear" w:color="auto" w:fill="auto"/>
          <w:lang w:val="en-US" w:eastAsia="zh-CN"/>
        </w:rPr>
        <w:t>，其中：</w:t>
      </w:r>
      <w:r>
        <w:rPr>
          <w:rFonts w:hint="default" w:ascii="Times New Roman" w:hAnsi="Times New Roman" w:eastAsia="仿宋_GB2312" w:cs="Times New Roman"/>
          <w:color w:val="auto"/>
          <w:spacing w:val="0"/>
          <w:sz w:val="32"/>
          <w:szCs w:val="32"/>
          <w:highlight w:val="none"/>
          <w:lang w:val="en-US" w:eastAsia="zh-CN"/>
        </w:rPr>
        <w:t>李发辉</w:t>
      </w:r>
      <w:r>
        <w:rPr>
          <w:rFonts w:hint="eastAsia" w:ascii="仿宋_GB2312" w:hAnsi="仿宋_GB2312" w:eastAsia="仿宋_GB2312" w:cs="仿宋_GB2312"/>
          <w:color w:val="auto"/>
          <w:sz w:val="32"/>
          <w:szCs w:val="32"/>
          <w:highlight w:val="none"/>
          <w:shd w:val="clear" w:color="auto" w:fill="auto"/>
          <w:lang w:val="en-US" w:eastAsia="zh-CN"/>
        </w:rPr>
        <w:t>负责监管工作，</w:t>
      </w:r>
      <w:r>
        <w:rPr>
          <w:rFonts w:hint="default" w:ascii="Times New Roman" w:hAnsi="Times New Roman" w:eastAsia="仿宋_GB2312" w:cs="Times New Roman"/>
          <w:color w:val="auto"/>
          <w:sz w:val="32"/>
          <w:szCs w:val="40"/>
          <w:lang w:val="en-US" w:eastAsia="zh-CN"/>
        </w:rPr>
        <w:t>张宸浩</w:t>
      </w:r>
      <w:r>
        <w:rPr>
          <w:rFonts w:hint="eastAsia" w:ascii="仿宋_GB2312" w:hAnsi="仿宋_GB2312" w:eastAsia="仿宋_GB2312" w:cs="仿宋_GB2312"/>
          <w:color w:val="auto"/>
          <w:sz w:val="32"/>
          <w:szCs w:val="32"/>
          <w:highlight w:val="none"/>
          <w:shd w:val="clear" w:color="auto" w:fill="auto"/>
          <w:lang w:val="en-US" w:eastAsia="zh-CN"/>
        </w:rPr>
        <w:t>负责项目档案资料，王琴负责资金拨付工作。已取得详勘、初设批复，完成环评、水保手续办理，正在进行土石方剥离，超前探，覆盖等作业。</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569"/>
      <w:bookmarkStart w:id="23" w:name="_Toc12348"/>
      <w:bookmarkStart w:id="24" w:name="_Toc1858"/>
      <w:bookmarkStart w:id="25" w:name="_Toc1024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color w:val="auto"/>
          <w:sz w:val="32"/>
          <w:szCs w:val="32"/>
          <w:highlight w:val="none"/>
          <w:lang w:val="en-US" w:eastAsia="zh-CN"/>
        </w:rPr>
        <w:t>该项目年初预算数30542.28万元，全年预算数30542.28万元，该项目资金已全部落实到位，资金来源为财政拨款。</w:t>
      </w:r>
      <w:bookmarkEnd w:id="29"/>
      <w:bookmarkEnd w:id="30"/>
      <w:bookmarkEnd w:id="31"/>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3409"/>
      <w:bookmarkStart w:id="33" w:name="_Toc1166"/>
      <w:bookmarkStart w:id="34" w:name="_Toc28187"/>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29121"/>
      <w:bookmarkStart w:id="36" w:name="_Toc1430"/>
      <w:bookmarkStart w:id="37" w:name="_Toc11647"/>
      <w:r>
        <w:rPr>
          <w:rFonts w:hint="eastAsia" w:ascii="仿宋_GB2312" w:hAnsi="仿宋_GB2312" w:eastAsia="仿宋_GB2312" w:cs="仿宋_GB2312"/>
          <w:color w:val="auto"/>
          <w:sz w:val="32"/>
          <w:szCs w:val="32"/>
          <w:highlight w:val="none"/>
          <w:lang w:val="en-US" w:eastAsia="zh-CN"/>
        </w:rPr>
        <w:t>该项目年初预算数30542.28万元，全年预算数30542.28万元，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全年执行数30542.28万元，预算执行率为100%，主要用于：支付煤田火区前期费和治理费用。</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2547"/>
      <w:bookmarkStart w:id="40" w:name="_Toc8528"/>
      <w:bookmarkStart w:id="41" w:name="_Toc14758"/>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阜康市煤田火区治理项目绩效总体目标为：根据自治区人民政府办公厅下发的《新疆维吾尔自治区煤田灭火工作实施方案》（新政办发〔2022〕54号），开展阜康市2处无采矿权的火区治理工作。2024年项目计划完成5处（丁家湾、绿草沟、四工、五宫、金塔）火区的详细勘查工作；完成2处（丁家湾、绿草沟）火区初步设计工作；完成2处（丁家湾、绿草沟）火区水保、环评手续办理工作。通过项目实施，提升2处煤田火区联网监测率，推进煤田火区健康发展，消除火灾危害，保护煤炭资源，改善火区生态环境。</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007"/>
      <w:bookmarkStart w:id="44" w:name="_Toc4487"/>
      <w:bookmarkStart w:id="45" w:name="_Toc3255"/>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开展煤田火区治理工作</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指标，预期目标值为≥2处；</w:t>
      </w:r>
    </w:p>
    <w:p w14:paraId="253548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开展煤田火区详细勘查工作</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指标，预期目标值为≥5处；</w:t>
      </w:r>
    </w:p>
    <w:p w14:paraId="434B77A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开展煤田火区初步设计工作</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指标，预期目标值为≥2处；</w:t>
      </w:r>
    </w:p>
    <w:p w14:paraId="460A6B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开展煤田火区水土保持、环评报告编制工作</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指标，预期目标值为≥2处。</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已开展的煤田火区联网监测率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煤田火区年度资金支付完成时间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指标，预期目标值为2024年12月27日；</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0F84E8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①经济成本指标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煤田火区前期费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指标，预期目标值为≤1182.29万元；</w:t>
      </w:r>
    </w:p>
    <w:p w14:paraId="231804B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煤田火区治理费用</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指标，预期目标值为≤29359.99万元。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1FA1077F">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w:t>
      </w:r>
      <w:r>
        <w:rPr>
          <w:rFonts w:hint="eastAsia" w:ascii="仿宋_GB2312" w:hAnsi="仿宋_GB2312" w:eastAsia="仿宋_GB2312" w:cs="仿宋_GB2312"/>
          <w:color w:val="auto"/>
          <w:sz w:val="32"/>
          <w:szCs w:val="32"/>
          <w:highlight w:val="none"/>
          <w:shd w:val="clear" w:color="auto" w:fill="auto"/>
          <w:lang w:val="en-US" w:eastAsia="zh-CN"/>
        </w:rPr>
        <w:t>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推进煤田火区健康发展</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指标，预期目标值为持续推进；</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w:t>
      </w:r>
      <w:r>
        <w:rPr>
          <w:rFonts w:hint="eastAsia" w:ascii="仿宋_GB2312" w:hAnsi="仿宋_GB2312" w:eastAsia="仿宋_GB2312" w:cs="仿宋_GB2312"/>
          <w:color w:val="auto"/>
          <w:sz w:val="32"/>
          <w:szCs w:val="32"/>
          <w:highlight w:val="none"/>
          <w:shd w:val="clear" w:color="auto" w:fill="auto"/>
          <w:lang w:val="en-US" w:eastAsia="zh-CN"/>
        </w:rPr>
        <w:t>生态效益指标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煤田火区生态环境改善</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7FD2AC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④可持续影响</w:t>
      </w:r>
    </w:p>
    <w:p w14:paraId="438ACCD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可持续影响指标</w:t>
      </w:r>
      <w:r>
        <w:rPr>
          <w:rFonts w:hint="eastAsia" w:ascii="仿宋_GB2312" w:hAnsi="仿宋_GB2312" w:eastAsia="仿宋_GB2312" w:cs="仿宋_GB2312"/>
          <w:color w:val="auto"/>
          <w:sz w:val="32"/>
          <w:szCs w:val="32"/>
          <w:highlight w:val="none"/>
          <w:shd w:val="clear" w:color="auto" w:fill="auto"/>
          <w:lang w:val="en-US" w:eastAsia="zh-CN"/>
        </w:rPr>
        <w:t>；</w:t>
      </w:r>
    </w:p>
    <w:p w14:paraId="673F369D">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⑤满意度指标</w:t>
      </w:r>
    </w:p>
    <w:p w14:paraId="22F2CAC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本项目不涉及满意度指标。</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1664"/>
      <w:bookmarkStart w:id="49" w:name="_Toc5462343"/>
      <w:bookmarkStart w:id="50" w:name="_Toc22169_WPSOffice_Level2"/>
      <w:bookmarkStart w:id="51" w:name="_Toc22922"/>
      <w:bookmarkStart w:id="52" w:name="_Toc12868"/>
      <w:bookmarkStart w:id="53" w:name="_Toc480473081"/>
      <w:bookmarkStart w:id="54" w:name="_Toc5258"/>
      <w:bookmarkStart w:id="55" w:name="_Toc2663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文件要求对2024年度我单位实施的阜康市煤田火区治理项目</w:t>
      </w:r>
      <w:r>
        <w:rPr>
          <w:rFonts w:hint="default" w:ascii="仿宋_GB2312" w:hAnsi="仿宋_GB2312" w:eastAsia="仿宋_GB2312" w:cs="仿宋_GB2312"/>
          <w:color w:val="auto"/>
          <w:sz w:val="32"/>
          <w:szCs w:val="32"/>
          <w:highlight w:val="none"/>
          <w:shd w:val="clear" w:color="auto" w:fill="auto"/>
          <w:lang w:val="en-US" w:eastAsia="zh-CN"/>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color w:val="auto"/>
          <w:sz w:val="32"/>
          <w:szCs w:val="32"/>
          <w:highlight w:val="none"/>
          <w:shd w:val="clear" w:color="auto" w:fill="auto"/>
          <w:lang w:val="en-US" w:eastAsia="zh-CN"/>
        </w:rPr>
        <w:t>该项目由</w:t>
      </w:r>
      <w:r>
        <w:rPr>
          <w:rFonts w:hint="eastAsia" w:ascii="仿宋_GB2312" w:hAnsi="仿宋_GB2312" w:eastAsia="仿宋_GB2312" w:cs="仿宋_GB2312"/>
          <w:color w:val="auto"/>
          <w:sz w:val="32"/>
          <w:szCs w:val="32"/>
          <w:highlight w:val="none"/>
          <w:shd w:val="clear" w:color="auto" w:fill="auto"/>
          <w:lang w:val="en-US" w:eastAsia="zh-CN"/>
        </w:rPr>
        <w:t>阜康市应急管理局</w:t>
      </w:r>
      <w:r>
        <w:rPr>
          <w:rFonts w:hint="default" w:ascii="仿宋_GB2312" w:hAnsi="仿宋_GB2312" w:eastAsia="仿宋_GB2312" w:cs="仿宋_GB2312"/>
          <w:color w:val="auto"/>
          <w:sz w:val="32"/>
          <w:szCs w:val="32"/>
          <w:highlight w:val="none"/>
          <w:shd w:val="clear" w:color="auto" w:fill="auto"/>
          <w:lang w:val="en-US" w:eastAsia="zh-CN"/>
        </w:rPr>
        <w:t>负责实</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推进煤田火区健康发展，消除火灾危害，保护煤炭资源，改善火区生态环境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2024年2月6日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30542.28</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等方面的综合影响</w:t>
      </w:r>
      <w:r>
        <w:rPr>
          <w:rFonts w:hint="eastAsia" w:ascii="仿宋_GB2312" w:hAnsi="仿宋_GB2312" w:eastAsia="仿宋_GB2312" w:cs="仿宋_GB2312"/>
          <w:b w:val="0"/>
          <w:bCs w:val="0"/>
          <w:sz w:val="32"/>
          <w:szCs w:val="32"/>
          <w:highlight w:val="none"/>
          <w:lang w:eastAsia="zh-CN"/>
        </w:rPr>
        <w:t>。</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13694"/>
      <w:bookmarkStart w:id="68" w:name="_Toc24506"/>
      <w:bookmarkStart w:id="69"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w:t>
      </w:r>
      <w:r>
        <w:rPr>
          <w:rFonts w:hint="eastAsia" w:ascii="Times New Roman" w:hAnsi="Times New Roman" w:eastAsia="仿宋_GB2312" w:cs="Times New Roman"/>
          <w:color w:val="auto"/>
          <w:sz w:val="32"/>
          <w:szCs w:val="32"/>
          <w:lang w:eastAsia="zh-CN"/>
        </w:rPr>
        <w:t>）本次绩效评价秉承科学规范、公正公开、分级分类、绩效相关等原则，按照从投入、过程到产出效果和影响的绩效逻辑路径，结合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lang w:val="en-US" w:eastAsia="zh-CN"/>
        </w:rPr>
        <w:t>阜康市煤田火区治理项目</w:t>
      </w:r>
      <w:r>
        <w:rPr>
          <w:rFonts w:hint="eastAsia" w:ascii="Times New Roman" w:hAnsi="Times New Roman" w:eastAsia="仿宋_GB2312" w:cs="Times New Roman"/>
          <w:color w:val="auto"/>
          <w:sz w:val="32"/>
          <w:szCs w:val="32"/>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19984722"/>
      <w:bookmarkStart w:id="71" w:name="_Toc26131"/>
      <w:bookmarkStart w:id="72" w:name="_Toc24396"/>
      <w:bookmarkStart w:id="73" w:name="_Toc428278230"/>
      <w:bookmarkStart w:id="74" w:name="_Toc1913"/>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92B2D6E">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w:t>
      </w:r>
      <w:r>
        <w:rPr>
          <w:rFonts w:hint="default" w:ascii="Times New Roman" w:hAnsi="Times New Roman" w:eastAsia="仿宋_GB2312" w:cs="Times New Roman"/>
          <w:color w:val="auto"/>
          <w:spacing w:val="17"/>
          <w:sz w:val="32"/>
          <w:szCs w:val="32"/>
          <w:highlight w:val="none"/>
        </w:rPr>
        <w:t>进行关联性分析的方法。</w:t>
      </w:r>
    </w:p>
    <w:p w14:paraId="4440403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25651"/>
      <w:bookmarkStart w:id="80" w:name="_Toc608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default" w:ascii="Times New Roman" w:hAnsi="Times New Roman" w:eastAsia="仿宋_GB2312" w:cs="Times New Roman"/>
          <w:color w:val="auto"/>
          <w:spacing w:val="17"/>
          <w:sz w:val="32"/>
          <w:szCs w:val="32"/>
          <w:highlight w:val="none"/>
        </w:rPr>
        <w:t>、行业标准。</w:t>
      </w:r>
    </w:p>
    <w:p w14:paraId="6732266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w:t>
      </w:r>
      <w:r>
        <w:rPr>
          <w:rFonts w:hint="eastAsia" w:ascii="Times New Roman" w:hAnsi="Times New Roman" w:eastAsia="仿宋_GB2312" w:cs="Times New Roman"/>
          <w:color w:val="auto"/>
          <w:spacing w:val="17"/>
          <w:sz w:val="32"/>
          <w:szCs w:val="32"/>
          <w:highlight w:val="none"/>
          <w:lang w:val="en-US" w:eastAsia="zh-CN"/>
        </w:rPr>
        <w:t>价项目小组依据此次绩效评价受委托内容，对拟评价的项目实施前期调研。通过调研对阜康市煤田火区治理项目实施内容、</w:t>
      </w:r>
      <w:r>
        <w:rPr>
          <w:rFonts w:hint="eastAsia" w:ascii="Times New Roman" w:hAnsi="Times New Roman" w:eastAsia="仿宋_GB2312" w:cs="Times New Roman"/>
          <w:color w:val="000000"/>
          <w:spacing w:val="17"/>
          <w:sz w:val="32"/>
          <w:szCs w:val="32"/>
          <w:highlight w:val="none"/>
          <w:lang w:val="en-US" w:eastAsia="zh-CN"/>
        </w:rPr>
        <w:t>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w:t>
      </w:r>
      <w:r>
        <w:rPr>
          <w:rFonts w:hint="default" w:ascii="Times New Roman" w:hAnsi="Times New Roman" w:eastAsia="仿宋_GB2312" w:cs="Times New Roman"/>
          <w:color w:val="auto"/>
          <w:sz w:val="32"/>
          <w:szCs w:val="32"/>
          <w:highlight w:val="none"/>
        </w:rPr>
        <w:t>况来看，</w:t>
      </w:r>
      <w:r>
        <w:rPr>
          <w:rFonts w:hint="eastAsia" w:ascii="Times New Roman" w:hAnsi="Times New Roman" w:eastAsia="仿宋_GB2312" w:cs="Times New Roman"/>
          <w:color w:val="auto"/>
          <w:sz w:val="32"/>
          <w:szCs w:val="32"/>
          <w:highlight w:val="none"/>
          <w:lang w:val="en-US" w:eastAsia="zh-CN"/>
        </w:rPr>
        <w:t>阜康市煤田火区治理项目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阜康市应急管理局</w:t>
      </w:r>
      <w:r>
        <w:rPr>
          <w:rFonts w:hint="default" w:ascii="Times New Roman" w:hAnsi="Times New Roman" w:eastAsia="仿宋_GB2312" w:cs="Times New Roman"/>
          <w:color w:val="auto"/>
          <w:sz w:val="32"/>
          <w:szCs w:val="32"/>
          <w:highlight w:val="none"/>
        </w:rPr>
        <w:t>通过有效的规划、组织与协调，项</w:t>
      </w:r>
      <w:r>
        <w:rPr>
          <w:rFonts w:hint="default" w:ascii="Times New Roman" w:hAnsi="Times New Roman" w:eastAsia="仿宋_GB2312" w:cs="Times New Roman"/>
          <w:sz w:val="32"/>
          <w:szCs w:val="32"/>
          <w:highlight w:val="none"/>
        </w:rPr>
        <w:t>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w:t>
      </w:r>
      <w:r>
        <w:rPr>
          <w:rFonts w:hint="default" w:ascii="Times New Roman" w:hAnsi="Times New Roman" w:eastAsia="仿宋_GB2312" w:cs="Times New Roman"/>
          <w:color w:val="auto"/>
          <w:sz w:val="32"/>
          <w:szCs w:val="32"/>
          <w:highlight w:val="none"/>
        </w:rPr>
        <w:t>等方面产生了积极的影响。具体而言，</w:t>
      </w:r>
      <w:r>
        <w:rPr>
          <w:rFonts w:hint="eastAsia" w:ascii="Times New Roman" w:hAnsi="Times New Roman" w:eastAsia="仿宋_GB2312" w:cs="Times New Roman"/>
          <w:color w:val="auto"/>
          <w:sz w:val="32"/>
          <w:szCs w:val="32"/>
          <w:highlight w:val="none"/>
          <w:lang w:val="en-US" w:eastAsia="zh-CN"/>
        </w:rPr>
        <w:t>在煤田火区健康发展，消除火灾危害，保护煤炭资源，改善火区生态环境</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阜康市煤田火区治理项目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阜康市煤田火区治理项目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表3-1：阜康市煤田火区治理项目得分表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08" w:name="_Toc6759"/>
      <w:r>
        <w:rPr>
          <w:rFonts w:hint="eastAsia" w:ascii="Times New Roman" w:hAnsi="Times New Roman" w:eastAsia="楷体_GB2312" w:cs="Times New Roman"/>
          <w:color w:val="auto"/>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项目决策由3个二级指标和6个三级指标构成，权重分20分，实际得分20分，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13522"/>
      <w:bookmarkStart w:id="110" w:name="_Toc28069"/>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①项目立项符合《中华人民共和国招标投标法》《中华</w:t>
      </w:r>
      <w:r>
        <w:rPr>
          <w:rFonts w:hint="eastAsia" w:ascii="仿宋_GB2312" w:hAnsi="仿宋_GB2312" w:eastAsia="仿宋_GB2312" w:cs="仿宋_GB2312"/>
          <w:sz w:val="32"/>
          <w:szCs w:val="32"/>
          <w:lang w:eastAsia="zh-CN"/>
        </w:rPr>
        <w:br w:type="textWrapping"/>
      </w:r>
      <w:r>
        <w:rPr>
          <w:rFonts w:hint="eastAsia" w:ascii="仿宋_GB2312" w:hAnsi="仿宋_GB2312" w:eastAsia="仿宋_GB2312" w:cs="仿宋_GB2312"/>
          <w:sz w:val="32"/>
          <w:szCs w:val="32"/>
          <w:lang w:eastAsia="zh-CN"/>
        </w:rPr>
        <w:t>人民共和国招标投标法实施条例》《中华人民共和国政府采购法》和相关政策；</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w:t>
      </w:r>
      <w:r>
        <w:rPr>
          <w:rFonts w:hint="eastAsia" w:ascii="仿宋_GB2312" w:hAnsi="仿宋_GB2312" w:eastAsia="仿宋_GB2312" w:cs="仿宋_GB2312"/>
          <w:color w:val="auto"/>
          <w:sz w:val="32"/>
          <w:szCs w:val="32"/>
          <w:lang w:eastAsia="zh-CN"/>
        </w:rPr>
        <w:t>符合《</w:t>
      </w:r>
      <w:r>
        <w:rPr>
          <w:rFonts w:hint="eastAsia" w:ascii="仿宋_GB2312" w:hAnsi="仿宋_GB2312" w:eastAsia="仿宋_GB2312" w:cs="仿宋_GB2312"/>
          <w:color w:val="auto"/>
          <w:sz w:val="32"/>
          <w:szCs w:val="32"/>
          <w:lang w:val="en-US" w:eastAsia="zh-CN"/>
        </w:rPr>
        <w:t>新疆煤田火区治理工作规范</w:t>
      </w:r>
      <w:r>
        <w:rPr>
          <w:rFonts w:hint="eastAsia" w:ascii="仿宋_GB2312" w:hAnsi="仿宋_GB2312" w:eastAsia="仿宋_GB2312" w:cs="仿宋_GB2312"/>
          <w:color w:val="auto"/>
          <w:sz w:val="32"/>
          <w:szCs w:val="32"/>
          <w:lang w:eastAsia="zh-CN"/>
        </w:rPr>
        <w:t>》；</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③项目立项与</w:t>
      </w:r>
      <w:r>
        <w:rPr>
          <w:rFonts w:hint="eastAsia" w:ascii="仿宋_GB2312" w:hAnsi="仿宋_GB2312" w:eastAsia="仿宋_GB2312" w:cs="仿宋_GB2312"/>
          <w:sz w:val="32"/>
          <w:szCs w:val="32"/>
          <w:lang w:val="en-US" w:eastAsia="zh-CN"/>
        </w:rPr>
        <w:t>阜康市应急管理局矿山安全服务保障中心</w:t>
      </w:r>
      <w:r>
        <w:rPr>
          <w:rFonts w:hint="eastAsia" w:ascii="仿宋_GB2312" w:hAnsi="仿宋_GB2312" w:eastAsia="仿宋_GB2312" w:cs="仿宋_GB2312"/>
          <w:sz w:val="32"/>
          <w:szCs w:val="32"/>
          <w:lang w:eastAsia="zh-CN"/>
        </w:rPr>
        <w:t>部门职责范围相符，属于部门履职所需；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w:t>
      </w:r>
      <w:r>
        <w:rPr>
          <w:rFonts w:hint="eastAsia" w:ascii="仿宋_GB2312" w:hAnsi="仿宋_GB2312" w:eastAsia="仿宋_GB2312" w:cs="仿宋_GB2312"/>
          <w:b/>
          <w:bCs/>
          <w:color w:val="auto"/>
          <w:sz w:val="32"/>
          <w:szCs w:val="32"/>
          <w:lang w:val="en-US" w:eastAsia="zh-CN"/>
        </w:rPr>
        <w:t>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③事前经过必要的可行性研究、专家论证、风险评估、绩效评估、集体决策。</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23542"/>
      <w:bookmarkStart w:id="114" w:name="_Toc1538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开展阜康市2处无采矿权的火区治理工作。2024年项目计划完成5处火区的详细勘查工作；完成2处火区初步设计工作；完成2处火区水保、环评手续办理工作。通过项目实施，提升2处煤田火区联网监测率，推进煤田火区健康发展，消除火灾危害，保护煤炭资源，改善火区生态环境。</w:t>
      </w:r>
      <w:r>
        <w:rPr>
          <w:rFonts w:hint="eastAsia" w:ascii="仿宋_GB2312" w:hAnsi="仿宋_GB2312" w:eastAsia="仿宋_GB2312" w:cs="仿宋_GB2312"/>
          <w:color w:val="auto"/>
          <w:sz w:val="32"/>
          <w:szCs w:val="32"/>
          <w:highlight w:val="none"/>
          <w:lang w:eastAsia="zh-CN"/>
        </w:rPr>
        <w:t>绩效目</w:t>
      </w:r>
      <w:r>
        <w:rPr>
          <w:rFonts w:hint="eastAsia" w:ascii="仿宋_GB2312" w:hAnsi="仿宋_GB2312" w:eastAsia="仿宋_GB2312" w:cs="仿宋_GB2312"/>
          <w:sz w:val="32"/>
          <w:szCs w:val="32"/>
          <w:highlight w:val="none"/>
          <w:lang w:eastAsia="zh-CN"/>
        </w:rPr>
        <w:t>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③该项目按照绩</w:t>
      </w:r>
      <w:r>
        <w:rPr>
          <w:rFonts w:hint="eastAsia" w:ascii="仿宋_GB2312" w:hAnsi="仿宋_GB2312" w:eastAsia="仿宋_GB2312" w:cs="仿宋_GB2312"/>
          <w:color w:val="auto"/>
          <w:sz w:val="32"/>
          <w:szCs w:val="32"/>
          <w:highlight w:val="none"/>
          <w:lang w:eastAsia="zh-CN"/>
        </w:rPr>
        <w:t>效目标完成数量指标、质量指标、时效指标、成本指标，完成了5处火区的详细勘查工作；完成2处火区初步设计工作；完成2处火区水保、环评手续办理工作。通过项目实施，提升2处煤田火区联网监测率，推进煤田火区健康发展，消除火灾危害，保护煤炭资源，改善火区生态环境。达到</w:t>
      </w:r>
      <w:r>
        <w:rPr>
          <w:rFonts w:hint="eastAsia" w:ascii="仿宋_GB2312" w:hAnsi="仿宋_GB2312" w:eastAsia="仿宋_GB2312" w:cs="仿宋_GB2312"/>
          <w:color w:val="auto"/>
          <w:sz w:val="32"/>
          <w:szCs w:val="32"/>
          <w:highlight w:val="none"/>
          <w:lang w:val="en-US" w:eastAsia="zh-CN"/>
        </w:rPr>
        <w:t>持续推进煤田火区健康发展，改善火区生态环境的效益。</w:t>
      </w:r>
      <w:r>
        <w:rPr>
          <w:rFonts w:hint="eastAsia" w:ascii="仿宋_GB2312" w:hAnsi="仿宋_GB2312" w:eastAsia="仿宋_GB2312" w:cs="仿宋_GB2312"/>
          <w:color w:val="auto"/>
          <w:sz w:val="32"/>
          <w:szCs w:val="32"/>
          <w:highlight w:val="none"/>
          <w:lang w:eastAsia="zh-CN"/>
        </w:rPr>
        <w:t>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④《项目支</w:t>
      </w:r>
      <w:r>
        <w:rPr>
          <w:rFonts w:hint="eastAsia" w:ascii="仿宋_GB2312" w:hAnsi="仿宋_GB2312" w:eastAsia="仿宋_GB2312" w:cs="仿宋_GB2312"/>
          <w:color w:val="auto"/>
          <w:sz w:val="32"/>
          <w:szCs w:val="32"/>
          <w:highlight w:val="none"/>
          <w:lang w:eastAsia="zh-CN"/>
        </w:rPr>
        <w:t>出绩效目标表》中预算金额为30542.28万元，预算确定的项目资金与预算确定的项目投资额相匹配。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0650"/>
      <w:bookmarkStart w:id="116" w:name="_Toc18198"/>
      <w:r>
        <w:rPr>
          <w:rFonts w:hint="eastAsia" w:ascii="仿宋_GB2312" w:hAnsi="仿宋_GB2312" w:eastAsia="仿宋_GB2312" w:cs="仿宋_GB2312"/>
          <w:b/>
          <w:bCs/>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其中三级指标共计10个</w:t>
      </w:r>
      <w:r>
        <w:rPr>
          <w:rFonts w:hint="eastAsia" w:ascii="仿宋_GB2312" w:hAnsi="仿宋_GB2312" w:eastAsia="仿宋_GB2312" w:cs="仿宋_GB2312"/>
          <w:color w:val="auto"/>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量化率达到80%</w:t>
      </w:r>
      <w:r>
        <w:rPr>
          <w:rFonts w:hint="eastAsia" w:ascii="仿宋_GB2312" w:hAnsi="仿宋_GB2312" w:eastAsia="仿宋_GB2312" w:cs="仿宋_GB2312"/>
          <w:color w:val="auto"/>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预算申请内容</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阜康市</w:t>
      </w:r>
      <w:r>
        <w:rPr>
          <w:rFonts w:hint="eastAsia" w:ascii="仿宋_GB2312" w:hAnsi="仿宋_GB2312" w:eastAsia="仿宋_GB2312" w:cs="仿宋_GB2312"/>
          <w:color w:val="auto"/>
          <w:sz w:val="32"/>
          <w:szCs w:val="32"/>
          <w:lang w:eastAsia="zh-CN"/>
        </w:rPr>
        <w:t>煤田火区</w:t>
      </w:r>
      <w:r>
        <w:rPr>
          <w:rFonts w:hint="eastAsia" w:ascii="仿宋_GB2312" w:hAnsi="仿宋_GB2312" w:eastAsia="仿宋_GB2312" w:cs="仿宋_GB2312"/>
          <w:color w:val="auto"/>
          <w:sz w:val="32"/>
          <w:szCs w:val="32"/>
          <w:lang w:val="en-US" w:eastAsia="zh-CN"/>
        </w:rPr>
        <w:t>治理项目</w:t>
      </w:r>
      <w:r>
        <w:rPr>
          <w:rFonts w:hint="eastAsia" w:ascii="仿宋_GB2312" w:hAnsi="仿宋_GB2312" w:eastAsia="仿宋_GB2312" w:cs="仿宋_GB2312"/>
          <w:color w:val="auto"/>
          <w:sz w:val="32"/>
          <w:szCs w:val="32"/>
          <w:lang w:eastAsia="zh-CN"/>
        </w:rPr>
        <w:t>前期费</w:t>
      </w:r>
      <w:r>
        <w:rPr>
          <w:rFonts w:hint="eastAsia" w:ascii="仿宋_GB2312" w:hAnsi="仿宋_GB2312" w:eastAsia="仿宋_GB2312" w:cs="仿宋_GB2312"/>
          <w:color w:val="auto"/>
          <w:sz w:val="32"/>
          <w:szCs w:val="32"/>
          <w:lang w:val="en-US" w:eastAsia="zh-CN"/>
        </w:rPr>
        <w:t>和治理费用</w:t>
      </w:r>
      <w:r>
        <w:rPr>
          <w:rFonts w:hint="eastAsia" w:ascii="仿宋_GB2312" w:hAnsi="仿宋_GB2312" w:eastAsia="仿宋_GB2312" w:cs="仿宋_GB2312"/>
          <w:color w:val="auto"/>
          <w:sz w:val="32"/>
          <w:szCs w:val="32"/>
          <w:lang w:eastAsia="zh-CN"/>
        </w:rPr>
        <w:t>，项目实际内容为</w:t>
      </w:r>
      <w:r>
        <w:rPr>
          <w:rFonts w:hint="eastAsia" w:ascii="仿宋_GB2312" w:hAnsi="仿宋_GB2312" w:eastAsia="仿宋_GB2312" w:cs="仿宋_GB2312"/>
          <w:color w:val="auto"/>
          <w:sz w:val="32"/>
          <w:szCs w:val="32"/>
          <w:lang w:val="en-US" w:eastAsia="zh-CN"/>
        </w:rPr>
        <w:t>阜康市</w:t>
      </w:r>
      <w:r>
        <w:rPr>
          <w:rFonts w:hint="eastAsia" w:ascii="仿宋_GB2312" w:hAnsi="仿宋_GB2312" w:eastAsia="仿宋_GB2312" w:cs="仿宋_GB2312"/>
          <w:color w:val="auto"/>
          <w:sz w:val="32"/>
          <w:szCs w:val="32"/>
          <w:lang w:eastAsia="zh-CN"/>
        </w:rPr>
        <w:t>煤田火区</w:t>
      </w:r>
      <w:r>
        <w:rPr>
          <w:rFonts w:hint="eastAsia" w:ascii="仿宋_GB2312" w:hAnsi="仿宋_GB2312" w:eastAsia="仿宋_GB2312" w:cs="仿宋_GB2312"/>
          <w:color w:val="auto"/>
          <w:sz w:val="32"/>
          <w:szCs w:val="32"/>
          <w:lang w:val="en-US" w:eastAsia="zh-CN"/>
        </w:rPr>
        <w:t>治理项目</w:t>
      </w:r>
      <w:r>
        <w:rPr>
          <w:rFonts w:hint="eastAsia" w:ascii="仿宋_GB2312" w:hAnsi="仿宋_GB2312" w:eastAsia="仿宋_GB2312" w:cs="仿宋_GB2312"/>
          <w:color w:val="auto"/>
          <w:sz w:val="32"/>
          <w:szCs w:val="32"/>
          <w:lang w:eastAsia="zh-CN"/>
        </w:rPr>
        <w:t>前期费</w:t>
      </w:r>
      <w:r>
        <w:rPr>
          <w:rFonts w:hint="eastAsia" w:ascii="仿宋_GB2312" w:hAnsi="仿宋_GB2312" w:eastAsia="仿宋_GB2312" w:cs="仿宋_GB2312"/>
          <w:color w:val="auto"/>
          <w:sz w:val="32"/>
          <w:szCs w:val="32"/>
          <w:lang w:val="en-US" w:eastAsia="zh-CN"/>
        </w:rPr>
        <w:t>和治理费用</w:t>
      </w:r>
      <w:r>
        <w:rPr>
          <w:rFonts w:hint="eastAsia" w:ascii="仿宋_GB2312" w:hAnsi="仿宋_GB2312" w:eastAsia="仿宋_GB2312" w:cs="仿宋_GB2312"/>
          <w:color w:val="auto"/>
          <w:sz w:val="32"/>
          <w:szCs w:val="32"/>
          <w:lang w:eastAsia="zh-CN"/>
        </w:rPr>
        <w:t>，预算申请与项目内容匹配；</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项目预算申请资金30542.28</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color w:val="auto"/>
          <w:sz w:val="32"/>
          <w:szCs w:val="32"/>
          <w:lang w:eastAsia="zh-CN"/>
        </w:rPr>
        <w:t>元，我单位在预算申请中严格按照项目实施内容及测算标准进行核算，其中：</w:t>
      </w:r>
      <w:r>
        <w:rPr>
          <w:rFonts w:hint="eastAsia" w:ascii="仿宋_GB2312" w:hAnsi="仿宋_GB2312" w:eastAsia="仿宋_GB2312" w:cs="仿宋_GB2312"/>
          <w:color w:val="auto"/>
          <w:sz w:val="32"/>
          <w:szCs w:val="32"/>
          <w:lang w:val="en-US" w:eastAsia="zh-CN"/>
        </w:rPr>
        <w:t>前期</w:t>
      </w:r>
      <w:r>
        <w:rPr>
          <w:rFonts w:hint="eastAsia" w:ascii="仿宋_GB2312" w:hAnsi="仿宋_GB2312" w:eastAsia="仿宋_GB2312" w:cs="仿宋_GB2312"/>
          <w:color w:val="auto"/>
          <w:sz w:val="32"/>
          <w:szCs w:val="32"/>
          <w:lang w:eastAsia="zh-CN"/>
        </w:rPr>
        <w:t>费用1182.29万元万元、治理费用费用29359.99万元。</w:t>
      </w: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w:t>
      </w:r>
      <w:r>
        <w:rPr>
          <w:rFonts w:hint="eastAsia" w:ascii="仿宋_GB2312" w:hAnsi="仿宋_GB2312" w:eastAsia="仿宋_GB2312" w:cs="仿宋_GB2312"/>
          <w:sz w:val="32"/>
          <w:szCs w:val="32"/>
          <w:lang w:eastAsia="zh-CN"/>
        </w:rPr>
        <w:t>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697"/>
      <w:bookmarkStart w:id="120" w:name="_Toc20556"/>
      <w:r>
        <w:rPr>
          <w:rFonts w:hint="eastAsia" w:ascii="仿宋_GB2312" w:hAnsi="仿宋_GB2312" w:eastAsia="仿宋_GB2312" w:cs="仿宋_GB2312"/>
          <w:b/>
          <w:bCs/>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申请阜康市煤田火区治理项目资金的请示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②项目实际到位资金30542.28万元，资金分配额度合理，与项目单位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项目预算资金为30542.28万元，其中：财政安排资金30542.28万元</w:t>
      </w:r>
      <w:r>
        <w:rPr>
          <w:rFonts w:hint="eastAsia" w:ascii="仿宋_GB2312" w:hAnsi="仿宋_GB2312" w:eastAsia="仿宋_GB2312" w:cs="仿宋_GB2312"/>
          <w:b w:val="0"/>
          <w:bCs w:val="0"/>
          <w:color w:val="auto"/>
          <w:sz w:val="32"/>
          <w:szCs w:val="32"/>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b w:val="0"/>
          <w:bCs w:val="0"/>
          <w:color w:val="auto"/>
          <w:sz w:val="32"/>
          <w:szCs w:val="32"/>
        </w:rPr>
        <w:t>30542.28万元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color w:val="auto"/>
          <w:sz w:val="32"/>
          <w:szCs w:val="32"/>
        </w:rPr>
        <w:t>30542.28万元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rPr>
        <w:t>30542.28</w:t>
      </w:r>
      <w:r>
        <w:rPr>
          <w:rFonts w:hint="eastAsia" w:ascii="仿宋_GB2312" w:hAnsi="仿宋_GB2312" w:eastAsia="仿宋_GB2312" w:cs="仿宋_GB2312"/>
          <w:color w:val="auto"/>
          <w:sz w:val="32"/>
          <w:szCs w:val="32"/>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b w:val="0"/>
          <w:bCs w:val="0"/>
          <w:color w:val="auto"/>
          <w:sz w:val="32"/>
          <w:szCs w:val="32"/>
        </w:rPr>
        <w:t>30542.28万元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color w:val="auto"/>
          <w:sz w:val="32"/>
          <w:szCs w:val="32"/>
        </w:rPr>
        <w:t>30542.28万元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18691"/>
      <w:bookmarkStart w:id="127" w:name="_Toc28875"/>
      <w:r>
        <w:rPr>
          <w:rFonts w:hint="eastAsia" w:ascii="仿宋_GB2312" w:hAnsi="仿宋_GB2312" w:eastAsia="仿宋_GB2312" w:cs="仿宋_GB2312"/>
          <w:b/>
          <w:bCs/>
          <w:sz w:val="32"/>
          <w:szCs w:val="32"/>
          <w:lang w:val="en-US" w:eastAsia="zh-CN"/>
        </w:rPr>
        <w:t>3.资金使用合规性</w:t>
      </w:r>
      <w:bookmarkEnd w:id="126"/>
      <w:bookmarkEnd w:id="127"/>
    </w:p>
    <w:p w14:paraId="7343E3D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①本</w:t>
      </w:r>
      <w:r>
        <w:rPr>
          <w:rFonts w:hint="eastAsia" w:ascii="仿宋_GB2312" w:hAnsi="仿宋_GB2312" w:eastAsia="仿宋_GB2312" w:cs="仿宋_GB2312"/>
          <w:color w:val="auto"/>
          <w:sz w:val="32"/>
          <w:szCs w:val="32"/>
          <w:lang w:eastAsia="zh-CN"/>
        </w:rPr>
        <w:t>项目资金支出符合国家财经法规、《政府会计制度》《</w:t>
      </w:r>
      <w:r>
        <w:rPr>
          <w:rFonts w:hint="eastAsia" w:ascii="仿宋_GB2312" w:hAnsi="仿宋_GB2312" w:eastAsia="仿宋_GB2312" w:cs="仿宋_GB2312"/>
          <w:color w:val="auto"/>
          <w:sz w:val="32"/>
          <w:szCs w:val="32"/>
          <w:lang w:val="en-US" w:eastAsia="zh-CN"/>
        </w:rPr>
        <w:t>阜康市应急管理局</w:t>
      </w:r>
      <w:r>
        <w:rPr>
          <w:rFonts w:hint="eastAsia" w:ascii="仿宋_GB2312" w:hAnsi="仿宋_GB2312" w:eastAsia="仿宋_GB2312" w:cs="仿宋_GB2312"/>
          <w:color w:val="auto"/>
          <w:sz w:val="32"/>
          <w:szCs w:val="32"/>
          <w:lang w:eastAsia="zh-CN"/>
        </w:rPr>
        <w:t>单位资金管理办法》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eastAsia="zh-CN"/>
        </w:rPr>
        <w:t>②资金的拨付有完整的审</w:t>
      </w:r>
      <w:r>
        <w:rPr>
          <w:rFonts w:hint="eastAsia" w:ascii="仿宋_GB2312" w:hAnsi="仿宋_GB2312" w:eastAsia="仿宋_GB2312" w:cs="仿宋_GB2312"/>
          <w:sz w:val="32"/>
          <w:szCs w:val="32"/>
          <w:lang w:eastAsia="zh-CN"/>
        </w:rPr>
        <w:t>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w:t>
      </w:r>
      <w:r>
        <w:rPr>
          <w:rFonts w:hint="eastAsia" w:ascii="仿宋_GB2312" w:hAnsi="仿宋_GB2312" w:eastAsia="仿宋_GB2312" w:cs="仿宋_GB2312"/>
          <w:color w:val="auto"/>
          <w:sz w:val="32"/>
          <w:szCs w:val="32"/>
          <w:lang w:val="en-US" w:eastAsia="zh-CN"/>
        </w:rPr>
        <w:t>阜康市应急管理局</w:t>
      </w:r>
      <w:r>
        <w:rPr>
          <w:rFonts w:hint="eastAsia" w:ascii="仿宋_GB2312" w:hAnsi="仿宋_GB2312" w:eastAsia="仿宋_GB2312" w:cs="仿宋_GB2312"/>
          <w:sz w:val="32"/>
          <w:szCs w:val="32"/>
          <w:lang w:eastAsia="zh-CN"/>
        </w:rPr>
        <w:t>资金管理办法》《</w:t>
      </w:r>
      <w:r>
        <w:rPr>
          <w:rFonts w:hint="eastAsia" w:ascii="仿宋_GB2312" w:hAnsi="仿宋_GB2312" w:eastAsia="仿宋_GB2312" w:cs="仿宋_GB2312"/>
          <w:color w:val="auto"/>
          <w:sz w:val="32"/>
          <w:szCs w:val="32"/>
          <w:lang w:val="en-US" w:eastAsia="zh-CN"/>
        </w:rPr>
        <w:t>阜康市应急管理局</w:t>
      </w:r>
      <w:r>
        <w:rPr>
          <w:rFonts w:hint="eastAsia" w:ascii="仿宋_GB2312" w:hAnsi="仿宋_GB2312" w:eastAsia="仿宋_GB2312" w:cs="仿宋_GB2312"/>
          <w:sz w:val="32"/>
          <w:szCs w:val="32"/>
          <w:lang w:eastAsia="zh-CN"/>
        </w:rPr>
        <w:t>合同</w:t>
      </w:r>
      <w:r>
        <w:rPr>
          <w:rFonts w:hint="eastAsia" w:ascii="仿宋_GB2312" w:hAnsi="仿宋_GB2312" w:eastAsia="仿宋_GB2312" w:cs="仿宋_GB2312"/>
          <w:color w:val="auto"/>
          <w:sz w:val="32"/>
          <w:szCs w:val="32"/>
          <w:lang w:eastAsia="zh-CN"/>
        </w:rPr>
        <w:t>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31684"/>
      <w:bookmarkStart w:id="129" w:name="_Toc13984"/>
      <w:r>
        <w:rPr>
          <w:rFonts w:hint="eastAsia" w:ascii="仿宋_GB2312" w:hAnsi="仿宋_GB2312" w:eastAsia="仿宋_GB2312" w:cs="仿宋_GB2312"/>
          <w:b/>
          <w:bCs/>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①项目的实施遵守相关法律法规</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lang w:eastAsia="zh-CN"/>
        </w:rPr>
        <w:t>相关管理规定，符合《</w:t>
      </w:r>
      <w:r>
        <w:rPr>
          <w:rFonts w:hint="eastAsia" w:ascii="仿宋_GB2312" w:hAnsi="仿宋_GB2312" w:eastAsia="仿宋_GB2312" w:cs="仿宋_GB2312"/>
          <w:sz w:val="32"/>
          <w:szCs w:val="32"/>
          <w:lang w:val="en-US" w:eastAsia="zh-CN"/>
        </w:rPr>
        <w:t>阜康市应急管理局</w:t>
      </w:r>
      <w:r>
        <w:rPr>
          <w:rFonts w:hint="eastAsia" w:ascii="仿宋_GB2312" w:hAnsi="仿宋_GB2312" w:eastAsia="仿宋_GB2312" w:cs="仿宋_GB2312"/>
          <w:sz w:val="32"/>
          <w:szCs w:val="32"/>
          <w:lang w:eastAsia="zh-CN"/>
        </w:rPr>
        <w:t>资金管理办法》《</w:t>
      </w:r>
      <w:r>
        <w:rPr>
          <w:rFonts w:hint="eastAsia" w:ascii="仿宋_GB2312" w:hAnsi="仿宋_GB2312" w:eastAsia="仿宋_GB2312" w:cs="仿宋_GB2312"/>
          <w:sz w:val="32"/>
          <w:szCs w:val="32"/>
          <w:lang w:val="en-US" w:eastAsia="zh-CN"/>
        </w:rPr>
        <w:t>阜康市应急管理局</w:t>
      </w:r>
      <w:r>
        <w:rPr>
          <w:rFonts w:hint="eastAsia" w:ascii="仿宋_GB2312" w:hAnsi="仿宋_GB2312" w:eastAsia="仿宋_GB2312" w:cs="仿宋_GB2312"/>
          <w:sz w:val="32"/>
          <w:szCs w:val="32"/>
          <w:lang w:eastAsia="zh-CN"/>
        </w:rPr>
        <w:t>合同管理制度》等管理规定，；</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阜康市煤田火区治理项目工作领导小组，由</w:t>
      </w:r>
      <w:r>
        <w:rPr>
          <w:rFonts w:hint="eastAsia" w:ascii="仿宋_GB2312" w:hAnsi="仿宋_GB2312" w:eastAsia="仿宋_GB2312" w:cs="仿宋_GB2312"/>
          <w:color w:val="auto"/>
          <w:sz w:val="32"/>
          <w:szCs w:val="32"/>
          <w:highlight w:val="none"/>
          <w:shd w:val="clear" w:color="auto" w:fill="auto"/>
          <w:lang w:val="en-US" w:eastAsia="zh-CN"/>
        </w:rPr>
        <w:t>李星辰</w:t>
      </w:r>
      <w:r>
        <w:rPr>
          <w:rFonts w:hint="eastAsia" w:ascii="仿宋_GB2312" w:hAnsi="仿宋_GB2312" w:eastAsia="仿宋_GB2312" w:cs="仿宋_GB2312"/>
          <w:color w:val="auto"/>
          <w:sz w:val="32"/>
          <w:szCs w:val="32"/>
          <w:lang w:eastAsia="zh-CN"/>
        </w:rPr>
        <w:t>任组长，负责项目的组织工作；</w:t>
      </w:r>
      <w:r>
        <w:rPr>
          <w:rFonts w:hint="default" w:ascii="Times New Roman" w:hAnsi="Times New Roman" w:eastAsia="仿宋_GB2312" w:cs="Times New Roman"/>
          <w:color w:val="auto"/>
          <w:sz w:val="32"/>
          <w:szCs w:val="32"/>
          <w:highlight w:val="none"/>
          <w:lang w:val="en-US" w:eastAsia="zh-CN"/>
        </w:rPr>
        <w:t>包旭刚</w:t>
      </w:r>
      <w:r>
        <w:rPr>
          <w:rFonts w:hint="eastAsia" w:ascii="Times New Roman" w:hAnsi="Times New Roman" w:eastAsia="仿宋_GB2312" w:cs="Times New Roman"/>
          <w:color w:val="auto"/>
          <w:sz w:val="32"/>
          <w:szCs w:val="32"/>
          <w:highlight w:val="none"/>
          <w:lang w:val="en-US" w:eastAsia="zh-CN"/>
        </w:rPr>
        <w:t>和赵伟</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王琴、</w:t>
      </w:r>
      <w:r>
        <w:rPr>
          <w:rFonts w:hint="default" w:ascii="Times New Roman" w:hAnsi="Times New Roman" w:eastAsia="仿宋_GB2312" w:cs="Times New Roman"/>
          <w:color w:val="auto"/>
          <w:sz w:val="32"/>
          <w:szCs w:val="40"/>
          <w:lang w:val="en-US" w:eastAsia="zh-CN"/>
        </w:rPr>
        <w:t>张宸浩</w:t>
      </w:r>
      <w:r>
        <w:rPr>
          <w:rFonts w:hint="eastAsia" w:ascii="仿宋_GB2312" w:hAnsi="仿宋_GB2312" w:eastAsia="仿宋_GB2312" w:cs="仿宋_GB2312"/>
          <w:color w:val="auto"/>
          <w:sz w:val="32"/>
          <w:szCs w:val="32"/>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包括产出数量、产出质量、产出时效、产出成本四方面的内</w:t>
      </w:r>
      <w:r>
        <w:rPr>
          <w:rFonts w:hint="default" w:ascii="Times New Roman" w:hAnsi="Times New Roman" w:eastAsia="仿宋_GB2312" w:cs="Times New Roman"/>
          <w:color w:val="auto"/>
          <w:sz w:val="32"/>
          <w:szCs w:val="32"/>
          <w:highlight w:val="none"/>
          <w:lang w:val="en-US" w:eastAsia="zh-CN"/>
        </w:rPr>
        <w:t>容，</w:t>
      </w:r>
      <w:r>
        <w:rPr>
          <w:rFonts w:hint="eastAsia" w:ascii="Times New Roman" w:hAnsi="Times New Roman" w:eastAsia="仿宋_GB2312" w:cs="Times New Roman"/>
          <w:color w:val="auto"/>
          <w:sz w:val="32"/>
          <w:szCs w:val="32"/>
          <w:highlight w:val="none"/>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开展煤田火区治理工作</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≥2处</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2处</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022B069D">
        <w:tblPrEx>
          <w:shd w:val="clear" w:color="auto" w:fill="auto"/>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92BD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97556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19B3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开展煤田火区详细勘查工作</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BE72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≥5处</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FDCB2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A1B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5处</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A8C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10DB2D2F">
        <w:tblPrEx>
          <w:shd w:val="clear" w:color="auto" w:fill="auto"/>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042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A6B4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CF77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开展煤田火区初步设计工作</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79E7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≥2处</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EC87F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022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2处</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C6C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08AD5255">
        <w:tblPrEx>
          <w:shd w:val="clear" w:color="auto" w:fill="auto"/>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446D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3BDB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D5BA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开展煤田火区水土保持、环评报告编制工作</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C389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≥2处</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1BB27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572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2处</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AB9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21D8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已开展的煤田火区联网监测率</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煤田火区年度资金支付完成时间。</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2024年12月27日</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2024年12月27日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62A9F03F">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788C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3732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煤田火区前期费</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FFA2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≤1182.29万元</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075C4B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8A2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1182.29万元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89B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86EC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煤田火区治理费用</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≤29359.99万元</w:t>
            </w:r>
          </w:p>
        </w:tc>
        <w:tc>
          <w:tcPr>
            <w:tcW w:w="55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29359.99万元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31" w:name="_Toc11067"/>
      <w:bookmarkStart w:id="132" w:name="_Toc26689"/>
      <w:r>
        <w:rPr>
          <w:rFonts w:hint="eastAsia" w:ascii="仿宋_GB2312" w:hAnsi="仿宋_GB2312" w:eastAsia="仿宋_GB2312" w:cs="仿宋_GB2312"/>
          <w:b/>
          <w:bCs/>
          <w:sz w:val="32"/>
          <w:szCs w:val="32"/>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（1）“开展煤田火区治理工作”指标，预期目标值为≥2处，实际完成2处。实际完成率=（2处/2处）×100%=100%。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开展煤田火区详细勘查工作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指标，预期目标值为≥5处，实际完成为5处。实际完成率=（5处/5处）×100%=100%。</w:t>
      </w:r>
    </w:p>
    <w:p w14:paraId="10A974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开展煤田火区初步设计工作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指标，预期目标值为≥2处，实际完成2处。实际完成率=（2处/2处）×100%=100%。</w:t>
      </w:r>
    </w:p>
    <w:p w14:paraId="69C2F0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开展煤田火区水土保持、环评报告编制工作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指标，预期目标值为≥2处，实际完成2处。实际完成率=（2处/2处）×100%=100%。</w:t>
      </w:r>
    </w:p>
    <w:p w14:paraId="4CF686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综上，该项指标满分24分，得分24分。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已开展的煤田火区联网监测率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煤田火区年度资金支付完成时间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指标，预期目标值为2024年12月27日，实际完成为2024年12月27日。实际完成率100%。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煤田火区前期费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指标，预期目标值为≤1182.29万元，实际完成为1182.29万元。实际完成率=（1182.29万元/1182.29万元）×100%=100%。</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煤田火区治理费用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指标，预期目标值为≤29359.99万元，实际完成为29359.99万元。实际完成率=（29359.99万元/29359.99万元）×100%=100%。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w:t>
      </w:r>
      <w:r>
        <w:rPr>
          <w:rFonts w:hint="eastAsia" w:ascii="Times New Roman" w:hAnsi="Times New Roman" w:eastAsia="仿宋_GB2312" w:cs="Times New Roman"/>
          <w:color w:val="auto"/>
          <w:sz w:val="32"/>
          <w:szCs w:val="32"/>
          <w:lang w:val="en-US" w:eastAsia="zh-CN"/>
        </w:rPr>
        <w:t>实施效益和满意度</w:t>
      </w:r>
      <w:r>
        <w:rPr>
          <w:rFonts w:hint="default" w:ascii="Times New Roman" w:hAnsi="Times New Roman" w:eastAsia="仿宋_GB2312" w:cs="Times New Roman"/>
          <w:color w:val="auto"/>
          <w:sz w:val="32"/>
          <w:szCs w:val="32"/>
          <w:lang w:val="en-US" w:eastAsia="zh-CN"/>
        </w:rPr>
        <w:t>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3个二级指标和3个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推进煤田火区健康发展</w:t>
            </w:r>
          </w:p>
        </w:tc>
        <w:tc>
          <w:tcPr>
            <w:tcW w:w="87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持续推进</w:t>
            </w:r>
          </w:p>
        </w:tc>
        <w:tc>
          <w:tcPr>
            <w:tcW w:w="64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6CE767E">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172140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3756C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CA5D5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煤田火区生态环境改善</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903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B4A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AEA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79F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75A4D96">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E5E87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2D841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满意度</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94C6D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煤田火区治理企业满意度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807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7B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DA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10F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0" w:name="_Toc5170"/>
      <w:bookmarkStart w:id="141" w:name="_Toc8010"/>
      <w:r>
        <w:rPr>
          <w:rFonts w:hint="eastAsia" w:ascii="仿宋_GB2312" w:hAnsi="仿宋_GB2312" w:eastAsia="仿宋_GB2312" w:cs="仿宋_GB2312"/>
          <w:b/>
          <w:bCs/>
          <w:color w:val="auto"/>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lang w:val="en-US" w:eastAsia="zh-CN"/>
        </w:rPr>
        <w:t>社会效益指标</w:t>
      </w:r>
      <w:bookmarkEnd w:id="142"/>
      <w:r>
        <w:rPr>
          <w:rFonts w:hint="eastAsia" w:ascii="仿宋_GB2312" w:hAnsi="仿宋_GB2312" w:eastAsia="仿宋_GB2312" w:cs="仿宋_GB2312"/>
          <w:b/>
          <w:bCs/>
          <w:color w:val="auto"/>
          <w:sz w:val="32"/>
          <w:szCs w:val="32"/>
          <w:lang w:val="en-US" w:eastAsia="zh-CN"/>
        </w:rPr>
        <w:t>完成情况</w:t>
      </w:r>
      <w:bookmarkEnd w:id="143"/>
    </w:p>
    <w:p w14:paraId="51D747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“推进煤田火区健康发展”指标，预期目标值为持续推进，实际完成为达到预期指标。</w:t>
      </w:r>
    </w:p>
    <w:p w14:paraId="02AA6FD4">
      <w:pPr>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w:t>
      </w:r>
      <w:r>
        <w:rPr>
          <w:rFonts w:hint="default" w:ascii="Times New Roman" w:hAnsi="Times New Roman" w:eastAsia="仿宋_GB2312" w:cs="Times New Roman"/>
          <w:color w:val="auto"/>
          <w:sz w:val="32"/>
          <w:szCs w:val="32"/>
          <w:lang w:val="en-US" w:eastAsia="zh-CN"/>
        </w:rPr>
        <w:t>煤田火区的治理与健康发展对社会具有重大意义，社会效益指标在此过程中发挥着关键作用。持续对煤田火区治理的投入，不断完善治理技术和管理机制，以实现更大的社会效益，促进经济社会与生态环境的协调可持续发展，以达到改善居民生活环境、提升社会环保意识、促进社会稳定与和谐的社会效益。通过治理煤田火区，优化土地利用，推进煤田火区健康发展</w:t>
      </w:r>
      <w:r>
        <w:rPr>
          <w:rFonts w:hint="eastAsia" w:ascii="Times New Roman" w:hAnsi="Times New Roman" w:eastAsia="仿宋_GB2312" w:cs="Times New Roman"/>
          <w:color w:val="auto"/>
          <w:sz w:val="32"/>
          <w:szCs w:val="32"/>
          <w:lang w:val="en-US" w:eastAsia="zh-CN"/>
        </w:rPr>
        <w:t>。</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3C451D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4" w:name="_Toc23106"/>
      <w:bookmarkStart w:id="145" w:name="_Toc14320"/>
      <w:r>
        <w:rPr>
          <w:rFonts w:hint="eastAsia" w:ascii="仿宋_GB2312" w:hAnsi="仿宋_GB2312" w:eastAsia="仿宋_GB2312" w:cs="仿宋_GB2312"/>
          <w:b/>
          <w:bCs/>
          <w:color w:val="auto"/>
          <w:sz w:val="32"/>
          <w:szCs w:val="32"/>
          <w:lang w:val="en-US" w:eastAsia="zh-CN"/>
        </w:rPr>
        <w:t>2.生态效益指标</w:t>
      </w:r>
      <w:bookmarkEnd w:id="144"/>
      <w:r>
        <w:rPr>
          <w:rFonts w:hint="eastAsia" w:ascii="仿宋_GB2312" w:hAnsi="仿宋_GB2312" w:eastAsia="仿宋_GB2312" w:cs="仿宋_GB2312"/>
          <w:b/>
          <w:bCs/>
          <w:color w:val="auto"/>
          <w:sz w:val="32"/>
          <w:szCs w:val="32"/>
          <w:lang w:val="en-US" w:eastAsia="zh-CN"/>
        </w:rPr>
        <w:t>完成情况</w:t>
      </w:r>
      <w:bookmarkEnd w:id="145"/>
    </w:p>
    <w:p w14:paraId="4753BFB7">
      <w:pPr>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煤田火区生态环境改善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指标，预期目标值为改善，实际完成为达到预期指标。</w:t>
      </w:r>
    </w:p>
    <w:p w14:paraId="1327A77E">
      <w:pPr>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w:t>
      </w:r>
      <w:r>
        <w:rPr>
          <w:rFonts w:hint="default" w:ascii="Times New Roman" w:hAnsi="Times New Roman" w:eastAsia="仿宋_GB2312" w:cs="Times New Roman"/>
          <w:color w:val="auto"/>
          <w:sz w:val="32"/>
          <w:szCs w:val="32"/>
          <w:lang w:val="en-US" w:eastAsia="zh-CN"/>
        </w:rPr>
        <w:t>在环境保护方面，</w:t>
      </w:r>
      <w:r>
        <w:rPr>
          <w:rFonts w:hint="eastAsia" w:ascii="Times New Roman" w:hAnsi="Times New Roman" w:eastAsia="仿宋_GB2312" w:cs="Times New Roman"/>
          <w:color w:val="auto"/>
          <w:sz w:val="32"/>
          <w:szCs w:val="32"/>
          <w:lang w:val="en-US" w:eastAsia="zh-CN"/>
        </w:rPr>
        <w:t>生态</w:t>
      </w:r>
      <w:r>
        <w:rPr>
          <w:rFonts w:hint="default" w:ascii="Times New Roman" w:hAnsi="Times New Roman" w:eastAsia="仿宋_GB2312" w:cs="Times New Roman"/>
          <w:color w:val="auto"/>
          <w:sz w:val="32"/>
          <w:szCs w:val="32"/>
          <w:lang w:val="en-US" w:eastAsia="zh-CN"/>
        </w:rPr>
        <w:t>效益指标促使加大对煤田火区灭火及生态修复的投入，在火区治理后期，针对因火区燃烧及灭火作业造成的土地损毁、植被破坏等问题，开展生态修复工作。对灭火治理区、堆土场、采土场等场地进行平整，然后种植适宜当地生长的植被，如在新疆地区种植耐旱、耐盐碱的沙棘、梭梭等植物，恢复植被覆盖，减少水土流失，促进生态系统的恢复与重建。减少因火区燃烧释放的有害气体，改善周边空气质量，降低环境污染程度，改善煤田火区生态环境。</w:t>
      </w:r>
    </w:p>
    <w:p w14:paraId="5A9C00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综上，该项指标满分5分，得分5分。</w:t>
      </w:r>
    </w:p>
    <w:p w14:paraId="26AB95DE">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3.满意度指标</w:t>
      </w:r>
    </w:p>
    <w:p w14:paraId="1E4000EC">
      <w:pPr>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Times New Roman" w:hAnsi="Times New Roman" w:eastAsia="仿宋_GB2312" w:cs="Times New Roman"/>
          <w:color w:val="auto"/>
          <w:sz w:val="32"/>
          <w:szCs w:val="32"/>
          <w:lang w:val="en-US" w:eastAsia="zh-CN"/>
        </w:rPr>
        <w:t>火区治理企业满意度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eastAsia" w:ascii="Times New Roman" w:hAnsi="Times New Roman" w:eastAsia="仿宋_GB2312" w:cs="Times New Roman"/>
          <w:color w:val="auto"/>
          <w:sz w:val="32"/>
          <w:szCs w:val="32"/>
          <w:lang w:val="en-US" w:eastAsia="zh-CN"/>
        </w:rPr>
        <w:t>≥90%，实际完成为95%。</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6"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6"/>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15449"/>
      <w:bookmarkStart w:id="148" w:name="_Toc1921"/>
      <w:bookmarkStart w:id="149" w:name="_Toc28290"/>
      <w:r>
        <w:rPr>
          <w:rFonts w:hint="eastAsia" w:ascii="Times New Roman" w:hAnsi="Times New Roman" w:eastAsia="楷体_GB2312" w:cs="Times New Roman"/>
          <w:b/>
          <w:bCs/>
          <w:kern w:val="28"/>
          <w:sz w:val="32"/>
          <w:highlight w:val="none"/>
          <w:lang w:val="en-US" w:eastAsia="zh-CN"/>
        </w:rPr>
        <w:t>（一）主要经验及做法</w:t>
      </w:r>
      <w:bookmarkEnd w:id="147"/>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阜康市煤田火区治理项目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30542.28</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30542.28</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阜康市应急管理局</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阜康市应急管理局</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8"/>
    <w:bookmarkEnd w:id="149"/>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50" w:name="_Toc29168"/>
      <w:r>
        <w:rPr>
          <w:rFonts w:hint="eastAsia" w:ascii="Times New Roman" w:hAnsi="Times New Roman" w:eastAsia="楷体_GB2312" w:cs="Times New Roman"/>
          <w:b/>
          <w:bCs/>
          <w:kern w:val="28"/>
          <w:sz w:val="32"/>
          <w:highlight w:val="none"/>
          <w:lang w:val="en-US" w:eastAsia="zh-CN"/>
        </w:rPr>
        <w:t>（二）存在的问题及原因分析</w:t>
      </w:r>
      <w:bookmarkEnd w:id="150"/>
    </w:p>
    <w:p w14:paraId="70B3D95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51" w:name="_Toc3333"/>
      <w:r>
        <w:rPr>
          <w:rFonts w:hint="eastAsia" w:ascii="Times New Roman" w:hAnsi="Times New Roman" w:eastAsia="楷体_GB2312" w:cs="Times New Roman"/>
          <w:b/>
          <w:bCs/>
          <w:kern w:val="28"/>
          <w:sz w:val="32"/>
          <w:highlight w:val="none"/>
          <w:lang w:val="en-US" w:eastAsia="zh-CN"/>
        </w:rPr>
        <w:t>1.预算执行及项目实施中存在的问题、原因分析</w:t>
      </w:r>
    </w:p>
    <w:p w14:paraId="0B516CA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①技术层面：部分项目仍依赖传统治理手段，对前沿灭火与监测技术应用不足，导致治理周期拉长、成本增加。资金管理上，预算编制不够精准，常出现超支情况。人员管理亦有短板。</w:t>
      </w:r>
    </w:p>
    <w:p w14:paraId="706C59B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②人员层面：专业技术人员匮乏，部分人员缺乏系统培训，在复杂火区治理作业中难以胜任，影响工程质量。此外，项目团队协作机制不完善，部门间沟通不畅，致使工作衔接出现问题，整体治理效率大打折扣。这些问题制约了煤田火区治理项目绩效的提升。</w:t>
      </w:r>
    </w:p>
    <w:p w14:paraId="4E8EBA7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r>
        <w:rPr>
          <w:rFonts w:hint="eastAsia" w:ascii="Times New Roman" w:hAnsi="Times New Roman" w:eastAsia="楷体_GB2312" w:cs="Times New Roman"/>
          <w:b/>
          <w:bCs/>
          <w:kern w:val="28"/>
          <w:sz w:val="32"/>
          <w:highlight w:val="none"/>
          <w:lang w:val="en-US" w:eastAsia="zh-CN"/>
        </w:rPr>
        <w:t>2.预算执行及项目实施中存在的问题的原因分析</w:t>
      </w:r>
    </w:p>
    <w:p w14:paraId="180DB80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①技术层面：</w:t>
      </w:r>
      <w:r>
        <w:rPr>
          <w:rFonts w:hint="default" w:ascii="Times New Roman" w:hAnsi="Times New Roman" w:eastAsia="仿宋_GB2312" w:cs="Times New Roman"/>
          <w:b w:val="0"/>
          <w:bCs w:val="0"/>
          <w:kern w:val="2"/>
          <w:sz w:val="32"/>
          <w:szCs w:val="32"/>
          <w:highlight w:val="none"/>
          <w:lang w:val="en-US" w:eastAsia="zh-CN" w:bidi="ar-SA"/>
        </w:rPr>
        <w:t>项目团队可能受传统治理手段的思维定式影响，对新技术的了解和接受程度有限，习惯于使用熟悉的方法，缺乏主动探索和应用前沿技术的动力。技术信息获取</w:t>
      </w:r>
      <w:r>
        <w:rPr>
          <w:rFonts w:hint="default" w:ascii="Times New Roman" w:hAnsi="Times New Roman" w:eastAsia="仿宋_GB2312" w:cs="Times New Roman"/>
          <w:b w:val="0"/>
          <w:bCs w:val="0"/>
          <w:kern w:val="2"/>
          <w:sz w:val="32"/>
          <w:szCs w:val="32"/>
          <w:lang w:val="en-US" w:eastAsia="zh-CN" w:bidi="ar-SA"/>
        </w:rPr>
        <w:t>渠道不畅</w:t>
      </w:r>
      <w:r>
        <w:rPr>
          <w:rFonts w:hint="eastAsia"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kern w:val="2"/>
          <w:sz w:val="32"/>
          <w:szCs w:val="32"/>
          <w:lang w:val="en-US" w:eastAsia="zh-CN" w:bidi="ar-SA"/>
        </w:rPr>
        <w:t>缺乏与科研机构、行业专家的有效沟通与合作，导致对前沿灭火与监测技术的信息获取不及时、不全面，难以把握技术发展趋势，错过应用新技术提升治理效率的机会。</w:t>
      </w:r>
    </w:p>
    <w:p w14:paraId="428E190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②人员层面：</w:t>
      </w:r>
      <w:r>
        <w:rPr>
          <w:rFonts w:hint="default" w:ascii="Times New Roman" w:hAnsi="Times New Roman" w:eastAsia="仿宋_GB2312" w:cs="Times New Roman"/>
          <w:b w:val="0"/>
          <w:bCs w:val="0"/>
          <w:kern w:val="2"/>
          <w:sz w:val="32"/>
          <w:szCs w:val="32"/>
          <w:lang w:val="en-US" w:eastAsia="zh-CN" w:bidi="ar-SA"/>
        </w:rPr>
        <w:t>人才吸引与保留困难</w:t>
      </w:r>
      <w:r>
        <w:rPr>
          <w:rFonts w:hint="eastAsia"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kern w:val="2"/>
          <w:sz w:val="32"/>
          <w:szCs w:val="32"/>
          <w:lang w:val="en-US" w:eastAsia="zh-CN" w:bidi="ar-SA"/>
        </w:rPr>
        <w:t>煤田火区治理项目通常工作环境较为艰苦，工作地点可能较为偏远，对专业技术人员缺乏吸引力</w:t>
      </w:r>
      <w:r>
        <w:rPr>
          <w:rFonts w:hint="eastAsia"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kern w:val="2"/>
          <w:sz w:val="32"/>
          <w:szCs w:val="32"/>
          <w:lang w:val="en-US" w:eastAsia="zh-CN" w:bidi="ar-SA"/>
        </w:rPr>
        <w:t>导致难以吸引和留住专业技术人才。缺乏有效的协调机制和沟通渠道，使得部门间的沟通成本增加，协作难度加</w:t>
      </w:r>
      <w:r>
        <w:rPr>
          <w:rFonts w:hint="eastAsia" w:ascii="Times New Roman" w:hAnsi="Times New Roman" w:eastAsia="仿宋_GB2312" w:cs="Times New Roman"/>
          <w:b w:val="0"/>
          <w:bCs w:val="0"/>
          <w:kern w:val="2"/>
          <w:sz w:val="32"/>
          <w:szCs w:val="32"/>
          <w:lang w:val="en-US" w:eastAsia="zh-CN" w:bidi="ar-SA"/>
        </w:rPr>
        <w:t>大。</w:t>
      </w:r>
    </w:p>
    <w:p w14:paraId="5CD35B9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1"/>
    </w:p>
    <w:p w14:paraId="57D9CAB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Times New Roman" w:hAnsi="Times New Roman" w:eastAsia="仿宋_GB2312" w:cs="Times New Roman"/>
          <w:b w:val="0"/>
          <w:bCs w:val="0"/>
          <w:kern w:val="2"/>
          <w:sz w:val="32"/>
          <w:szCs w:val="32"/>
          <w:highlight w:val="none"/>
          <w:lang w:val="en-US" w:eastAsia="zh-CN" w:bidi="ar-SA"/>
        </w:rPr>
      </w:pPr>
      <w:bookmarkStart w:id="152" w:name="_Toc14256"/>
      <w:r>
        <w:rPr>
          <w:rFonts w:hint="eastAsia" w:ascii="Times New Roman" w:hAnsi="Times New Roman" w:eastAsia="仿宋_GB2312" w:cs="Times New Roman"/>
          <w:b w:val="0"/>
          <w:bCs w:val="0"/>
          <w:kern w:val="2"/>
          <w:sz w:val="32"/>
          <w:szCs w:val="32"/>
          <w:highlight w:val="none"/>
          <w:lang w:val="en-US" w:eastAsia="zh-CN" w:bidi="ar-SA"/>
        </w:rPr>
        <w:t>（一）</w:t>
      </w:r>
      <w:r>
        <w:rPr>
          <w:rFonts w:hint="default" w:ascii="Times New Roman" w:hAnsi="Times New Roman" w:eastAsia="仿宋_GB2312" w:cs="Times New Roman"/>
          <w:b w:val="0"/>
          <w:bCs w:val="0"/>
          <w:kern w:val="2"/>
          <w:sz w:val="32"/>
          <w:szCs w:val="32"/>
          <w:highlight w:val="none"/>
          <w:lang w:val="en-US" w:eastAsia="zh-CN" w:bidi="ar-SA"/>
        </w:rPr>
        <w:t>建立完善的培训体系，根据员工岗位需求和职业发展规划，制定个性化的培训方案，定期组织专业技能培训、安全培训和管理培训，提升员工综合素质和业务能力。完善团队协作机制</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明确各部门和岗位的职责与分工，建立清晰的工作流程和协作规范，避免职责不清导致的推诿扯皮现象。建立跨部门沟通协调机制，定期召开工作协调会议，加强部门间的信息交流和沟通。利用信息化手段，搭建项目协作平台，实现信息共享和实时交互，提高工作衔接效率。</w:t>
      </w:r>
    </w:p>
    <w:p w14:paraId="57C06FB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（二）</w:t>
      </w:r>
      <w:r>
        <w:rPr>
          <w:rFonts w:hint="default" w:ascii="Times New Roman" w:hAnsi="Times New Roman" w:eastAsia="仿宋_GB2312" w:cs="Times New Roman"/>
          <w:b w:val="0"/>
          <w:bCs w:val="0"/>
          <w:kern w:val="2"/>
          <w:sz w:val="32"/>
          <w:szCs w:val="32"/>
          <w:highlight w:val="none"/>
          <w:lang w:val="en-US" w:eastAsia="zh-CN" w:bidi="ar-SA"/>
        </w:rPr>
        <w:t>加强人才吸引与培养</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制定具有竞争力的薪酬福利政策，提高专业技术人员的待遇水平，同时提供良好的工作环境和发展空间，吸引优秀人才加入项目团队。与高校合作开展定向培养计划，为项目储备专业人才。</w:t>
      </w:r>
    </w:p>
    <w:p w14:paraId="44038D8F">
      <w:pPr>
        <w:pStyle w:val="2"/>
        <w:pageBreakBefore w:val="0"/>
        <w:kinsoku/>
        <w:wordWrap/>
        <w:overflowPunct/>
        <w:topLinePunct w:val="0"/>
        <w:autoSpaceDE/>
        <w:autoSpaceDN/>
        <w:bidi w:val="0"/>
        <w:adjustRightInd/>
        <w:spacing w:beforeLines="0" w:afterLines="0"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2"/>
    </w:p>
    <w:p w14:paraId="0263FDE3">
      <w:pPr>
        <w:pStyle w:val="2"/>
        <w:pageBreakBefore w:val="0"/>
        <w:widowControl w:val="0"/>
        <w:numPr>
          <w:ilvl w:val="0"/>
          <w:numId w:val="0"/>
        </w:numPr>
        <w:kinsoku/>
        <w:wordWrap/>
        <w:overflowPunct/>
        <w:topLinePunct w:val="0"/>
        <w:autoSpaceDE/>
        <w:autoSpaceDN/>
        <w:bidi w:val="0"/>
        <w:adjustRightInd/>
        <w:spacing w:beforeLines="0" w:afterLines="0" w:line="560" w:lineRule="exact"/>
        <w:textAlignment w:val="auto"/>
        <w:rPr>
          <w:rFonts w:hint="default" w:ascii="Times New Roman" w:hAnsi="Times New Roman" w:cs="Times New Roman"/>
        </w:rPr>
      </w:pPr>
      <w:bookmarkStart w:id="153" w:name="_Toc11349"/>
      <w:bookmarkStart w:id="154" w:name="_Toc28971"/>
      <w:r>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t>附件一、项目支出绩效自评表</w:t>
      </w:r>
      <w:bookmarkEnd w:id="153"/>
      <w:bookmarkEnd w:id="154"/>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8"/>
        <w:gridCol w:w="848"/>
        <w:gridCol w:w="848"/>
        <w:gridCol w:w="848"/>
        <w:gridCol w:w="1308"/>
        <w:gridCol w:w="1462"/>
        <w:gridCol w:w="1385"/>
        <w:gridCol w:w="1001"/>
        <w:gridCol w:w="1155"/>
        <w:gridCol w:w="848"/>
        <w:gridCol w:w="848"/>
        <w:gridCol w:w="848"/>
        <w:gridCol w:w="848"/>
        <w:gridCol w:w="1079"/>
      </w:tblGrid>
      <w:tr w14:paraId="5C469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47D4DE2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383D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A9BA1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0CCB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5AD08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8302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阜康市煤田火区治理项目</w:t>
            </w:r>
          </w:p>
        </w:tc>
      </w:tr>
      <w:tr w14:paraId="6668B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2B9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AAB7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阜康市应急管理局</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070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E2B4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阜康市应急管理局</w:t>
            </w:r>
          </w:p>
        </w:tc>
      </w:tr>
      <w:tr w14:paraId="4F953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8A41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F10C1">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076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1B9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E6D9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8BC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9FE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8E0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98D0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DD47C">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06D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F1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30542.28</w:t>
            </w:r>
          </w:p>
        </w:tc>
        <w:tc>
          <w:tcPr>
            <w:tcW w:w="6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E0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30542.28</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41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30542.28</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7AE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F39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72F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8FD9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E1D5B">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B6B8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3A4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30542.28</w:t>
            </w:r>
          </w:p>
        </w:tc>
        <w:tc>
          <w:tcPr>
            <w:tcW w:w="6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867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30542.28</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3FF1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30542.28</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B2A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486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4E3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7571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3B024">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F0F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F93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F1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BA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622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6C95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A6E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A087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D3B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7A64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C2BB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DCF0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33F5E">
            <w:pPr>
              <w:jc w:val="center"/>
              <w:rPr>
                <w:rFonts w:hint="eastAsia" w:ascii="宋体" w:hAnsi="宋体" w:eastAsia="宋体" w:cs="宋体"/>
                <w:b/>
                <w:bCs/>
                <w:i w:val="0"/>
                <w:iCs w:val="0"/>
                <w:color w:val="000000"/>
                <w:sz w:val="18"/>
                <w:szCs w:val="18"/>
                <w:u w:val="none"/>
              </w:rPr>
            </w:pPr>
          </w:p>
        </w:tc>
        <w:tc>
          <w:tcPr>
            <w:tcW w:w="194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CFE1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自治区人民政府办公厅下发的《新疆维吾尔自治区煤田灭火工作实施方案》（新政办发〔2022〕54号），开展阜康市2处无采矿权的火区治理工作。2024年项目计划完成5处（丁家湾、绿草沟、四工、五宫、金塔）火区的详细勘查工作；完成2处（丁家湾、绿草沟）火区初步设计工作；完成2处（丁家湾、绿草沟）火区水保、环评手续办理工作。通过项目实施，提升2处煤田火区联网监测率，推进煤田火区健康发展，消除火灾危害，保护煤炭资源，改善火区生态环境。</w:t>
            </w:r>
          </w:p>
        </w:tc>
        <w:tc>
          <w:tcPr>
            <w:tcW w:w="285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A80F6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自治区人民政府办公厅下发的《新疆维吾尔自治区煤田灭火工作实施方案》（新政办发〔2022〕54号），开展了阜康市2处无采矿权的火区治理工作。2024年项目完成5处（丁家湾、绿草沟、四工、五宫、金塔）火区的详细勘查工作；完成2处（丁家湾、绿草沟）火区初步设计工作；完成2处（丁家湾、绿草沟）火区水保、环评手续办理工作。通过项目实施，提升2处煤田火区联网监测率，推进煤田火区健康发展，消除火灾危害，保护煤炭资源，改善火区生态环境。</w:t>
            </w:r>
          </w:p>
        </w:tc>
      </w:tr>
      <w:tr w14:paraId="01F34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754D7">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2542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C35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47A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750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75EF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CB2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68E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16E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2D6D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30E7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E49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D8D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3F2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49A4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9FB5A">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3A25C">
            <w:pPr>
              <w:jc w:val="center"/>
              <w:rPr>
                <w:rFonts w:hint="eastAsia" w:ascii="宋体" w:hAnsi="宋体" w:eastAsia="宋体" w:cs="宋体"/>
                <w:b/>
                <w:bCs/>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771CE">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F243F">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A4117">
            <w:pPr>
              <w:jc w:val="center"/>
              <w:rPr>
                <w:rFonts w:hint="eastAsia" w:ascii="宋体" w:hAnsi="宋体" w:eastAsia="宋体" w:cs="宋体"/>
                <w:b/>
                <w:bCs/>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0638A">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849AF">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2898D">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1A72D">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D69C0">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9E66B">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1AC1C">
            <w:pPr>
              <w:jc w:val="center"/>
              <w:rPr>
                <w:rFonts w:hint="eastAsia" w:ascii="宋体" w:hAnsi="宋体" w:eastAsia="宋体" w:cs="宋体"/>
                <w:b/>
                <w:bCs/>
                <w:i w:val="0"/>
                <w:iCs w:val="0"/>
                <w:color w:val="000000"/>
                <w:sz w:val="18"/>
                <w:szCs w:val="18"/>
                <w:u w:val="none"/>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ED991">
            <w:pPr>
              <w:jc w:val="center"/>
              <w:rPr>
                <w:rFonts w:hint="eastAsia" w:ascii="宋体" w:hAnsi="宋体" w:eastAsia="宋体" w:cs="宋体"/>
                <w:b/>
                <w:bCs/>
                <w:i w:val="0"/>
                <w:iCs w:val="0"/>
                <w:color w:val="000000"/>
                <w:sz w:val="18"/>
                <w:szCs w:val="18"/>
                <w:u w:val="none"/>
              </w:rPr>
            </w:pP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AF802">
            <w:pPr>
              <w:jc w:val="center"/>
              <w:rPr>
                <w:rFonts w:hint="eastAsia" w:ascii="宋体" w:hAnsi="宋体" w:eastAsia="宋体" w:cs="宋体"/>
                <w:b/>
                <w:bCs/>
                <w:i w:val="0"/>
                <w:iCs w:val="0"/>
                <w:color w:val="000000"/>
                <w:sz w:val="18"/>
                <w:szCs w:val="18"/>
                <w:u w:val="none"/>
              </w:rPr>
            </w:pPr>
          </w:p>
        </w:tc>
      </w:tr>
      <w:tr w14:paraId="45E7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312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8885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A3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1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开展煤田火区治理工作</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E25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2C5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587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=2处</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359A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71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568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B01D7">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6C8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D5D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01D2C">
            <w:pPr>
              <w:jc w:val="center"/>
              <w:rPr>
                <w:rFonts w:hint="eastAsia" w:ascii="宋体" w:hAnsi="宋体" w:eastAsia="宋体" w:cs="宋体"/>
                <w:i w:val="0"/>
                <w:iCs w:val="0"/>
                <w:color w:val="000000"/>
                <w:sz w:val="18"/>
                <w:szCs w:val="18"/>
                <w:u w:val="none"/>
              </w:rPr>
            </w:pPr>
          </w:p>
        </w:tc>
      </w:tr>
      <w:tr w14:paraId="06EC2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CA3B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E7D8F">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F0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FC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开展煤田火区详细勘查工作</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91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CE4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85A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=6处</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0DC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67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FEE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BA0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88B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52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9DA32">
            <w:pPr>
              <w:jc w:val="center"/>
              <w:rPr>
                <w:rFonts w:hint="eastAsia" w:ascii="宋体" w:hAnsi="宋体" w:eastAsia="宋体" w:cs="宋体"/>
                <w:i w:val="0"/>
                <w:iCs w:val="0"/>
                <w:color w:val="000000"/>
                <w:sz w:val="18"/>
                <w:szCs w:val="18"/>
                <w:u w:val="none"/>
              </w:rPr>
            </w:pPr>
          </w:p>
        </w:tc>
      </w:tr>
      <w:tr w14:paraId="02B65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3552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D3FCE">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32C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9F4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开展煤田火区初步设计工作</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18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8CA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95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=2处</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B8C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4B4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FB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9C453">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D9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13D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7CA26">
            <w:pPr>
              <w:jc w:val="center"/>
              <w:rPr>
                <w:rFonts w:hint="eastAsia" w:ascii="宋体" w:hAnsi="宋体" w:eastAsia="宋体" w:cs="宋体"/>
                <w:i w:val="0"/>
                <w:iCs w:val="0"/>
                <w:color w:val="000000"/>
                <w:sz w:val="18"/>
                <w:szCs w:val="18"/>
                <w:u w:val="none"/>
              </w:rPr>
            </w:pPr>
          </w:p>
        </w:tc>
      </w:tr>
      <w:tr w14:paraId="1A9C0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C41F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4A230">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D49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4B6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开展煤田火区水土保持、环评报告编制工作</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F3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7E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739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=2处</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B717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250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91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ED263">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7BF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1ED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F49DF">
            <w:pPr>
              <w:jc w:val="center"/>
              <w:rPr>
                <w:rFonts w:hint="eastAsia" w:ascii="宋体" w:hAnsi="宋体" w:eastAsia="宋体" w:cs="宋体"/>
                <w:i w:val="0"/>
                <w:iCs w:val="0"/>
                <w:color w:val="000000"/>
                <w:sz w:val="18"/>
                <w:szCs w:val="18"/>
                <w:u w:val="none"/>
              </w:rPr>
            </w:pPr>
          </w:p>
        </w:tc>
      </w:tr>
      <w:tr w14:paraId="2E4AB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28BF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DA1F7">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17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00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已开展的煤田火区联网监测率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5D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F70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3B5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1709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1C3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9BA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2B9D4">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7C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E1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6AC24">
            <w:pPr>
              <w:jc w:val="center"/>
              <w:rPr>
                <w:rFonts w:hint="eastAsia" w:ascii="宋体" w:hAnsi="宋体" w:eastAsia="宋体" w:cs="宋体"/>
                <w:i w:val="0"/>
                <w:iCs w:val="0"/>
                <w:color w:val="000000"/>
                <w:sz w:val="18"/>
                <w:szCs w:val="18"/>
                <w:u w:val="none"/>
              </w:rPr>
            </w:pPr>
          </w:p>
        </w:tc>
      </w:tr>
      <w:tr w14:paraId="1E5A0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1FBD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E0F1B">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8AF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D0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煤田火区年度资金支付完成时间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FC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4F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&lt;=2024.12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BF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=2024.12</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0EBA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A5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E11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3210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ABA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8F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787CF">
            <w:pPr>
              <w:jc w:val="center"/>
              <w:rPr>
                <w:rFonts w:hint="eastAsia" w:ascii="宋体" w:hAnsi="宋体" w:eastAsia="宋体" w:cs="宋体"/>
                <w:i w:val="0"/>
                <w:iCs w:val="0"/>
                <w:color w:val="000000"/>
                <w:sz w:val="18"/>
                <w:szCs w:val="18"/>
                <w:u w:val="none"/>
              </w:rPr>
            </w:pPr>
          </w:p>
        </w:tc>
      </w:tr>
      <w:tr w14:paraId="3A543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52C4E">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F7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038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C56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煤田火区前期费</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36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685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&lt;=1182.29万元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AD9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=1182.29万</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0B8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DC3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A44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F43B7">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4B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ED0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5AE08">
            <w:pPr>
              <w:jc w:val="center"/>
              <w:rPr>
                <w:rFonts w:hint="eastAsia" w:ascii="宋体" w:hAnsi="宋体" w:eastAsia="宋体" w:cs="宋体"/>
                <w:i w:val="0"/>
                <w:iCs w:val="0"/>
                <w:color w:val="000000"/>
                <w:sz w:val="18"/>
                <w:szCs w:val="18"/>
                <w:u w:val="none"/>
              </w:rPr>
            </w:pPr>
          </w:p>
        </w:tc>
      </w:tr>
      <w:tr w14:paraId="7B437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B695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30C3D">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33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6CB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煤田火区治理费用</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FF7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C8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&lt;=29359.99万元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394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=29359.99万元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3D03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18A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E7A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7CD7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2E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B10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76657">
            <w:pPr>
              <w:jc w:val="center"/>
              <w:rPr>
                <w:rFonts w:hint="eastAsia" w:ascii="宋体" w:hAnsi="宋体" w:eastAsia="宋体" w:cs="宋体"/>
                <w:i w:val="0"/>
                <w:iCs w:val="0"/>
                <w:color w:val="000000"/>
                <w:sz w:val="18"/>
                <w:szCs w:val="18"/>
                <w:u w:val="none"/>
              </w:rPr>
            </w:pPr>
          </w:p>
        </w:tc>
      </w:tr>
      <w:tr w14:paraId="6B94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30BE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A565D">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819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943B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99B29">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B33D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CEDE2">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BB43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81A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3FF9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F608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2FD41">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3C430">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D2821">
            <w:pPr>
              <w:jc w:val="center"/>
              <w:rPr>
                <w:rFonts w:hint="eastAsia" w:ascii="宋体" w:hAnsi="宋体" w:eastAsia="宋体" w:cs="宋体"/>
                <w:i w:val="0"/>
                <w:iCs w:val="0"/>
                <w:color w:val="000000"/>
                <w:sz w:val="18"/>
                <w:szCs w:val="18"/>
                <w:u w:val="none"/>
              </w:rPr>
            </w:pPr>
          </w:p>
        </w:tc>
      </w:tr>
      <w:tr w14:paraId="30E32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F925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89495">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47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4DF9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0C077">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646D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84D69">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8C86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2E85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3F1DF">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9355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B1A4A">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6870A">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88A0D">
            <w:pPr>
              <w:jc w:val="center"/>
              <w:rPr>
                <w:rFonts w:hint="eastAsia" w:ascii="宋体" w:hAnsi="宋体" w:eastAsia="宋体" w:cs="宋体"/>
                <w:i w:val="0"/>
                <w:iCs w:val="0"/>
                <w:color w:val="000000"/>
                <w:sz w:val="18"/>
                <w:szCs w:val="18"/>
                <w:u w:val="none"/>
              </w:rPr>
            </w:pPr>
          </w:p>
        </w:tc>
      </w:tr>
      <w:tr w14:paraId="5EB86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AB6C8">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EA7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91E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4027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0F016">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5944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5525">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DCD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5F41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B717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7F02A">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B4423">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8E76B">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3224C">
            <w:pPr>
              <w:jc w:val="center"/>
              <w:rPr>
                <w:rFonts w:hint="eastAsia" w:ascii="宋体" w:hAnsi="宋体" w:eastAsia="宋体" w:cs="宋体"/>
                <w:i w:val="0"/>
                <w:iCs w:val="0"/>
                <w:color w:val="000000"/>
                <w:sz w:val="18"/>
                <w:szCs w:val="18"/>
                <w:u w:val="none"/>
              </w:rPr>
            </w:pPr>
          </w:p>
        </w:tc>
      </w:tr>
      <w:tr w14:paraId="6AAF9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2BE7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208D8">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A07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7E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推进煤田火区健康发展</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F7C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D9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持续推进</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6A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6D6D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16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B3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8CFB4">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E20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966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61655">
            <w:pPr>
              <w:jc w:val="center"/>
              <w:rPr>
                <w:rFonts w:hint="eastAsia" w:ascii="宋体" w:hAnsi="宋体" w:eastAsia="宋体" w:cs="宋体"/>
                <w:i w:val="0"/>
                <w:iCs w:val="0"/>
                <w:color w:val="000000"/>
                <w:sz w:val="18"/>
                <w:szCs w:val="18"/>
                <w:u w:val="none"/>
              </w:rPr>
            </w:pPr>
          </w:p>
        </w:tc>
      </w:tr>
      <w:tr w14:paraId="1A35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049DF">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9927C">
            <w:pPr>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BC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F45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煤田火区生态环境改善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15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349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09F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F1A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315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8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1ADFF">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325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F66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888BF">
            <w:pPr>
              <w:jc w:val="center"/>
              <w:rPr>
                <w:rFonts w:hint="eastAsia" w:ascii="宋体" w:hAnsi="宋体" w:eastAsia="宋体" w:cs="宋体"/>
                <w:i w:val="0"/>
                <w:iCs w:val="0"/>
                <w:color w:val="000000"/>
                <w:sz w:val="18"/>
                <w:szCs w:val="18"/>
                <w:u w:val="none"/>
              </w:rPr>
            </w:pPr>
          </w:p>
        </w:tc>
      </w:tr>
      <w:tr w14:paraId="65860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C2B89">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20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637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5296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EC6A1">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B0F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A3437">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9D200">
            <w:pPr>
              <w:jc w:val="center"/>
              <w:rPr>
                <w:rFonts w:hint="eastAsia" w:ascii="宋体" w:hAnsi="宋体" w:eastAsia="宋体" w:cs="宋体"/>
                <w:i w:val="0"/>
                <w:iCs w:val="0"/>
                <w:color w:val="000000"/>
                <w:sz w:val="18"/>
                <w:szCs w:val="18"/>
                <w:u w:val="none"/>
              </w:rPr>
            </w:pPr>
            <w:bookmarkStart w:id="157" w:name="_GoBack"/>
            <w:bookmarkEnd w:id="157"/>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85F1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4364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693B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1433D">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9847D">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1F400">
            <w:pPr>
              <w:jc w:val="center"/>
              <w:rPr>
                <w:rFonts w:hint="eastAsia" w:ascii="宋体" w:hAnsi="宋体" w:eastAsia="宋体" w:cs="宋体"/>
                <w:i w:val="0"/>
                <w:iCs w:val="0"/>
                <w:color w:val="000000"/>
                <w:sz w:val="18"/>
                <w:szCs w:val="18"/>
                <w:u w:val="none"/>
              </w:rPr>
            </w:pPr>
          </w:p>
        </w:tc>
      </w:tr>
      <w:tr w14:paraId="5B67D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48" w:type="pct"/>
            <w:gridSpan w:val="4"/>
            <w:tcBorders>
              <w:top w:val="single" w:color="000000" w:sz="4" w:space="0"/>
              <w:left w:val="single" w:color="000000" w:sz="4" w:space="0"/>
              <w:bottom w:val="single" w:color="000000" w:sz="4" w:space="0"/>
              <w:right w:val="nil"/>
            </w:tcBorders>
            <w:shd w:val="clear" w:color="auto" w:fill="auto"/>
            <w:vAlign w:val="center"/>
          </w:tcPr>
          <w:p w14:paraId="06F559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CB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3" w:type="pct"/>
            <w:tcBorders>
              <w:top w:val="single" w:color="000000" w:sz="4" w:space="0"/>
              <w:left w:val="nil"/>
              <w:bottom w:val="single" w:color="000000" w:sz="4" w:space="0"/>
              <w:right w:val="single" w:color="000000" w:sz="4" w:space="0"/>
            </w:tcBorders>
            <w:shd w:val="clear" w:color="auto" w:fill="auto"/>
            <w:vAlign w:val="center"/>
          </w:tcPr>
          <w:p w14:paraId="4ACB0F67">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6353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9B31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9E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B5068">
            <w:pP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40C35">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679B7">
            <w:pP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B8416">
            <w:pP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A6798">
            <w:pPr>
              <w:rPr>
                <w:rFonts w:hint="eastAsia" w:ascii="宋体" w:hAnsi="宋体" w:eastAsia="宋体" w:cs="宋体"/>
                <w:i w:val="0"/>
                <w:iCs w:val="0"/>
                <w:color w:val="000000"/>
                <w:sz w:val="18"/>
                <w:szCs w:val="18"/>
                <w:u w:val="none"/>
              </w:rPr>
            </w:pPr>
          </w:p>
        </w:tc>
      </w:tr>
    </w:tbl>
    <w:p w14:paraId="0D2C1648">
      <w:pPr>
        <w:ind w:left="0" w:leftChars="0" w:firstLine="0" w:firstLineChars="0"/>
      </w:pPr>
      <w:r>
        <w:br w:type="page"/>
      </w:r>
    </w:p>
    <w:p w14:paraId="351BC9D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5" w:name="_Toc15067"/>
      <w:bookmarkStart w:id="156"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5"/>
      <w:bookmarkEnd w:id="156"/>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3</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04C936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2269C1D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数量</w:t>
            </w:r>
            <w:r>
              <w:rPr>
                <w:rFonts w:hint="eastAsia" w:cs="宋体"/>
                <w:color w:val="000000"/>
                <w:kern w:val="0"/>
                <w:sz w:val="22"/>
                <w:szCs w:val="22"/>
                <w:highlight w:val="none"/>
                <w:lang w:val="en-US" w:eastAsia="zh-CN"/>
              </w:rPr>
              <w:t>指标</w:t>
            </w:r>
          </w:p>
        </w:tc>
        <w:tc>
          <w:tcPr>
            <w:tcW w:w="820" w:type="dxa"/>
            <w:shd w:val="clear" w:color="auto" w:fill="auto"/>
            <w:noWrap w:val="0"/>
            <w:vAlign w:val="center"/>
          </w:tcPr>
          <w:p w14:paraId="18781488">
            <w:pPr>
              <w:pageBreakBefore w:val="0"/>
              <w:widowControl/>
              <w:tabs>
                <w:tab w:val="left" w:pos="452"/>
              </w:tabs>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cs="宋体"/>
                <w:color w:val="000000"/>
                <w:kern w:val="0"/>
                <w:sz w:val="22"/>
                <w:szCs w:val="22"/>
                <w:highlight w:val="none"/>
                <w:lang w:eastAsia="zh-CN"/>
              </w:rPr>
              <w:t>开展煤田火区治理工作</w:t>
            </w:r>
          </w:p>
        </w:tc>
        <w:tc>
          <w:tcPr>
            <w:tcW w:w="2141" w:type="dxa"/>
            <w:shd w:val="clear" w:color="auto" w:fill="auto"/>
            <w:noWrap w:val="0"/>
            <w:vAlign w:val="center"/>
          </w:tcPr>
          <w:p w14:paraId="42C3CB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8F5A1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4F63E2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2B361A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DCB86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c>
          <w:tcPr>
            <w:tcW w:w="769" w:type="dxa"/>
            <w:shd w:val="clear" w:color="auto" w:fill="auto"/>
            <w:noWrap w:val="0"/>
            <w:vAlign w:val="center"/>
          </w:tcPr>
          <w:p w14:paraId="3B03F06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r>
      <w:tr w14:paraId="216C0C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08BA32F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07BAD5C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数量</w:t>
            </w:r>
            <w:r>
              <w:rPr>
                <w:rFonts w:hint="eastAsia" w:cs="宋体"/>
                <w:color w:val="000000"/>
                <w:kern w:val="0"/>
                <w:sz w:val="22"/>
                <w:szCs w:val="22"/>
                <w:highlight w:val="none"/>
                <w:lang w:val="en-US" w:eastAsia="zh-CN"/>
              </w:rPr>
              <w:t>指标</w:t>
            </w:r>
          </w:p>
        </w:tc>
        <w:tc>
          <w:tcPr>
            <w:tcW w:w="820" w:type="dxa"/>
            <w:shd w:val="clear" w:color="auto" w:fill="auto"/>
            <w:noWrap w:val="0"/>
            <w:vAlign w:val="center"/>
          </w:tcPr>
          <w:p w14:paraId="14FB74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开展煤田火区详细勘查工作</w:t>
            </w:r>
          </w:p>
        </w:tc>
        <w:tc>
          <w:tcPr>
            <w:tcW w:w="2141" w:type="dxa"/>
            <w:shd w:val="clear" w:color="auto" w:fill="auto"/>
            <w:noWrap w:val="0"/>
            <w:vAlign w:val="center"/>
          </w:tcPr>
          <w:p w14:paraId="063A4D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7CA3E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53792A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3FD7D9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52B00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c>
          <w:tcPr>
            <w:tcW w:w="769" w:type="dxa"/>
            <w:shd w:val="clear" w:color="auto" w:fill="auto"/>
            <w:noWrap w:val="0"/>
            <w:vAlign w:val="center"/>
          </w:tcPr>
          <w:p w14:paraId="7E9D00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r>
      <w:tr w14:paraId="23BF2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073F78C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7DA911C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数量</w:t>
            </w:r>
            <w:r>
              <w:rPr>
                <w:rFonts w:hint="eastAsia" w:cs="宋体"/>
                <w:color w:val="000000"/>
                <w:kern w:val="0"/>
                <w:sz w:val="22"/>
                <w:szCs w:val="22"/>
                <w:highlight w:val="none"/>
                <w:lang w:val="en-US" w:eastAsia="zh-CN"/>
              </w:rPr>
              <w:t>指标</w:t>
            </w:r>
          </w:p>
        </w:tc>
        <w:tc>
          <w:tcPr>
            <w:tcW w:w="820" w:type="dxa"/>
            <w:shd w:val="clear" w:color="auto" w:fill="auto"/>
            <w:noWrap w:val="0"/>
            <w:vAlign w:val="center"/>
          </w:tcPr>
          <w:p w14:paraId="592ECAE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开展煤田火区初步设计工作</w:t>
            </w:r>
          </w:p>
        </w:tc>
        <w:tc>
          <w:tcPr>
            <w:tcW w:w="2141" w:type="dxa"/>
            <w:shd w:val="clear" w:color="auto" w:fill="auto"/>
            <w:noWrap w:val="0"/>
            <w:vAlign w:val="center"/>
          </w:tcPr>
          <w:p w14:paraId="6490AA5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2CFD67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4844BC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381FE1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79FCA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c>
          <w:tcPr>
            <w:tcW w:w="769" w:type="dxa"/>
            <w:shd w:val="clear" w:color="auto" w:fill="auto"/>
            <w:noWrap w:val="0"/>
            <w:vAlign w:val="center"/>
          </w:tcPr>
          <w:p w14:paraId="6ACCDF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r>
      <w:tr w14:paraId="181CC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4B0E37C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66335DF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数量</w:t>
            </w:r>
            <w:r>
              <w:rPr>
                <w:rFonts w:hint="eastAsia" w:cs="宋体"/>
                <w:color w:val="000000"/>
                <w:kern w:val="0"/>
                <w:sz w:val="22"/>
                <w:szCs w:val="22"/>
                <w:highlight w:val="none"/>
                <w:lang w:val="en-US" w:eastAsia="zh-CN"/>
              </w:rPr>
              <w:t>指标</w:t>
            </w:r>
          </w:p>
        </w:tc>
        <w:tc>
          <w:tcPr>
            <w:tcW w:w="820" w:type="dxa"/>
            <w:shd w:val="clear" w:color="auto" w:fill="auto"/>
            <w:noWrap w:val="0"/>
            <w:vAlign w:val="center"/>
          </w:tcPr>
          <w:p w14:paraId="16F854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开展煤田火区水土保持、环评报告编制工作</w:t>
            </w:r>
          </w:p>
        </w:tc>
        <w:tc>
          <w:tcPr>
            <w:tcW w:w="2141" w:type="dxa"/>
            <w:shd w:val="clear" w:color="auto" w:fill="auto"/>
            <w:noWrap w:val="0"/>
            <w:vAlign w:val="center"/>
          </w:tcPr>
          <w:p w14:paraId="2834D8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661869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39C0F9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23C0DB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4946D5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c>
          <w:tcPr>
            <w:tcW w:w="769" w:type="dxa"/>
            <w:shd w:val="clear" w:color="auto" w:fill="auto"/>
            <w:noWrap w:val="0"/>
            <w:vAlign w:val="center"/>
          </w:tcPr>
          <w:p w14:paraId="360ADB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产出</w:t>
            </w:r>
          </w:p>
        </w:tc>
        <w:tc>
          <w:tcPr>
            <w:tcW w:w="727" w:type="dxa"/>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质量指标</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已开展的煤田火区联网监测率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r>
      <w:tr w14:paraId="00F97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13164376">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000000"/>
                <w:kern w:val="0"/>
                <w:sz w:val="22"/>
                <w:szCs w:val="22"/>
                <w:highlight w:val="none"/>
                <w:lang w:val="en-US" w:eastAsia="zh-CN"/>
              </w:rPr>
            </w:pPr>
          </w:p>
        </w:tc>
        <w:tc>
          <w:tcPr>
            <w:tcW w:w="727" w:type="dxa"/>
            <w:shd w:val="clear" w:color="auto" w:fill="auto"/>
            <w:noWrap w:val="0"/>
            <w:vAlign w:val="center"/>
          </w:tcPr>
          <w:p w14:paraId="15F84DC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时效</w:t>
            </w:r>
            <w:r>
              <w:rPr>
                <w:rFonts w:hint="eastAsia" w:ascii="宋体" w:hAnsi="宋体" w:eastAsia="宋体" w:cs="宋体"/>
                <w:color w:val="000000"/>
                <w:kern w:val="0"/>
                <w:sz w:val="22"/>
                <w:szCs w:val="22"/>
                <w:highlight w:val="none"/>
              </w:rPr>
              <w:t>指标</w:t>
            </w:r>
          </w:p>
        </w:tc>
        <w:tc>
          <w:tcPr>
            <w:tcW w:w="820" w:type="dxa"/>
            <w:shd w:val="clear" w:color="auto" w:fill="auto"/>
            <w:noWrap w:val="0"/>
            <w:vAlign w:val="center"/>
          </w:tcPr>
          <w:p w14:paraId="2CD363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煤田火区年度资金支付完成时间</w:t>
            </w:r>
          </w:p>
        </w:tc>
        <w:tc>
          <w:tcPr>
            <w:tcW w:w="2141" w:type="dxa"/>
            <w:shd w:val="clear" w:color="auto" w:fill="auto"/>
            <w:noWrap w:val="0"/>
            <w:vAlign w:val="center"/>
          </w:tcPr>
          <w:p w14:paraId="5B039E3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598E9E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39234F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9280AA2">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c>
          <w:tcPr>
            <w:tcW w:w="769" w:type="dxa"/>
            <w:shd w:val="clear" w:color="auto" w:fill="auto"/>
            <w:noWrap w:val="0"/>
            <w:vAlign w:val="center"/>
          </w:tcPr>
          <w:p w14:paraId="6E432298">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6</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66253F3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经济成本指标</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煤田火区前期费</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6C3DC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0BF6CF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经济成本指标</w:t>
            </w:r>
          </w:p>
        </w:tc>
        <w:tc>
          <w:tcPr>
            <w:tcW w:w="820" w:type="dxa"/>
            <w:shd w:val="clear" w:color="auto" w:fill="auto"/>
            <w:noWrap w:val="0"/>
            <w:vAlign w:val="center"/>
          </w:tcPr>
          <w:p w14:paraId="3AC45D7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煤田火区治理费用</w:t>
            </w:r>
          </w:p>
        </w:tc>
        <w:tc>
          <w:tcPr>
            <w:tcW w:w="2141" w:type="dxa"/>
            <w:shd w:val="clear" w:color="auto" w:fill="auto"/>
            <w:noWrap w:val="0"/>
            <w:vAlign w:val="center"/>
          </w:tcPr>
          <w:p w14:paraId="6CAD052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B49F0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72110F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6F3D9D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82DE24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c>
          <w:tcPr>
            <w:tcW w:w="769" w:type="dxa"/>
            <w:shd w:val="clear" w:color="auto" w:fill="auto"/>
            <w:noWrap w:val="0"/>
            <w:vAlign w:val="center"/>
          </w:tcPr>
          <w:p w14:paraId="5A826C9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5EA3885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社会效益指标</w:t>
            </w:r>
          </w:p>
          <w:p w14:paraId="23CED2E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p w14:paraId="3D9A366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p w14:paraId="33705F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生态效益指标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推进煤田火区健康发展</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4A02F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F6714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8C52F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28B07536">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煤田火区生态环境改善</w:t>
            </w:r>
          </w:p>
        </w:tc>
        <w:tc>
          <w:tcPr>
            <w:tcW w:w="2141" w:type="dxa"/>
            <w:shd w:val="clear" w:color="auto" w:fill="auto"/>
            <w:noWrap w:val="0"/>
            <w:vAlign w:val="center"/>
          </w:tcPr>
          <w:p w14:paraId="3939DB6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7B15C3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B69320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171D709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4F608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shd w:val="clear" w:color="auto" w:fill="auto"/>
            <w:noWrap w:val="0"/>
            <w:vAlign w:val="center"/>
          </w:tcPr>
          <w:p w14:paraId="4EF5F3B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w:t>
            </w:r>
          </w:p>
        </w:tc>
        <w:tc>
          <w:tcPr>
            <w:tcW w:w="727" w:type="dxa"/>
            <w:shd w:val="clear" w:color="auto" w:fill="auto"/>
            <w:noWrap w:val="0"/>
            <w:vAlign w:val="center"/>
          </w:tcPr>
          <w:p w14:paraId="09480C3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满意度指标</w:t>
            </w:r>
          </w:p>
        </w:tc>
        <w:tc>
          <w:tcPr>
            <w:tcW w:w="820" w:type="dxa"/>
            <w:shd w:val="clear" w:color="auto" w:fill="auto"/>
            <w:noWrap w:val="0"/>
            <w:vAlign w:val="center"/>
          </w:tcPr>
          <w:p w14:paraId="5911B2A5">
            <w:pPr>
              <w:pageBreakBefore w:val="0"/>
              <w:widowControl/>
              <w:kinsoku/>
              <w:wordWrap/>
              <w:overflowPunct/>
              <w:topLinePunct w:val="0"/>
              <w:autoSpaceDE/>
              <w:autoSpaceDN/>
              <w:bidi w:val="0"/>
              <w:spacing w:line="240" w:lineRule="auto"/>
              <w:ind w:firstLine="0" w:firstLineChars="0"/>
              <w:jc w:val="center"/>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煤田火区治理主体企业满意度</w:t>
            </w:r>
          </w:p>
        </w:tc>
        <w:tc>
          <w:tcPr>
            <w:tcW w:w="2141" w:type="dxa"/>
            <w:shd w:val="clear" w:color="auto" w:fill="auto"/>
            <w:noWrap w:val="0"/>
            <w:vAlign w:val="center"/>
          </w:tcPr>
          <w:p w14:paraId="3C24870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3FF117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173BE56">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441C4E7F">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r>
    </w:tbl>
    <w:p w14:paraId="43E1526F">
      <w:pPr>
        <w:pageBreakBefore w:val="0"/>
        <w:kinsoku/>
        <w:wordWrap/>
        <w:overflowPunct/>
        <w:topLinePunct w:val="0"/>
        <w:autoSpaceDE/>
        <w:autoSpaceDN/>
        <w:bidi w:val="0"/>
        <w:spacing w:line="560" w:lineRule="exact"/>
        <w:ind w:left="0" w:leftChars="0" w:firstLine="0" w:firstLineChars="0"/>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7890F4F"/>
    <w:rsid w:val="08892439"/>
    <w:rsid w:val="08EB30F3"/>
    <w:rsid w:val="09237408"/>
    <w:rsid w:val="09781BD6"/>
    <w:rsid w:val="09F359DF"/>
    <w:rsid w:val="0A426D43"/>
    <w:rsid w:val="0A575E65"/>
    <w:rsid w:val="0ACA0AB6"/>
    <w:rsid w:val="0C032502"/>
    <w:rsid w:val="0C27698C"/>
    <w:rsid w:val="0CF85071"/>
    <w:rsid w:val="0D4452F3"/>
    <w:rsid w:val="0F5E5042"/>
    <w:rsid w:val="0FE95707"/>
    <w:rsid w:val="0FF7412C"/>
    <w:rsid w:val="10510571"/>
    <w:rsid w:val="10787A20"/>
    <w:rsid w:val="108672DE"/>
    <w:rsid w:val="10EC685A"/>
    <w:rsid w:val="11FA6155"/>
    <w:rsid w:val="12CF0947"/>
    <w:rsid w:val="12F1313F"/>
    <w:rsid w:val="136C678E"/>
    <w:rsid w:val="13EB2FF5"/>
    <w:rsid w:val="14ED4CAC"/>
    <w:rsid w:val="14FD0596"/>
    <w:rsid w:val="15A46B04"/>
    <w:rsid w:val="15BB3E4D"/>
    <w:rsid w:val="15FB7C71"/>
    <w:rsid w:val="15FD48CE"/>
    <w:rsid w:val="165825BC"/>
    <w:rsid w:val="16BC5D73"/>
    <w:rsid w:val="176F36D7"/>
    <w:rsid w:val="1795226D"/>
    <w:rsid w:val="17E05DED"/>
    <w:rsid w:val="18456B1E"/>
    <w:rsid w:val="19622BC3"/>
    <w:rsid w:val="19ED66F3"/>
    <w:rsid w:val="1C1171C5"/>
    <w:rsid w:val="1D265138"/>
    <w:rsid w:val="1D5303E2"/>
    <w:rsid w:val="1D7B6BCA"/>
    <w:rsid w:val="1DA41A79"/>
    <w:rsid w:val="1DF53469"/>
    <w:rsid w:val="1E2F24F2"/>
    <w:rsid w:val="1E58492F"/>
    <w:rsid w:val="1E5B6757"/>
    <w:rsid w:val="1ED10AC6"/>
    <w:rsid w:val="1F89225F"/>
    <w:rsid w:val="1F900A1F"/>
    <w:rsid w:val="1FC0575D"/>
    <w:rsid w:val="206132C7"/>
    <w:rsid w:val="20E433A2"/>
    <w:rsid w:val="21B00C1D"/>
    <w:rsid w:val="21D70261"/>
    <w:rsid w:val="21E27BC1"/>
    <w:rsid w:val="226941BE"/>
    <w:rsid w:val="22BF31CF"/>
    <w:rsid w:val="23031BEB"/>
    <w:rsid w:val="23917691"/>
    <w:rsid w:val="23BB042A"/>
    <w:rsid w:val="244D65B8"/>
    <w:rsid w:val="245E1E24"/>
    <w:rsid w:val="24D3426C"/>
    <w:rsid w:val="25AD5E5D"/>
    <w:rsid w:val="2732478D"/>
    <w:rsid w:val="27661469"/>
    <w:rsid w:val="27900EAD"/>
    <w:rsid w:val="279B538A"/>
    <w:rsid w:val="286F545C"/>
    <w:rsid w:val="29314FBC"/>
    <w:rsid w:val="2AA2081A"/>
    <w:rsid w:val="2C024B86"/>
    <w:rsid w:val="2C22032B"/>
    <w:rsid w:val="2C927671"/>
    <w:rsid w:val="2CC6306F"/>
    <w:rsid w:val="2D7C5CD6"/>
    <w:rsid w:val="2E483E7E"/>
    <w:rsid w:val="2E690493"/>
    <w:rsid w:val="2E9854BD"/>
    <w:rsid w:val="2F0D407F"/>
    <w:rsid w:val="2F454B19"/>
    <w:rsid w:val="310224D9"/>
    <w:rsid w:val="31532D34"/>
    <w:rsid w:val="31B4621C"/>
    <w:rsid w:val="31DE32C1"/>
    <w:rsid w:val="31E3230A"/>
    <w:rsid w:val="327A0EC0"/>
    <w:rsid w:val="330957E0"/>
    <w:rsid w:val="33356F64"/>
    <w:rsid w:val="33944516"/>
    <w:rsid w:val="33E37D42"/>
    <w:rsid w:val="34B62907"/>
    <w:rsid w:val="34BC6301"/>
    <w:rsid w:val="35604093"/>
    <w:rsid w:val="36BD137C"/>
    <w:rsid w:val="38053EDF"/>
    <w:rsid w:val="380812A4"/>
    <w:rsid w:val="385D37E7"/>
    <w:rsid w:val="38782EDD"/>
    <w:rsid w:val="38D421D8"/>
    <w:rsid w:val="3A173CF6"/>
    <w:rsid w:val="3AA87BA3"/>
    <w:rsid w:val="3B42664A"/>
    <w:rsid w:val="3CAD1E92"/>
    <w:rsid w:val="3D171D1E"/>
    <w:rsid w:val="3D836A4E"/>
    <w:rsid w:val="3E324719"/>
    <w:rsid w:val="3EA37E97"/>
    <w:rsid w:val="3F874B00"/>
    <w:rsid w:val="3F9D1D4A"/>
    <w:rsid w:val="3FBE0BC5"/>
    <w:rsid w:val="4048103A"/>
    <w:rsid w:val="40736643"/>
    <w:rsid w:val="40BA4775"/>
    <w:rsid w:val="40D24A7A"/>
    <w:rsid w:val="42621029"/>
    <w:rsid w:val="435241E2"/>
    <w:rsid w:val="43975C51"/>
    <w:rsid w:val="439E3FA7"/>
    <w:rsid w:val="44B32266"/>
    <w:rsid w:val="44FC64F4"/>
    <w:rsid w:val="467F4585"/>
    <w:rsid w:val="470628CB"/>
    <w:rsid w:val="4729480B"/>
    <w:rsid w:val="47555BD4"/>
    <w:rsid w:val="47BC2DB1"/>
    <w:rsid w:val="47E96399"/>
    <w:rsid w:val="47F76025"/>
    <w:rsid w:val="48437125"/>
    <w:rsid w:val="486E33F5"/>
    <w:rsid w:val="48E12B50"/>
    <w:rsid w:val="495A5B79"/>
    <w:rsid w:val="499441BE"/>
    <w:rsid w:val="499A6C1C"/>
    <w:rsid w:val="4A195607"/>
    <w:rsid w:val="4A2138F0"/>
    <w:rsid w:val="4A583887"/>
    <w:rsid w:val="4B9F6E02"/>
    <w:rsid w:val="4C084E57"/>
    <w:rsid w:val="4C89637B"/>
    <w:rsid w:val="4E6E48A8"/>
    <w:rsid w:val="4EEC036B"/>
    <w:rsid w:val="4F714FA1"/>
    <w:rsid w:val="501D2673"/>
    <w:rsid w:val="508B5BEF"/>
    <w:rsid w:val="50C80BF1"/>
    <w:rsid w:val="51852833"/>
    <w:rsid w:val="52F11AC8"/>
    <w:rsid w:val="534F49D9"/>
    <w:rsid w:val="53555F0F"/>
    <w:rsid w:val="535D23D5"/>
    <w:rsid w:val="53A920EC"/>
    <w:rsid w:val="55D35315"/>
    <w:rsid w:val="567F1E31"/>
    <w:rsid w:val="56F4341A"/>
    <w:rsid w:val="575A7321"/>
    <w:rsid w:val="57FC08F2"/>
    <w:rsid w:val="580C3AB9"/>
    <w:rsid w:val="583C7AE0"/>
    <w:rsid w:val="586C1E9A"/>
    <w:rsid w:val="586E0800"/>
    <w:rsid w:val="59216F96"/>
    <w:rsid w:val="598C4145"/>
    <w:rsid w:val="59944019"/>
    <w:rsid w:val="59957D1B"/>
    <w:rsid w:val="59D4294E"/>
    <w:rsid w:val="5A516587"/>
    <w:rsid w:val="5B634312"/>
    <w:rsid w:val="5B9D2CCD"/>
    <w:rsid w:val="5B9E71EA"/>
    <w:rsid w:val="5C7B2FBB"/>
    <w:rsid w:val="5D331AE8"/>
    <w:rsid w:val="5E226FBC"/>
    <w:rsid w:val="5FE72BD2"/>
    <w:rsid w:val="60120613"/>
    <w:rsid w:val="60566219"/>
    <w:rsid w:val="61760DEC"/>
    <w:rsid w:val="618D5292"/>
    <w:rsid w:val="622E78FA"/>
    <w:rsid w:val="63343F70"/>
    <w:rsid w:val="63667F90"/>
    <w:rsid w:val="64296E1C"/>
    <w:rsid w:val="64386FCC"/>
    <w:rsid w:val="649E64A2"/>
    <w:rsid w:val="650567DD"/>
    <w:rsid w:val="65E5270A"/>
    <w:rsid w:val="663D3C54"/>
    <w:rsid w:val="667A6962"/>
    <w:rsid w:val="66862C89"/>
    <w:rsid w:val="66BB486D"/>
    <w:rsid w:val="66F61BAB"/>
    <w:rsid w:val="67394C7D"/>
    <w:rsid w:val="68126B38"/>
    <w:rsid w:val="68291A1A"/>
    <w:rsid w:val="68352BB8"/>
    <w:rsid w:val="691327EB"/>
    <w:rsid w:val="691B1594"/>
    <w:rsid w:val="693A016B"/>
    <w:rsid w:val="698F00A6"/>
    <w:rsid w:val="6A17429C"/>
    <w:rsid w:val="6A567EA3"/>
    <w:rsid w:val="6B4B4368"/>
    <w:rsid w:val="6B79100E"/>
    <w:rsid w:val="6BBB556A"/>
    <w:rsid w:val="6BDC7D64"/>
    <w:rsid w:val="6C844C00"/>
    <w:rsid w:val="6E10212C"/>
    <w:rsid w:val="6E43561A"/>
    <w:rsid w:val="6E557973"/>
    <w:rsid w:val="6E9568DB"/>
    <w:rsid w:val="6EF015E7"/>
    <w:rsid w:val="6F0D6C22"/>
    <w:rsid w:val="6F47657F"/>
    <w:rsid w:val="6FAF23D9"/>
    <w:rsid w:val="70635CF6"/>
    <w:rsid w:val="70670707"/>
    <w:rsid w:val="720D29DE"/>
    <w:rsid w:val="720E3691"/>
    <w:rsid w:val="72387F31"/>
    <w:rsid w:val="7249173A"/>
    <w:rsid w:val="724E244C"/>
    <w:rsid w:val="72DA6946"/>
    <w:rsid w:val="732764B3"/>
    <w:rsid w:val="733C129F"/>
    <w:rsid w:val="73F71E45"/>
    <w:rsid w:val="74026044"/>
    <w:rsid w:val="74325A77"/>
    <w:rsid w:val="74746410"/>
    <w:rsid w:val="75C8506C"/>
    <w:rsid w:val="75E5007C"/>
    <w:rsid w:val="761E1740"/>
    <w:rsid w:val="77636B63"/>
    <w:rsid w:val="77813724"/>
    <w:rsid w:val="77861774"/>
    <w:rsid w:val="77F2453D"/>
    <w:rsid w:val="788E274D"/>
    <w:rsid w:val="78F31435"/>
    <w:rsid w:val="79300B45"/>
    <w:rsid w:val="794D3E18"/>
    <w:rsid w:val="79F3729A"/>
    <w:rsid w:val="7A880722"/>
    <w:rsid w:val="7AAA5AA3"/>
    <w:rsid w:val="7ABE6120"/>
    <w:rsid w:val="7ACB0498"/>
    <w:rsid w:val="7AED0B4D"/>
    <w:rsid w:val="7BA615A2"/>
    <w:rsid w:val="7C1E4487"/>
    <w:rsid w:val="7C215E02"/>
    <w:rsid w:val="7CF23764"/>
    <w:rsid w:val="7D851A94"/>
    <w:rsid w:val="7E797F74"/>
    <w:rsid w:val="7F924011"/>
    <w:rsid w:val="7FA51675"/>
    <w:rsid w:val="7FB623D9"/>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Strong"/>
    <w:basedOn w:val="17"/>
    <w:qFormat/>
    <w:uiPriority w:val="0"/>
    <w:rPr>
      <w:b/>
    </w:r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11555</Words>
  <Characters>12169</Characters>
  <Lines>0</Lines>
  <Paragraphs>0</Paragraphs>
  <TotalTime>1</TotalTime>
  <ScaleCrop>false</ScaleCrop>
  <LinksUpToDate>false</LinksUpToDate>
  <CharactersWithSpaces>12245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2025-10-24T03:15:37Z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