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bookmarkStart w:id="0" w:name="_Toc25575"/>
      <w:bookmarkStart w:id="1" w:name="_Toc1949"/>
      <w:bookmarkStart w:id="2" w:name="_Toc29123"/>
      <w:bookmarkStart w:id="3" w:name="_Toc15679"/>
      <w:r>
        <w:rPr>
          <w:rFonts w:hint="eastAsia" w:cs="宋体"/>
          <w:b/>
          <w:bCs/>
          <w:color w:val="000000" w:themeColor="text1"/>
          <w:sz w:val="40"/>
          <w:szCs w:val="40"/>
          <w:highlight w:val="none"/>
          <w:shd w:val="clear" w:color="auto" w:fill="auto"/>
          <w:lang w:val="en-US" w:eastAsia="zh-CN"/>
          <w14:textFill>
            <w14:solidFill>
              <w14:schemeClr w14:val="tx1"/>
            </w14:solidFill>
          </w14:textFill>
        </w:rPr>
        <w:t>昌州财行【2024】14号自治区第五次全国经济普查“两员”补助经费</w:t>
      </w: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6AAADC36">
      <w:pPr>
        <w:spacing w:line="360" w:lineRule="auto"/>
        <w:ind w:firstLine="0" w:firstLineChars="0"/>
        <w:jc w:val="left"/>
        <w:rPr>
          <w:rFonts w:hint="eastAsia" w:ascii="黑体" w:hAnsi="Times New Roman" w:eastAsia="黑体"/>
          <w:b w:val="0"/>
          <w:bCs/>
          <w:color w:val="auto"/>
          <w:sz w:val="30"/>
          <w:szCs w:val="30"/>
          <w:lang w:val="en-US" w:eastAsia="zh-CN"/>
        </w:rPr>
      </w:pPr>
      <w:r>
        <w:rPr>
          <w:rFonts w:hint="eastAsia" w:ascii="黑体" w:hAnsi="Times New Roman" w:eastAsia="黑体"/>
          <w:b w:val="0"/>
          <w:bCs/>
          <w:color w:val="auto"/>
          <w:sz w:val="30"/>
          <w:szCs w:val="30"/>
          <w:lang w:val="en-US" w:eastAsia="zh-CN"/>
        </w:rPr>
        <w:t>项目名称：昌州财行【2024】14号自治区第五次全国经济普查“两员”补助经费</w:t>
      </w:r>
    </w:p>
    <w:p w14:paraId="7CB8A243">
      <w:pPr>
        <w:spacing w:line="360" w:lineRule="auto"/>
        <w:ind w:firstLine="0" w:firstLineChars="0"/>
        <w:jc w:val="left"/>
        <w:rPr>
          <w:rFonts w:hint="eastAsia" w:ascii="黑体" w:hAnsi="Times New Roman" w:eastAsia="黑体"/>
          <w:b w:val="0"/>
          <w:bCs/>
          <w:color w:val="auto"/>
          <w:sz w:val="30"/>
          <w:szCs w:val="30"/>
          <w:lang w:val="en-US" w:eastAsia="zh-CN"/>
        </w:rPr>
      </w:pPr>
      <w:r>
        <w:rPr>
          <w:rFonts w:hint="eastAsia" w:ascii="黑体" w:hAnsi="Times New Roman" w:eastAsia="黑体"/>
          <w:b w:val="0"/>
          <w:bCs/>
          <w:color w:val="auto"/>
          <w:sz w:val="30"/>
          <w:szCs w:val="30"/>
          <w:lang w:val="en-US" w:eastAsia="zh-CN"/>
        </w:rPr>
        <w:t>实施单位：阜康市统计局</w:t>
      </w:r>
    </w:p>
    <w:p w14:paraId="1CD13478">
      <w:pPr>
        <w:spacing w:line="360" w:lineRule="auto"/>
        <w:ind w:firstLine="0" w:firstLineChars="0"/>
        <w:jc w:val="left"/>
        <w:rPr>
          <w:rFonts w:hint="eastAsia" w:ascii="黑体" w:hAnsi="Times New Roman" w:eastAsia="黑体"/>
          <w:b w:val="0"/>
          <w:bCs/>
          <w:color w:val="auto"/>
          <w:sz w:val="30"/>
          <w:szCs w:val="30"/>
          <w:lang w:val="en-US" w:eastAsia="zh-CN"/>
        </w:rPr>
      </w:pPr>
      <w:r>
        <w:rPr>
          <w:rFonts w:hint="eastAsia" w:ascii="黑体" w:hAnsi="Times New Roman" w:eastAsia="黑体"/>
          <w:b w:val="0"/>
          <w:bCs/>
          <w:color w:val="auto"/>
          <w:sz w:val="30"/>
          <w:szCs w:val="30"/>
          <w:lang w:val="en-US" w:eastAsia="zh-CN"/>
        </w:rPr>
        <w:t>主管部门：阜康市统计局</w:t>
      </w:r>
    </w:p>
    <w:p w14:paraId="065BEE39">
      <w:pPr>
        <w:spacing w:line="360" w:lineRule="auto"/>
        <w:ind w:firstLine="0" w:firstLineChars="0"/>
        <w:jc w:val="left"/>
        <w:rPr>
          <w:rFonts w:hint="eastAsia" w:ascii="黑体" w:hAnsi="Times New Roman" w:eastAsia="黑体"/>
          <w:b w:val="0"/>
          <w:bCs/>
          <w:color w:val="auto"/>
          <w:sz w:val="30"/>
          <w:szCs w:val="30"/>
          <w:lang w:val="en-US" w:eastAsia="zh-CN"/>
        </w:rPr>
      </w:pPr>
      <w:r>
        <w:rPr>
          <w:rFonts w:hint="eastAsia" w:ascii="黑体" w:hAnsi="Times New Roman" w:eastAsia="黑体"/>
          <w:b w:val="0"/>
          <w:bCs/>
          <w:color w:val="auto"/>
          <w:sz w:val="30"/>
          <w:szCs w:val="30"/>
          <w:lang w:val="en-US" w:eastAsia="zh-CN"/>
        </w:rPr>
        <w:t>项目负责人：杨雅欣</w:t>
      </w:r>
    </w:p>
    <w:p w14:paraId="50706B4B">
      <w:pPr>
        <w:spacing w:line="360" w:lineRule="auto"/>
        <w:ind w:firstLine="0" w:firstLineChars="0"/>
        <w:jc w:val="left"/>
        <w:rPr>
          <w:rFonts w:hint="default" w:ascii="黑体" w:hAnsi="Times New Roman" w:eastAsia="黑体"/>
          <w:b w:val="0"/>
          <w:bCs/>
          <w:color w:val="auto"/>
          <w:sz w:val="30"/>
          <w:szCs w:val="30"/>
          <w:lang w:val="en-US" w:eastAsia="zh-CN"/>
        </w:rPr>
      </w:pPr>
      <w:r>
        <w:rPr>
          <w:rFonts w:hint="eastAsia" w:ascii="黑体" w:hAnsi="Times New Roman" w:eastAsia="黑体"/>
          <w:b w:val="0"/>
          <w:bCs/>
          <w:color w:val="auto"/>
          <w:sz w:val="30"/>
          <w:szCs w:val="30"/>
          <w:lang w:val="en-US" w:eastAsia="zh-CN"/>
        </w:rPr>
        <w:t>填报时间：2025年3月31日</w:t>
      </w:r>
    </w:p>
    <w:p w14:paraId="5E9F279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172711C6">
      <w:pPr>
        <w:pageBreakBefore w:val="0"/>
        <w:kinsoku/>
        <w:wordWrap/>
        <w:overflowPunct/>
        <w:topLinePunct w:val="0"/>
        <w:autoSpaceDE/>
        <w:autoSpaceDN/>
        <w:bidi w:val="0"/>
        <w:spacing w:line="560" w:lineRule="exact"/>
        <w:textAlignment w:val="auto"/>
        <w:rPr>
          <w:rFonts w:hint="eastAsia"/>
          <w:color w:val="auto"/>
          <w:lang w:val="en-US" w:eastAsia="zh-CN"/>
        </w:rPr>
      </w:pPr>
      <w:r>
        <w:rPr>
          <w:rFonts w:hint="eastAsia"/>
          <w:color w:val="auto"/>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color w:val="auto"/>
          <w:lang w:val="en-US" w:eastAsia="zh-CN"/>
        </w:rPr>
      </w:pPr>
    </w:p>
    <w:sdt>
      <w:sdtPr>
        <w:rPr>
          <w:rFonts w:ascii="宋体" w:hAnsi="宋体" w:eastAsia="宋体" w:cs="宋体"/>
          <w:b/>
          <w:bCs/>
          <w:color w:val="auto"/>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rPr>
          </w:pPr>
          <w:r>
            <w:rPr>
              <w:rFonts w:ascii="宋体" w:hAnsi="宋体" w:eastAsia="宋体"/>
              <w:b/>
              <w:bCs/>
              <w:color w:val="auto"/>
              <w:sz w:val="40"/>
              <w:szCs w:val="40"/>
            </w:rPr>
            <w:t>目录</w:t>
          </w:r>
        </w:p>
        <w:p w14:paraId="7A85C49B">
          <w:pPr>
            <w:pStyle w:val="10"/>
            <w:tabs>
              <w:tab w:val="right" w:leader="dot" w:pos="8844"/>
            </w:tabs>
            <w:rPr>
              <w:color w:val="auto"/>
            </w:rPr>
          </w:pPr>
          <w:r>
            <w:rPr>
              <w:rFonts w:hint="eastAsia"/>
              <w:color w:val="auto"/>
              <w:sz w:val="28"/>
              <w:szCs w:val="28"/>
              <w:lang w:val="en-US" w:eastAsia="zh-CN"/>
            </w:rPr>
            <w:fldChar w:fldCharType="begin"/>
          </w:r>
          <w:r>
            <w:rPr>
              <w:rFonts w:hint="eastAsia"/>
              <w:color w:val="auto"/>
              <w:sz w:val="28"/>
              <w:szCs w:val="28"/>
              <w:lang w:val="en-US" w:eastAsia="zh-CN"/>
            </w:rPr>
            <w:instrText xml:space="preserve">TOC \o "1-3" \h \u </w:instrText>
          </w:r>
          <w:r>
            <w:rPr>
              <w:rFonts w:hint="eastAsia"/>
              <w:color w:val="auto"/>
              <w:sz w:val="28"/>
              <w:szCs w:val="28"/>
              <w:lang w:val="en-US" w:eastAsia="zh-CN"/>
            </w:rPr>
            <w:fldChar w:fldCharType="separate"/>
          </w:r>
        </w:p>
        <w:p w14:paraId="2212584B">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_Toc18485 </w:instrText>
          </w:r>
          <w:r>
            <w:rPr>
              <w:rFonts w:hint="eastAsia"/>
              <w:color w:val="auto"/>
              <w:szCs w:val="28"/>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rPr>
            <w:tab/>
          </w:r>
          <w:r>
            <w:rPr>
              <w:color w:val="auto"/>
            </w:rPr>
            <w:fldChar w:fldCharType="begin"/>
          </w:r>
          <w:r>
            <w:rPr>
              <w:color w:val="auto"/>
            </w:rPr>
            <w:instrText xml:space="preserve"> PAGEREF _Toc18485 \h </w:instrText>
          </w:r>
          <w:r>
            <w:rPr>
              <w:color w:val="auto"/>
            </w:rPr>
            <w:fldChar w:fldCharType="separate"/>
          </w:r>
          <w:r>
            <w:rPr>
              <w:color w:val="auto"/>
            </w:rPr>
            <w:t>4</w:t>
          </w:r>
          <w:r>
            <w:rPr>
              <w:color w:val="auto"/>
            </w:rPr>
            <w:fldChar w:fldCharType="end"/>
          </w:r>
          <w:r>
            <w:rPr>
              <w:rFonts w:hint="eastAsia"/>
              <w:color w:val="auto"/>
              <w:szCs w:val="28"/>
              <w:lang w:val="en-US" w:eastAsia="zh-CN"/>
            </w:rPr>
            <w:fldChar w:fldCharType="end"/>
          </w:r>
        </w:p>
        <w:p w14:paraId="3912E34D">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_Toc23184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（一）项目概况</w:t>
          </w:r>
          <w:r>
            <w:rPr>
              <w:color w:val="auto"/>
            </w:rPr>
            <w:tab/>
          </w:r>
          <w:r>
            <w:rPr>
              <w:color w:val="auto"/>
            </w:rPr>
            <w:fldChar w:fldCharType="begin"/>
          </w:r>
          <w:r>
            <w:rPr>
              <w:color w:val="auto"/>
            </w:rPr>
            <w:instrText xml:space="preserve"> PAGEREF _Toc23184 \h </w:instrText>
          </w:r>
          <w:r>
            <w:rPr>
              <w:color w:val="auto"/>
            </w:rPr>
            <w:fldChar w:fldCharType="separate"/>
          </w:r>
          <w:r>
            <w:rPr>
              <w:color w:val="auto"/>
            </w:rPr>
            <w:t>4</w:t>
          </w:r>
          <w:r>
            <w:rPr>
              <w:color w:val="auto"/>
            </w:rPr>
            <w:fldChar w:fldCharType="end"/>
          </w:r>
          <w:r>
            <w:rPr>
              <w:rFonts w:hint="eastAsia"/>
              <w:color w:val="auto"/>
              <w:szCs w:val="28"/>
              <w:lang w:val="en-US" w:eastAsia="zh-CN"/>
            </w:rPr>
            <w:fldChar w:fldCharType="end"/>
          </w:r>
        </w:p>
        <w:p w14:paraId="17B41E73">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_Toc9109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（二）项目绩效目标</w:t>
          </w:r>
          <w:r>
            <w:rPr>
              <w:color w:val="auto"/>
            </w:rPr>
            <w:tab/>
          </w:r>
          <w:r>
            <w:rPr>
              <w:color w:val="auto"/>
            </w:rPr>
            <w:fldChar w:fldCharType="begin"/>
          </w:r>
          <w:r>
            <w:rPr>
              <w:color w:val="auto"/>
            </w:rPr>
            <w:instrText xml:space="preserve"> PAGEREF _Toc9109 \h </w:instrText>
          </w:r>
          <w:r>
            <w:rPr>
              <w:color w:val="auto"/>
            </w:rPr>
            <w:fldChar w:fldCharType="separate"/>
          </w:r>
          <w:r>
            <w:rPr>
              <w:color w:val="auto"/>
            </w:rPr>
            <w:t>6</w:t>
          </w:r>
          <w:r>
            <w:rPr>
              <w:color w:val="auto"/>
            </w:rPr>
            <w:fldChar w:fldCharType="end"/>
          </w:r>
          <w:r>
            <w:rPr>
              <w:rFonts w:hint="eastAsia"/>
              <w:color w:val="auto"/>
              <w:szCs w:val="28"/>
              <w:lang w:val="en-US" w:eastAsia="zh-CN"/>
            </w:rPr>
            <w:fldChar w:fldCharType="end"/>
          </w:r>
        </w:p>
        <w:p w14:paraId="37F756E6">
          <w:pPr>
            <w:pStyle w:val="10"/>
            <w:tabs>
              <w:tab w:val="right" w:leader="dot" w:pos="8844"/>
            </w:tabs>
            <w:rPr>
              <w:rFonts w:hint="eastAsia" w:ascii="黑体" w:hAnsi="黑体" w:eastAsia="黑体" w:cs="黑体"/>
              <w:color w:val="auto"/>
            </w:rPr>
          </w:pPr>
          <w:r>
            <w:rPr>
              <w:rFonts w:hint="eastAsia" w:ascii="黑体" w:hAnsi="黑体" w:eastAsia="黑体" w:cs="黑体"/>
              <w:color w:val="auto"/>
              <w:szCs w:val="28"/>
              <w:lang w:val="en-US" w:eastAsia="zh-CN"/>
            </w:rPr>
            <w:fldChar w:fldCharType="begin"/>
          </w:r>
          <w:r>
            <w:rPr>
              <w:rFonts w:hint="eastAsia" w:ascii="黑体" w:hAnsi="黑体" w:eastAsia="黑体" w:cs="黑体"/>
              <w:color w:val="auto"/>
              <w:szCs w:val="28"/>
              <w:lang w:val="en-US" w:eastAsia="zh-CN"/>
            </w:rPr>
            <w:instrText xml:space="preserve"> HYPERLINK \l _Toc26567 </w:instrText>
          </w:r>
          <w:r>
            <w:rPr>
              <w:rFonts w:hint="eastAsia" w:ascii="黑体" w:hAnsi="黑体" w:eastAsia="黑体" w:cs="黑体"/>
              <w:color w:val="auto"/>
              <w:szCs w:val="28"/>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_Toc26567 \h </w:instrText>
          </w:r>
          <w:r>
            <w:rPr>
              <w:rFonts w:hint="eastAsia" w:ascii="黑体" w:hAnsi="黑体" w:eastAsia="黑体" w:cs="黑体"/>
              <w:color w:val="auto"/>
            </w:rPr>
            <w:fldChar w:fldCharType="separate"/>
          </w:r>
          <w:r>
            <w:rPr>
              <w:rFonts w:hint="eastAsia" w:ascii="黑体" w:hAnsi="黑体" w:eastAsia="黑体" w:cs="黑体"/>
              <w:color w:val="auto"/>
            </w:rPr>
            <w:t>7</w:t>
          </w:r>
          <w:r>
            <w:rPr>
              <w:rFonts w:hint="eastAsia" w:ascii="黑体" w:hAnsi="黑体" w:eastAsia="黑体" w:cs="黑体"/>
              <w:color w:val="auto"/>
            </w:rPr>
            <w:fldChar w:fldCharType="end"/>
          </w:r>
          <w:r>
            <w:rPr>
              <w:rFonts w:hint="eastAsia" w:ascii="黑体" w:hAnsi="黑体" w:eastAsia="黑体" w:cs="黑体"/>
              <w:color w:val="auto"/>
              <w:szCs w:val="28"/>
              <w:lang w:val="en-US" w:eastAsia="zh-CN"/>
            </w:rPr>
            <w:fldChar w:fldCharType="end"/>
          </w:r>
        </w:p>
        <w:p w14:paraId="4ED330E9">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_Toc22839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（一）绩效评价的目的、对象和范围</w:t>
          </w:r>
          <w:r>
            <w:rPr>
              <w:color w:val="auto"/>
            </w:rPr>
            <w:tab/>
          </w:r>
          <w:r>
            <w:rPr>
              <w:color w:val="auto"/>
            </w:rPr>
            <w:fldChar w:fldCharType="begin"/>
          </w:r>
          <w:r>
            <w:rPr>
              <w:color w:val="auto"/>
            </w:rPr>
            <w:instrText xml:space="preserve"> PAGEREF _Toc22839 \h </w:instrText>
          </w:r>
          <w:r>
            <w:rPr>
              <w:color w:val="auto"/>
            </w:rPr>
            <w:fldChar w:fldCharType="separate"/>
          </w:r>
          <w:r>
            <w:rPr>
              <w:color w:val="auto"/>
            </w:rPr>
            <w:t>7</w:t>
          </w:r>
          <w:r>
            <w:rPr>
              <w:color w:val="auto"/>
            </w:rPr>
            <w:fldChar w:fldCharType="end"/>
          </w:r>
          <w:r>
            <w:rPr>
              <w:rFonts w:hint="eastAsia"/>
              <w:color w:val="auto"/>
              <w:szCs w:val="28"/>
              <w:lang w:val="en-US" w:eastAsia="zh-CN"/>
            </w:rPr>
            <w:fldChar w:fldCharType="end"/>
          </w:r>
        </w:p>
        <w:p w14:paraId="41477607">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_Toc29785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（二）绩效评价原则、评价指标体系（</w:t>
          </w:r>
          <w:r>
            <w:rPr>
              <w:rFonts w:hint="default" w:ascii="Times New Roman" w:hAnsi="Times New Roman" w:eastAsia="楷体_GB2312" w:cs="Times New Roman"/>
              <w:color w:val="auto"/>
              <w:kern w:val="28"/>
              <w:lang w:val="en-US" w:eastAsia="zh-CN"/>
            </w:rPr>
            <w:t>详情见</w:t>
          </w:r>
          <w:r>
            <w:rPr>
              <w:rFonts w:hint="eastAsia" w:ascii="Times New Roman" w:hAnsi="Times New Roman" w:eastAsia="楷体_GB2312" w:cs="Times New Roman"/>
              <w:color w:val="auto"/>
              <w:kern w:val="28"/>
              <w:lang w:val="en-US" w:eastAsia="zh-CN"/>
            </w:rPr>
            <w:t>附件二）、评价方法、评价标准</w:t>
          </w:r>
          <w:r>
            <w:rPr>
              <w:color w:val="auto"/>
            </w:rPr>
            <w:tab/>
          </w:r>
          <w:r>
            <w:rPr>
              <w:color w:val="auto"/>
            </w:rPr>
            <w:fldChar w:fldCharType="begin"/>
          </w:r>
          <w:r>
            <w:rPr>
              <w:color w:val="auto"/>
            </w:rPr>
            <w:instrText xml:space="preserve"> PAGEREF _Toc29785 \h </w:instrText>
          </w:r>
          <w:r>
            <w:rPr>
              <w:color w:val="auto"/>
            </w:rPr>
            <w:fldChar w:fldCharType="separate"/>
          </w:r>
          <w:r>
            <w:rPr>
              <w:color w:val="auto"/>
            </w:rPr>
            <w:t>12</w:t>
          </w:r>
          <w:r>
            <w:rPr>
              <w:color w:val="auto"/>
            </w:rPr>
            <w:fldChar w:fldCharType="end"/>
          </w:r>
          <w:r>
            <w:rPr>
              <w:rFonts w:hint="eastAsia"/>
              <w:color w:val="auto"/>
              <w:szCs w:val="28"/>
              <w:lang w:val="en-US" w:eastAsia="zh-CN"/>
            </w:rPr>
            <w:fldChar w:fldCharType="end"/>
          </w:r>
        </w:p>
        <w:p w14:paraId="556FEB0C">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_Toc21435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（三）绩效评价工作过程</w:t>
          </w:r>
          <w:r>
            <w:rPr>
              <w:color w:val="auto"/>
            </w:rPr>
            <w:tab/>
          </w:r>
          <w:r>
            <w:rPr>
              <w:color w:val="auto"/>
            </w:rPr>
            <w:fldChar w:fldCharType="begin"/>
          </w:r>
          <w:r>
            <w:rPr>
              <w:color w:val="auto"/>
            </w:rPr>
            <w:instrText xml:space="preserve"> PAGEREF _Toc21435 \h </w:instrText>
          </w:r>
          <w:r>
            <w:rPr>
              <w:color w:val="auto"/>
            </w:rPr>
            <w:fldChar w:fldCharType="separate"/>
          </w:r>
          <w:r>
            <w:rPr>
              <w:color w:val="auto"/>
            </w:rPr>
            <w:t>15</w:t>
          </w:r>
          <w:r>
            <w:rPr>
              <w:color w:val="auto"/>
            </w:rPr>
            <w:fldChar w:fldCharType="end"/>
          </w:r>
          <w:r>
            <w:rPr>
              <w:rFonts w:hint="eastAsia"/>
              <w:color w:val="auto"/>
              <w:szCs w:val="28"/>
              <w:lang w:val="en-US" w:eastAsia="zh-CN"/>
            </w:rPr>
            <w:fldChar w:fldCharType="end"/>
          </w:r>
        </w:p>
        <w:p w14:paraId="3B815655">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_Toc19261 </w:instrText>
          </w:r>
          <w:r>
            <w:rPr>
              <w:rFonts w:hint="eastAsia"/>
              <w:color w:val="auto"/>
              <w:szCs w:val="28"/>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rPr>
            <w:tab/>
          </w:r>
          <w:r>
            <w:rPr>
              <w:color w:val="auto"/>
            </w:rPr>
            <w:fldChar w:fldCharType="begin"/>
          </w:r>
          <w:r>
            <w:rPr>
              <w:color w:val="auto"/>
            </w:rPr>
            <w:instrText xml:space="preserve"> PAGEREF _Toc19261 \h </w:instrText>
          </w:r>
          <w:r>
            <w:rPr>
              <w:color w:val="auto"/>
            </w:rPr>
            <w:fldChar w:fldCharType="separate"/>
          </w:r>
          <w:r>
            <w:rPr>
              <w:color w:val="auto"/>
            </w:rPr>
            <w:t>17</w:t>
          </w:r>
          <w:r>
            <w:rPr>
              <w:color w:val="auto"/>
            </w:rPr>
            <w:fldChar w:fldCharType="end"/>
          </w:r>
          <w:r>
            <w:rPr>
              <w:rFonts w:hint="eastAsia"/>
              <w:color w:val="auto"/>
              <w:szCs w:val="28"/>
              <w:lang w:val="en-US" w:eastAsia="zh-CN"/>
            </w:rPr>
            <w:fldChar w:fldCharType="end"/>
          </w:r>
        </w:p>
        <w:p w14:paraId="0A9E6E01">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_Toc23319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（一）综合评价情况及评价结论</w:t>
          </w:r>
          <w:r>
            <w:rPr>
              <w:color w:val="auto"/>
            </w:rPr>
            <w:tab/>
          </w:r>
          <w:r>
            <w:rPr>
              <w:color w:val="auto"/>
            </w:rPr>
            <w:fldChar w:fldCharType="begin"/>
          </w:r>
          <w:r>
            <w:rPr>
              <w:color w:val="auto"/>
            </w:rPr>
            <w:instrText xml:space="preserve"> PAGEREF _Toc23319 \h </w:instrText>
          </w:r>
          <w:r>
            <w:rPr>
              <w:color w:val="auto"/>
            </w:rPr>
            <w:fldChar w:fldCharType="separate"/>
          </w:r>
          <w:r>
            <w:rPr>
              <w:color w:val="auto"/>
            </w:rPr>
            <w:t>17</w:t>
          </w:r>
          <w:r>
            <w:rPr>
              <w:color w:val="auto"/>
            </w:rPr>
            <w:fldChar w:fldCharType="end"/>
          </w:r>
          <w:r>
            <w:rPr>
              <w:rFonts w:hint="eastAsia"/>
              <w:color w:val="auto"/>
              <w:szCs w:val="28"/>
              <w:lang w:val="en-US" w:eastAsia="zh-CN"/>
            </w:rPr>
            <w:fldChar w:fldCharType="end"/>
          </w:r>
        </w:p>
        <w:p w14:paraId="59A17E56">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_Toc11863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lang w:val="en-US" w:eastAsia="zh-CN"/>
            </w:rPr>
            <w:t>（二）相关评分表</w:t>
          </w:r>
          <w:r>
            <w:rPr>
              <w:color w:val="auto"/>
            </w:rPr>
            <w:tab/>
          </w:r>
          <w:r>
            <w:rPr>
              <w:color w:val="auto"/>
            </w:rPr>
            <w:fldChar w:fldCharType="begin"/>
          </w:r>
          <w:r>
            <w:rPr>
              <w:color w:val="auto"/>
            </w:rPr>
            <w:instrText xml:space="preserve"> PAGEREF _Toc11863 \h </w:instrText>
          </w:r>
          <w:r>
            <w:rPr>
              <w:color w:val="auto"/>
            </w:rPr>
            <w:fldChar w:fldCharType="separate"/>
          </w:r>
          <w:r>
            <w:rPr>
              <w:color w:val="auto"/>
            </w:rPr>
            <w:t>18</w:t>
          </w:r>
          <w:r>
            <w:rPr>
              <w:color w:val="auto"/>
            </w:rPr>
            <w:fldChar w:fldCharType="end"/>
          </w:r>
          <w:r>
            <w:rPr>
              <w:rFonts w:hint="eastAsia"/>
              <w:color w:val="auto"/>
              <w:szCs w:val="28"/>
              <w:lang w:val="en-US" w:eastAsia="zh-CN"/>
            </w:rPr>
            <w:fldChar w:fldCharType="end"/>
          </w:r>
        </w:p>
        <w:p w14:paraId="41287B22">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_Toc14941 </w:instrText>
          </w:r>
          <w:r>
            <w:rPr>
              <w:rFonts w:hint="eastAsia"/>
              <w:color w:val="auto"/>
              <w:szCs w:val="28"/>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rPr>
            <w:tab/>
          </w:r>
          <w:r>
            <w:rPr>
              <w:color w:val="auto"/>
            </w:rPr>
            <w:fldChar w:fldCharType="begin"/>
          </w:r>
          <w:r>
            <w:rPr>
              <w:color w:val="auto"/>
            </w:rPr>
            <w:instrText xml:space="preserve"> PAGEREF _Toc14941 \h </w:instrText>
          </w:r>
          <w:r>
            <w:rPr>
              <w:color w:val="auto"/>
            </w:rPr>
            <w:fldChar w:fldCharType="separate"/>
          </w:r>
          <w:r>
            <w:rPr>
              <w:color w:val="auto"/>
            </w:rPr>
            <w:t>18</w:t>
          </w:r>
          <w:r>
            <w:rPr>
              <w:color w:val="auto"/>
            </w:rPr>
            <w:fldChar w:fldCharType="end"/>
          </w:r>
          <w:r>
            <w:rPr>
              <w:rFonts w:hint="eastAsia"/>
              <w:color w:val="auto"/>
              <w:szCs w:val="28"/>
              <w:lang w:val="en-US" w:eastAsia="zh-CN"/>
            </w:rPr>
            <w:fldChar w:fldCharType="end"/>
          </w:r>
        </w:p>
        <w:p w14:paraId="4403B4F1">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_Toc6759 </w:instrText>
          </w:r>
          <w:r>
            <w:rPr>
              <w:rFonts w:hint="eastAsia"/>
              <w:color w:val="auto"/>
              <w:szCs w:val="28"/>
              <w:lang w:val="en-US" w:eastAsia="zh-CN"/>
            </w:rPr>
            <w:fldChar w:fldCharType="separate"/>
          </w:r>
          <w:r>
            <w:rPr>
              <w:rFonts w:hint="eastAsia" w:ascii="Times New Roman" w:hAnsi="Times New Roman" w:eastAsia="楷体_GB2312" w:cs="Times New Roman"/>
              <w:color w:val="auto"/>
              <w:kern w:val="28"/>
            </w:rPr>
            <w:t>（一）项目决策情况</w:t>
          </w:r>
          <w:r>
            <w:rPr>
              <w:color w:val="auto"/>
            </w:rPr>
            <w:tab/>
          </w:r>
          <w:r>
            <w:rPr>
              <w:color w:val="auto"/>
            </w:rPr>
            <w:fldChar w:fldCharType="begin"/>
          </w:r>
          <w:r>
            <w:rPr>
              <w:color w:val="auto"/>
            </w:rPr>
            <w:instrText xml:space="preserve"> PAGEREF _Toc6759 \h </w:instrText>
          </w:r>
          <w:r>
            <w:rPr>
              <w:color w:val="auto"/>
            </w:rPr>
            <w:fldChar w:fldCharType="separate"/>
          </w:r>
          <w:r>
            <w:rPr>
              <w:color w:val="auto"/>
            </w:rPr>
            <w:t>18</w:t>
          </w:r>
          <w:r>
            <w:rPr>
              <w:color w:val="auto"/>
            </w:rPr>
            <w:fldChar w:fldCharType="end"/>
          </w:r>
          <w:r>
            <w:rPr>
              <w:rFonts w:hint="eastAsia"/>
              <w:color w:val="auto"/>
              <w:szCs w:val="28"/>
              <w:lang w:val="en-US" w:eastAsia="zh-CN"/>
            </w:rPr>
            <w:fldChar w:fldCharType="end"/>
          </w:r>
        </w:p>
        <w:p w14:paraId="5BC5DC5C">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_Toc10564 </w:instrText>
          </w:r>
          <w:r>
            <w:rPr>
              <w:rFonts w:hint="eastAsia"/>
              <w:color w:val="auto"/>
              <w:szCs w:val="28"/>
              <w:lang w:val="en-US" w:eastAsia="zh-CN"/>
            </w:rPr>
            <w:fldChar w:fldCharType="separate"/>
          </w:r>
          <w:r>
            <w:rPr>
              <w:rFonts w:hint="eastAsia" w:ascii="Times New Roman" w:hAnsi="Times New Roman" w:eastAsia="楷体" w:cs="Times New Roman"/>
              <w:color w:val="auto"/>
              <w:kern w:val="28"/>
              <w:lang w:eastAsia="zh-CN"/>
            </w:rPr>
            <w:t>（</w:t>
          </w:r>
          <w:r>
            <w:rPr>
              <w:rFonts w:hint="eastAsia" w:ascii="Times New Roman" w:hAnsi="Times New Roman" w:eastAsia="楷体" w:cs="Times New Roman"/>
              <w:color w:val="auto"/>
              <w:kern w:val="28"/>
              <w:lang w:val="en-US" w:eastAsia="zh-CN"/>
            </w:rPr>
            <w:t>二</w:t>
          </w:r>
          <w:r>
            <w:rPr>
              <w:rFonts w:hint="eastAsia" w:ascii="Times New Roman" w:hAnsi="Times New Roman" w:eastAsia="楷体" w:cs="Times New Roman"/>
              <w:color w:val="auto"/>
              <w:kern w:val="28"/>
              <w:lang w:eastAsia="zh-CN"/>
            </w:rPr>
            <w:t>）</w:t>
          </w:r>
          <w:r>
            <w:rPr>
              <w:rFonts w:hint="eastAsia" w:ascii="Times New Roman" w:hAnsi="Times New Roman" w:eastAsia="楷体" w:cs="Times New Roman"/>
              <w:color w:val="auto"/>
              <w:kern w:val="28"/>
            </w:rPr>
            <w:t>项目过程情况</w:t>
          </w:r>
          <w:r>
            <w:rPr>
              <w:color w:val="auto"/>
            </w:rPr>
            <w:tab/>
          </w:r>
          <w:r>
            <w:rPr>
              <w:color w:val="auto"/>
            </w:rPr>
            <w:fldChar w:fldCharType="begin"/>
          </w:r>
          <w:r>
            <w:rPr>
              <w:color w:val="auto"/>
            </w:rPr>
            <w:instrText xml:space="preserve"> PAGEREF _Toc10564 \h </w:instrText>
          </w:r>
          <w:r>
            <w:rPr>
              <w:color w:val="auto"/>
            </w:rPr>
            <w:fldChar w:fldCharType="separate"/>
          </w:r>
          <w:r>
            <w:rPr>
              <w:color w:val="auto"/>
            </w:rPr>
            <w:t>22</w:t>
          </w:r>
          <w:r>
            <w:rPr>
              <w:color w:val="auto"/>
            </w:rPr>
            <w:fldChar w:fldCharType="end"/>
          </w:r>
          <w:r>
            <w:rPr>
              <w:rFonts w:hint="eastAsia"/>
              <w:color w:val="auto"/>
              <w:szCs w:val="28"/>
              <w:lang w:val="en-US" w:eastAsia="zh-CN"/>
            </w:rPr>
            <w:fldChar w:fldCharType="end"/>
          </w:r>
        </w:p>
        <w:p w14:paraId="639A1B4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285AC91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28EABBB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szCs w:val="28"/>
              <w:highlight w:val="none"/>
              <w:lang w:val="en-US" w:eastAsia="zh-CN"/>
            </w:rPr>
            <w:fldChar w:fldCharType="end"/>
          </w:r>
        </w:p>
        <w:p w14:paraId="1E847F20">
          <w:pPr>
            <w:pStyle w:val="10"/>
            <w:tabs>
              <w:tab w:val="right" w:leader="dot" w:pos="8844"/>
            </w:tabs>
            <w:rPr>
              <w:rFonts w:hint="eastAsia" w:ascii="黑体" w:hAnsi="黑体" w:eastAsia="黑体" w:cs="黑体"/>
              <w:color w:val="auto"/>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F56B39E">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_Toc15449 </w:instrText>
          </w:r>
          <w:r>
            <w:rPr>
              <w:rFonts w:hint="eastAsia"/>
              <w:color w:val="auto"/>
              <w:szCs w:val="28"/>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rPr>
            <w:tab/>
          </w:r>
          <w:r>
            <w:rPr>
              <w:color w:val="auto"/>
            </w:rPr>
            <w:fldChar w:fldCharType="begin"/>
          </w:r>
          <w:r>
            <w:rPr>
              <w:color w:val="auto"/>
            </w:rPr>
            <w:instrText xml:space="preserve"> PAGEREF _Toc15449 \h </w:instrText>
          </w:r>
          <w:r>
            <w:rPr>
              <w:color w:val="auto"/>
            </w:rPr>
            <w:fldChar w:fldCharType="separate"/>
          </w:r>
          <w:r>
            <w:rPr>
              <w:color w:val="auto"/>
            </w:rPr>
            <w:t>27</w:t>
          </w:r>
          <w:r>
            <w:rPr>
              <w:color w:val="auto"/>
            </w:rPr>
            <w:fldChar w:fldCharType="end"/>
          </w:r>
          <w:r>
            <w:rPr>
              <w:rFonts w:hint="eastAsia"/>
              <w:color w:val="auto"/>
              <w:szCs w:val="28"/>
              <w:lang w:val="en-US" w:eastAsia="zh-CN"/>
            </w:rPr>
            <w:fldChar w:fldCharType="end"/>
          </w:r>
        </w:p>
        <w:p w14:paraId="1991B234">
          <w:pPr>
            <w:pStyle w:val="10"/>
            <w:tabs>
              <w:tab w:val="right" w:leader="dot" w:pos="8844"/>
            </w:tabs>
            <w:rPr>
              <w:color w:val="auto"/>
            </w:rPr>
          </w:pPr>
          <w:r>
            <w:rPr>
              <w:rFonts w:hint="eastAsia"/>
              <w:color w:val="auto"/>
              <w:szCs w:val="28"/>
              <w:lang w:val="en-US" w:eastAsia="zh-CN"/>
            </w:rPr>
            <w:fldChar w:fldCharType="begin"/>
          </w:r>
          <w:r>
            <w:rPr>
              <w:rFonts w:hint="eastAsia"/>
              <w:color w:val="auto"/>
              <w:szCs w:val="28"/>
              <w:lang w:val="en-US" w:eastAsia="zh-CN"/>
            </w:rPr>
            <w:instrText xml:space="preserve"> HYPERLINK \l _Toc29168 </w:instrText>
          </w:r>
          <w:r>
            <w:rPr>
              <w:rFonts w:hint="eastAsia"/>
              <w:color w:val="auto"/>
              <w:szCs w:val="28"/>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rPr>
            <w:tab/>
          </w:r>
          <w:r>
            <w:rPr>
              <w:color w:val="auto"/>
            </w:rPr>
            <w:fldChar w:fldCharType="begin"/>
          </w:r>
          <w:r>
            <w:rPr>
              <w:color w:val="auto"/>
            </w:rPr>
            <w:instrText xml:space="preserve"> PAGEREF _Toc29168 \h </w:instrText>
          </w:r>
          <w:r>
            <w:rPr>
              <w:color w:val="auto"/>
            </w:rPr>
            <w:fldChar w:fldCharType="separate"/>
          </w:r>
          <w:r>
            <w:rPr>
              <w:color w:val="auto"/>
            </w:rPr>
            <w:t>28</w:t>
          </w:r>
          <w:r>
            <w:rPr>
              <w:color w:val="auto"/>
            </w:rPr>
            <w:fldChar w:fldCharType="end"/>
          </w:r>
          <w:r>
            <w:rPr>
              <w:rFonts w:hint="eastAsia"/>
              <w:color w:val="auto"/>
              <w:szCs w:val="28"/>
              <w:lang w:val="en-US" w:eastAsia="zh-CN"/>
            </w:rPr>
            <w:fldChar w:fldCharType="end"/>
          </w:r>
        </w:p>
        <w:p w14:paraId="740F1495">
          <w:pPr>
            <w:pStyle w:val="10"/>
            <w:tabs>
              <w:tab w:val="right" w:leader="dot" w:pos="8844"/>
            </w:tabs>
            <w:rPr>
              <w:rFonts w:hint="eastAsia" w:ascii="黑体" w:hAnsi="黑体" w:eastAsia="黑体" w:cs="黑体"/>
              <w:color w:val="auto"/>
            </w:rPr>
          </w:pPr>
          <w:r>
            <w:rPr>
              <w:rFonts w:hint="eastAsia" w:ascii="黑体" w:hAnsi="黑体" w:eastAsia="黑体" w:cs="黑体"/>
              <w:color w:val="auto"/>
              <w:szCs w:val="28"/>
              <w:lang w:val="en-US" w:eastAsia="zh-CN"/>
            </w:rPr>
            <w:fldChar w:fldCharType="begin"/>
          </w:r>
          <w:r>
            <w:rPr>
              <w:rFonts w:hint="eastAsia" w:ascii="黑体" w:hAnsi="黑体" w:eastAsia="黑体" w:cs="黑体"/>
              <w:color w:val="auto"/>
              <w:szCs w:val="28"/>
              <w:lang w:val="en-US" w:eastAsia="zh-CN"/>
            </w:rPr>
            <w:instrText xml:space="preserve"> HYPERLINK \l _Toc3333 </w:instrText>
          </w:r>
          <w:r>
            <w:rPr>
              <w:rFonts w:hint="eastAsia" w:ascii="黑体" w:hAnsi="黑体" w:eastAsia="黑体" w:cs="黑体"/>
              <w:color w:val="auto"/>
              <w:szCs w:val="28"/>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_Toc3333 \h </w:instrText>
          </w:r>
          <w:r>
            <w:rPr>
              <w:rFonts w:hint="eastAsia" w:ascii="黑体" w:hAnsi="黑体" w:eastAsia="黑体" w:cs="黑体"/>
              <w:color w:val="auto"/>
            </w:rPr>
            <w:fldChar w:fldCharType="separate"/>
          </w:r>
          <w:r>
            <w:rPr>
              <w:rFonts w:hint="eastAsia" w:ascii="黑体" w:hAnsi="黑体" w:eastAsia="黑体" w:cs="黑体"/>
              <w:color w:val="auto"/>
            </w:rPr>
            <w:t>28</w:t>
          </w:r>
          <w:r>
            <w:rPr>
              <w:rFonts w:hint="eastAsia" w:ascii="黑体" w:hAnsi="黑体" w:eastAsia="黑体" w:cs="黑体"/>
              <w:color w:val="auto"/>
            </w:rPr>
            <w:fldChar w:fldCharType="end"/>
          </w:r>
          <w:r>
            <w:rPr>
              <w:rFonts w:hint="eastAsia" w:ascii="黑体" w:hAnsi="黑体" w:eastAsia="黑体" w:cs="黑体"/>
              <w:color w:val="auto"/>
              <w:szCs w:val="28"/>
              <w:lang w:val="en-US" w:eastAsia="zh-CN"/>
            </w:rPr>
            <w:fldChar w:fldCharType="end"/>
          </w:r>
        </w:p>
        <w:p w14:paraId="2DBAE4F1">
          <w:pPr>
            <w:pStyle w:val="10"/>
            <w:tabs>
              <w:tab w:val="right" w:leader="dot" w:pos="8844"/>
            </w:tabs>
            <w:rPr>
              <w:rFonts w:hint="eastAsia" w:ascii="黑体" w:hAnsi="黑体" w:eastAsia="黑体" w:cs="黑体"/>
              <w:color w:val="auto"/>
            </w:rPr>
          </w:pPr>
          <w:r>
            <w:rPr>
              <w:rFonts w:hint="eastAsia" w:ascii="黑体" w:hAnsi="黑体" w:eastAsia="黑体" w:cs="黑体"/>
              <w:color w:val="auto"/>
              <w:szCs w:val="28"/>
              <w:lang w:val="en-US" w:eastAsia="zh-CN"/>
            </w:rPr>
            <w:fldChar w:fldCharType="begin"/>
          </w:r>
          <w:r>
            <w:rPr>
              <w:rFonts w:hint="eastAsia" w:ascii="黑体" w:hAnsi="黑体" w:eastAsia="黑体" w:cs="黑体"/>
              <w:color w:val="auto"/>
              <w:szCs w:val="28"/>
              <w:lang w:val="en-US" w:eastAsia="zh-CN"/>
            </w:rPr>
            <w:instrText xml:space="preserve"> HYPERLINK \l _Toc14256 </w:instrText>
          </w:r>
          <w:r>
            <w:rPr>
              <w:rFonts w:hint="eastAsia" w:ascii="黑体" w:hAnsi="黑体" w:eastAsia="黑体" w:cs="黑体"/>
              <w:color w:val="auto"/>
              <w:szCs w:val="28"/>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_Toc14256 \h </w:instrText>
          </w:r>
          <w:r>
            <w:rPr>
              <w:rFonts w:hint="eastAsia" w:ascii="黑体" w:hAnsi="黑体" w:eastAsia="黑体" w:cs="黑体"/>
              <w:color w:val="auto"/>
            </w:rPr>
            <w:fldChar w:fldCharType="separate"/>
          </w:r>
          <w:r>
            <w:rPr>
              <w:rFonts w:hint="eastAsia" w:ascii="黑体" w:hAnsi="黑体" w:eastAsia="黑体" w:cs="黑体"/>
              <w:color w:val="auto"/>
            </w:rPr>
            <w:t>28</w:t>
          </w:r>
          <w:r>
            <w:rPr>
              <w:rFonts w:hint="eastAsia" w:ascii="黑体" w:hAnsi="黑体" w:eastAsia="黑体" w:cs="黑体"/>
              <w:color w:val="auto"/>
            </w:rPr>
            <w:fldChar w:fldCharType="end"/>
          </w:r>
          <w:r>
            <w:rPr>
              <w:rFonts w:hint="eastAsia" w:ascii="黑体" w:hAnsi="黑体" w:eastAsia="黑体" w:cs="黑体"/>
              <w:color w:val="auto"/>
              <w:szCs w:val="28"/>
              <w:lang w:val="en-US" w:eastAsia="zh-CN"/>
            </w:rPr>
            <w:fldChar w:fldCharType="end"/>
          </w:r>
        </w:p>
        <w:p w14:paraId="57FE964F">
          <w:pPr>
            <w:pStyle w:val="10"/>
            <w:tabs>
              <w:tab w:val="right" w:leader="dot" w:pos="8844"/>
            </w:tabs>
            <w:rPr>
              <w:rFonts w:hint="eastAsia" w:ascii="黑体" w:hAnsi="黑体" w:eastAsia="黑体" w:cs="黑体"/>
              <w:color w:val="auto"/>
            </w:rPr>
          </w:pPr>
          <w:r>
            <w:rPr>
              <w:rFonts w:hint="eastAsia" w:ascii="黑体" w:hAnsi="黑体" w:eastAsia="黑体" w:cs="黑体"/>
              <w:color w:val="auto"/>
              <w:szCs w:val="28"/>
              <w:lang w:val="en-US" w:eastAsia="zh-CN"/>
            </w:rPr>
            <w:fldChar w:fldCharType="begin"/>
          </w:r>
          <w:r>
            <w:rPr>
              <w:rFonts w:hint="eastAsia" w:ascii="黑体" w:hAnsi="黑体" w:eastAsia="黑体" w:cs="黑体"/>
              <w:color w:val="auto"/>
              <w:szCs w:val="28"/>
              <w:lang w:val="en-US" w:eastAsia="zh-CN"/>
            </w:rPr>
            <w:instrText xml:space="preserve"> HYPERLINK \l _Toc28971 </w:instrText>
          </w:r>
          <w:r>
            <w:rPr>
              <w:rFonts w:hint="eastAsia" w:ascii="黑体" w:hAnsi="黑体" w:eastAsia="黑体" w:cs="黑体"/>
              <w:color w:val="auto"/>
              <w:szCs w:val="28"/>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_Toc28971 \h </w:instrText>
          </w:r>
          <w:r>
            <w:rPr>
              <w:rFonts w:hint="eastAsia" w:ascii="黑体" w:hAnsi="黑体" w:eastAsia="黑体" w:cs="黑体"/>
              <w:color w:val="auto"/>
            </w:rPr>
            <w:fldChar w:fldCharType="separate"/>
          </w:r>
          <w:r>
            <w:rPr>
              <w:rFonts w:hint="eastAsia" w:ascii="黑体" w:hAnsi="黑体" w:eastAsia="黑体" w:cs="黑体"/>
              <w:color w:val="auto"/>
            </w:rPr>
            <w:t>30</w:t>
          </w:r>
          <w:r>
            <w:rPr>
              <w:rFonts w:hint="eastAsia" w:ascii="黑体" w:hAnsi="黑体" w:eastAsia="黑体" w:cs="黑体"/>
              <w:color w:val="auto"/>
            </w:rPr>
            <w:fldChar w:fldCharType="end"/>
          </w:r>
          <w:r>
            <w:rPr>
              <w:rFonts w:hint="eastAsia" w:ascii="黑体" w:hAnsi="黑体" w:eastAsia="黑体" w:cs="黑体"/>
              <w:color w:val="auto"/>
              <w:szCs w:val="28"/>
              <w:lang w:val="en-US" w:eastAsia="zh-CN"/>
            </w:rPr>
            <w:fldChar w:fldCharType="end"/>
          </w:r>
        </w:p>
        <w:p w14:paraId="792CC8F2">
          <w:pPr>
            <w:pStyle w:val="10"/>
            <w:tabs>
              <w:tab w:val="right" w:leader="dot" w:pos="8844"/>
            </w:tabs>
            <w:rPr>
              <w:rFonts w:hint="eastAsia" w:ascii="黑体" w:hAnsi="黑体" w:eastAsia="黑体" w:cs="黑体"/>
              <w:color w:val="auto"/>
            </w:rPr>
          </w:pPr>
          <w:r>
            <w:rPr>
              <w:rFonts w:hint="eastAsia" w:ascii="黑体" w:hAnsi="黑体" w:eastAsia="黑体" w:cs="黑体"/>
              <w:color w:val="auto"/>
              <w:szCs w:val="28"/>
              <w:lang w:val="en-US" w:eastAsia="zh-CN"/>
            </w:rPr>
            <w:fldChar w:fldCharType="begin"/>
          </w:r>
          <w:r>
            <w:rPr>
              <w:rFonts w:hint="eastAsia" w:ascii="黑体" w:hAnsi="黑体" w:eastAsia="黑体" w:cs="黑体"/>
              <w:color w:val="auto"/>
              <w:szCs w:val="28"/>
              <w:lang w:val="en-US" w:eastAsia="zh-CN"/>
            </w:rPr>
            <w:instrText xml:space="preserve"> HYPERLINK \l _Toc11223 </w:instrText>
          </w:r>
          <w:r>
            <w:rPr>
              <w:rFonts w:hint="eastAsia" w:ascii="黑体" w:hAnsi="黑体" w:eastAsia="黑体" w:cs="黑体"/>
              <w:color w:val="auto"/>
              <w:szCs w:val="28"/>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rPr>
            <w:tab/>
          </w:r>
          <w:r>
            <w:rPr>
              <w:rFonts w:hint="eastAsia" w:ascii="黑体" w:hAnsi="黑体" w:eastAsia="黑体" w:cs="黑体"/>
              <w:color w:val="auto"/>
            </w:rPr>
            <w:fldChar w:fldCharType="begin"/>
          </w:r>
          <w:r>
            <w:rPr>
              <w:rFonts w:hint="eastAsia" w:ascii="黑体" w:hAnsi="黑体" w:eastAsia="黑体" w:cs="黑体"/>
              <w:color w:val="auto"/>
            </w:rPr>
            <w:instrText xml:space="preserve"> PAGEREF _Toc11223 \h </w:instrText>
          </w:r>
          <w:r>
            <w:rPr>
              <w:rFonts w:hint="eastAsia" w:ascii="黑体" w:hAnsi="黑体" w:eastAsia="黑体" w:cs="黑体"/>
              <w:color w:val="auto"/>
            </w:rPr>
            <w:fldChar w:fldCharType="separate"/>
          </w:r>
          <w:r>
            <w:rPr>
              <w:rFonts w:hint="eastAsia" w:ascii="黑体" w:hAnsi="黑体" w:eastAsia="黑体" w:cs="黑体"/>
              <w:color w:val="auto"/>
            </w:rPr>
            <w:t>34</w:t>
          </w:r>
          <w:r>
            <w:rPr>
              <w:rFonts w:hint="eastAsia" w:ascii="黑体" w:hAnsi="黑体" w:eastAsia="黑体" w:cs="黑体"/>
              <w:color w:val="auto"/>
            </w:rPr>
            <w:fldChar w:fldCharType="end"/>
          </w:r>
          <w:r>
            <w:rPr>
              <w:rFonts w:hint="eastAsia" w:ascii="黑体" w:hAnsi="黑体" w:eastAsia="黑体" w:cs="黑体"/>
              <w:color w:val="auto"/>
              <w:szCs w:val="28"/>
              <w:lang w:val="en-US" w:eastAsia="zh-CN"/>
            </w:rPr>
            <w:fldChar w:fldCharType="end"/>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lang w:val="en-US" w:eastAsia="zh-CN"/>
            </w:rPr>
            <w:fldChar w:fldCharType="end"/>
          </w:r>
        </w:p>
      </w:sdtContent>
    </w:sdt>
    <w:p w14:paraId="7E69E1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bookmarkStart w:id="4" w:name="_Toc1194"/>
      <w:bookmarkStart w:id="5" w:name="_Toc22946"/>
      <w:bookmarkStart w:id="6" w:name="_Toc3663"/>
      <w:bookmarkStart w:id="7" w:name="_Toc20432"/>
      <w:r>
        <w:rPr>
          <w:rFonts w:hint="eastAsia" w:cs="宋体"/>
          <w:b/>
          <w:bCs/>
          <w:color w:val="000000" w:themeColor="text1"/>
          <w:sz w:val="36"/>
          <w:szCs w:val="36"/>
          <w:highlight w:val="none"/>
          <w:shd w:val="clear" w:color="auto" w:fill="auto"/>
          <w:lang w:val="en-US" w:eastAsia="zh-CN"/>
          <w14:textFill>
            <w14:solidFill>
              <w14:schemeClr w14:val="tx1"/>
            </w14:solidFill>
          </w14:textFill>
        </w:rPr>
        <w:t>昌州财行【2024】14号自治区第五次全国经济普查“两员”补助经费</w:t>
      </w:r>
      <w:r>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bookmarkEnd w:id="4"/>
      <w:bookmarkEnd w:id="5"/>
      <w:bookmarkEnd w:id="6"/>
      <w:bookmarkEnd w:id="7"/>
    </w:p>
    <w:p w14:paraId="6F6F00AD">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8"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8"/>
    </w:p>
    <w:p w14:paraId="57D21E5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9" w:name="_Toc23184"/>
      <w:r>
        <w:rPr>
          <w:rFonts w:hint="eastAsia" w:ascii="Times New Roman" w:hAnsi="Times New Roman" w:eastAsia="楷体_GB2312" w:cs="Times New Roman"/>
          <w:kern w:val="28"/>
          <w:sz w:val="32"/>
          <w:lang w:val="en-US" w:eastAsia="zh-CN"/>
        </w:rPr>
        <w:t>（一）项目概况</w:t>
      </w:r>
      <w:bookmarkEnd w:id="9"/>
    </w:p>
    <w:p w14:paraId="625E81A0">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0" w:name="_Toc29812"/>
      <w:bookmarkStart w:id="11" w:name="_Toc5043"/>
      <w:bookmarkStart w:id="12" w:name="_Toc22346"/>
      <w:bookmarkStart w:id="13" w:name="_Toc10645"/>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0"/>
      <w:bookmarkEnd w:id="11"/>
      <w:bookmarkEnd w:id="12"/>
      <w:bookmarkEnd w:id="13"/>
    </w:p>
    <w:p w14:paraId="1FE97FE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根据《全国经济普查条例》，经济普查每五年开展一次，逢 3、逢 8 年份进行。2023 年，我国迎来了第五次全国经济普查。此次普查是在我国全面建成小康社会、实现第一个百年奋斗目标之后，乘势而上开启全面建设社会主义现代化国家新征程、向第二个百年奋斗目标进军的关键时刻开展的，是党的二十大胜利召开后首次开展的一项大型普查。</w:t>
      </w:r>
    </w:p>
    <w:p w14:paraId="33D1C29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与以往普查相比，第五次全国经济普查首次统筹开展投入产出调查，全面调查我国第二产业和第三产业发展规模、布局和效益，摸清各类单位基本情况，掌握国民经济行业间经济联系。其目的在于客观反映推动高质量发展、构建新发展格局、建设现代化经济体系、深化供给侧结构性改革以及创新驱动发展、区域协调发展、生态文明建设、高水平对外开放、公共服务体系建设等方面的新进展。通过普查，进一步夯实统计基础，推进统计现代化改革，为加强和改善宏观经济治理、科学制定中长期发展规划、全面建设社会主义现代化国家，提供科学准确的统计信息支持。根据自治区财政厅《关于下达自治区第五次全国经济普查经费的通知》（新财行〔2024〕60号）、州统计局《关于申请下拨自治区第五次全国经济普查经费申请报告》和《关于下达自治区第五次全国经济普查经费的通知》（昌州财行〔2024〕14号）文件。</w:t>
      </w:r>
    </w:p>
    <w:p w14:paraId="4F5AE66B">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4" w:name="_Toc1630"/>
      <w:bookmarkStart w:id="15" w:name="_Toc17880"/>
      <w:bookmarkStart w:id="16" w:name="_Toc10730"/>
      <w:bookmarkStart w:id="17" w:name="_Toc27343"/>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69D307F4">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8" w:name="_Toc27409"/>
      <w:bookmarkStart w:id="19" w:name="_Toc16592"/>
      <w:bookmarkStart w:id="20" w:name="_Toc27245"/>
      <w:bookmarkStart w:id="21" w:name="_Toc21898"/>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2024年是第五次经济普查的正式登记阶段，主要目标是开展普查登记、数据审核验收，开展数据事后质量抽查和评估普查数据质量。</w:t>
      </w:r>
    </w:p>
    <w:p w14:paraId="75064B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pPr>
      <w:r>
        <w:rPr>
          <w:rFonts w:hint="eastAsia" w:ascii="仿宋_GB2312" w:hAnsi="仿宋_GB2312" w:eastAsia="仿宋_GB2312" w:cs="仿宋_GB2312"/>
          <w:b/>
          <w:bCs/>
          <w:color w:val="auto"/>
          <w:kern w:val="0"/>
          <w:sz w:val="32"/>
          <w:szCs w:val="32"/>
          <w:highlight w:val="none"/>
          <w:shd w:val="clear" w:color="auto" w:fill="auto"/>
          <w:lang w:val="en-US" w:eastAsia="zh-CN" w:bidi="ar-SA"/>
        </w:rPr>
        <w:t>项目实施情况：</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本项目自2024年6月6日经《关于下达自治区第五次全国经济普查经费的通知》（昌州财行〔2024〕14号）文件批复，经阜康市统计局党组会会议，确定了项目领导小组，明确了责任分工：组长为郑亚玲，副组长为史镜，项目负责人为孙国斌,组员为杨雅欣、李阜玲，其中：史镜负责监管工作，杨雅欣负责项目档案资料，刘伟龙负责资金拨付工作。</w:t>
      </w:r>
    </w:p>
    <w:p w14:paraId="16BCC8D9">
      <w:pPr>
        <w:pStyle w:val="6"/>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pP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截至2024年12月31日本项目完成发放普查员及普查指导员清查阶段298人、普查员及普查指导员普查阶段277人、调查数据准确率100%、普查阶段结束时间6月30日结束，普查指导员和普查员满意度达到100%、通过项目的实施有效达到提高政府统计公信力的效果。</w:t>
      </w:r>
    </w:p>
    <w:p w14:paraId="6DB630F1">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22" w:name="_Toc12348"/>
      <w:bookmarkStart w:id="23" w:name="_Toc569"/>
      <w:bookmarkStart w:id="24" w:name="_Toc1858"/>
      <w:bookmarkStart w:id="25" w:name="_Toc1024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6" w:name="_Toc694"/>
      <w:bookmarkStart w:id="27" w:name="_Toc26369"/>
      <w:bookmarkStart w:id="28" w:name="_Toc23509"/>
      <w:r>
        <w:rPr>
          <w:rFonts w:hint="eastAsia" w:ascii="仿宋_GB2312" w:hAnsi="仿宋_GB2312" w:eastAsia="仿宋_GB2312" w:cs="仿宋_GB2312"/>
          <w:sz w:val="32"/>
          <w:szCs w:val="32"/>
          <w:highlight w:val="none"/>
          <w:lang w:val="en-US" w:eastAsia="zh-CN"/>
        </w:rPr>
        <w:t>（1）资金投入情况</w:t>
      </w:r>
      <w:bookmarkEnd w:id="26"/>
      <w:bookmarkEnd w:id="27"/>
      <w:bookmarkEnd w:id="28"/>
    </w:p>
    <w:p w14:paraId="58B67385">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9" w:name="_Toc5573"/>
      <w:bookmarkStart w:id="30" w:name="_Toc9464"/>
      <w:bookmarkStart w:id="31" w:name="_Toc29190"/>
      <w:r>
        <w:rPr>
          <w:rFonts w:hint="eastAsia" w:ascii="仿宋_GB2312" w:hAnsi="仿宋_GB2312" w:eastAsia="仿宋_GB2312" w:cs="仿宋_GB2312"/>
          <w:sz w:val="32"/>
          <w:szCs w:val="32"/>
          <w:highlight w:val="none"/>
          <w:lang w:val="en-US" w:eastAsia="zh-CN"/>
        </w:rPr>
        <w:t>该项目年初预算数80.64万元，全年预算数80.64万元，该项目资金已全部落实到位，资金来源为财政拨款。</w:t>
      </w:r>
      <w:bookmarkEnd w:id="29"/>
      <w:bookmarkEnd w:id="30"/>
      <w:bookmarkEnd w:id="31"/>
      <w:bookmarkStart w:id="32" w:name="_Toc3409"/>
      <w:bookmarkStart w:id="33" w:name="_Toc1166"/>
      <w:bookmarkStart w:id="34" w:name="_Toc28187"/>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bookmarkEnd w:id="32"/>
      <w:bookmarkEnd w:id="33"/>
      <w:bookmarkEnd w:id="34"/>
    </w:p>
    <w:p w14:paraId="0457426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35" w:name="_Toc11647"/>
      <w:bookmarkStart w:id="36" w:name="_Toc29121"/>
      <w:bookmarkStart w:id="37" w:name="_Toc1430"/>
      <w:r>
        <w:rPr>
          <w:rFonts w:hint="eastAsia" w:ascii="仿宋_GB2312" w:hAnsi="仿宋_GB2312" w:eastAsia="仿宋_GB2312" w:cs="仿宋_GB2312"/>
          <w:sz w:val="32"/>
          <w:szCs w:val="32"/>
          <w:highlight w:val="none"/>
          <w:lang w:val="en-US" w:eastAsia="zh-CN"/>
        </w:rPr>
        <w:t>该项目年初预算数80.64万元，全年预算数80.64万元，截至2024年12月31日，全年执行数80.64万元，预算执行率为100%，主要用于：发放普查员及普查指导员人员补贴。</w:t>
      </w:r>
      <w:bookmarkEnd w:id="35"/>
      <w:bookmarkEnd w:id="36"/>
      <w:bookmarkEnd w:id="37"/>
    </w:p>
    <w:p w14:paraId="2DCACF3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14:paraId="799BBCD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8528"/>
      <w:bookmarkStart w:id="40" w:name="_Toc2547"/>
      <w:bookmarkStart w:id="41" w:name="_Toc14758"/>
      <w:bookmarkStart w:id="42" w:name="_Toc1004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6B8735D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昌州财行【2024】14号自治区第五次全国经济普查“两员”补助经费项目绩效总体目标为：会同有关部门组织完成国家、区、州、市重大国情国力、区情区力、州情州力和市情市力普查。2024年是第五次经济普查的正式登记阶段，主要目标是开展普查登记、数据审核验收，开展数据事后质量抽查和评估普查数据质量。阜康市统计局2024年预计完成发放普查员及普查指导员清查阶段298人、普查员及普查指导员普查阶段277人、调查数据准确率至少90%、普查阶段结束时间预计6月30日结束，预期普查指导员和普查员满意度达到90%以上、通过项目的实施预期有效达到提高政府统计公信力的效果。</w:t>
      </w:r>
    </w:p>
    <w:p w14:paraId="37B7522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3" w:name="_Toc3255"/>
      <w:bookmarkStart w:id="44" w:name="_Toc4007"/>
      <w:bookmarkStart w:id="45" w:name="_Toc8990"/>
      <w:bookmarkStart w:id="46" w:name="_Toc4487"/>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3"/>
      <w:bookmarkEnd w:id="44"/>
      <w:bookmarkEnd w:id="45"/>
      <w:bookmarkEnd w:id="46"/>
    </w:p>
    <w:p w14:paraId="6472F4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7C0DB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09399C9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数量指标</w:t>
      </w:r>
    </w:p>
    <w:p w14:paraId="1BB4773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普查员及普查指导员清查阶段数量</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指标，预期目标值为≧298人；</w:t>
      </w:r>
    </w:p>
    <w:p w14:paraId="35004A0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普查员及普查指导员普查阶段数量</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指标，预期目标值为≧277人；</w:t>
      </w:r>
    </w:p>
    <w:p w14:paraId="72A85A5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质量指标</w:t>
      </w:r>
    </w:p>
    <w:p w14:paraId="31171E6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“普查员及普查指导员工作量”指标，预期目标值为≧6个月；</w:t>
      </w:r>
    </w:p>
    <w:p w14:paraId="67804A1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“普查员及普查指导员普查数据登记完成率”指标，预期目标值为≧90%；</w:t>
      </w:r>
    </w:p>
    <w:p w14:paraId="50838E0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时效指标</w:t>
      </w:r>
    </w:p>
    <w:p w14:paraId="118F253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“普查员及普查指导员补助发放及时率”指标，预期目标值为≧90%；</w:t>
      </w:r>
    </w:p>
    <w:p w14:paraId="4061558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（2）成本指标</w:t>
      </w:r>
    </w:p>
    <w:p w14:paraId="0ED89BF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普查员及普查指导员清查阶段补助经费</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指标，预期目标值为≤27.54万元；</w:t>
      </w:r>
    </w:p>
    <w:p w14:paraId="4B950A3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普查员及普查指导员普查阶段补助经费</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指标，预期目标值为≤53.10万元；</w:t>
      </w:r>
    </w:p>
    <w:p w14:paraId="19C8598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（3）项目效益目标</w:t>
      </w:r>
    </w:p>
    <w:p w14:paraId="4BF678F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社会效益指标</w:t>
      </w:r>
    </w:p>
    <w:p w14:paraId="1262EB1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“普查数据提高政府统计公信力”指标，预期目标值为有效提高；</w:t>
      </w:r>
    </w:p>
    <w:p w14:paraId="0664C78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满意度指标</w:t>
      </w:r>
    </w:p>
    <w:p w14:paraId="61D423F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“普查指导员和普查员满意度”指标，预期目标值为≧90%。</w:t>
      </w:r>
    </w:p>
    <w:p w14:paraId="123E4843">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47"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14:paraId="2CC9CE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48" w:name="_Toc480473081"/>
      <w:bookmarkStart w:id="49" w:name="_Toc22922"/>
      <w:bookmarkStart w:id="50" w:name="_Toc22169_WPSOffice_Level2"/>
      <w:bookmarkStart w:id="51" w:name="_Toc26632"/>
      <w:bookmarkStart w:id="52" w:name="_Toc12868"/>
      <w:bookmarkStart w:id="53" w:name="_Toc5258"/>
      <w:bookmarkStart w:id="54" w:name="_Toc21664"/>
      <w:bookmarkStart w:id="55" w:name="_Toc5462343"/>
      <w:bookmarkStart w:id="56" w:name="_Toc22839"/>
      <w:r>
        <w:rPr>
          <w:rFonts w:hint="eastAsia" w:ascii="Times New Roman" w:hAnsi="Times New Roman" w:eastAsia="楷体_GB2312" w:cs="Times New Roman"/>
          <w:color w:val="auto"/>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lang w:val="en-US" w:eastAsia="zh-CN"/>
        </w:rPr>
        <w:t>、对象和范围</w:t>
      </w:r>
      <w:bookmarkEnd w:id="56"/>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4E57CD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417"/>
      <w:bookmarkStart w:id="59" w:name="_Toc21770"/>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58"/>
      <w:bookmarkEnd w:id="59"/>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0" w:name="_Toc30609"/>
      <w:r>
        <w:rPr>
          <w:rFonts w:hint="default" w:ascii="Times New Roman" w:hAnsi="Times New Roman" w:eastAsia="仿宋_GB2312" w:cs="Times New Roman"/>
          <w:color w:val="auto"/>
          <w:sz w:val="32"/>
          <w:szCs w:val="32"/>
          <w:highlight w:val="none"/>
        </w:rPr>
        <w:t>（1）评估项目实施效果</w:t>
      </w:r>
    </w:p>
    <w:p w14:paraId="3187A1FD">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通过对项目预算执行情况及各项绩效目标达成程度的系统性分析，全面、客观地评估项目在预定周期内的实施效果，包括社会效益等多维度指标，为项目后续的改进与优化提供科学依据。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1" w:name="_Toc31970"/>
      <w:bookmarkStart w:id="62" w:name="_Toc16346"/>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0"/>
      <w:bookmarkEnd w:id="61"/>
      <w:bookmarkEnd w:id="62"/>
    </w:p>
    <w:p w14:paraId="08712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此次我单位根据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《财政支出绩效评价管理暂行办法》（</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财预〔2020〕10号</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文件要求对2024年度我单位实施的昌州财行【2024】14号自治区第五次全国经济普查“两员”补助经费项目</w:t>
      </w:r>
      <w:r>
        <w:rPr>
          <w:rFonts w:hint="default" w:ascii="仿宋_GB2312" w:hAnsi="仿宋_GB2312" w:eastAsia="仿宋_GB2312" w:cs="仿宋_GB2312"/>
          <w:color w:val="000000" w:themeColor="text1"/>
          <w:sz w:val="32"/>
          <w:szCs w:val="32"/>
          <w:highlight w:val="none"/>
          <w:shd w:val="clear" w:color="auto" w:fill="auto"/>
          <w14:textFill>
            <w14:solidFill>
              <w14:schemeClr w14:val="tx1"/>
            </w14:solidFill>
          </w14:textFill>
        </w:rPr>
        <w:t>及其预算执行情况</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该项目由</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阜康市统计局</w:t>
      </w: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负责实施，旨在</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会同有关部门组织完成国家、区、州、市重大国情国力、区情区力、州情州力和市情市力普查。2024年是第五次经济普查的正式登记阶段，主要目标是开展普查登记、数据审核验收，开展数据事后质量抽查和评估普查数据质量。阜康市统计局2024年预计完成发放普查员及普查指导员清查阶段298人、普查员及普查指导员普查阶段277人、调查数据准确率至少90%、普查阶段结束时间预计6月30日结束，预期普查指导员和普查员满意度达到90%以上、通过项目的实施预期有效达到提高政府统计公信力的效果</w:t>
      </w: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。项目预算涵盖从</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2024年6月6日</w:t>
      </w: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至</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2024年12月31日</w:t>
      </w: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的全部资金投入与支出，涉及资金总额为80.64万元。</w:t>
      </w:r>
    </w:p>
    <w:p w14:paraId="4A012542">
      <w:pPr>
        <w:pStyle w:val="5"/>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3" w:name="_Toc11666"/>
      <w:bookmarkStart w:id="64" w:name="_Toc21311"/>
      <w:r>
        <w:rPr>
          <w:rFonts w:hint="default" w:cs="仿宋_GB2312"/>
          <w:color w:val="auto"/>
          <w:sz w:val="32"/>
          <w:szCs w:val="32"/>
          <w:highlight w:val="none"/>
          <w:shd w:val="clear" w:color="auto" w:fill="auto"/>
          <w:lang w:val="en-US" w:eastAsia="zh-CN"/>
        </w:rPr>
        <w:t>4.绩效评价的范围</w:t>
      </w:r>
      <w:bookmarkEnd w:id="63"/>
      <w:bookmarkEnd w:id="64"/>
    </w:p>
    <w:p w14:paraId="3F83EA6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9EB23D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267E8AEF">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1E59BB39">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green"/>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sz w:val="32"/>
          <w:szCs w:val="32"/>
          <w:highlight w:val="none"/>
        </w:rPr>
        <w:t>社会影响：考察项目对社会方面的综合影响。</w:t>
      </w:r>
    </w:p>
    <w:p w14:paraId="01C5BF3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1286"/>
      <w:bookmarkStart w:id="66" w:name="_Toc29785"/>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14:paraId="6DBEF5B2">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7" w:name="_Toc13694"/>
      <w:bookmarkStart w:id="68" w:name="_Toc5354"/>
      <w:bookmarkStart w:id="69" w:name="_Toc24506"/>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15623C5B">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依据《财政支出绩效评价管理暂行办法》（财预〔20</w:t>
      </w:r>
      <w:r>
        <w:rPr>
          <w:rFonts w:hint="eastAsia" w:ascii="Times New Roman" w:hAnsi="Times New Roman" w:eastAsia="仿宋_GB2312" w:cs="Times New Roman"/>
          <w:color w:val="000000"/>
          <w:sz w:val="32"/>
          <w:szCs w:val="32"/>
          <w:lang w:val="en-US" w:eastAsia="zh-CN"/>
        </w:rPr>
        <w:t>20</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000000"/>
          <w:sz w:val="32"/>
          <w:szCs w:val="32"/>
          <w:lang w:val="en-US" w:eastAsia="zh-CN"/>
        </w:rPr>
        <w:t>昌州财行【2024】14号自治区第五次全国经济普查“两员”补助经费</w:t>
      </w:r>
      <w:r>
        <w:rPr>
          <w:rFonts w:hint="eastAsia" w:ascii="Times New Roman" w:hAnsi="Times New Roman" w:eastAsia="仿宋_GB2312" w:cs="Times New Roman"/>
          <w:color w:val="000000"/>
          <w:sz w:val="32"/>
          <w:szCs w:val="32"/>
          <w:lang w:eastAsia="zh-CN"/>
        </w:rPr>
        <w:t>项目实际开展情况，运用定量和定性分析相结合的方法，总结经验做法，反思项目实施和管理中的问题，以切实提升财政资金管理的科学化、规范化和精细化水平。</w:t>
      </w:r>
    </w:p>
    <w:p w14:paraId="7860D5DF">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5280BE66">
      <w:pPr>
        <w:spacing w:line="560" w:lineRule="exact"/>
        <w:ind w:firstLine="640" w:firstLineChars="200"/>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1</w:t>
      </w:r>
      <w:r>
        <w:rPr>
          <w:rFonts w:hint="eastAsia" w:ascii="Times New Roman" w:hAnsi="Times New Roman" w:eastAsia="仿宋_GB2312" w:cs="Times New Roman"/>
          <w:color w:val="auto"/>
          <w:sz w:val="32"/>
          <w:szCs w:val="32"/>
          <w:lang w:eastAsia="zh-CN"/>
        </w:rPr>
        <w:t>）科学公正。绩效评价应当运用科学合理的方法，按照规范的程序，对项目绩效进行客观、公正的反映。</w:t>
      </w:r>
    </w:p>
    <w:p w14:paraId="48CD034E">
      <w:pPr>
        <w:spacing w:line="560" w:lineRule="exact"/>
        <w:ind w:firstLine="640" w:firstLineChars="200"/>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lang w:eastAsia="zh-CN"/>
        </w:rPr>
        <w:t>）统筹兼顾。单位自评、部门评价和财政评价应职责明确，各有侧重，相互衔接。单位自评应由项目单位自主实施，即“谁支出、谁自评”。</w:t>
      </w:r>
    </w:p>
    <w:p w14:paraId="50F6CF1A">
      <w:pPr>
        <w:spacing w:line="560" w:lineRule="exact"/>
        <w:ind w:firstLine="640" w:firstLineChars="200"/>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3</w:t>
      </w:r>
      <w:r>
        <w:rPr>
          <w:rFonts w:hint="eastAsia" w:ascii="Times New Roman" w:hAnsi="Times New Roman" w:eastAsia="仿宋_GB2312" w:cs="Times New Roman"/>
          <w:color w:val="auto"/>
          <w:sz w:val="32"/>
          <w:szCs w:val="32"/>
          <w:lang w:eastAsia="zh-CN"/>
        </w:rPr>
        <w:t>）激励约束。绩效评价结果应与预算安排、政策调整、改进管理实质性挂钩，体现奖优罚劣和激励相容导向，有效要安排、低效要压减、无效要问责。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4</w:t>
      </w:r>
      <w:r>
        <w:rPr>
          <w:rFonts w:hint="eastAsia" w:ascii="Times New Roman" w:hAnsi="Times New Roman" w:eastAsia="仿宋_GB2312" w:cs="Times New Roman"/>
          <w:color w:val="auto"/>
          <w:sz w:val="32"/>
          <w:szCs w:val="32"/>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eastAsia="zh-CN"/>
        </w:rPr>
      </w:pPr>
      <w:bookmarkStart w:id="70" w:name="_Toc24396"/>
      <w:bookmarkStart w:id="71" w:name="_Toc1913"/>
      <w:bookmarkStart w:id="72" w:name="_Toc428278230"/>
      <w:bookmarkStart w:id="73" w:name="_Toc419984722"/>
      <w:bookmarkStart w:id="74" w:name="_Toc26131"/>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lang w:eastAsia="zh-CN"/>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bookmarkStart w:id="75" w:name="_Toc9941"/>
      <w:r>
        <w:rPr>
          <w:rFonts w:hint="eastAsia" w:ascii="仿宋_GB2312" w:hAnsi="仿宋_GB2312" w:eastAsia="仿宋_GB2312" w:cs="仿宋_GB2312"/>
          <w:color w:val="auto"/>
          <w:spacing w:val="17"/>
          <w:sz w:val="32"/>
          <w:szCs w:val="32"/>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lang w:eastAsia="zh-CN"/>
        </w:rPr>
      </w:pPr>
      <w:r>
        <w:rPr>
          <w:rFonts w:hint="eastAsia" w:ascii="仿宋_GB2312" w:hAnsi="仿宋_GB2312" w:eastAsia="仿宋_GB2312" w:cs="仿宋_GB2312"/>
          <w:color w:val="auto"/>
          <w:spacing w:val="17"/>
          <w:sz w:val="32"/>
          <w:szCs w:val="32"/>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rPr>
      </w:pPr>
      <w:r>
        <w:rPr>
          <w:rFonts w:hint="eastAsia" w:ascii="仿宋_GB2312" w:hAnsi="仿宋_GB2312" w:eastAsia="仿宋_GB2312" w:cs="仿宋_GB2312"/>
          <w:color w:val="auto"/>
          <w:spacing w:val="17"/>
          <w:sz w:val="32"/>
          <w:szCs w:val="32"/>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我单位</w:t>
      </w:r>
      <w:r>
        <w:rPr>
          <w:rFonts w:hint="eastAsia" w:ascii="仿宋_GB2312" w:hAnsi="仿宋_GB2312" w:eastAsia="仿宋_GB2312" w:cs="仿宋_GB2312"/>
          <w:color w:val="auto"/>
          <w:sz w:val="32"/>
          <w:szCs w:val="32"/>
          <w:lang w:val="zh-TW" w:eastAsia="zh-TW"/>
        </w:rPr>
        <w:t>根据项目的</w:t>
      </w:r>
      <w:r>
        <w:rPr>
          <w:rFonts w:hint="eastAsia" w:ascii="仿宋_GB2312" w:hAnsi="仿宋_GB2312" w:eastAsia="仿宋_GB2312" w:cs="仿宋_GB2312"/>
          <w:color w:val="auto"/>
          <w:sz w:val="32"/>
          <w:szCs w:val="32"/>
          <w:lang w:val="en-US" w:eastAsia="zh-CN"/>
        </w:rPr>
        <w:t>实施</w:t>
      </w:r>
      <w:r>
        <w:rPr>
          <w:rFonts w:hint="eastAsia" w:ascii="仿宋_GB2312" w:hAnsi="仿宋_GB2312" w:eastAsia="仿宋_GB2312" w:cs="仿宋_GB2312"/>
          <w:color w:val="auto"/>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lang w:val="zh-TW" w:eastAsia="zh-CN"/>
        </w:rPr>
        <w:t>，</w:t>
      </w:r>
      <w:r>
        <w:rPr>
          <w:rFonts w:hint="eastAsia" w:ascii="仿宋_GB2312" w:hAnsi="仿宋_GB2312" w:eastAsia="仿宋_GB2312" w:cs="仿宋_GB2312"/>
          <w:color w:val="auto"/>
          <w:sz w:val="32"/>
          <w:szCs w:val="32"/>
          <w:lang w:val="en-US" w:eastAsia="zh-CN"/>
        </w:rPr>
        <w:t>详见上传的附件二。</w:t>
      </w:r>
    </w:p>
    <w:p w14:paraId="2FEBA0E2">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5690"/>
      <w:bookmarkStart w:id="77" w:name="_Toc30114"/>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5"/>
      <w:bookmarkEnd w:id="76"/>
      <w:bookmarkEnd w:id="77"/>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lang w:eastAsia="zh-CN"/>
        </w:rPr>
      </w:pPr>
      <w:bookmarkStart w:id="78" w:name="_Toc25391"/>
      <w:r>
        <w:rPr>
          <w:rFonts w:hint="eastAsia" w:ascii="仿宋_GB2312" w:hAnsi="仿宋_GB2312" w:eastAsia="仿宋_GB2312" w:cs="仿宋_GB2312"/>
          <w:color w:val="000000"/>
          <w:spacing w:val="17"/>
          <w:sz w:val="32"/>
          <w:szCs w:val="32"/>
          <w:lang w:eastAsia="zh-CN"/>
        </w:rPr>
        <w:t>绩效评价从项目决策、项目过程、项目产出、项目效益四个维度进行评价。评价对象为项目目标实施情况，评价核心为资金的支出完成情况和项目的产出效益。</w:t>
      </w:r>
    </w:p>
    <w:p w14:paraId="044ECC2B">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eastAsia="zh-CN"/>
        </w:rPr>
        <w:t>本次评价指标中，既有定性指标又有定量指标，各类指标因考核内容不同和客观标准不同存在较大差异，因此核定具体指标时采用了不同方法，具体评价方法如下：（</w:t>
      </w:r>
      <w:r>
        <w:rPr>
          <w:rFonts w:hint="eastAsia" w:ascii="仿宋_GB2312" w:hAnsi="仿宋_GB2312" w:eastAsia="仿宋_GB2312" w:cs="仿宋_GB2312"/>
          <w:color w:val="000000"/>
          <w:spacing w:val="17"/>
          <w:sz w:val="32"/>
          <w:szCs w:val="32"/>
          <w:lang w:val="en-US" w:eastAsia="zh-CN"/>
        </w:rPr>
        <w:t>可</w:t>
      </w:r>
      <w:r>
        <w:rPr>
          <w:rFonts w:hint="eastAsia" w:ascii="仿宋_GB2312" w:hAnsi="仿宋_GB2312" w:eastAsia="仿宋_GB2312" w:cs="仿宋_GB2312"/>
          <w:color w:val="000000"/>
          <w:spacing w:val="17"/>
          <w:sz w:val="32"/>
          <w:szCs w:val="32"/>
          <w:lang w:eastAsia="zh-CN"/>
        </w:rPr>
        <w:t>根据项目情况</w:t>
      </w:r>
      <w:r>
        <w:rPr>
          <w:rFonts w:hint="eastAsia" w:ascii="仿宋_GB2312" w:hAnsi="仿宋_GB2312" w:eastAsia="仿宋_GB2312" w:cs="仿宋_GB2312"/>
          <w:color w:val="000000"/>
          <w:spacing w:val="17"/>
          <w:sz w:val="32"/>
          <w:szCs w:val="32"/>
          <w:lang w:val="en-US" w:eastAsia="zh-CN"/>
        </w:rPr>
        <w:t>选择</w:t>
      </w:r>
      <w:r>
        <w:rPr>
          <w:rFonts w:hint="eastAsia" w:ascii="仿宋_GB2312" w:hAnsi="仿宋_GB2312" w:eastAsia="仿宋_GB2312" w:cs="仿宋_GB2312"/>
          <w:color w:val="000000"/>
          <w:spacing w:val="17"/>
          <w:sz w:val="32"/>
          <w:szCs w:val="32"/>
          <w:lang w:eastAsia="zh-CN"/>
        </w:rPr>
        <w:t>评价方法，</w:t>
      </w:r>
      <w:r>
        <w:rPr>
          <w:rFonts w:hint="eastAsia" w:ascii="仿宋_GB2312" w:hAnsi="仿宋_GB2312" w:eastAsia="仿宋_GB2312" w:cs="仿宋_GB2312"/>
          <w:color w:val="000000"/>
          <w:spacing w:val="17"/>
          <w:sz w:val="32"/>
          <w:szCs w:val="32"/>
          <w:lang w:val="en-US" w:eastAsia="zh-CN"/>
        </w:rPr>
        <w:t>并说明为何使用该评价方法</w:t>
      </w:r>
      <w:r>
        <w:rPr>
          <w:rFonts w:hint="eastAsia" w:ascii="仿宋_GB2312" w:hAnsi="仿宋_GB2312" w:eastAsia="仿宋_GB2312" w:cs="仿宋_GB2312"/>
          <w:color w:val="000000"/>
          <w:spacing w:val="17"/>
          <w:sz w:val="32"/>
          <w:szCs w:val="32"/>
          <w:lang w:eastAsia="zh-CN"/>
        </w:rPr>
        <w:t>）</w:t>
      </w:r>
    </w:p>
    <w:p w14:paraId="3EF5A44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w:t>
      </w:r>
      <w:r>
        <w:rPr>
          <w:rFonts w:hint="eastAsia"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人员补助项目绩效受多种因素综合影响，因素分析法有助于理清各因素间的复杂关系，找出关键影响因素。例如，若项目未达到预期绩效，通过该方法可确定是资金不足、人员培训不到位，还是管理流程问题导致，为精准改进提供依据。</w:t>
      </w:r>
    </w:p>
    <w:p w14:paraId="15874646">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2</w:t>
      </w:r>
      <w:r>
        <w:rPr>
          <w:rFonts w:hint="eastAsia"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人员补助项目的服务对象是公众，公众的反馈最能直接反映项目是否满足实际需求、是否产生积极效果。例如，通过公众评判可了解补助是否真正改善了人员生活状况、提升了工作积极性，弥补单纯数据指标分析的局限性，使评价结果更贴近实际。</w:t>
      </w:r>
      <w:bookmarkStart w:id="79" w:name="_Toc6081"/>
      <w:bookmarkStart w:id="80" w:name="_Toc25651"/>
    </w:p>
    <w:p w14:paraId="1BCF9B2D">
      <w:pPr>
        <w:numPr>
          <w:ilvl w:val="0"/>
          <w:numId w:val="0"/>
        </w:numPr>
        <w:spacing w:line="560" w:lineRule="exact"/>
        <w:ind w:firstLine="640" w:firstLineChars="200"/>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33275686">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行业标准。</w:t>
      </w:r>
    </w:p>
    <w:p w14:paraId="6732266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715EC985">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行业标准。指参照国家公布的行业指标数据制定的评价标准。</w:t>
      </w:r>
    </w:p>
    <w:p w14:paraId="692A02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81" w:name="_Toc21435"/>
      <w:r>
        <w:rPr>
          <w:rFonts w:hint="eastAsia" w:ascii="Times New Roman" w:hAnsi="Times New Roman" w:eastAsia="楷体_GB2312" w:cs="Times New Roman"/>
          <w:color w:val="auto"/>
          <w:kern w:val="28"/>
          <w:sz w:val="32"/>
          <w:lang w:val="en-US" w:eastAsia="zh-CN"/>
        </w:rPr>
        <w:t>（三）绩效评价工作过程</w:t>
      </w:r>
      <w:bookmarkEnd w:id="81"/>
    </w:p>
    <w:p w14:paraId="20DA0768">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2"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2"/>
    </w:p>
    <w:p w14:paraId="793607D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445CAEA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3"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3"/>
    </w:p>
    <w:p w14:paraId="621EA8E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昌州财行【2024】14号自治区第五次全国经济普查“两员”补助经费项目实施内容、目标信息、预算信息以及其他的一些项目基本信息，有了初步了解，为制定绩效评价工作方案做好准备。</w:t>
      </w:r>
      <w:bookmarkEnd w:id="84"/>
    </w:p>
    <w:p w14:paraId="3DD54E1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6C3C670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3E7367A">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7"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7"/>
    </w:p>
    <w:p w14:paraId="6048500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8"/>
    </w:p>
    <w:p w14:paraId="5AEB6FC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2967327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0"/>
    </w:p>
    <w:p w14:paraId="6B9C66C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1"/>
    </w:p>
    <w:p w14:paraId="57EE145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2"/>
    </w:p>
    <w:p w14:paraId="1827BE1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3"/>
    </w:p>
    <w:p w14:paraId="6550E0F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4"/>
    </w:p>
    <w:p w14:paraId="61B742B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5"/>
    </w:p>
    <w:p w14:paraId="4F57C6E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6"/>
    </w:p>
    <w:p w14:paraId="6C9CEE8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8"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8"/>
    </w:p>
    <w:p w14:paraId="5E4DF13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9"/>
    </w:p>
    <w:p w14:paraId="13CACCD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0"/>
    </w:p>
    <w:p w14:paraId="6CD1F84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45EACF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2"/>
    </w:p>
    <w:p w14:paraId="27760CB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5F3A7C4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4"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4"/>
    </w:p>
    <w:p w14:paraId="4DBDF3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05" w:name="_Toc23319"/>
      <w:r>
        <w:rPr>
          <w:rFonts w:hint="eastAsia" w:ascii="Times New Roman" w:hAnsi="Times New Roman" w:eastAsia="楷体_GB2312" w:cs="Times New Roman"/>
          <w:color w:val="auto"/>
          <w:kern w:val="28"/>
          <w:sz w:val="32"/>
          <w:lang w:val="en-US" w:eastAsia="zh-CN"/>
        </w:rPr>
        <w:t>（一）综合评价情况及评价结论</w:t>
      </w:r>
      <w:bookmarkEnd w:id="105"/>
    </w:p>
    <w:p w14:paraId="71000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sz w:val="32"/>
          <w:szCs w:val="32"/>
          <w:highlight w:val="none"/>
          <w:lang w:val="en-US" w:eastAsia="zh-CN"/>
        </w:rPr>
        <w:t>昌州财行【2024】14号自治区第五次全国经济普查“两员”补助经费项目</w:t>
      </w:r>
      <w:r>
        <w:rPr>
          <w:rFonts w:hint="default" w:ascii="Times New Roman" w:hAnsi="Times New Roman" w:eastAsia="仿宋_GB2312" w:cs="Times New Roman"/>
          <w:sz w:val="32"/>
          <w:szCs w:val="32"/>
          <w:highlight w:val="none"/>
        </w:rPr>
        <w:t>在</w:t>
      </w:r>
      <w:r>
        <w:rPr>
          <w:rFonts w:hint="eastAsia" w:ascii="Times New Roman" w:hAnsi="Times New Roman" w:eastAsia="仿宋_GB2312" w:cs="Times New Roman"/>
          <w:sz w:val="32"/>
          <w:szCs w:val="32"/>
          <w:highlight w:val="none"/>
          <w:lang w:val="en-US" w:eastAsia="zh-CN"/>
        </w:rPr>
        <w:t>项目产出方面完成较好</w:t>
      </w:r>
      <w:r>
        <w:rPr>
          <w:rFonts w:hint="default" w:ascii="Times New Roman" w:hAnsi="Times New Roman" w:eastAsia="仿宋_GB2312" w:cs="Times New Roman"/>
          <w:sz w:val="32"/>
          <w:szCs w:val="32"/>
          <w:highlight w:val="none"/>
        </w:rPr>
        <w:t>，达到了预期的标准与要求。</w:t>
      </w:r>
    </w:p>
    <w:p w14:paraId="5D343ED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sz w:val="32"/>
          <w:szCs w:val="32"/>
          <w:highlight w:val="none"/>
          <w:lang w:val="en-US" w:eastAsia="zh-CN"/>
        </w:rPr>
        <w:t>阜康市统计局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7AA1D55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sz w:val="32"/>
          <w:szCs w:val="32"/>
          <w:highlight w:val="none"/>
          <w:lang w:val="en-US" w:eastAsia="zh-CN"/>
        </w:rPr>
        <w:t>政府统计公信力</w:t>
      </w:r>
      <w:r>
        <w:rPr>
          <w:rFonts w:hint="default" w:ascii="Times New Roman" w:hAnsi="Times New Roman" w:eastAsia="仿宋_GB2312" w:cs="Times New Roman"/>
          <w:sz w:val="32"/>
          <w:szCs w:val="32"/>
          <w:highlight w:val="none"/>
        </w:rPr>
        <w:t>等方面的提升，为项目的利益相关者带来了实实在在的利益。</w:t>
      </w:r>
    </w:p>
    <w:p w14:paraId="6587123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sz w:val="32"/>
          <w:szCs w:val="32"/>
          <w:highlight w:val="none"/>
          <w:lang w:val="en-US" w:eastAsia="zh-CN"/>
        </w:rPr>
        <w:t>昌州财行【2024】14号自治区第五次全国经济普查“两员”补助经费项目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评价等级为优</w:t>
      </w:r>
      <w:r>
        <w:rPr>
          <w:rFonts w:hint="default" w:ascii="Times New Roman" w:hAnsi="Times New Roman" w:eastAsia="仿宋_GB2312" w:cs="Times New Roman"/>
          <w:sz w:val="32"/>
          <w:szCs w:val="32"/>
          <w:highlight w:val="none"/>
        </w:rPr>
        <w:t>。</w:t>
      </w:r>
    </w:p>
    <w:p w14:paraId="2E2A708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06" w:name="_Toc11863"/>
      <w:r>
        <w:rPr>
          <w:rFonts w:hint="eastAsia" w:ascii="Times New Roman" w:hAnsi="Times New Roman" w:eastAsia="楷体_GB2312" w:cs="Times New Roman"/>
          <w:color w:val="auto"/>
          <w:kern w:val="28"/>
          <w:sz w:val="32"/>
          <w:lang w:val="en-US" w:eastAsia="zh-CN"/>
        </w:rPr>
        <w:t>（二）相关评分表</w:t>
      </w:r>
      <w:bookmarkEnd w:id="106"/>
    </w:p>
    <w:p w14:paraId="4DD2BB49">
      <w:pPr>
        <w:spacing w:line="560" w:lineRule="exact"/>
        <w:ind w:firstLine="708" w:firstLineChars="200"/>
        <w:rPr>
          <w:rFonts w:hint="eastAsia" w:ascii="Times New Roman" w:hAnsi="Times New Roman" w:eastAsia="仿宋_GB2312" w:cs="Times New Roman"/>
          <w:color w:val="000000"/>
          <w:spacing w:val="17"/>
          <w:sz w:val="32"/>
          <w:szCs w:val="32"/>
          <w:highlight w:val="none"/>
          <w:lang w:val="zh-TW" w:eastAsia="zh-TW"/>
        </w:rPr>
      </w:pPr>
      <w:r>
        <w:rPr>
          <w:rFonts w:hint="eastAsia" w:ascii="Times New Roman" w:hAnsi="Times New Roman" w:eastAsia="仿宋_GB2312" w:cs="Times New Roman"/>
          <w:color w:val="000000"/>
          <w:spacing w:val="17"/>
          <w:sz w:val="32"/>
          <w:szCs w:val="32"/>
          <w:highlight w:val="none"/>
          <w:lang w:val="en-US" w:eastAsia="zh-CN"/>
        </w:rPr>
        <w:t>此次绩效评价</w:t>
      </w:r>
      <w:r>
        <w:rPr>
          <w:rFonts w:hint="eastAsia" w:ascii="Times New Roman" w:hAnsi="Times New Roman" w:eastAsia="仿宋_GB2312" w:cs="Times New Roman"/>
          <w:color w:val="000000"/>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000000"/>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000000"/>
          <w:spacing w:val="17"/>
          <w:sz w:val="32"/>
          <w:szCs w:val="32"/>
          <w:highlight w:val="none"/>
          <w:lang w:val="zh-TW" w:eastAsia="zh-TW"/>
        </w:rPr>
        <w:t>对</w:t>
      </w:r>
      <w:r>
        <w:rPr>
          <w:rFonts w:hint="eastAsia" w:ascii="Times New Roman" w:hAnsi="Times New Roman" w:eastAsia="仿宋_GB2312" w:cs="Times New Roman"/>
          <w:color w:val="000000"/>
          <w:spacing w:val="17"/>
          <w:sz w:val="32"/>
          <w:szCs w:val="32"/>
          <w:highlight w:val="none"/>
          <w:lang w:val="en-US" w:eastAsia="zh-CN"/>
        </w:rPr>
        <w:t>昌州财行【2024】14号自治区第五次全国经济普查“两员”补助经费项目</w:t>
      </w:r>
      <w:r>
        <w:rPr>
          <w:rFonts w:hint="eastAsia" w:ascii="Times New Roman" w:hAnsi="Times New Roman" w:eastAsia="仿宋_GB2312" w:cs="Times New Roman"/>
          <w:color w:val="000000"/>
          <w:spacing w:val="17"/>
          <w:sz w:val="32"/>
          <w:szCs w:val="32"/>
          <w:highlight w:val="none"/>
          <w:lang w:val="zh-TW" w:eastAsia="zh-TW"/>
        </w:rPr>
        <w:t>绩效进行客观评价，最终评分结果：</w:t>
      </w:r>
      <w:r>
        <w:rPr>
          <w:rFonts w:hint="default" w:ascii="Times New Roman" w:hAnsi="Times New Roman" w:eastAsia="仿宋_GB2312" w:cs="Times New Roman"/>
          <w:color w:val="000000"/>
          <w:spacing w:val="17"/>
          <w:sz w:val="32"/>
          <w:szCs w:val="32"/>
          <w:highlight w:val="none"/>
          <w:lang w:val="en-US" w:eastAsia="zh-CN"/>
        </w:rPr>
        <w:t>总得分为</w:t>
      </w:r>
      <w:r>
        <w:rPr>
          <w:rFonts w:hint="eastAsia" w:ascii="Times New Roman" w:hAnsi="Times New Roman" w:eastAsia="仿宋_GB2312" w:cs="Times New Roman"/>
          <w:color w:val="000000"/>
          <w:spacing w:val="17"/>
          <w:sz w:val="32"/>
          <w:szCs w:val="32"/>
          <w:highlight w:val="none"/>
          <w:lang w:val="en-US" w:eastAsia="zh-CN"/>
        </w:rPr>
        <w:t>98.33</w:t>
      </w:r>
      <w:r>
        <w:rPr>
          <w:rFonts w:hint="default" w:ascii="Times New Roman" w:hAnsi="Times New Roman" w:eastAsia="仿宋_GB2312" w:cs="Times New Roman"/>
          <w:color w:val="000000"/>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000000"/>
          <w:spacing w:val="17"/>
          <w:sz w:val="32"/>
          <w:szCs w:val="32"/>
          <w:highlight w:val="none"/>
          <w:lang w:val="en-US" w:eastAsia="zh-CN"/>
        </w:rPr>
        <w:t>19</w:t>
      </w:r>
      <w:r>
        <w:rPr>
          <w:rFonts w:hint="default" w:ascii="Times New Roman" w:hAnsi="Times New Roman" w:eastAsia="仿宋_GB2312" w:cs="Times New Roman"/>
          <w:color w:val="000000"/>
          <w:spacing w:val="17"/>
          <w:sz w:val="32"/>
          <w:szCs w:val="32"/>
          <w:highlight w:val="none"/>
          <w:lang w:val="en-US" w:eastAsia="zh-CN"/>
        </w:rPr>
        <w:t>分，得分率为</w:t>
      </w:r>
      <w:r>
        <w:rPr>
          <w:rFonts w:hint="eastAsia" w:ascii="Times New Roman" w:hAnsi="Times New Roman" w:eastAsia="仿宋_GB2312" w:cs="Times New Roman"/>
          <w:color w:val="000000"/>
          <w:spacing w:val="17"/>
          <w:sz w:val="32"/>
          <w:szCs w:val="32"/>
          <w:highlight w:val="none"/>
          <w:lang w:val="en-US" w:eastAsia="zh-CN"/>
        </w:rPr>
        <w:t>95</w:t>
      </w:r>
      <w:r>
        <w:rPr>
          <w:rFonts w:hint="default" w:ascii="Times New Roman" w:hAnsi="Times New Roman" w:eastAsia="仿宋_GB2312" w:cs="Times New Roman"/>
          <w:color w:val="000000"/>
          <w:spacing w:val="17"/>
          <w:sz w:val="32"/>
          <w:szCs w:val="32"/>
          <w:highlight w:val="none"/>
          <w:lang w:val="en-US" w:eastAsia="zh-CN"/>
        </w:rPr>
        <w:t>%。项目过程类指标权重为20分，得分为</w:t>
      </w:r>
      <w:r>
        <w:rPr>
          <w:rFonts w:hint="eastAsia" w:ascii="Times New Roman" w:hAnsi="Times New Roman" w:eastAsia="仿宋_GB2312" w:cs="Times New Roman"/>
          <w:color w:val="000000"/>
          <w:spacing w:val="17"/>
          <w:sz w:val="32"/>
          <w:szCs w:val="32"/>
          <w:highlight w:val="none"/>
          <w:lang w:val="en-US" w:eastAsia="zh-CN"/>
        </w:rPr>
        <w:t>20</w:t>
      </w:r>
      <w:r>
        <w:rPr>
          <w:rFonts w:hint="default" w:ascii="Times New Roman" w:hAnsi="Times New Roman" w:eastAsia="仿宋_GB2312" w:cs="Times New Roman"/>
          <w:color w:val="000000"/>
          <w:spacing w:val="17"/>
          <w:sz w:val="32"/>
          <w:szCs w:val="32"/>
          <w:highlight w:val="none"/>
          <w:lang w:val="en-US" w:eastAsia="zh-CN"/>
        </w:rPr>
        <w:t>分，得分率为</w:t>
      </w:r>
      <w:r>
        <w:rPr>
          <w:rFonts w:hint="eastAsia" w:ascii="Times New Roman" w:hAnsi="Times New Roman" w:eastAsia="仿宋_GB2312" w:cs="Times New Roman"/>
          <w:color w:val="000000"/>
          <w:spacing w:val="17"/>
          <w:sz w:val="32"/>
          <w:szCs w:val="32"/>
          <w:highlight w:val="none"/>
          <w:lang w:val="en-US" w:eastAsia="zh-CN"/>
        </w:rPr>
        <w:t>100</w:t>
      </w:r>
      <w:r>
        <w:rPr>
          <w:rFonts w:hint="default" w:ascii="Times New Roman" w:hAnsi="Times New Roman" w:eastAsia="仿宋_GB2312" w:cs="Times New Roman"/>
          <w:color w:val="000000"/>
          <w:spacing w:val="17"/>
          <w:sz w:val="32"/>
          <w:szCs w:val="32"/>
          <w:highlight w:val="none"/>
          <w:lang w:val="en-US" w:eastAsia="zh-CN"/>
        </w:rPr>
        <w:t>%。项目产出类指标权重为40分，得分为</w:t>
      </w:r>
      <w:r>
        <w:rPr>
          <w:rFonts w:hint="eastAsia" w:ascii="Times New Roman" w:hAnsi="Times New Roman" w:eastAsia="仿宋_GB2312" w:cs="Times New Roman"/>
          <w:color w:val="000000"/>
          <w:spacing w:val="17"/>
          <w:sz w:val="32"/>
          <w:szCs w:val="32"/>
          <w:highlight w:val="none"/>
          <w:lang w:val="en-US" w:eastAsia="zh-CN"/>
        </w:rPr>
        <w:t>38.88</w:t>
      </w:r>
      <w:r>
        <w:rPr>
          <w:rFonts w:hint="default" w:ascii="Times New Roman" w:hAnsi="Times New Roman" w:eastAsia="仿宋_GB2312" w:cs="Times New Roman"/>
          <w:color w:val="000000"/>
          <w:spacing w:val="17"/>
          <w:sz w:val="32"/>
          <w:szCs w:val="32"/>
          <w:highlight w:val="none"/>
          <w:lang w:val="en-US" w:eastAsia="zh-CN"/>
        </w:rPr>
        <w:t>分，得分率为</w:t>
      </w:r>
      <w:r>
        <w:rPr>
          <w:rFonts w:hint="eastAsia" w:ascii="Times New Roman" w:hAnsi="Times New Roman" w:eastAsia="仿宋_GB2312" w:cs="Times New Roman"/>
          <w:color w:val="000000"/>
          <w:spacing w:val="17"/>
          <w:sz w:val="32"/>
          <w:szCs w:val="32"/>
          <w:highlight w:val="none"/>
          <w:lang w:val="en-US" w:eastAsia="zh-CN"/>
        </w:rPr>
        <w:t>97.2%</w:t>
      </w:r>
      <w:r>
        <w:rPr>
          <w:rFonts w:hint="default" w:ascii="Times New Roman" w:hAnsi="Times New Roman" w:eastAsia="仿宋_GB2312" w:cs="Times New Roman"/>
          <w:color w:val="000000"/>
          <w:spacing w:val="17"/>
          <w:sz w:val="32"/>
          <w:szCs w:val="32"/>
          <w:highlight w:val="none"/>
          <w:lang w:val="en-US" w:eastAsia="zh-CN"/>
        </w:rPr>
        <w:t>。项目效益类指标权重为20分，得分为</w:t>
      </w:r>
      <w:r>
        <w:rPr>
          <w:rFonts w:hint="eastAsia" w:ascii="Times New Roman" w:hAnsi="Times New Roman" w:eastAsia="仿宋_GB2312" w:cs="Times New Roman"/>
          <w:color w:val="000000"/>
          <w:spacing w:val="17"/>
          <w:sz w:val="32"/>
          <w:szCs w:val="32"/>
          <w:highlight w:val="none"/>
          <w:lang w:val="en-US" w:eastAsia="zh-CN"/>
        </w:rPr>
        <w:t>20</w:t>
      </w:r>
      <w:r>
        <w:rPr>
          <w:rFonts w:hint="default" w:ascii="Times New Roman" w:hAnsi="Times New Roman" w:eastAsia="仿宋_GB2312" w:cs="Times New Roman"/>
          <w:color w:val="000000"/>
          <w:spacing w:val="17"/>
          <w:sz w:val="32"/>
          <w:szCs w:val="32"/>
          <w:highlight w:val="none"/>
          <w:lang w:val="en-US" w:eastAsia="zh-CN"/>
        </w:rPr>
        <w:t>分，得分率为</w:t>
      </w:r>
      <w:r>
        <w:rPr>
          <w:rFonts w:hint="eastAsia" w:ascii="Times New Roman" w:hAnsi="Times New Roman" w:eastAsia="仿宋_GB2312" w:cs="Times New Roman"/>
          <w:color w:val="000000"/>
          <w:spacing w:val="17"/>
          <w:sz w:val="32"/>
          <w:szCs w:val="32"/>
          <w:highlight w:val="none"/>
          <w:lang w:val="en-US" w:eastAsia="zh-CN"/>
        </w:rPr>
        <w:t>100</w:t>
      </w:r>
      <w:r>
        <w:rPr>
          <w:rFonts w:hint="default" w:ascii="Times New Roman" w:hAnsi="Times New Roman" w:eastAsia="仿宋_GB2312" w:cs="Times New Roman"/>
          <w:color w:val="000000"/>
          <w:spacing w:val="17"/>
          <w:sz w:val="32"/>
          <w:szCs w:val="32"/>
          <w:highlight w:val="none"/>
          <w:lang w:val="en-US" w:eastAsia="zh-CN"/>
        </w:rPr>
        <w:t>%。</w:t>
      </w:r>
      <w:r>
        <w:rPr>
          <w:rFonts w:hint="eastAsia" w:ascii="Times New Roman" w:hAnsi="Times New Roman" w:eastAsia="仿宋_GB2312" w:cs="Times New Roman"/>
          <w:color w:val="000000"/>
          <w:spacing w:val="17"/>
          <w:sz w:val="32"/>
          <w:szCs w:val="32"/>
          <w:highlight w:val="none"/>
          <w:lang w:val="zh-TW" w:eastAsia="zh-TW"/>
        </w:rPr>
        <w:t>各部分权重和绩效</w:t>
      </w:r>
      <w:r>
        <w:rPr>
          <w:rFonts w:hint="eastAsia" w:ascii="Times New Roman" w:hAnsi="Times New Roman" w:eastAsia="仿宋_GB2312" w:cs="Times New Roman"/>
          <w:color w:val="000000"/>
          <w:spacing w:val="17"/>
          <w:sz w:val="32"/>
          <w:szCs w:val="32"/>
          <w:highlight w:val="none"/>
          <w:lang w:val="en-US" w:eastAsia="zh-CN"/>
        </w:rPr>
        <w:t>汇总</w:t>
      </w:r>
      <w:r>
        <w:rPr>
          <w:rFonts w:hint="eastAsia" w:ascii="Times New Roman" w:hAnsi="Times New Roman" w:eastAsia="仿宋_GB2312" w:cs="Times New Roman"/>
          <w:color w:val="000000"/>
          <w:spacing w:val="17"/>
          <w:sz w:val="32"/>
          <w:szCs w:val="32"/>
          <w:highlight w:val="none"/>
          <w:lang w:val="zh-TW" w:eastAsia="zh-TW"/>
        </w:rPr>
        <w:t>分值如下表</w:t>
      </w:r>
      <w:r>
        <w:rPr>
          <w:rFonts w:hint="eastAsia" w:ascii="Times New Roman" w:hAnsi="Times New Roman" w:eastAsia="仿宋_GB2312" w:cs="Times New Roman"/>
          <w:color w:val="000000"/>
          <w:spacing w:val="17"/>
          <w:sz w:val="32"/>
          <w:szCs w:val="32"/>
          <w:highlight w:val="none"/>
          <w:lang w:val="en-US" w:eastAsia="zh-CN"/>
        </w:rPr>
        <w:t>3-1</w:t>
      </w:r>
      <w:r>
        <w:rPr>
          <w:rFonts w:hint="eastAsia" w:ascii="Times New Roman" w:hAnsi="Times New Roman" w:eastAsia="仿宋_GB2312" w:cs="Times New Roman"/>
          <w:color w:val="000000"/>
          <w:spacing w:val="17"/>
          <w:sz w:val="32"/>
          <w:szCs w:val="32"/>
          <w:highlight w:val="none"/>
          <w:lang w:val="zh-TW" w:eastAsia="zh-TW"/>
        </w:rPr>
        <w:t>所示</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en-US" w:eastAsia="zh-CN"/>
        </w:rPr>
        <w:t>详见上传的附件</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21BAFA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en-US" w:eastAsia="zh-CN"/>
              </w:rPr>
              <w:t>表3-1：项目得分表</w:t>
            </w:r>
          </w:p>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cs="宋体"/>
                <w:b/>
                <w:bCs/>
                <w:color w:val="auto"/>
                <w:kern w:val="0"/>
                <w:sz w:val="28"/>
                <w:szCs w:val="28"/>
                <w:highlight w:val="none"/>
                <w:shd w:val="clear" w:color="auto" w:fill="auto"/>
                <w:lang w:val="en-US" w:eastAsia="zh-CN"/>
              </w:rPr>
              <w:t>（与指标体系分值对应，全部填写不得有空，</w:t>
            </w:r>
            <w:r>
              <w:rPr>
                <w:rFonts w:hint="eastAsia" w:ascii="宋体" w:hAnsi="宋体" w:eastAsia="宋体" w:cs="宋体"/>
                <w:b/>
                <w:bCs/>
                <w:color w:val="auto"/>
                <w:highlight w:val="none"/>
                <w:shd w:val="clear" w:color="auto" w:fill="auto"/>
                <w:lang w:val="en-US" w:eastAsia="zh-CN"/>
              </w:rPr>
              <w:t>完成后删除批注</w:t>
            </w:r>
            <w:r>
              <w:rPr>
                <w:rFonts w:hint="eastAsia" w:cs="宋体"/>
                <w:b/>
                <w:bCs/>
                <w:color w:val="auto"/>
                <w:kern w:val="0"/>
                <w:sz w:val="28"/>
                <w:szCs w:val="28"/>
                <w:highlight w:val="none"/>
                <w:shd w:val="clear" w:color="auto" w:fill="auto"/>
                <w:lang w:val="en-US" w:eastAsia="zh-CN"/>
              </w:rPr>
              <w:t>）</w:t>
            </w:r>
          </w:p>
        </w:tc>
      </w:tr>
      <w:tr w14:paraId="324D323D">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23E39D8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100</w:t>
            </w:r>
          </w:p>
        </w:tc>
      </w:tr>
      <w:tr w14:paraId="1A0D520A">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38.88</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97.88</w:t>
            </w:r>
          </w:p>
        </w:tc>
      </w:tr>
      <w:tr w14:paraId="6DB5027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95%</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97.2%</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97.88%</w:t>
            </w:r>
          </w:p>
        </w:tc>
      </w:tr>
    </w:tbl>
    <w:p w14:paraId="2E966D1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3E674E9E">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rPr>
      </w:pPr>
      <w:bookmarkStart w:id="108" w:name="_Toc6759"/>
      <w:r>
        <w:rPr>
          <w:rFonts w:hint="eastAsia" w:ascii="Times New Roman" w:hAnsi="Times New Roman" w:eastAsia="楷体_GB2312" w:cs="Times New Roman"/>
          <w:color w:val="auto"/>
          <w:kern w:val="28"/>
          <w:sz w:val="32"/>
        </w:rPr>
        <w:t>（一）项目决策情况</w:t>
      </w:r>
      <w:bookmarkEnd w:id="108"/>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项目决策由3个二级指标和6个三级指标构成，权重分20分，实际得分20分，</w:t>
      </w:r>
      <w:r>
        <w:rPr>
          <w:rFonts w:hint="eastAsia" w:ascii="仿宋_GB2312" w:hAnsi="仿宋_GB2312" w:eastAsia="仿宋_GB2312" w:cs="仿宋_GB2312"/>
          <w:color w:val="auto"/>
          <w:sz w:val="32"/>
          <w:szCs w:val="32"/>
          <w:highlight w:val="none"/>
          <w:shd w:val="clear" w:color="auto" w:fill="auto"/>
          <w:lang w:val="zh-TW" w:eastAsia="zh-TW"/>
        </w:rPr>
        <w:t>各指标业绩值和绩效分值如表</w:t>
      </w:r>
      <w:r>
        <w:rPr>
          <w:rFonts w:hint="eastAsia" w:ascii="仿宋_GB2312" w:hAnsi="仿宋_GB2312" w:eastAsia="仿宋_GB2312" w:cs="仿宋_GB2312"/>
          <w:color w:val="auto"/>
          <w:sz w:val="32"/>
          <w:szCs w:val="32"/>
          <w:highlight w:val="none"/>
          <w:shd w:val="clear" w:color="auto" w:fill="auto"/>
          <w:lang w:val="en-US" w:eastAsia="zh-CN"/>
        </w:rPr>
        <w:t>4-1</w:t>
      </w:r>
      <w:r>
        <w:rPr>
          <w:rFonts w:hint="eastAsia" w:ascii="仿宋_GB2312" w:hAnsi="仿宋_GB2312" w:eastAsia="仿宋_GB2312" w:cs="仿宋_GB2312"/>
          <w:color w:val="auto"/>
          <w:sz w:val="32"/>
          <w:szCs w:val="32"/>
          <w:highlight w:val="none"/>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19</w:t>
            </w:r>
          </w:p>
        </w:tc>
      </w:tr>
    </w:tbl>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09" w:name="_Toc28069"/>
      <w:bookmarkStart w:id="110" w:name="_Toc13522"/>
      <w:r>
        <w:rPr>
          <w:rFonts w:hint="eastAsia" w:ascii="仿宋_GB2312" w:hAnsi="仿宋_GB2312" w:eastAsia="仿宋_GB2312" w:cs="仿宋_GB2312"/>
          <w:b/>
          <w:bCs/>
          <w:color w:val="auto"/>
          <w:sz w:val="32"/>
          <w:szCs w:val="32"/>
          <w:lang w:val="en-US" w:eastAsia="zh-CN"/>
        </w:rPr>
        <w:t>1.立项依据充分性</w:t>
      </w:r>
      <w:bookmarkEnd w:id="109"/>
      <w:bookmarkEnd w:id="110"/>
    </w:p>
    <w:p w14:paraId="61FBEA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①项目立项符合《关于下达自治区第五次全国经济普查经费的通知》（昌州财行</w:t>
      </w:r>
      <w:r>
        <w:rPr>
          <w:rFonts w:hint="eastAsia" w:ascii="仿宋_GB2312" w:hAnsi="仿宋_GB2312" w:eastAsia="仿宋_GB2312" w:cs="仿宋_GB2312"/>
          <w:sz w:val="32"/>
          <w:szCs w:val="32"/>
          <w:lang w:val="en-US" w:eastAsia="zh-CN"/>
        </w:rPr>
        <w:t>〔2024〕14号</w:t>
      </w:r>
      <w:r>
        <w:rPr>
          <w:rFonts w:hint="eastAsia" w:ascii="仿宋_GB2312" w:hAnsi="仿宋_GB2312" w:eastAsia="仿宋_GB2312" w:cs="仿宋_GB2312"/>
          <w:sz w:val="32"/>
          <w:szCs w:val="32"/>
          <w:lang w:eastAsia="zh-CN"/>
        </w:rPr>
        <w:t>）《全国经济普查条例》；</w:t>
      </w:r>
    </w:p>
    <w:p w14:paraId="3396719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②项目立项符合《全国经济普查条例》；</w:t>
      </w:r>
    </w:p>
    <w:p w14:paraId="5596734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③项目立项与会同有关部门组织完成国家、区、州、市重大国情国力、区情区力、州情州力和市情市力普查相符，属于部门履职所需；</w:t>
      </w:r>
    </w:p>
    <w:p w14:paraId="1D0AF5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④项目属于公共财政支持范围，符合中央、地方事权支出责任划分原则；</w:t>
      </w:r>
    </w:p>
    <w:p w14:paraId="78F82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⑤项目与相关部门同类项目、部门内部相关项目</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重复。</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综上，该项指标满分2分，得分2分。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3240"/>
      <w:bookmarkStart w:id="112" w:name="_Toc21976"/>
      <w:r>
        <w:rPr>
          <w:rFonts w:hint="eastAsia" w:ascii="仿宋_GB2312" w:hAnsi="仿宋_GB2312" w:eastAsia="仿宋_GB2312" w:cs="仿宋_GB2312"/>
          <w:b/>
          <w:bCs/>
          <w:color w:val="auto"/>
          <w:sz w:val="32"/>
          <w:szCs w:val="32"/>
          <w:lang w:val="en-US" w:eastAsia="zh-CN"/>
        </w:rPr>
        <w:t>2.立项程序规范性</w:t>
      </w:r>
      <w:bookmarkEnd w:id="111"/>
      <w:bookmarkEnd w:id="112"/>
    </w:p>
    <w:p w14:paraId="4437F2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①项目按照规定的程序申请设立；</w:t>
      </w:r>
    </w:p>
    <w:p w14:paraId="767B16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②审批文件、材料符合相关要求；</w:t>
      </w:r>
    </w:p>
    <w:p w14:paraId="54F2D6F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③事前经过集体决策，未经过必要的可行性研究、专家论证、风险评估、绩效评估、。扣1分。</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综上，该项指标满分3分，得分2分。</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3" w:name="_Toc15382"/>
      <w:bookmarkStart w:id="114" w:name="_Toc23542"/>
      <w:r>
        <w:rPr>
          <w:rFonts w:hint="eastAsia" w:ascii="仿宋_GB2312" w:hAnsi="仿宋_GB2312" w:eastAsia="仿宋_GB2312" w:cs="仿宋_GB2312"/>
          <w:b/>
          <w:bCs/>
          <w:color w:val="auto"/>
          <w:sz w:val="32"/>
          <w:szCs w:val="32"/>
          <w:lang w:val="en-US" w:eastAsia="zh-CN"/>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②该项目实际工作内容为：2024年是第五次经济普查的正式登记阶段，主要目标是开展普查登记、数据审核验收，开展数据事后质量抽查和评估普查数据质量。绩效目标与实际工作内容一致，两者具有相关性。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③该项目按照绩效目标完成数量指标、质量指标、时效指标、成本指标，完成了社会效益指标，达到提高政府统计公信力效益，预期产出效益和效果是否符合正常的业绩水平。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④《项目支出绩效目标表》中预算金额为80.64万元，预算确定的项目资金与预算确定的项目投资额相匹配。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5" w:name="_Toc10650"/>
      <w:bookmarkStart w:id="116" w:name="_Toc18198"/>
      <w:r>
        <w:rPr>
          <w:rFonts w:hint="eastAsia" w:ascii="仿宋_GB2312" w:hAnsi="仿宋_GB2312" w:eastAsia="仿宋_GB2312" w:cs="仿宋_GB2312"/>
          <w:b/>
          <w:bCs/>
          <w:color w:val="auto"/>
          <w:sz w:val="32"/>
          <w:szCs w:val="32"/>
          <w:lang w:val="en-US" w:eastAsia="zh-CN"/>
        </w:rPr>
        <w:t>4.绩效指标明确性</w:t>
      </w:r>
      <w:bookmarkEnd w:id="115"/>
      <w:bookmarkEnd w:id="116"/>
    </w:p>
    <w:p w14:paraId="262887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其中三级指标共计9个</w:t>
      </w:r>
      <w:r>
        <w:rPr>
          <w:rFonts w:hint="eastAsia" w:ascii="仿宋_GB2312" w:hAnsi="仿宋_GB2312" w:eastAsia="仿宋_GB2312" w:cs="仿宋_GB2312"/>
          <w:color w:val="auto"/>
          <w:sz w:val="32"/>
          <w:szCs w:val="32"/>
          <w:highlight w:val="none"/>
          <w:lang w:eastAsia="zh-CN"/>
        </w:rPr>
        <w:t>；</w:t>
      </w:r>
    </w:p>
    <w:p w14:paraId="6E34D4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量化率达到88.89%</w:t>
      </w:r>
      <w:r>
        <w:rPr>
          <w:rFonts w:hint="eastAsia" w:ascii="仿宋_GB2312" w:hAnsi="仿宋_GB2312" w:eastAsia="仿宋_GB2312" w:cs="仿宋_GB2312"/>
          <w:color w:val="auto"/>
          <w:sz w:val="32"/>
          <w:szCs w:val="32"/>
          <w:highlight w:val="none"/>
          <w:lang w:eastAsia="zh-CN"/>
        </w:rPr>
        <w:t>；</w:t>
      </w:r>
    </w:p>
    <w:p w14:paraId="63658D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1CD74B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7" w:name="_Toc8296"/>
      <w:bookmarkStart w:id="118" w:name="_Toc19401"/>
      <w:r>
        <w:rPr>
          <w:rFonts w:hint="eastAsia" w:ascii="仿宋_GB2312" w:hAnsi="仿宋_GB2312" w:eastAsia="仿宋_GB2312" w:cs="仿宋_GB2312"/>
          <w:b/>
          <w:bCs/>
          <w:color w:val="auto"/>
          <w:sz w:val="32"/>
          <w:szCs w:val="32"/>
          <w:lang w:val="en-US" w:eastAsia="zh-CN"/>
        </w:rPr>
        <w:t>5.预算编制科学性</w:t>
      </w:r>
      <w:bookmarkEnd w:id="117"/>
      <w:bookmarkEnd w:id="118"/>
    </w:p>
    <w:p w14:paraId="425D61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40C945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发放普查员及普查指导员清查阶段298人、普查员及普查指导员普查阶段277人人员补贴，项目实际内容为发放普查员及普查指导员清查阶段298人、普查员及普查指导员普查阶段277人人员补贴，预算申请与项目内容匹配；</w:t>
      </w:r>
    </w:p>
    <w:p w14:paraId="635254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项目预算申请资金80.64</w:t>
      </w:r>
      <w:r>
        <w:rPr>
          <w:rFonts w:hint="eastAsia" w:ascii="仿宋_GB2312" w:hAnsi="仿宋_GB2312" w:eastAsia="仿宋_GB2312" w:cs="仿宋_GB2312"/>
          <w:color w:val="auto"/>
          <w:sz w:val="32"/>
          <w:szCs w:val="32"/>
          <w:highlight w:val="none"/>
          <w:lang w:val="en-US" w:eastAsia="zh-CN"/>
        </w:rPr>
        <w:t>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元，我单位在预算申请中严格按照项目实施内容及测算标准进行核算，其中：普查员及普查指导员清查阶段补助费用27.54万元；普查员及普查指导员普查阶段补助费用53.10万元。</w:t>
      </w:r>
    </w:p>
    <w:p w14:paraId="0F6CBF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综上，该项指标满分2分，得分2分。</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9" w:name="_Toc697"/>
      <w:bookmarkStart w:id="120" w:name="_Toc20556"/>
      <w:r>
        <w:rPr>
          <w:rFonts w:hint="eastAsia" w:ascii="仿宋_GB2312" w:hAnsi="仿宋_GB2312" w:eastAsia="仿宋_GB2312" w:cs="仿宋_GB2312"/>
          <w:b/>
          <w:bCs/>
          <w:color w:val="auto"/>
          <w:sz w:val="32"/>
          <w:szCs w:val="32"/>
          <w:lang w:val="en-US" w:eastAsia="zh-CN"/>
        </w:rPr>
        <w:t>6.资金分配合理性</w:t>
      </w:r>
      <w:bookmarkEnd w:id="119"/>
      <w:bookmarkEnd w:id="120"/>
    </w:p>
    <w:p w14:paraId="781EF9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《关于</w:t>
      </w:r>
      <w:r>
        <w:rPr>
          <w:rFonts w:hint="eastAsia" w:ascii="仿宋_GB2312" w:hAnsi="仿宋_GB2312" w:eastAsia="仿宋_GB2312" w:cs="仿宋_GB2312"/>
          <w:color w:val="auto"/>
          <w:sz w:val="32"/>
          <w:szCs w:val="32"/>
          <w:highlight w:val="none"/>
          <w:lang w:eastAsia="zh-CN"/>
        </w:rPr>
        <w:t>申请昌州财行【2024】14号自治区第五次全国经济普查“两员”补助经费项目资金的请示</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18C386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②项目实际到位资金80.64万元，资金分配额度合理，与项目单位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683C57FD">
      <w:pPr>
        <w:pageBreakBefore w:val="0"/>
        <w:kinsoku/>
        <w:wordWrap/>
        <w:overflowPunct/>
        <w:topLinePunct w:val="0"/>
        <w:autoSpaceDE/>
        <w:autoSpaceDN/>
        <w:bidi w:val="0"/>
        <w:spacing w:line="560" w:lineRule="exact"/>
        <w:textAlignment w:val="auto"/>
        <w:rPr>
          <w:rFonts w:hint="eastAsia"/>
          <w:color w:val="auto"/>
          <w:lang w:eastAsia="zh-CN"/>
        </w:rPr>
      </w:pPr>
      <w:r>
        <w:rPr>
          <w:rFonts w:hint="eastAsia" w:ascii="仿宋_GB2312" w:hAnsi="仿宋_GB2312" w:eastAsia="仿宋_GB2312" w:cs="仿宋_GB2312"/>
          <w:b/>
          <w:bCs/>
          <w:color w:val="auto"/>
          <w:sz w:val="32"/>
          <w:szCs w:val="32"/>
          <w:lang w:val="en-US" w:eastAsia="zh-CN"/>
        </w:rPr>
        <w:t>综上，该项指标满分3分，得分3分。</w:t>
      </w:r>
    </w:p>
    <w:p w14:paraId="50155C4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rPr>
      </w:pPr>
      <w:bookmarkStart w:id="121" w:name="_Toc10564"/>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lang w:val="en-US" w:eastAsia="zh-CN"/>
        </w:rPr>
        <w:t>二</w:t>
      </w:r>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rPr>
        <w:t>项目过程情况</w:t>
      </w:r>
      <w:bookmarkEnd w:id="121"/>
    </w:p>
    <w:p w14:paraId="538990C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项目过程</w:t>
      </w:r>
      <w:r>
        <w:rPr>
          <w:rFonts w:hint="eastAsia" w:ascii="仿宋_GB2312" w:hAnsi="仿宋_GB2312" w:eastAsia="仿宋_GB2312" w:cs="仿宋_GB2312"/>
          <w:color w:val="auto"/>
          <w:kern w:val="2"/>
          <w:sz w:val="32"/>
          <w:szCs w:val="32"/>
          <w:highlight w:val="none"/>
          <w:u w:color="000000"/>
          <w:shd w:val="clear" w:color="auto" w:fill="auto"/>
          <w:lang w:val="zh-TW"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val="zh-TW"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2" w:name="_Toc20449"/>
      <w:bookmarkStart w:id="123" w:name="_Toc3886"/>
      <w:r>
        <w:rPr>
          <w:rFonts w:hint="eastAsia" w:ascii="仿宋_GB2312" w:hAnsi="仿宋_GB2312" w:eastAsia="仿宋_GB2312" w:cs="仿宋_GB2312"/>
          <w:b/>
          <w:bCs/>
          <w:color w:val="auto"/>
          <w:sz w:val="32"/>
          <w:szCs w:val="32"/>
          <w:lang w:val="en-US" w:eastAsia="zh-CN"/>
        </w:rPr>
        <w:t>1.资金到位率</w:t>
      </w:r>
      <w:bookmarkEnd w:id="122"/>
      <w:bookmarkEnd w:id="123"/>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项目预算资金为80.64万元，其中：财政安排资金80.64万元，其他资金</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eastAsia="zh-CN"/>
        </w:rPr>
        <w:t>万元。</w:t>
      </w:r>
    </w:p>
    <w:p w14:paraId="6FCBA2A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资金到位率=（80.64/80.64）×100%。</w:t>
      </w:r>
      <w:r>
        <w:rPr>
          <w:rFonts w:hint="eastAsia" w:ascii="仿宋_GB2312" w:hAnsi="仿宋_GB2312" w:eastAsia="仿宋_GB2312" w:cs="仿宋_GB2312"/>
          <w:sz w:val="32"/>
          <w:szCs w:val="32"/>
          <w:lang w:val="en-US" w:eastAsia="zh-CN"/>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4" w:name="_Toc9705"/>
      <w:bookmarkStart w:id="125" w:name="_Toc17709"/>
      <w:r>
        <w:rPr>
          <w:rFonts w:hint="eastAsia" w:ascii="仿宋_GB2312" w:hAnsi="仿宋_GB2312" w:eastAsia="仿宋_GB2312" w:cs="仿宋_GB2312"/>
          <w:b/>
          <w:bCs/>
          <w:color w:val="auto"/>
          <w:sz w:val="32"/>
          <w:szCs w:val="32"/>
          <w:lang w:val="en-US" w:eastAsia="zh-CN"/>
        </w:rPr>
        <w:t>2.预算执行率</w:t>
      </w:r>
      <w:bookmarkEnd w:id="124"/>
      <w:bookmarkEnd w:id="125"/>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截至2024年12月31日，项目实际支出</w:t>
      </w:r>
      <w:r>
        <w:rPr>
          <w:rFonts w:hint="eastAsia" w:ascii="仿宋_GB2312" w:hAnsi="仿宋_GB2312" w:eastAsia="仿宋_GB2312" w:cs="仿宋_GB2312"/>
          <w:sz w:val="32"/>
          <w:szCs w:val="32"/>
          <w:lang w:eastAsia="zh-CN"/>
        </w:rPr>
        <w:t>80.64</w:t>
      </w:r>
      <w:r>
        <w:rPr>
          <w:rFonts w:hint="eastAsia" w:ascii="仿宋_GB2312" w:hAnsi="仿宋_GB2312" w:eastAsia="仿宋_GB2312" w:cs="仿宋_GB2312"/>
          <w:sz w:val="32"/>
          <w:szCs w:val="32"/>
          <w:lang w:val="en-US" w:eastAsia="zh-CN"/>
        </w:rPr>
        <w:t>万元。</w:t>
      </w:r>
    </w:p>
    <w:p w14:paraId="1DB5AE2C">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预算执行率=（80.64/80.64）×100%。</w:t>
      </w:r>
      <w:r>
        <w:rPr>
          <w:rFonts w:hint="eastAsia" w:ascii="仿宋_GB2312" w:hAnsi="仿宋_GB2312" w:eastAsia="仿宋_GB2312" w:cs="仿宋_GB2312"/>
          <w:sz w:val="32"/>
          <w:szCs w:val="32"/>
          <w:lang w:val="en-US" w:eastAsia="zh-CN"/>
        </w:rPr>
        <w:t>=100%</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6" w:name="_Toc18691"/>
      <w:bookmarkStart w:id="127" w:name="_Toc28875"/>
      <w:r>
        <w:rPr>
          <w:rFonts w:hint="eastAsia" w:ascii="仿宋_GB2312" w:hAnsi="仿宋_GB2312" w:eastAsia="仿宋_GB2312" w:cs="仿宋_GB2312"/>
          <w:b/>
          <w:bCs/>
          <w:color w:val="auto"/>
          <w:sz w:val="32"/>
          <w:szCs w:val="32"/>
          <w:lang w:val="en-US" w:eastAsia="zh-CN"/>
        </w:rPr>
        <w:t>3.资金使用合规性</w:t>
      </w:r>
      <w:bookmarkEnd w:id="126"/>
      <w:bookmarkEnd w:id="127"/>
    </w:p>
    <w:p w14:paraId="4CDEE3C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①本项目资金支出符合国家财经法规、《政府会计制度》《阜康市统计局资金管理办法》《阜康市统计局专项资金管理办法》；</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④不存在截留、挤占、挪用、虚列支出等情况。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仿宋_GB2312" w:hAnsi="仿宋_GB2312" w:eastAsia="仿宋_GB2312" w:cs="仿宋_GB2312"/>
          <w:sz w:val="32"/>
          <w:szCs w:val="32"/>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kern w:val="2"/>
          <w:sz w:val="32"/>
          <w:szCs w:val="32"/>
          <w:lang w:val="en-US" w:eastAsia="zh-CN" w:bidi="ar-SA"/>
        </w:rPr>
        <w:t>4.</w:t>
      </w:r>
      <w:r>
        <w:rPr>
          <w:rFonts w:hint="eastAsia" w:ascii="仿宋_GB2312" w:hAnsi="仿宋_GB2312" w:eastAsia="仿宋_GB2312" w:cs="仿宋_GB2312"/>
          <w:b/>
          <w:bCs/>
          <w:color w:val="auto"/>
          <w:sz w:val="32"/>
          <w:szCs w:val="32"/>
          <w:lang w:val="en-US" w:eastAsia="zh-CN"/>
        </w:rPr>
        <w:t>管理制度健全性</w:t>
      </w:r>
    </w:p>
    <w:p w14:paraId="479D10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①我单位已制定《阜康市统计局资金管理办法》《阜康市统计局收支业务管理制度》《阜康市统计局政府采购业务管理制度》《阜康市统计局合同管理制度》，相关制度均符合行政事业单位内控管理要求；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②已制定的财务和业务管理制度合法、合规、完整，本项目执行符合上述制度规定。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lang w:val="en-US" w:eastAsia="zh-CN"/>
        </w:rPr>
      </w:pPr>
      <w:bookmarkStart w:id="128" w:name="_Toc31684"/>
      <w:bookmarkStart w:id="129" w:name="_Toc13984"/>
      <w:r>
        <w:rPr>
          <w:rFonts w:hint="eastAsia" w:ascii="仿宋_GB2312" w:hAnsi="仿宋_GB2312" w:eastAsia="仿宋_GB2312" w:cs="仿宋_GB2312"/>
          <w:b/>
          <w:bCs/>
          <w:color w:val="auto"/>
          <w:sz w:val="32"/>
          <w:szCs w:val="32"/>
          <w:lang w:val="en-US" w:eastAsia="zh-CN"/>
        </w:rPr>
        <w:t>5.制度执行有效性</w:t>
      </w:r>
      <w:bookmarkEnd w:id="128"/>
      <w:bookmarkEnd w:id="129"/>
    </w:p>
    <w:p w14:paraId="7A8246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昌州财行【2024】14号自治区第五次全国经济普查“两员”补助经费项目的实施遵守相关法律法规及相关管理规定，符合《阜康市统计局财务管理办法》《阜康市统计局财务管理制度》《阜康市统计局采购业务管理制度》《阜康市统计局合同管理制度》等管理规定，；</w:t>
      </w:r>
    </w:p>
    <w:p w14:paraId="523440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②“该项目实施过程中不存在调整事项”</w:t>
      </w:r>
    </w:p>
    <w:p w14:paraId="181BF9B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③项目合同书、验收评审表、财务支付凭证等资料齐全并及时归档。</w:t>
      </w:r>
    </w:p>
    <w:p w14:paraId="2F3D98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项目实施所需要的项目人员和场地设备均已落实到位，具体涉及内容包括：项目资金支出严格按照自治区、地区以及本单位资金管理办法执行，项目启动实施后，为了加快本项目的实施，成立了昌州财行【2024】14号自治区第五次全国经济普查“两员”补助经费项目工作领导小组，由郑亚玲任组长，负责项目的组织工作；孙国斌 任副组长，负责项目的实施工作；组员包括：杨雅欣和刘伟龙，主要负责项目监督管理、验收以及资金核拨等工作。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30" w:name="_Toc2441"/>
      <w:r>
        <w:rPr>
          <w:rFonts w:hint="eastAsia" w:ascii="Times New Roman" w:hAnsi="Times New Roman" w:eastAsia="楷体_GB2312" w:cs="Times New Roman"/>
          <w:color w:val="auto"/>
          <w:kern w:val="28"/>
          <w:sz w:val="32"/>
          <w:lang w:val="en-US" w:eastAsia="zh-CN"/>
        </w:rPr>
        <w:t>（三）项目产出情况</w:t>
      </w:r>
      <w:bookmarkEnd w:id="130"/>
    </w:p>
    <w:p w14:paraId="3C8B31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sz w:val="32"/>
          <w:szCs w:val="32"/>
          <w:lang w:val="zh-TW" w:eastAsia="zh-TW"/>
        </w:rPr>
        <w:t>项目</w:t>
      </w:r>
      <w:r>
        <w:rPr>
          <w:rFonts w:hint="eastAsia" w:ascii="仿宋_GB2312" w:hAnsi="仿宋_GB2312" w:eastAsia="仿宋_GB2312" w:cs="仿宋_GB2312"/>
          <w:sz w:val="32"/>
          <w:szCs w:val="32"/>
          <w:lang w:val="en-US" w:eastAsia="zh-CN"/>
        </w:rPr>
        <w:t>产出</w:t>
      </w:r>
      <w:r>
        <w:rPr>
          <w:rFonts w:hint="eastAsia" w:ascii="仿宋_GB2312" w:hAnsi="仿宋_GB2312" w:eastAsia="仿宋_GB2312" w:cs="仿宋_GB2312"/>
          <w:sz w:val="32"/>
          <w:szCs w:val="32"/>
          <w:lang w:val="zh-TW" w:eastAsia="zh-TW"/>
        </w:rPr>
        <w:t>类指标</w:t>
      </w:r>
      <w:r>
        <w:rPr>
          <w:rFonts w:hint="default" w:ascii="仿宋_GB2312" w:hAnsi="仿宋_GB2312" w:eastAsia="仿宋_GB2312" w:cs="仿宋_GB2312"/>
          <w:sz w:val="32"/>
          <w:szCs w:val="32"/>
          <w:lang w:val="en-US" w:eastAsia="zh-CN"/>
        </w:rPr>
        <w:t>包括产出数量、产出质量、产出时效、产出成本四方面的内容，</w:t>
      </w:r>
      <w:r>
        <w:rPr>
          <w:rFonts w:hint="eastAsia" w:ascii="仿宋_GB2312" w:hAnsi="仿宋_GB2312" w:eastAsia="仿宋_GB2312" w:cs="仿宋_GB2312"/>
          <w:sz w:val="32"/>
          <w:szCs w:val="32"/>
          <w:lang w:val="en-US" w:eastAsia="zh-CN"/>
        </w:rPr>
        <w:t>共4</w:t>
      </w:r>
      <w:r>
        <w:rPr>
          <w:rFonts w:hint="eastAsia" w:ascii="仿宋_GB2312" w:hAnsi="仿宋_GB2312" w:eastAsia="仿宋_GB2312" w:cs="仿宋_GB2312"/>
          <w:sz w:val="32"/>
          <w:szCs w:val="32"/>
          <w:lang w:val="zh-TW" w:eastAsia="zh-TW"/>
        </w:rPr>
        <w:t>个</w:t>
      </w:r>
      <w:r>
        <w:rPr>
          <w:rFonts w:hint="eastAsia" w:ascii="仿宋_GB2312" w:hAnsi="仿宋_GB2312" w:eastAsia="仿宋_GB2312" w:cs="仿宋_GB2312"/>
          <w:sz w:val="32"/>
          <w:szCs w:val="32"/>
          <w:lang w:val="zh-TW" w:eastAsia="zh-CN"/>
        </w:rPr>
        <w:t>二</w:t>
      </w:r>
      <w:r>
        <w:rPr>
          <w:rFonts w:hint="eastAsia" w:ascii="仿宋_GB2312" w:hAnsi="仿宋_GB2312" w:eastAsia="仿宋_GB2312" w:cs="仿宋_GB2312"/>
          <w:sz w:val="32"/>
          <w:szCs w:val="32"/>
          <w:lang w:val="zh-TW" w:eastAsia="zh-TW"/>
        </w:rPr>
        <w:t>级指标和</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val="zh-TW" w:eastAsia="zh-TW"/>
        </w:rPr>
        <w:t>个</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val="zh-TW" w:eastAsia="zh-TW"/>
        </w:rPr>
        <w:t>级指标构成，权重分</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lang w:val="zh-TW" w:eastAsia="zh-TW"/>
        </w:rPr>
        <w:t>分，实际得分</w:t>
      </w:r>
      <w:r>
        <w:rPr>
          <w:rFonts w:hint="eastAsia" w:ascii="仿宋_GB2312" w:hAnsi="仿宋_GB2312" w:eastAsia="仿宋_GB2312" w:cs="仿宋_GB2312"/>
          <w:sz w:val="32"/>
          <w:szCs w:val="32"/>
          <w:lang w:val="en-US" w:eastAsia="zh-CN"/>
        </w:rPr>
        <w:t>38.88</w:t>
      </w:r>
      <w:r>
        <w:rPr>
          <w:rFonts w:hint="eastAsia" w:ascii="仿宋_GB2312" w:hAnsi="仿宋_GB2312" w:eastAsia="仿宋_GB2312" w:cs="仿宋_GB2312"/>
          <w:sz w:val="32"/>
          <w:szCs w:val="32"/>
          <w:lang w:val="zh-TW" w:eastAsia="zh-TW"/>
        </w:rPr>
        <w:t>分</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zh-TW" w:eastAsia="zh-TW"/>
        </w:rPr>
        <w:t>各指标业绩值和绩效分值如表</w:t>
      </w:r>
      <w:r>
        <w:rPr>
          <w:rFonts w:hint="eastAsia" w:ascii="仿宋_GB2312" w:hAnsi="仿宋_GB2312" w:eastAsia="仿宋_GB2312" w:cs="仿宋_GB2312"/>
          <w:sz w:val="32"/>
          <w:szCs w:val="32"/>
          <w:lang w:val="en-US" w:eastAsia="zh-CN"/>
        </w:rPr>
        <w:t>4-3</w:t>
      </w:r>
      <w:r>
        <w:rPr>
          <w:rFonts w:hint="eastAsia" w:ascii="仿宋_GB2312" w:hAnsi="仿宋_GB2312" w:eastAsia="仿宋_GB2312" w:cs="仿宋_GB2312"/>
          <w:sz w:val="32"/>
          <w:szCs w:val="32"/>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50" w:hRule="atLeast"/>
        </w:trPr>
        <w:tc>
          <w:tcPr>
            <w:tcW w:w="634" w:type="dxa"/>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1635B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5" w:hRule="atLeast"/>
        </w:trPr>
        <w:tc>
          <w:tcPr>
            <w:tcW w:w="634" w:type="dxa"/>
            <w:vMerge w:val="restart"/>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vMerge w:val="restart"/>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shd w:val="clear" w:color="auto" w:fill="auto"/>
            <w:tcMar>
              <w:top w:w="15" w:type="dxa"/>
              <w:left w:w="15" w:type="dxa"/>
              <w:right w:w="15" w:type="dxa"/>
            </w:tcMar>
            <w:vAlign w:val="center"/>
          </w:tcPr>
          <w:p w14:paraId="6D119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普查员及普查指导员清查阶段数量</w:t>
            </w:r>
          </w:p>
        </w:tc>
        <w:tc>
          <w:tcPr>
            <w:tcW w:w="1437" w:type="dxa"/>
            <w:shd w:val="clear" w:color="auto" w:fill="auto"/>
            <w:tcMar>
              <w:top w:w="15" w:type="dxa"/>
              <w:left w:w="15" w:type="dxa"/>
              <w:right w:w="15" w:type="dxa"/>
            </w:tcMar>
            <w:vAlign w:val="center"/>
          </w:tcPr>
          <w:p w14:paraId="35E892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≧298人</w:t>
            </w:r>
          </w:p>
        </w:tc>
        <w:tc>
          <w:tcPr>
            <w:tcW w:w="558" w:type="dxa"/>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365" w:type="dxa"/>
            <w:shd w:val="clear" w:color="auto" w:fill="auto"/>
            <w:tcMar>
              <w:top w:w="15" w:type="dxa"/>
              <w:left w:w="15" w:type="dxa"/>
              <w:right w:w="15" w:type="dxa"/>
            </w:tcMar>
            <w:vAlign w:val="center"/>
          </w:tcPr>
          <w:p w14:paraId="7393AA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298人</w:t>
            </w:r>
          </w:p>
        </w:tc>
        <w:tc>
          <w:tcPr>
            <w:tcW w:w="631" w:type="dxa"/>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r>
      <w:tr w14:paraId="26C16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5" w:hRule="atLeast"/>
        </w:trPr>
        <w:tc>
          <w:tcPr>
            <w:tcW w:w="634" w:type="dxa"/>
            <w:vMerge w:val="continue"/>
            <w:shd w:val="clear" w:color="auto" w:fill="auto"/>
            <w:tcMar>
              <w:top w:w="15" w:type="dxa"/>
              <w:left w:w="15" w:type="dxa"/>
              <w:right w:w="15" w:type="dxa"/>
            </w:tcMar>
            <w:vAlign w:val="center"/>
          </w:tcPr>
          <w:p w14:paraId="62BA8AD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shd w:val="clear" w:color="auto" w:fill="auto"/>
            <w:tcMar>
              <w:top w:w="15" w:type="dxa"/>
              <w:left w:w="15" w:type="dxa"/>
              <w:right w:w="15" w:type="dxa"/>
            </w:tcMar>
            <w:vAlign w:val="center"/>
          </w:tcPr>
          <w:p w14:paraId="00D994F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shd w:val="clear" w:color="auto" w:fill="auto"/>
            <w:tcMar>
              <w:top w:w="15" w:type="dxa"/>
              <w:left w:w="15" w:type="dxa"/>
              <w:right w:w="15" w:type="dxa"/>
            </w:tcMar>
            <w:vAlign w:val="center"/>
          </w:tcPr>
          <w:p w14:paraId="716661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普查员及普查指导员普查阶段数量</w:t>
            </w:r>
          </w:p>
        </w:tc>
        <w:tc>
          <w:tcPr>
            <w:tcW w:w="1437" w:type="dxa"/>
            <w:shd w:val="clear" w:color="auto" w:fill="auto"/>
            <w:tcMar>
              <w:top w:w="15" w:type="dxa"/>
              <w:left w:w="15" w:type="dxa"/>
              <w:right w:w="15" w:type="dxa"/>
            </w:tcMar>
            <w:vAlign w:val="center"/>
          </w:tcPr>
          <w:p w14:paraId="0C38B1D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≧277人</w:t>
            </w:r>
          </w:p>
        </w:tc>
        <w:tc>
          <w:tcPr>
            <w:tcW w:w="558" w:type="dxa"/>
            <w:shd w:val="clear" w:color="auto" w:fill="auto"/>
            <w:tcMar>
              <w:top w:w="15" w:type="dxa"/>
              <w:left w:w="15" w:type="dxa"/>
              <w:right w:w="15" w:type="dxa"/>
            </w:tcMar>
            <w:vAlign w:val="center"/>
          </w:tcPr>
          <w:p w14:paraId="448D525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shd w:val="clear" w:color="auto" w:fill="auto"/>
            <w:tcMar>
              <w:top w:w="15" w:type="dxa"/>
              <w:left w:w="15" w:type="dxa"/>
              <w:right w:w="15" w:type="dxa"/>
            </w:tcMar>
            <w:vAlign w:val="center"/>
          </w:tcPr>
          <w:p w14:paraId="7B126C6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277人</w:t>
            </w:r>
          </w:p>
        </w:tc>
        <w:tc>
          <w:tcPr>
            <w:tcW w:w="631" w:type="dxa"/>
            <w:shd w:val="clear" w:color="auto" w:fill="auto"/>
            <w:tcMar>
              <w:top w:w="15" w:type="dxa"/>
              <w:left w:w="15" w:type="dxa"/>
              <w:right w:w="15" w:type="dxa"/>
            </w:tcMar>
            <w:vAlign w:val="center"/>
          </w:tcPr>
          <w:p w14:paraId="03DB4E2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r>
      <w:tr w14:paraId="684F9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0" w:hRule="atLeast"/>
        </w:trPr>
        <w:tc>
          <w:tcPr>
            <w:tcW w:w="634" w:type="dxa"/>
            <w:vMerge w:val="continue"/>
            <w:shd w:val="clear" w:color="auto" w:fill="auto"/>
            <w:tcMar>
              <w:top w:w="15" w:type="dxa"/>
              <w:left w:w="15" w:type="dxa"/>
              <w:right w:w="15" w:type="dxa"/>
            </w:tcMar>
            <w:vAlign w:val="center"/>
          </w:tcPr>
          <w:p w14:paraId="6A57EAC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shd w:val="clear" w:color="auto" w:fill="auto"/>
            <w:tcMar>
              <w:top w:w="15" w:type="dxa"/>
              <w:left w:w="15" w:type="dxa"/>
              <w:right w:w="15" w:type="dxa"/>
            </w:tcMar>
            <w:vAlign w:val="center"/>
          </w:tcPr>
          <w:p w14:paraId="280C1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普查员及普查指导员工作量</w:t>
            </w:r>
          </w:p>
        </w:tc>
        <w:tc>
          <w:tcPr>
            <w:tcW w:w="1437" w:type="dxa"/>
            <w:shd w:val="clear" w:color="auto" w:fill="auto"/>
            <w:tcMar>
              <w:top w:w="15" w:type="dxa"/>
              <w:left w:w="15" w:type="dxa"/>
              <w:right w:w="15" w:type="dxa"/>
            </w:tcMar>
            <w:vAlign w:val="center"/>
          </w:tcPr>
          <w:p w14:paraId="4DF3EA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≧6个月</w:t>
            </w:r>
          </w:p>
        </w:tc>
        <w:tc>
          <w:tcPr>
            <w:tcW w:w="558" w:type="dxa"/>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6个月</w:t>
            </w:r>
          </w:p>
        </w:tc>
        <w:tc>
          <w:tcPr>
            <w:tcW w:w="631" w:type="dxa"/>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r>
      <w:tr w14:paraId="2CC21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0" w:hRule="atLeast"/>
        </w:trPr>
        <w:tc>
          <w:tcPr>
            <w:tcW w:w="634" w:type="dxa"/>
            <w:vMerge w:val="continue"/>
            <w:shd w:val="clear" w:color="auto" w:fill="auto"/>
            <w:tcMar>
              <w:top w:w="15" w:type="dxa"/>
              <w:left w:w="15" w:type="dxa"/>
              <w:right w:w="15" w:type="dxa"/>
            </w:tcMar>
            <w:vAlign w:val="center"/>
          </w:tcPr>
          <w:p w14:paraId="18FA681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shd w:val="clear" w:color="auto" w:fill="auto"/>
            <w:tcMar>
              <w:top w:w="15" w:type="dxa"/>
              <w:left w:w="15" w:type="dxa"/>
              <w:right w:w="15" w:type="dxa"/>
            </w:tcMar>
            <w:vAlign w:val="center"/>
          </w:tcPr>
          <w:p w14:paraId="34ADE2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shd w:val="clear" w:color="auto" w:fill="auto"/>
            <w:tcMar>
              <w:top w:w="15" w:type="dxa"/>
              <w:left w:w="15" w:type="dxa"/>
              <w:right w:w="15" w:type="dxa"/>
            </w:tcMar>
            <w:vAlign w:val="center"/>
          </w:tcPr>
          <w:p w14:paraId="1593A9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普查员及普查指导员普查数据登记完成率</w:t>
            </w:r>
          </w:p>
        </w:tc>
        <w:tc>
          <w:tcPr>
            <w:tcW w:w="1437" w:type="dxa"/>
            <w:shd w:val="clear" w:color="auto" w:fill="auto"/>
            <w:tcMar>
              <w:top w:w="15" w:type="dxa"/>
              <w:left w:w="15" w:type="dxa"/>
              <w:right w:w="15" w:type="dxa"/>
            </w:tcMar>
            <w:vAlign w:val="center"/>
          </w:tcPr>
          <w:p w14:paraId="1FC723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≧90%</w:t>
            </w:r>
          </w:p>
        </w:tc>
        <w:tc>
          <w:tcPr>
            <w:tcW w:w="558" w:type="dxa"/>
            <w:shd w:val="clear" w:color="auto" w:fill="auto"/>
            <w:tcMar>
              <w:top w:w="15" w:type="dxa"/>
              <w:left w:w="15" w:type="dxa"/>
              <w:right w:w="15" w:type="dxa"/>
            </w:tcMar>
            <w:vAlign w:val="center"/>
          </w:tcPr>
          <w:p w14:paraId="198AE3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shd w:val="clear" w:color="auto" w:fill="auto"/>
            <w:tcMar>
              <w:top w:w="15" w:type="dxa"/>
              <w:left w:w="15" w:type="dxa"/>
              <w:right w:w="15" w:type="dxa"/>
            </w:tcMar>
            <w:vAlign w:val="center"/>
          </w:tcPr>
          <w:p w14:paraId="4C9A217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31" w:type="dxa"/>
            <w:shd w:val="clear" w:color="auto" w:fill="auto"/>
            <w:tcMar>
              <w:top w:w="15" w:type="dxa"/>
              <w:left w:w="15" w:type="dxa"/>
              <w:right w:w="15" w:type="dxa"/>
            </w:tcMar>
            <w:vAlign w:val="center"/>
          </w:tcPr>
          <w:p w14:paraId="3DD60A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4.44</w:t>
            </w:r>
          </w:p>
        </w:tc>
      </w:tr>
      <w:tr w14:paraId="07099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0" w:hRule="atLeast"/>
        </w:trPr>
        <w:tc>
          <w:tcPr>
            <w:tcW w:w="634" w:type="dxa"/>
            <w:vMerge w:val="continue"/>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shd w:val="clear" w:color="auto" w:fill="auto"/>
            <w:tcMar>
              <w:top w:w="15" w:type="dxa"/>
              <w:left w:w="15" w:type="dxa"/>
              <w:right w:w="15" w:type="dxa"/>
            </w:tcMar>
            <w:vAlign w:val="center"/>
          </w:tcPr>
          <w:p w14:paraId="55082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普查员及普查指导员补助发放及时率</w:t>
            </w:r>
          </w:p>
        </w:tc>
        <w:tc>
          <w:tcPr>
            <w:tcW w:w="1437" w:type="dxa"/>
            <w:shd w:val="clear" w:color="auto" w:fill="auto"/>
            <w:tcMar>
              <w:top w:w="15" w:type="dxa"/>
              <w:left w:w="15" w:type="dxa"/>
              <w:right w:w="15" w:type="dxa"/>
            </w:tcMar>
            <w:vAlign w:val="center"/>
          </w:tcPr>
          <w:p w14:paraId="009AFF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≧90%</w:t>
            </w:r>
          </w:p>
        </w:tc>
        <w:tc>
          <w:tcPr>
            <w:tcW w:w="558" w:type="dxa"/>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shd w:val="clear" w:color="auto" w:fill="auto"/>
            <w:tcMar>
              <w:top w:w="15" w:type="dxa"/>
              <w:left w:w="15" w:type="dxa"/>
              <w:right w:w="15" w:type="dxa"/>
            </w:tcMar>
            <w:vAlign w:val="center"/>
          </w:tcPr>
          <w:p w14:paraId="20DEA4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31" w:type="dxa"/>
            <w:shd w:val="clear" w:color="auto" w:fill="auto"/>
            <w:tcMar>
              <w:top w:w="15" w:type="dxa"/>
              <w:left w:w="15" w:type="dxa"/>
              <w:right w:w="15" w:type="dxa"/>
            </w:tcMar>
            <w:vAlign w:val="center"/>
          </w:tcPr>
          <w:p w14:paraId="17B7E3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4.44</w:t>
            </w:r>
          </w:p>
        </w:tc>
      </w:tr>
      <w:tr w14:paraId="3AEEF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8" w:hRule="atLeast"/>
        </w:trPr>
        <w:tc>
          <w:tcPr>
            <w:tcW w:w="634" w:type="dxa"/>
            <w:vMerge w:val="continue"/>
            <w:shd w:val="clear" w:color="auto" w:fill="auto"/>
            <w:tcMar>
              <w:top w:w="15" w:type="dxa"/>
              <w:left w:w="15" w:type="dxa"/>
              <w:right w:w="15" w:type="dxa"/>
            </w:tcMar>
            <w:vAlign w:val="center"/>
          </w:tcPr>
          <w:p w14:paraId="79D057E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shd w:val="clear" w:color="auto" w:fill="auto"/>
            <w:tcMar>
              <w:top w:w="15" w:type="dxa"/>
              <w:left w:w="15" w:type="dxa"/>
              <w:right w:w="15" w:type="dxa"/>
            </w:tcMar>
            <w:vAlign w:val="center"/>
          </w:tcPr>
          <w:p w14:paraId="14C995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shd w:val="clear" w:color="auto" w:fill="auto"/>
            <w:tcMar>
              <w:top w:w="15" w:type="dxa"/>
              <w:left w:w="15" w:type="dxa"/>
              <w:right w:w="15" w:type="dxa"/>
            </w:tcMar>
            <w:vAlign w:val="center"/>
          </w:tcPr>
          <w:p w14:paraId="140A23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普查员及普查指导员清查阶段补助经费</w:t>
            </w:r>
          </w:p>
        </w:tc>
        <w:tc>
          <w:tcPr>
            <w:tcW w:w="1437" w:type="dxa"/>
            <w:shd w:val="clear" w:color="auto" w:fill="auto"/>
            <w:tcMar>
              <w:top w:w="15" w:type="dxa"/>
              <w:left w:w="15" w:type="dxa"/>
              <w:right w:w="15" w:type="dxa"/>
            </w:tcMar>
            <w:vAlign w:val="center"/>
          </w:tcPr>
          <w:p w14:paraId="1AC931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≤27.54万元</w:t>
            </w:r>
          </w:p>
        </w:tc>
        <w:tc>
          <w:tcPr>
            <w:tcW w:w="558" w:type="dxa"/>
            <w:shd w:val="clear" w:color="auto" w:fill="auto"/>
            <w:tcMar>
              <w:top w:w="15" w:type="dxa"/>
              <w:left w:w="15" w:type="dxa"/>
              <w:right w:w="15" w:type="dxa"/>
            </w:tcMar>
            <w:vAlign w:val="center"/>
          </w:tcPr>
          <w:p w14:paraId="361B6A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shd w:val="clear" w:color="auto" w:fill="auto"/>
            <w:tcMar>
              <w:top w:w="15" w:type="dxa"/>
              <w:left w:w="15" w:type="dxa"/>
              <w:right w:w="15" w:type="dxa"/>
            </w:tcMar>
            <w:vAlign w:val="center"/>
          </w:tcPr>
          <w:p w14:paraId="5C1A859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27.54万元</w:t>
            </w:r>
          </w:p>
          <w:p w14:paraId="73C050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31" w:type="dxa"/>
            <w:shd w:val="clear" w:color="auto" w:fill="auto"/>
            <w:tcMar>
              <w:top w:w="15" w:type="dxa"/>
              <w:left w:w="15" w:type="dxa"/>
              <w:right w:w="15" w:type="dxa"/>
            </w:tcMar>
            <w:vAlign w:val="center"/>
          </w:tcPr>
          <w:p w14:paraId="1EE1EE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r>
      <w:tr w14:paraId="06994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8" w:hRule="atLeast"/>
        </w:trPr>
        <w:tc>
          <w:tcPr>
            <w:tcW w:w="634" w:type="dxa"/>
            <w:vMerge w:val="continue"/>
            <w:shd w:val="clear" w:color="auto" w:fill="auto"/>
            <w:tcMar>
              <w:top w:w="15" w:type="dxa"/>
              <w:left w:w="15" w:type="dxa"/>
              <w:right w:w="15" w:type="dxa"/>
            </w:tcMar>
            <w:vAlign w:val="center"/>
          </w:tcPr>
          <w:p w14:paraId="4D7B492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shd w:val="clear" w:color="auto" w:fill="auto"/>
            <w:tcMar>
              <w:top w:w="15" w:type="dxa"/>
              <w:left w:w="15" w:type="dxa"/>
              <w:right w:w="15" w:type="dxa"/>
            </w:tcMar>
            <w:vAlign w:val="center"/>
          </w:tcPr>
          <w:p w14:paraId="26F83EC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shd w:val="clear" w:color="auto" w:fill="auto"/>
            <w:tcMar>
              <w:top w:w="15" w:type="dxa"/>
              <w:left w:w="15" w:type="dxa"/>
              <w:right w:w="15" w:type="dxa"/>
            </w:tcMar>
            <w:vAlign w:val="center"/>
          </w:tcPr>
          <w:p w14:paraId="2CB28CF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普查员及普查指导员普查阶段补助经费</w:t>
            </w:r>
          </w:p>
        </w:tc>
        <w:tc>
          <w:tcPr>
            <w:tcW w:w="1437" w:type="dxa"/>
            <w:shd w:val="clear" w:color="auto" w:fill="auto"/>
            <w:tcMar>
              <w:top w:w="15" w:type="dxa"/>
              <w:left w:w="15" w:type="dxa"/>
              <w:right w:w="15" w:type="dxa"/>
            </w:tcMar>
            <w:vAlign w:val="center"/>
          </w:tcPr>
          <w:p w14:paraId="13DA007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≤53.10万元</w:t>
            </w:r>
          </w:p>
        </w:tc>
        <w:tc>
          <w:tcPr>
            <w:tcW w:w="558" w:type="dxa"/>
            <w:shd w:val="clear" w:color="auto" w:fill="auto"/>
            <w:tcMar>
              <w:top w:w="15" w:type="dxa"/>
              <w:left w:w="15" w:type="dxa"/>
              <w:right w:w="15" w:type="dxa"/>
            </w:tcMar>
            <w:vAlign w:val="center"/>
          </w:tcPr>
          <w:p w14:paraId="4E44FA9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shd w:val="clear" w:color="auto" w:fill="auto"/>
            <w:tcMar>
              <w:top w:w="15" w:type="dxa"/>
              <w:left w:w="15" w:type="dxa"/>
              <w:right w:w="15" w:type="dxa"/>
            </w:tcMar>
            <w:vAlign w:val="center"/>
          </w:tcPr>
          <w:p w14:paraId="66C40BA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53.10万元</w:t>
            </w:r>
          </w:p>
        </w:tc>
        <w:tc>
          <w:tcPr>
            <w:tcW w:w="631" w:type="dxa"/>
            <w:shd w:val="clear" w:color="auto" w:fill="auto"/>
            <w:tcMar>
              <w:top w:w="15" w:type="dxa"/>
              <w:left w:w="15" w:type="dxa"/>
              <w:right w:w="15" w:type="dxa"/>
            </w:tcMar>
            <w:vAlign w:val="center"/>
          </w:tcPr>
          <w:p w14:paraId="55FD385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r>
      <w:tr w14:paraId="567D2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atLeast"/>
        </w:trPr>
        <w:tc>
          <w:tcPr>
            <w:tcW w:w="5643" w:type="dxa"/>
            <w:gridSpan w:val="4"/>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558" w:type="dxa"/>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40</w:t>
            </w:r>
          </w:p>
        </w:tc>
        <w:tc>
          <w:tcPr>
            <w:tcW w:w="1365" w:type="dxa"/>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31" w:type="dxa"/>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38.88</w:t>
            </w:r>
          </w:p>
        </w:tc>
      </w:tr>
    </w:tbl>
    <w:p w14:paraId="5DD9B7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val="en-US" w:eastAsia="zh-CN"/>
        </w:rPr>
      </w:pPr>
      <w:bookmarkStart w:id="131" w:name="_Toc26689"/>
      <w:bookmarkStart w:id="132" w:name="_Toc11067"/>
      <w:r>
        <w:rPr>
          <w:rFonts w:hint="eastAsia" w:ascii="仿宋_GB2312" w:hAnsi="仿宋_GB2312" w:eastAsia="仿宋_GB2312" w:cs="仿宋_GB2312"/>
          <w:b/>
          <w:bCs/>
          <w:color w:val="auto"/>
          <w:sz w:val="32"/>
          <w:szCs w:val="32"/>
          <w:lang w:val="en-US" w:eastAsia="zh-CN"/>
        </w:rPr>
        <w:t>1.数量指标完成情况</w:t>
      </w:r>
      <w:bookmarkEnd w:id="131"/>
      <w:bookmarkEnd w:id="132"/>
    </w:p>
    <w:p w14:paraId="07777A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（1）“普查员及普查指导员清查阶段数量”指标，预期目标值为≧298人，实际完成为298人。实际完成率=（298/298）×100%=100%。</w:t>
      </w:r>
    </w:p>
    <w:p w14:paraId="20C346A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（2）“普查员及普查指导员普查阶段数量”指标，预期目标值为≧277人，实际完成为277人。实际完成率=（277/277）×100%=100%。</w:t>
      </w:r>
    </w:p>
    <w:p w14:paraId="5F8BC0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综上，该项指标满分15分，得分15分。</w:t>
      </w:r>
    </w:p>
    <w:p w14:paraId="3B64E8D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3" w:name="_Toc31739"/>
      <w:bookmarkStart w:id="134" w:name="_Toc14255"/>
      <w:r>
        <w:rPr>
          <w:rFonts w:hint="eastAsia" w:ascii="仿宋_GB2312" w:hAnsi="仿宋_GB2312" w:eastAsia="仿宋_GB2312" w:cs="仿宋_GB2312"/>
          <w:b/>
          <w:bCs/>
          <w:color w:val="auto"/>
          <w:sz w:val="32"/>
          <w:szCs w:val="32"/>
          <w:lang w:val="en-US" w:eastAsia="zh-CN"/>
        </w:rPr>
        <w:t>2.</w:t>
      </w:r>
      <w:bookmarkEnd w:id="133"/>
      <w:r>
        <w:rPr>
          <w:rFonts w:hint="eastAsia" w:ascii="仿宋_GB2312" w:hAnsi="仿宋_GB2312" w:eastAsia="仿宋_GB2312" w:cs="仿宋_GB2312"/>
          <w:b/>
          <w:bCs/>
          <w:color w:val="auto"/>
          <w:sz w:val="32"/>
          <w:szCs w:val="32"/>
          <w:lang w:val="en-US" w:eastAsia="zh-CN"/>
        </w:rPr>
        <w:t>质量指标完成情况</w:t>
      </w:r>
      <w:bookmarkEnd w:id="134"/>
    </w:p>
    <w:p w14:paraId="3298ABF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（1）“普查员及普查指导员工作量”指标，预期目标值为≧6个月，实际完成为6个月。实际完成率100%。</w:t>
      </w:r>
    </w:p>
    <w:p w14:paraId="57DA32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普查员及普查指导员普查数据登记完成率”指标，预期目标值为≧90%，实际完成为100%。实际完成率111.11%。偏差原因：在项目前期，团队制定了详细且具有前瞻性的工作计划，将任务分解为清晰的阶段性目标，并建立了严格的进度监控机制。执行过程中，各部门协作紧密，责任落实到位，保障了项目高效推进。同时，通过定期复盘和动态调整，及时优化执行策略，弥补潜在漏洞，使得整体工作进度远超预期。</w:t>
      </w:r>
    </w:p>
    <w:p w14:paraId="350559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综上，该项指标满分10分，得分9.44分。</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5" w:name="_Toc18307"/>
      <w:bookmarkStart w:id="136" w:name="_Toc28885"/>
      <w:r>
        <w:rPr>
          <w:rFonts w:hint="eastAsia" w:ascii="仿宋_GB2312" w:hAnsi="仿宋_GB2312" w:eastAsia="仿宋_GB2312" w:cs="仿宋_GB2312"/>
          <w:b/>
          <w:bCs/>
          <w:color w:val="auto"/>
          <w:sz w:val="32"/>
          <w:szCs w:val="32"/>
          <w:highlight w:val="none"/>
          <w:lang w:val="en-US" w:eastAsia="zh-CN"/>
        </w:rPr>
        <w:t>3.</w:t>
      </w:r>
      <w:bookmarkEnd w:id="135"/>
      <w:r>
        <w:rPr>
          <w:rFonts w:hint="eastAsia" w:ascii="仿宋_GB2312" w:hAnsi="仿宋_GB2312" w:eastAsia="仿宋_GB2312" w:cs="仿宋_GB2312"/>
          <w:b/>
          <w:bCs/>
          <w:color w:val="auto"/>
          <w:sz w:val="32"/>
          <w:szCs w:val="32"/>
          <w:highlight w:val="none"/>
          <w:lang w:val="en-US" w:eastAsia="zh-CN"/>
        </w:rPr>
        <w:t>时效指标完成情况</w:t>
      </w:r>
      <w:bookmarkEnd w:id="136"/>
    </w:p>
    <w:p w14:paraId="385313A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普查员及普查指导员补助发放及时率”指标，预期目标值为≧90%，实际完成为100%。实际完成率111.11%。偏差原因：项目团队成员专业素养高、工作积极性强，面对复杂任务展现出出色的执行力和创新能力。同时，合理的激励机制激发了团队成员的主动性和创造力，促使大家主动承担额外任务、攻克技术难题，为指标超预期完成注入强大动力。</w:t>
      </w:r>
    </w:p>
    <w:p w14:paraId="758758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highlight w:val="none"/>
          <w:lang w:val="en-US" w:eastAsia="zh-CN"/>
        </w:rPr>
        <w:t>综上，该项指标满分5</w:t>
      </w:r>
      <w:r>
        <w:rPr>
          <w:rFonts w:hint="eastAsia" w:ascii="仿宋_GB2312" w:hAnsi="仿宋_GB2312" w:eastAsia="仿宋_GB2312" w:cs="仿宋_GB2312"/>
          <w:b/>
          <w:bCs/>
          <w:color w:val="auto"/>
          <w:sz w:val="32"/>
          <w:szCs w:val="32"/>
          <w:lang w:val="en-US" w:eastAsia="zh-CN"/>
        </w:rPr>
        <w:t>分，得分4.44分。</w:t>
      </w:r>
    </w:p>
    <w:p w14:paraId="32C7A21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7" w:name="_Toc32765"/>
      <w:bookmarkStart w:id="138" w:name="_Toc20607"/>
      <w:r>
        <w:rPr>
          <w:rFonts w:hint="eastAsia" w:ascii="仿宋_GB2312" w:hAnsi="仿宋_GB2312" w:eastAsia="仿宋_GB2312" w:cs="仿宋_GB2312"/>
          <w:b/>
          <w:bCs/>
          <w:color w:val="auto"/>
          <w:sz w:val="32"/>
          <w:szCs w:val="32"/>
          <w:lang w:val="en-US" w:eastAsia="zh-CN"/>
        </w:rPr>
        <w:t>4.项目</w:t>
      </w:r>
      <w:bookmarkEnd w:id="137"/>
      <w:r>
        <w:rPr>
          <w:rFonts w:hint="eastAsia" w:ascii="仿宋_GB2312" w:hAnsi="仿宋_GB2312" w:eastAsia="仿宋_GB2312" w:cs="仿宋_GB2312"/>
          <w:b/>
          <w:bCs/>
          <w:color w:val="auto"/>
          <w:sz w:val="32"/>
          <w:szCs w:val="32"/>
          <w:lang w:val="en-US" w:eastAsia="zh-CN"/>
        </w:rPr>
        <w:t>成本情况</w:t>
      </w:r>
      <w:bookmarkEnd w:id="138"/>
    </w:p>
    <w:p w14:paraId="050DD6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经济</w:t>
      </w:r>
      <w:r>
        <w:rPr>
          <w:rFonts w:hint="eastAsia" w:ascii="仿宋_GB2312" w:hAnsi="仿宋_GB2312" w:eastAsia="仿宋_GB2312" w:cs="仿宋_GB2312"/>
          <w:b/>
          <w:bCs/>
          <w:color w:val="auto"/>
          <w:sz w:val="32"/>
          <w:szCs w:val="32"/>
          <w:lang w:eastAsia="zh-CN"/>
        </w:rPr>
        <w:t>成本指标完成情况</w:t>
      </w:r>
    </w:p>
    <w:p w14:paraId="3E82091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（1）“普查员及普查指导员清查阶段补助经费”指标，预期目标值为≤27.54万元，实际完成为27.54万元。实际完成率=（27.54/27.54）×100%=100%。</w:t>
      </w:r>
    </w:p>
    <w:p w14:paraId="51BF344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（2）“普查员及普查指导员普查阶段补助经费”指标，预期目标值为≤53.10万元，实际完成为53.10万元。实际完成率=（27.54/27.54）×100%=100%。</w:t>
      </w:r>
    </w:p>
    <w:p w14:paraId="1C8D60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39" w:name="_Toc19424"/>
      <w:r>
        <w:rPr>
          <w:rFonts w:hint="eastAsia" w:ascii="Times New Roman" w:hAnsi="Times New Roman" w:eastAsia="楷体_GB2312" w:cs="Times New Roman"/>
          <w:color w:val="auto"/>
          <w:kern w:val="28"/>
          <w:sz w:val="32"/>
          <w:lang w:val="en-US" w:eastAsia="zh-CN"/>
        </w:rPr>
        <w:t>（四）项目效益情况</w:t>
      </w:r>
      <w:bookmarkEnd w:id="139"/>
    </w:p>
    <w:p w14:paraId="1BABCF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Times New Roman" w:hAnsi="Times New Roman" w:eastAsia="仿宋_GB2312" w:cs="Times New Roman"/>
          <w:sz w:val="32"/>
          <w:szCs w:val="32"/>
          <w:lang w:val="zh-TW" w:eastAsia="zh-TW"/>
        </w:rPr>
        <w:t>项目</w:t>
      </w:r>
      <w:r>
        <w:rPr>
          <w:rFonts w:hint="eastAsia" w:ascii="Times New Roman" w:hAnsi="Times New Roman" w:eastAsia="仿宋_GB2312" w:cs="Times New Roman"/>
          <w:sz w:val="32"/>
          <w:szCs w:val="32"/>
          <w:lang w:val="en-US" w:eastAsia="zh-CN"/>
        </w:rPr>
        <w:t>效益</w:t>
      </w:r>
      <w:r>
        <w:rPr>
          <w:rFonts w:hint="eastAsia" w:ascii="Times New Roman" w:hAnsi="Times New Roman" w:eastAsia="仿宋_GB2312" w:cs="Times New Roman"/>
          <w:sz w:val="32"/>
          <w:szCs w:val="32"/>
          <w:lang w:val="zh-TW" w:eastAsia="zh-TW"/>
        </w:rPr>
        <w:t>类指标</w:t>
      </w:r>
      <w:r>
        <w:rPr>
          <w:rFonts w:hint="default" w:ascii="Times New Roman" w:hAnsi="Times New Roman" w:eastAsia="仿宋_GB2312" w:cs="Times New Roman"/>
          <w:sz w:val="32"/>
          <w:szCs w:val="32"/>
          <w:lang w:val="en-US" w:eastAsia="zh-CN"/>
        </w:rPr>
        <w:t>包括项目实施效益和满意度两方面的内容，</w:t>
      </w:r>
      <w:r>
        <w:rPr>
          <w:rFonts w:hint="eastAsia" w:ascii="Times New Roman" w:hAnsi="Times New Roman" w:eastAsia="仿宋_GB2312" w:cs="Times New Roman"/>
          <w:sz w:val="32"/>
          <w:szCs w:val="32"/>
          <w:lang w:val="zh-TW" w:eastAsia="zh-TW"/>
        </w:rPr>
        <w:t>由</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zh-TW" w:eastAsia="zh-TW"/>
        </w:rPr>
        <w:t>个</w:t>
      </w:r>
      <w:r>
        <w:rPr>
          <w:rFonts w:hint="eastAsia" w:ascii="Times New Roman" w:hAnsi="Times New Roman" w:eastAsia="仿宋_GB2312" w:cs="Times New Roman"/>
          <w:sz w:val="32"/>
          <w:szCs w:val="32"/>
          <w:lang w:val="zh-TW" w:eastAsia="zh-CN"/>
        </w:rPr>
        <w:t>二</w:t>
      </w:r>
      <w:r>
        <w:rPr>
          <w:rFonts w:hint="eastAsia" w:ascii="Times New Roman" w:hAnsi="Times New Roman" w:eastAsia="仿宋_GB2312" w:cs="Times New Roman"/>
          <w:sz w:val="32"/>
          <w:szCs w:val="32"/>
          <w:lang w:val="zh-TW" w:eastAsia="zh-TW"/>
        </w:rPr>
        <w:t>级指标和</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zh-TW" w:eastAsia="zh-TW"/>
        </w:rPr>
        <w:t>个</w:t>
      </w:r>
      <w:r>
        <w:rPr>
          <w:rFonts w:hint="eastAsia" w:ascii="Times New Roman" w:hAnsi="Times New Roman" w:eastAsia="仿宋_GB2312" w:cs="Times New Roman"/>
          <w:sz w:val="32"/>
          <w:szCs w:val="32"/>
          <w:lang w:val="en-US" w:eastAsia="zh-CN"/>
        </w:rPr>
        <w:t>三</w:t>
      </w:r>
      <w:r>
        <w:rPr>
          <w:rFonts w:hint="eastAsia" w:ascii="Times New Roman" w:hAnsi="Times New Roman" w:eastAsia="仿宋_GB2312" w:cs="Times New Roman"/>
          <w:sz w:val="32"/>
          <w:szCs w:val="32"/>
          <w:lang w:val="zh-TW" w:eastAsia="zh-TW"/>
        </w:rPr>
        <w:t>级指标构成，权重分</w:t>
      </w:r>
      <w:r>
        <w:rPr>
          <w:rFonts w:hint="eastAsia"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val="zh-TW" w:eastAsia="zh-TW"/>
        </w:rPr>
        <w:t>分，实际得分</w:t>
      </w:r>
      <w:r>
        <w:rPr>
          <w:rFonts w:hint="eastAsia"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val="zh-TW" w:eastAsia="zh-TW"/>
        </w:rPr>
        <w:t>分</w:t>
      </w:r>
      <w:r>
        <w:rPr>
          <w:rFonts w:hint="eastAsia" w:ascii="Times New Roman" w:hAnsi="Times New Roman" w:eastAsia="仿宋_GB2312" w:cs="Times New Roman"/>
          <w:sz w:val="32"/>
          <w:szCs w:val="32"/>
          <w:lang w:val="zh-TW" w:eastAsia="zh-CN"/>
        </w:rPr>
        <w:t>，</w:t>
      </w:r>
      <w:r>
        <w:rPr>
          <w:rFonts w:hint="eastAsia" w:ascii="Times New Roman" w:hAnsi="Times New Roman" w:eastAsia="仿宋_GB2312" w:cs="Times New Roman"/>
          <w:sz w:val="32"/>
          <w:szCs w:val="32"/>
          <w:lang w:val="zh-TW" w:eastAsia="zh-TW"/>
        </w:rPr>
        <w:t>各指标业绩值和绩效分值如表</w:t>
      </w:r>
      <w:r>
        <w:rPr>
          <w:rFonts w:hint="eastAsia" w:ascii="Times New Roman" w:hAnsi="Times New Roman" w:eastAsia="仿宋_GB2312" w:cs="Times New Roman"/>
          <w:sz w:val="32"/>
          <w:szCs w:val="32"/>
          <w:lang w:val="en-US" w:eastAsia="zh-CN"/>
        </w:rPr>
        <w:t>4-4</w:t>
      </w:r>
      <w:r>
        <w:rPr>
          <w:rFonts w:hint="eastAsia" w:ascii="Times New Roman" w:hAnsi="Times New Roman" w:eastAsia="仿宋_GB2312" w:cs="Times New Roman"/>
          <w:sz w:val="32"/>
          <w:szCs w:val="32"/>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688F769C">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253B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普查数据提高政府统计公信力</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有效提高</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15</w:t>
            </w:r>
          </w:p>
        </w:tc>
      </w:tr>
      <w:tr w14:paraId="55E3A6DE">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D2AE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8BF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9EC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普查指导员和普查员满意度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6C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FB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3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B34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r>
      <w:tr w14:paraId="03CF51F4">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r>
    </w:tbl>
    <w:p w14:paraId="58F43E0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val="en-US" w:eastAsia="zh-CN"/>
        </w:rPr>
      </w:pPr>
      <w:bookmarkStart w:id="140" w:name="_Toc5170"/>
      <w:bookmarkStart w:id="141" w:name="_Toc8010"/>
      <w:r>
        <w:rPr>
          <w:rFonts w:hint="eastAsia" w:ascii="仿宋_GB2312" w:hAnsi="仿宋_GB2312" w:eastAsia="仿宋_GB2312" w:cs="仿宋_GB2312"/>
          <w:b/>
          <w:bCs/>
          <w:color w:val="auto"/>
          <w:sz w:val="32"/>
          <w:szCs w:val="32"/>
          <w:lang w:val="en-US" w:eastAsia="zh-CN"/>
        </w:rPr>
        <w:t>1.</w:t>
      </w:r>
      <w:bookmarkEnd w:id="140"/>
      <w:bookmarkEnd w:id="141"/>
      <w:bookmarkStart w:id="142" w:name="_Toc27006"/>
      <w:bookmarkStart w:id="143" w:name="_Toc29606"/>
      <w:r>
        <w:rPr>
          <w:rFonts w:hint="eastAsia" w:ascii="仿宋_GB2312" w:hAnsi="仿宋_GB2312" w:eastAsia="仿宋_GB2312" w:cs="仿宋_GB2312"/>
          <w:b/>
          <w:bCs/>
          <w:color w:val="auto"/>
          <w:sz w:val="32"/>
          <w:szCs w:val="32"/>
          <w:lang w:val="en-US" w:eastAsia="zh-CN"/>
        </w:rPr>
        <w:t>社会效益指标</w:t>
      </w:r>
      <w:bookmarkEnd w:id="142"/>
      <w:r>
        <w:rPr>
          <w:rFonts w:hint="eastAsia" w:ascii="仿宋_GB2312" w:hAnsi="仿宋_GB2312" w:eastAsia="仿宋_GB2312" w:cs="仿宋_GB2312"/>
          <w:b/>
          <w:bCs/>
          <w:color w:val="auto"/>
          <w:sz w:val="32"/>
          <w:szCs w:val="32"/>
          <w:lang w:val="en-US" w:eastAsia="zh-CN"/>
        </w:rPr>
        <w:t>完成情况</w:t>
      </w:r>
      <w:bookmarkEnd w:id="143"/>
    </w:p>
    <w:p w14:paraId="51D7479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（1）“普查数据提高政府统计公信力”指标，预期目标值为有效提高，实际完成为达到预期指标。</w:t>
      </w:r>
    </w:p>
    <w:p w14:paraId="7A9F99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通过项目的实施，达到有效提高政府统计公信力的效果。</w:t>
      </w:r>
    </w:p>
    <w:p w14:paraId="0FE3E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综上，该项指标满分15分，得分15分。</w:t>
      </w:r>
    </w:p>
    <w:p w14:paraId="0415259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4"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4"/>
    </w:p>
    <w:p w14:paraId="27074C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“普查指导员和普查员满意度”指标，预期目标值为≧90%，实际完成为100%。</w:t>
      </w:r>
    </w:p>
    <w:p w14:paraId="3F742A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215C57F">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pPr>
      <w:bookmarkStart w:id="145"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五、主要经验及做法、存在的问题及原因分析</w:t>
      </w:r>
      <w:bookmarkEnd w:id="145"/>
    </w:p>
    <w:p w14:paraId="67DA88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6" w:name="_Toc15449"/>
      <w:bookmarkStart w:id="147" w:name="_Toc28290"/>
      <w:bookmarkStart w:id="148" w:name="_Toc1921"/>
      <w:r>
        <w:rPr>
          <w:rFonts w:hint="eastAsia" w:ascii="Times New Roman" w:hAnsi="Times New Roman" w:eastAsia="楷体_GB2312" w:cs="Times New Roman"/>
          <w:b/>
          <w:bCs/>
          <w:kern w:val="28"/>
          <w:sz w:val="32"/>
          <w:highlight w:val="none"/>
          <w:lang w:val="en-US" w:eastAsia="zh-CN"/>
        </w:rPr>
        <w:t>（一）主要经验及做法</w:t>
      </w:r>
      <w:bookmarkEnd w:id="146"/>
    </w:p>
    <w:p w14:paraId="604C55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昌州财行【2024】14号自治区第五次全国经济普查“两员”补助经费项目</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lang w:eastAsia="zh-CN"/>
        </w:rPr>
        <w:t>年预算</w:t>
      </w:r>
      <w:r>
        <w:rPr>
          <w:rFonts w:hint="eastAsia" w:ascii="仿宋_GB2312" w:hAnsi="仿宋_GB2312" w:eastAsia="仿宋_GB2312" w:cs="仿宋_GB2312"/>
          <w:sz w:val="32"/>
          <w:szCs w:val="32"/>
          <w:lang w:val="en-US" w:eastAsia="zh-CN"/>
        </w:rPr>
        <w:t>数</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lang w:val="en-US" w:eastAsia="zh-CN"/>
        </w:rPr>
        <w:t>80.64</w:t>
      </w:r>
      <w:r>
        <w:rPr>
          <w:rFonts w:hint="eastAsia" w:ascii="仿宋_GB2312" w:hAnsi="仿宋_GB2312" w:eastAsia="仿宋_GB2312" w:cs="仿宋_GB2312"/>
          <w:sz w:val="32"/>
          <w:szCs w:val="32"/>
          <w:lang w:eastAsia="zh-CN"/>
        </w:rPr>
        <w:t>万元，</w:t>
      </w:r>
      <w:r>
        <w:rPr>
          <w:rFonts w:hint="eastAsia" w:ascii="仿宋_GB2312" w:hAnsi="仿宋_GB2312" w:eastAsia="仿宋_GB2312" w:cs="仿宋_GB2312"/>
          <w:sz w:val="32"/>
          <w:szCs w:val="32"/>
          <w:lang w:val="en-US" w:eastAsia="zh-CN"/>
        </w:rPr>
        <w:t>截至2024年12月31日共</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lang w:val="en-US" w:eastAsia="zh-CN"/>
        </w:rPr>
        <w:t>80.64</w:t>
      </w:r>
      <w:r>
        <w:rPr>
          <w:rFonts w:hint="eastAsia" w:ascii="仿宋_GB2312" w:hAnsi="仿宋_GB2312" w:eastAsia="仿宋_GB2312" w:cs="仿宋_GB2312"/>
          <w:sz w:val="32"/>
          <w:szCs w:val="32"/>
          <w:lang w:eastAsia="zh-CN"/>
        </w:rPr>
        <w:t>万元，预算</w:t>
      </w:r>
      <w:r>
        <w:rPr>
          <w:rFonts w:hint="eastAsia" w:ascii="仿宋_GB2312" w:hAnsi="仿宋_GB2312" w:eastAsia="仿宋_GB2312" w:cs="仿宋_GB2312"/>
          <w:sz w:val="32"/>
          <w:szCs w:val="32"/>
          <w:lang w:val="en-US" w:eastAsia="zh-CN"/>
        </w:rPr>
        <w:t>执行</w:t>
      </w:r>
      <w:r>
        <w:rPr>
          <w:rFonts w:hint="eastAsia" w:ascii="仿宋_GB2312" w:hAnsi="仿宋_GB2312" w:eastAsia="仿宋_GB2312" w:cs="仿宋_GB2312"/>
          <w:sz w:val="32"/>
          <w:szCs w:val="32"/>
          <w:lang w:eastAsia="zh-CN"/>
        </w:rPr>
        <w:t>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14:paraId="453DF2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阜康市统计局</w:t>
      </w:r>
      <w:r>
        <w:rPr>
          <w:rFonts w:hint="eastAsia" w:ascii="仿宋_GB2312" w:hAnsi="仿宋_GB2312" w:eastAsia="仿宋_GB2312" w:cs="仿宋_GB2312"/>
          <w:sz w:val="32"/>
          <w:szCs w:val="32"/>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sz w:val="32"/>
          <w:szCs w:val="32"/>
          <w:lang w:val="en-US" w:eastAsia="zh-CN"/>
        </w:rPr>
        <w:t>阜康市统计局</w:t>
      </w:r>
      <w:r>
        <w:rPr>
          <w:rFonts w:hint="eastAsia" w:ascii="仿宋_GB2312" w:hAnsi="仿宋_GB2312" w:eastAsia="仿宋_GB2312" w:cs="仿宋_GB2312"/>
          <w:sz w:val="32"/>
          <w:szCs w:val="32"/>
          <w:lang w:eastAsia="zh-CN"/>
        </w:rPr>
        <w:t>事业发展中关系民生与稳定的项目，切实优化资源配置，提高了资金使用的效率和效果。</w:t>
      </w:r>
    </w:p>
    <w:bookmarkEnd w:id="147"/>
    <w:bookmarkEnd w:id="148"/>
    <w:p w14:paraId="275056F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9" w:name="_Toc29168"/>
      <w:r>
        <w:rPr>
          <w:rFonts w:hint="eastAsia" w:ascii="Times New Roman" w:hAnsi="Times New Roman" w:eastAsia="楷体_GB2312" w:cs="Times New Roman"/>
          <w:b/>
          <w:bCs/>
          <w:kern w:val="28"/>
          <w:sz w:val="32"/>
          <w:highlight w:val="none"/>
          <w:lang w:val="en-US" w:eastAsia="zh-CN"/>
        </w:rPr>
        <w:t>（二）存在的问题及原因分析</w:t>
      </w:r>
      <w:bookmarkEnd w:id="149"/>
      <w:bookmarkStart w:id="150" w:name="_Toc3333"/>
    </w:p>
    <w:p w14:paraId="50F4F52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普查人员培训工作不到位，培训内容不够全面、深入，培训方式单一，未能有效提高普查人员的业务水平和专业技能。部分普查人员责任意识不强，工作态度不认真，对普查工作的重要性认识不足，存在敷衍了事的现象。同时，基层普查机构缺乏吸引和留住专业人才的机制，导致人员流动性较大，影响了普查工作的稳定性和连续性。</w:t>
      </w:r>
    </w:p>
    <w:p w14:paraId="52AA377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部分地区对经济普查宣传工作的重视程度不够，缺乏宣传工作的整体规划和部署，宣传资源投入不足。宣传工作缺乏针对性和有效性，未能根据不同的受众群体制定相应的宣传策略，导致宣传效果大打折扣。同时，宣传工作的时效性不强，未能在普查工作的关键节点进行有效的宣传，影响了普查工作的顺利开展。</w:t>
      </w:r>
    </w:p>
    <w:p w14:paraId="1AC85D25">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六、有关建议</w:t>
      </w:r>
      <w:bookmarkEnd w:id="150"/>
      <w:bookmarkStart w:id="151" w:name="_Toc14256"/>
    </w:p>
    <w:p w14:paraId="2DD86DF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制定科学合理的培训计划，丰富培训内容，包括经济知识、普查业务知识、数据采集与处理技能等，采用多样化的培训方式，如集中授课、案例分析、实地演练等，提高培训效果。加强对普查人员的职业道德教育，增强其责任意识和工作使命感。建立健全普查人员考核评价机制，将考核结果与薪酬待遇、职业发展挂钩，激励普查人员认真履行职责，提高工作质量和效率。同时，加强基层普查机构建设，改善工作条件，提高待遇，吸引和留住专业人才。</w:t>
      </w:r>
    </w:p>
    <w:p w14:paraId="08093D7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定全面的宣传工作方案，加大宣传资源投入，创新宣传方式和手段，充分利用电视、广播、报纸、网络、新媒体等多种渠道进行广泛宣传。针对不同的受众群体，制定个性化的宣传策略，提高宣传的针对性和有效性。在普查工作的关键节点，如普查启动、数据采集、数据审核等阶段，开展有针对性的宣传活动，提高社会公众对经济普查的知晓度和参与度。同时，加强与企业和群众的沟通交流，及时解答他们的疑问，消除他们的顾虑，争取他们的理解和支持。</w:t>
      </w:r>
    </w:p>
    <w:p w14:paraId="5BDE53F2">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七、其他需要说明的问题</w:t>
      </w:r>
      <w:bookmarkEnd w:id="151"/>
    </w:p>
    <w:p w14:paraId="3D39D3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无其他需要说明的问题。</w:t>
      </w:r>
    </w:p>
    <w:p w14:paraId="20AFB57E">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28B20EF5">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color w:val="auto"/>
        </w:rPr>
      </w:pPr>
      <w:bookmarkStart w:id="152" w:name="_Toc28971"/>
      <w:bookmarkStart w:id="153" w:name="_Toc11349"/>
      <w:r>
        <w:rPr>
          <w:rFonts w:hint="eastAsia" w:ascii="宋体" w:hAnsi="宋体" w:eastAsia="宋体" w:cs="宋体"/>
          <w:b/>
          <w:bCs/>
          <w:color w:val="auto"/>
          <w:highlight w:val="none"/>
          <w:shd w:val="clear" w:color="auto" w:fill="auto"/>
          <w:lang w:val="en-US" w:eastAsia="zh-CN"/>
        </w:rPr>
        <w:t>附件一、项目支出绩效自评表</w:t>
      </w:r>
      <w:bookmarkEnd w:id="152"/>
      <w:bookmarkEnd w:id="153"/>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0"/>
        <w:gridCol w:w="880"/>
        <w:gridCol w:w="880"/>
        <w:gridCol w:w="880"/>
        <w:gridCol w:w="1121"/>
        <w:gridCol w:w="1283"/>
        <w:gridCol w:w="1202"/>
        <w:gridCol w:w="1283"/>
        <w:gridCol w:w="1121"/>
        <w:gridCol w:w="880"/>
        <w:gridCol w:w="880"/>
        <w:gridCol w:w="881"/>
        <w:gridCol w:w="881"/>
        <w:gridCol w:w="1122"/>
      </w:tblGrid>
      <w:tr w14:paraId="6F7EF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22DBDAFF">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506E3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5B7AF0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01E82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3A866F3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5"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6E6BF2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昌州财行【2024】14号自治区第五次全国经济普查“两员”补助经费</w:t>
            </w:r>
          </w:p>
        </w:tc>
      </w:tr>
      <w:tr w14:paraId="4CCC3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00D22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7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24A5E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阜康市统计局</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EE0B7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7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B5CB9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阜康市统计局</w:t>
            </w:r>
          </w:p>
        </w:tc>
      </w:tr>
      <w:tr w14:paraId="084AD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C54A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8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12614F">
            <w:pPr>
              <w:jc w:val="center"/>
              <w:rPr>
                <w:rFonts w:hint="eastAsia" w:ascii="宋体" w:hAnsi="宋体" w:eastAsia="宋体" w:cs="宋体"/>
                <w:b/>
                <w:bCs/>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2DDB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93518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19311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D17BC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66534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C0DB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7F938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5BB91">
            <w:pPr>
              <w:jc w:val="center"/>
              <w:rPr>
                <w:rFonts w:hint="eastAsia" w:ascii="宋体" w:hAnsi="宋体" w:eastAsia="宋体" w:cs="宋体"/>
                <w:b/>
                <w:bCs/>
                <w:i w:val="0"/>
                <w:iCs w:val="0"/>
                <w:color w:val="000000"/>
                <w:sz w:val="18"/>
                <w:szCs w:val="18"/>
                <w:u w:val="none"/>
              </w:rPr>
            </w:pPr>
          </w:p>
        </w:tc>
        <w:tc>
          <w:tcPr>
            <w:tcW w:w="8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891C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8BD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80.64</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F06A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80.64</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7A05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80.64</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6157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9CE8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1CC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6577D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937F4">
            <w:pPr>
              <w:jc w:val="center"/>
              <w:rPr>
                <w:rFonts w:hint="eastAsia" w:ascii="宋体" w:hAnsi="宋体" w:eastAsia="宋体" w:cs="宋体"/>
                <w:b/>
                <w:bCs/>
                <w:i w:val="0"/>
                <w:iCs w:val="0"/>
                <w:color w:val="000000"/>
                <w:sz w:val="18"/>
                <w:szCs w:val="18"/>
                <w:u w:val="none"/>
              </w:rPr>
            </w:pPr>
          </w:p>
        </w:tc>
        <w:tc>
          <w:tcPr>
            <w:tcW w:w="8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51508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7E1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80.64</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9A26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80.64</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CD02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80.64</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7D37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EBD8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035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73EB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0ACBF">
            <w:pPr>
              <w:jc w:val="center"/>
              <w:rPr>
                <w:rFonts w:hint="eastAsia" w:ascii="宋体" w:hAnsi="宋体" w:eastAsia="宋体" w:cs="宋体"/>
                <w:b/>
                <w:bCs/>
                <w:i w:val="0"/>
                <w:iCs w:val="0"/>
                <w:color w:val="000000"/>
                <w:sz w:val="18"/>
                <w:szCs w:val="18"/>
                <w:u w:val="none"/>
              </w:rPr>
            </w:pPr>
          </w:p>
        </w:tc>
        <w:tc>
          <w:tcPr>
            <w:tcW w:w="8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CF791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A70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36CD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7968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5B58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695B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48D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4460E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C6EBB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7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6C88D3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2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80A94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0ED67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1A5262">
            <w:pPr>
              <w:jc w:val="center"/>
              <w:rPr>
                <w:rFonts w:hint="eastAsia" w:ascii="宋体" w:hAnsi="宋体" w:eastAsia="宋体" w:cs="宋体"/>
                <w:b/>
                <w:bCs/>
                <w:i w:val="0"/>
                <w:iCs w:val="0"/>
                <w:color w:val="000000"/>
                <w:sz w:val="18"/>
                <w:szCs w:val="18"/>
                <w:u w:val="none"/>
              </w:rPr>
            </w:pPr>
          </w:p>
        </w:tc>
        <w:tc>
          <w:tcPr>
            <w:tcW w:w="197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D343D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同有关部门组织完成国家、区、州、市重大国情国力、区情区力、州情州力和市情市力普查。2024年是第五次经济普查的正式登记阶段，主要目标是开展普查登记、数据审核验收，开展数据事后质量抽查和评估普查数据质量。阜康市统计局2024年预计完成发放普查员及普查指导员清查阶段298人、普查员及普查指导员普查阶段277人、调查数据准确率至少90%、普查阶段结束时间预计6月30日结束，预期普查指导员和普查员满意度达到90%以上，通过项目的实施预期有效达到提高政府统计公信力的效果。</w:t>
            </w:r>
          </w:p>
        </w:tc>
        <w:tc>
          <w:tcPr>
            <w:tcW w:w="282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3F0BE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发放普查员及普查指导员清查阶段298人、普查员及普查指导员普查阶段277人、调查数据准确率100%、普查阶段结束时间6月30日结束，普查指导员和普查员满意度达到100%、通过项目的实施有效达到提高政府统计公信力的效果。</w:t>
            </w:r>
          </w:p>
        </w:tc>
      </w:tr>
      <w:tr w14:paraId="7DBAB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9A5381">
            <w:pPr>
              <w:jc w:val="center"/>
              <w:rPr>
                <w:rFonts w:hint="eastAsia" w:ascii="宋体" w:hAnsi="宋体" w:eastAsia="宋体" w:cs="宋体"/>
                <w:i w:val="0"/>
                <w:iCs w:val="0"/>
                <w:color w:val="000000"/>
                <w:sz w:val="18"/>
                <w:szCs w:val="18"/>
                <w:u w:val="none"/>
              </w:rPr>
            </w:pP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5E53F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9050B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BECB3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50F9E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7F36D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F9ECE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B1D80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5961A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B2FD8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B78EA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E9C82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B0A61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D2E6C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5E4C7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366DD">
            <w:pPr>
              <w:jc w:val="center"/>
              <w:rPr>
                <w:rFonts w:hint="eastAsia" w:ascii="宋体" w:hAnsi="宋体" w:eastAsia="宋体" w:cs="宋体"/>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BF95B5">
            <w:pPr>
              <w:jc w:val="center"/>
              <w:rPr>
                <w:rFonts w:hint="eastAsia" w:ascii="宋体" w:hAnsi="宋体" w:eastAsia="宋体" w:cs="宋体"/>
                <w:b/>
                <w:bCs/>
                <w:i w:val="0"/>
                <w:iCs w:val="0"/>
                <w:color w:val="000000"/>
                <w:sz w:val="18"/>
                <w:szCs w:val="18"/>
                <w:u w:val="none"/>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42F7E">
            <w:pPr>
              <w:jc w:val="center"/>
              <w:rPr>
                <w:rFonts w:hint="eastAsia" w:ascii="宋体" w:hAnsi="宋体" w:eastAsia="宋体" w:cs="宋体"/>
                <w:b/>
                <w:bCs/>
                <w:i w:val="0"/>
                <w:iCs w:val="0"/>
                <w:color w:val="000000"/>
                <w:sz w:val="18"/>
                <w:szCs w:val="18"/>
                <w:u w:val="none"/>
              </w:rPr>
            </w:pPr>
          </w:p>
        </w:tc>
        <w:tc>
          <w:tcPr>
            <w:tcW w:w="4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B13CB0">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E5B85">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453E29">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98FB3">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2C515">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85F6D">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4F9BC">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FF437">
            <w:pPr>
              <w:jc w:val="center"/>
              <w:rPr>
                <w:rFonts w:hint="eastAsia" w:ascii="宋体" w:hAnsi="宋体" w:eastAsia="宋体" w:cs="宋体"/>
                <w:b/>
                <w:bCs/>
                <w:i w:val="0"/>
                <w:iCs w:val="0"/>
                <w:color w:val="000000"/>
                <w:sz w:val="18"/>
                <w:szCs w:val="18"/>
                <w:u w:val="none"/>
              </w:rPr>
            </w:pPr>
          </w:p>
        </w:tc>
        <w:tc>
          <w:tcPr>
            <w:tcW w:w="3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42D87">
            <w:pPr>
              <w:jc w:val="center"/>
              <w:rPr>
                <w:rFonts w:hint="eastAsia" w:ascii="宋体" w:hAnsi="宋体" w:eastAsia="宋体" w:cs="宋体"/>
                <w:b/>
                <w:bCs/>
                <w:i w:val="0"/>
                <w:iCs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35FC8">
            <w:pPr>
              <w:jc w:val="center"/>
              <w:rPr>
                <w:rFonts w:hint="eastAsia" w:ascii="宋体" w:hAnsi="宋体" w:eastAsia="宋体" w:cs="宋体"/>
                <w:b/>
                <w:bCs/>
                <w:i w:val="0"/>
                <w:iCs w:val="0"/>
                <w:color w:val="000000"/>
                <w:sz w:val="18"/>
                <w:szCs w:val="18"/>
                <w:u w:val="none"/>
              </w:rPr>
            </w:pPr>
          </w:p>
        </w:tc>
        <w:tc>
          <w:tcPr>
            <w:tcW w:w="8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B2509B">
            <w:pPr>
              <w:jc w:val="center"/>
              <w:rPr>
                <w:rFonts w:hint="eastAsia" w:ascii="宋体" w:hAnsi="宋体" w:eastAsia="宋体" w:cs="宋体"/>
                <w:b/>
                <w:bCs/>
                <w:i w:val="0"/>
                <w:iCs w:val="0"/>
                <w:color w:val="000000"/>
                <w:sz w:val="18"/>
                <w:szCs w:val="18"/>
                <w:u w:val="none"/>
              </w:rPr>
            </w:pPr>
          </w:p>
        </w:tc>
      </w:tr>
      <w:tr w14:paraId="78F19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8CA8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C329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49E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B54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普查员及普查指导员清查阶段数量</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734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B0F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&gt;=298人</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BD0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=298人</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ABA5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16A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0ED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BEDF5">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13E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177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3C734">
            <w:pPr>
              <w:jc w:val="center"/>
              <w:rPr>
                <w:rFonts w:hint="eastAsia" w:ascii="宋体" w:hAnsi="宋体" w:eastAsia="宋体" w:cs="宋体"/>
                <w:i w:val="0"/>
                <w:iCs w:val="0"/>
                <w:color w:val="000000"/>
                <w:sz w:val="18"/>
                <w:szCs w:val="18"/>
                <w:u w:val="none"/>
              </w:rPr>
            </w:pPr>
          </w:p>
        </w:tc>
      </w:tr>
      <w:tr w14:paraId="7E732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2A5A8">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6CAB4">
            <w:pPr>
              <w:jc w:val="center"/>
              <w:rPr>
                <w:rFonts w:hint="eastAsia" w:ascii="宋体" w:hAnsi="宋体" w:eastAsia="宋体" w:cs="宋体"/>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D7C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3DF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普查员及普查指导员普查阶段数量</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C6C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5D9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&gt;=277人</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CB5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=277人</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BC8E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DE4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BEE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7A884">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BCE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26D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24652">
            <w:pPr>
              <w:jc w:val="center"/>
              <w:rPr>
                <w:rFonts w:hint="eastAsia" w:ascii="宋体" w:hAnsi="宋体" w:eastAsia="宋体" w:cs="宋体"/>
                <w:i w:val="0"/>
                <w:iCs w:val="0"/>
                <w:color w:val="000000"/>
                <w:sz w:val="18"/>
                <w:szCs w:val="18"/>
                <w:u w:val="none"/>
              </w:rPr>
            </w:pPr>
          </w:p>
        </w:tc>
      </w:tr>
      <w:tr w14:paraId="53C8E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E27AA">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5213BA">
            <w:pPr>
              <w:jc w:val="center"/>
              <w:rPr>
                <w:rFonts w:hint="eastAsia" w:ascii="宋体" w:hAnsi="宋体" w:eastAsia="宋体" w:cs="宋体"/>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C42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2CB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普查员及普查指导员工作量</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1B9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5F0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&gt;=6个月</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6D2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=6个月</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467F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CF2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D1C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29CF6">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5B1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88C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CDB99">
            <w:pPr>
              <w:jc w:val="center"/>
              <w:rPr>
                <w:rFonts w:hint="eastAsia" w:ascii="宋体" w:hAnsi="宋体" w:eastAsia="宋体" w:cs="宋体"/>
                <w:i w:val="0"/>
                <w:iCs w:val="0"/>
                <w:color w:val="000000"/>
                <w:sz w:val="18"/>
                <w:szCs w:val="18"/>
                <w:u w:val="none"/>
              </w:rPr>
            </w:pPr>
          </w:p>
        </w:tc>
      </w:tr>
      <w:tr w14:paraId="608C8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10745">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A7B5EB">
            <w:pPr>
              <w:jc w:val="center"/>
              <w:rPr>
                <w:rFonts w:hint="eastAsia" w:ascii="宋体" w:hAnsi="宋体" w:eastAsia="宋体" w:cs="宋体"/>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903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9DC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普查员及普查指导员普查数据登记完成率</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398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352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1C1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73D6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111.11%</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C69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4.44</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C5E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D8733">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4A9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AE2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DD41E">
            <w:pPr>
              <w:jc w:val="center"/>
              <w:rPr>
                <w:rFonts w:hint="eastAsia" w:ascii="宋体" w:hAnsi="宋体" w:eastAsia="宋体" w:cs="宋体"/>
                <w:i w:val="0"/>
                <w:iCs w:val="0"/>
                <w:color w:val="000000"/>
                <w:sz w:val="18"/>
                <w:szCs w:val="18"/>
                <w:u w:val="none"/>
              </w:rPr>
            </w:pPr>
          </w:p>
        </w:tc>
      </w:tr>
      <w:tr w14:paraId="76E36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B4E6C">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5FC7F">
            <w:pPr>
              <w:jc w:val="center"/>
              <w:rPr>
                <w:rFonts w:hint="eastAsia" w:ascii="宋体" w:hAnsi="宋体" w:eastAsia="宋体" w:cs="宋体"/>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532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CC3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普查员及普查指导员补助发放及时率</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C67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F35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B20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5193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111.11%</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96B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8.89</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54B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31C2E">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4E1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992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1A32C">
            <w:pPr>
              <w:jc w:val="center"/>
              <w:rPr>
                <w:rFonts w:hint="eastAsia" w:ascii="宋体" w:hAnsi="宋体" w:eastAsia="宋体" w:cs="宋体"/>
                <w:i w:val="0"/>
                <w:iCs w:val="0"/>
                <w:color w:val="000000"/>
                <w:sz w:val="18"/>
                <w:szCs w:val="18"/>
                <w:u w:val="none"/>
              </w:rPr>
            </w:pPr>
          </w:p>
        </w:tc>
      </w:tr>
      <w:tr w14:paraId="5F7B8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055CF">
            <w:pPr>
              <w:jc w:val="center"/>
              <w:rPr>
                <w:rFonts w:hint="eastAsia" w:ascii="宋体" w:hAnsi="宋体" w:eastAsia="宋体" w:cs="宋体"/>
                <w:b/>
                <w:bCs/>
                <w:i w:val="0"/>
                <w:iCs w:val="0"/>
                <w:color w:val="000000"/>
                <w:sz w:val="18"/>
                <w:szCs w:val="18"/>
                <w:u w:val="none"/>
              </w:rPr>
            </w:pP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ADA0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752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83A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普查员及普查指导员清查阶段补助经费</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6B0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968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&lt;=27.54万元</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C91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=27.54万元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7250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4B0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586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B15D8">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6C5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1FF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8E92D">
            <w:pPr>
              <w:jc w:val="center"/>
              <w:rPr>
                <w:rFonts w:hint="eastAsia" w:ascii="宋体" w:hAnsi="宋体" w:eastAsia="宋体" w:cs="宋体"/>
                <w:i w:val="0"/>
                <w:iCs w:val="0"/>
                <w:color w:val="000000"/>
                <w:sz w:val="18"/>
                <w:szCs w:val="18"/>
                <w:u w:val="none"/>
              </w:rPr>
            </w:pPr>
          </w:p>
        </w:tc>
      </w:tr>
      <w:tr w14:paraId="4B9FE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8F568">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6A0F8C">
            <w:pPr>
              <w:jc w:val="center"/>
              <w:rPr>
                <w:rFonts w:hint="eastAsia" w:ascii="宋体" w:hAnsi="宋体" w:eastAsia="宋体" w:cs="宋体"/>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3D3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C42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普查员及普查指导员普查阶段补助经费</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97C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5CA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&lt;=53.10万元</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F12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=53.10万元</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48D7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6DE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2E6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3DE9E">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E80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668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FD4B5">
            <w:pPr>
              <w:jc w:val="center"/>
              <w:rPr>
                <w:rFonts w:hint="eastAsia" w:ascii="宋体" w:hAnsi="宋体" w:eastAsia="宋体" w:cs="宋体"/>
                <w:i w:val="0"/>
                <w:iCs w:val="0"/>
                <w:color w:val="000000"/>
                <w:sz w:val="18"/>
                <w:szCs w:val="18"/>
                <w:u w:val="none"/>
              </w:rPr>
            </w:pPr>
          </w:p>
        </w:tc>
      </w:tr>
      <w:tr w14:paraId="194F9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21FCA6">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8AF6F9">
            <w:pPr>
              <w:jc w:val="center"/>
              <w:rPr>
                <w:rFonts w:hint="eastAsia" w:ascii="宋体" w:hAnsi="宋体" w:eastAsia="宋体" w:cs="宋体"/>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FB9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5ACD1">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ECF74">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FE311">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3C460">
            <w:pPr>
              <w:jc w:val="center"/>
              <w:rPr>
                <w:rFonts w:hint="eastAsia" w:ascii="宋体" w:hAnsi="宋体" w:eastAsia="宋体" w:cs="宋体"/>
                <w:i w:val="0"/>
                <w:iCs w:val="0"/>
                <w:color w:val="000000"/>
                <w:sz w:val="18"/>
                <w:szCs w:val="18"/>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A59FE">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1B5B3">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1803D">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B320F">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443AE">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F9FFE">
            <w:pPr>
              <w:jc w:val="center"/>
              <w:rPr>
                <w:rFonts w:hint="eastAsia" w:ascii="宋体" w:hAnsi="宋体" w:eastAsia="宋体" w:cs="宋体"/>
                <w:i w:val="0"/>
                <w:iCs w:val="0"/>
                <w:color w:val="000000"/>
                <w:sz w:val="18"/>
                <w:szCs w:val="18"/>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E5BC6">
            <w:pPr>
              <w:jc w:val="center"/>
              <w:rPr>
                <w:rFonts w:hint="eastAsia" w:ascii="宋体" w:hAnsi="宋体" w:eastAsia="宋体" w:cs="宋体"/>
                <w:i w:val="0"/>
                <w:iCs w:val="0"/>
                <w:color w:val="000000"/>
                <w:sz w:val="18"/>
                <w:szCs w:val="18"/>
                <w:u w:val="none"/>
              </w:rPr>
            </w:pPr>
          </w:p>
        </w:tc>
      </w:tr>
      <w:tr w14:paraId="17A71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A452AE">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2137B">
            <w:pPr>
              <w:jc w:val="center"/>
              <w:rPr>
                <w:rFonts w:hint="eastAsia" w:ascii="宋体" w:hAnsi="宋体" w:eastAsia="宋体" w:cs="宋体"/>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D09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4CDA2">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F1D3A">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9B620">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3B2A4">
            <w:pPr>
              <w:jc w:val="center"/>
              <w:rPr>
                <w:rFonts w:hint="eastAsia" w:ascii="宋体" w:hAnsi="宋体" w:eastAsia="宋体" w:cs="宋体"/>
                <w:i w:val="0"/>
                <w:iCs w:val="0"/>
                <w:color w:val="000000"/>
                <w:sz w:val="18"/>
                <w:szCs w:val="18"/>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E8ECE">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F05D3">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D8E04">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D898C">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FAA6B">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D2AB2">
            <w:pPr>
              <w:jc w:val="center"/>
              <w:rPr>
                <w:rFonts w:hint="eastAsia" w:ascii="宋体" w:hAnsi="宋体" w:eastAsia="宋体" w:cs="宋体"/>
                <w:i w:val="0"/>
                <w:iCs w:val="0"/>
                <w:color w:val="000000"/>
                <w:sz w:val="18"/>
                <w:szCs w:val="18"/>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5F29D">
            <w:pPr>
              <w:jc w:val="center"/>
              <w:rPr>
                <w:rFonts w:hint="eastAsia" w:ascii="宋体" w:hAnsi="宋体" w:eastAsia="宋体" w:cs="宋体"/>
                <w:i w:val="0"/>
                <w:iCs w:val="0"/>
                <w:color w:val="000000"/>
                <w:sz w:val="18"/>
                <w:szCs w:val="18"/>
                <w:u w:val="none"/>
              </w:rPr>
            </w:pPr>
          </w:p>
        </w:tc>
      </w:tr>
      <w:tr w14:paraId="6DE2A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458236">
            <w:pPr>
              <w:jc w:val="center"/>
              <w:rPr>
                <w:rFonts w:hint="eastAsia" w:ascii="宋体" w:hAnsi="宋体" w:eastAsia="宋体" w:cs="宋体"/>
                <w:b/>
                <w:bCs/>
                <w:i w:val="0"/>
                <w:iCs w:val="0"/>
                <w:color w:val="000000"/>
                <w:sz w:val="18"/>
                <w:szCs w:val="18"/>
                <w:u w:val="none"/>
              </w:rPr>
            </w:pP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0152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AF1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C9EAC">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85B7E">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B37E8">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A119B">
            <w:pPr>
              <w:jc w:val="center"/>
              <w:rPr>
                <w:rFonts w:hint="eastAsia" w:ascii="宋体" w:hAnsi="宋体" w:eastAsia="宋体" w:cs="宋体"/>
                <w:i w:val="0"/>
                <w:iCs w:val="0"/>
                <w:color w:val="000000"/>
                <w:sz w:val="18"/>
                <w:szCs w:val="18"/>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3E31D">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74404">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F9D3F">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130D5">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C6F38">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95065">
            <w:pPr>
              <w:jc w:val="center"/>
              <w:rPr>
                <w:rFonts w:hint="eastAsia" w:ascii="宋体" w:hAnsi="宋体" w:eastAsia="宋体" w:cs="宋体"/>
                <w:i w:val="0"/>
                <w:iCs w:val="0"/>
                <w:color w:val="000000"/>
                <w:sz w:val="18"/>
                <w:szCs w:val="18"/>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F3956">
            <w:pPr>
              <w:jc w:val="center"/>
              <w:rPr>
                <w:rFonts w:hint="eastAsia" w:ascii="宋体" w:hAnsi="宋体" w:eastAsia="宋体" w:cs="宋体"/>
                <w:i w:val="0"/>
                <w:iCs w:val="0"/>
                <w:color w:val="000000"/>
                <w:sz w:val="18"/>
                <w:szCs w:val="18"/>
                <w:u w:val="none"/>
              </w:rPr>
            </w:pPr>
          </w:p>
        </w:tc>
      </w:tr>
      <w:tr w14:paraId="6193E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999FE">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FC22FD">
            <w:pPr>
              <w:jc w:val="center"/>
              <w:rPr>
                <w:rFonts w:hint="eastAsia" w:ascii="宋体" w:hAnsi="宋体" w:eastAsia="宋体" w:cs="宋体"/>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8B8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B28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普查数据提高政府统计公信力</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E7A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B1A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CCC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2899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705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07A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F3425">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EF8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0C9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15219">
            <w:pPr>
              <w:jc w:val="center"/>
              <w:rPr>
                <w:rFonts w:hint="eastAsia" w:ascii="宋体" w:hAnsi="宋体" w:eastAsia="宋体" w:cs="宋体"/>
                <w:i w:val="0"/>
                <w:iCs w:val="0"/>
                <w:color w:val="000000"/>
                <w:sz w:val="18"/>
                <w:szCs w:val="18"/>
                <w:u w:val="none"/>
              </w:rPr>
            </w:pPr>
          </w:p>
        </w:tc>
      </w:tr>
      <w:tr w14:paraId="2C3F8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8CC14">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7C3E6">
            <w:pPr>
              <w:jc w:val="center"/>
              <w:rPr>
                <w:rFonts w:hint="eastAsia" w:ascii="宋体" w:hAnsi="宋体" w:eastAsia="宋体" w:cs="宋体"/>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12A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6B4ED">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4EBBE">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C20CB">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CC4FD">
            <w:pPr>
              <w:jc w:val="center"/>
              <w:rPr>
                <w:rFonts w:hint="eastAsia" w:ascii="宋体" w:hAnsi="宋体" w:eastAsia="宋体" w:cs="宋体"/>
                <w:i w:val="0"/>
                <w:iCs w:val="0"/>
                <w:color w:val="000000"/>
                <w:sz w:val="18"/>
                <w:szCs w:val="18"/>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150E2">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E608E">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0AD6B">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207D3">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860E0">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9E9BA">
            <w:pPr>
              <w:jc w:val="center"/>
              <w:rPr>
                <w:rFonts w:hint="eastAsia" w:ascii="宋体" w:hAnsi="宋体" w:eastAsia="宋体" w:cs="宋体"/>
                <w:i w:val="0"/>
                <w:iCs w:val="0"/>
                <w:color w:val="000000"/>
                <w:sz w:val="18"/>
                <w:szCs w:val="18"/>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21B49">
            <w:pPr>
              <w:jc w:val="center"/>
              <w:rPr>
                <w:rFonts w:hint="eastAsia" w:ascii="宋体" w:hAnsi="宋体" w:eastAsia="宋体" w:cs="宋体"/>
                <w:i w:val="0"/>
                <w:iCs w:val="0"/>
                <w:color w:val="000000"/>
                <w:sz w:val="18"/>
                <w:szCs w:val="18"/>
                <w:u w:val="none"/>
              </w:rPr>
            </w:pPr>
          </w:p>
        </w:tc>
      </w:tr>
      <w:tr w14:paraId="6D35F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A7C688">
            <w:pPr>
              <w:jc w:val="center"/>
              <w:rPr>
                <w:rFonts w:hint="eastAsia" w:ascii="宋体" w:hAnsi="宋体" w:eastAsia="宋体" w:cs="宋体"/>
                <w:b/>
                <w:bCs/>
                <w:i w:val="0"/>
                <w:iCs w:val="0"/>
                <w:color w:val="000000"/>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164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E58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2CC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普查指导员和普查员满意度</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E84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DF4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192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374F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111.11%</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2AE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818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52B3C">
            <w:pPr>
              <w:jc w:val="cente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B72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387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9D80B">
            <w:pPr>
              <w:jc w:val="center"/>
              <w:rPr>
                <w:rFonts w:hint="eastAsia" w:ascii="宋体" w:hAnsi="宋体" w:eastAsia="宋体" w:cs="宋体"/>
                <w:i w:val="0"/>
                <w:iCs w:val="0"/>
                <w:color w:val="000000"/>
                <w:sz w:val="18"/>
                <w:szCs w:val="18"/>
                <w:u w:val="none"/>
              </w:rPr>
            </w:pPr>
          </w:p>
        </w:tc>
      </w:tr>
      <w:tr w14:paraId="0C2FA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208" w:type="pct"/>
            <w:gridSpan w:val="4"/>
            <w:tcBorders>
              <w:top w:val="single" w:color="000000" w:sz="4" w:space="0"/>
              <w:left w:val="single" w:color="000000" w:sz="4" w:space="0"/>
              <w:bottom w:val="single" w:color="000000" w:sz="4" w:space="0"/>
              <w:right w:val="nil"/>
            </w:tcBorders>
            <w:shd w:val="clear" w:color="auto" w:fill="auto"/>
            <w:vAlign w:val="center"/>
          </w:tcPr>
          <w:p w14:paraId="4276723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DF7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nil"/>
              <w:bottom w:val="single" w:color="000000" w:sz="4" w:space="0"/>
              <w:right w:val="single" w:color="000000" w:sz="4" w:space="0"/>
            </w:tcBorders>
            <w:shd w:val="clear" w:color="auto" w:fill="auto"/>
            <w:vAlign w:val="center"/>
          </w:tcPr>
          <w:p w14:paraId="6209B8D5">
            <w:pPr>
              <w:rPr>
                <w:rFonts w:hint="eastAsia" w:ascii="宋体" w:hAnsi="宋体" w:eastAsia="宋体" w:cs="宋体"/>
                <w:b/>
                <w:bCs/>
                <w:i w:val="0"/>
                <w:iCs w:val="0"/>
                <w:color w:val="000000"/>
                <w:sz w:val="18"/>
                <w:szCs w:val="18"/>
                <w:u w:val="none"/>
              </w:rPr>
            </w:pPr>
            <w:bookmarkStart w:id="156" w:name="_GoBack"/>
            <w:bookmarkEnd w:id="156"/>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D0065">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53BEF">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1D8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98.33分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D063E">
            <w:pP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FE2C4">
            <w:pPr>
              <w:rPr>
                <w:rFonts w:hint="eastAsia" w:ascii="宋体" w:hAnsi="宋体" w:eastAsia="宋体" w:cs="宋体"/>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BCF6D">
            <w:pP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A0643">
            <w:pPr>
              <w:rPr>
                <w:rFonts w:hint="eastAsia" w:ascii="宋体" w:hAnsi="宋体" w:eastAsia="宋体" w:cs="宋体"/>
                <w:i w:val="0"/>
                <w:iCs w:val="0"/>
                <w:color w:val="000000"/>
                <w:sz w:val="18"/>
                <w:szCs w:val="18"/>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A5EC0">
            <w:pPr>
              <w:rPr>
                <w:rFonts w:hint="eastAsia" w:ascii="宋体" w:hAnsi="宋体" w:eastAsia="宋体" w:cs="宋体"/>
                <w:i w:val="0"/>
                <w:iCs w:val="0"/>
                <w:color w:val="000000"/>
                <w:sz w:val="18"/>
                <w:szCs w:val="18"/>
                <w:u w:val="none"/>
              </w:rPr>
            </w:pPr>
          </w:p>
        </w:tc>
      </w:tr>
    </w:tbl>
    <w:p w14:paraId="0D2C1648">
      <w:pPr>
        <w:ind w:left="0" w:leftChars="0" w:firstLine="0" w:firstLineChars="0"/>
        <w:rPr>
          <w:color w:val="auto"/>
        </w:rPr>
      </w:pPr>
      <w:r>
        <w:rPr>
          <w:color w:val="auto"/>
        </w:rPr>
        <w:br w:type="page"/>
      </w:r>
    </w:p>
    <w:p w14:paraId="351BC9DD">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154" w:name="_Toc11223"/>
      <w:bookmarkStart w:id="155" w:name="_Toc15067"/>
      <w:r>
        <w:rPr>
          <w:rFonts w:hint="eastAsia" w:ascii="宋体" w:hAnsi="宋体" w:eastAsia="宋体" w:cs="宋体"/>
          <w:b/>
          <w:bCs/>
          <w:color w:val="auto"/>
          <w:highlight w:val="none"/>
          <w:shd w:val="clear" w:color="auto" w:fill="auto"/>
          <w:lang w:val="en-US" w:eastAsia="zh-CN"/>
        </w:rPr>
        <w:t>附件二、项目支出绩效评价指标体系打分表</w:t>
      </w:r>
      <w:bookmarkEnd w:id="154"/>
      <w:bookmarkEnd w:id="155"/>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69F4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AD0F1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一级指标</w:t>
            </w:r>
          </w:p>
        </w:tc>
        <w:tc>
          <w:tcPr>
            <w:tcW w:w="727" w:type="dxa"/>
            <w:shd w:val="clear" w:color="auto" w:fill="auto"/>
            <w:noWrap w:val="0"/>
            <w:vAlign w:val="center"/>
          </w:tcPr>
          <w:p w14:paraId="20FF9C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二级指标</w:t>
            </w:r>
          </w:p>
        </w:tc>
        <w:tc>
          <w:tcPr>
            <w:tcW w:w="820" w:type="dxa"/>
            <w:shd w:val="clear" w:color="auto" w:fill="auto"/>
            <w:noWrap w:val="0"/>
            <w:vAlign w:val="center"/>
          </w:tcPr>
          <w:p w14:paraId="76D0F0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三级指标</w:t>
            </w:r>
          </w:p>
        </w:tc>
        <w:tc>
          <w:tcPr>
            <w:tcW w:w="2141" w:type="dxa"/>
            <w:shd w:val="clear" w:color="auto" w:fill="auto"/>
            <w:noWrap w:val="0"/>
            <w:vAlign w:val="center"/>
          </w:tcPr>
          <w:p w14:paraId="62CC80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指标解释</w:t>
            </w:r>
          </w:p>
        </w:tc>
        <w:tc>
          <w:tcPr>
            <w:tcW w:w="7821" w:type="dxa"/>
            <w:shd w:val="clear" w:color="auto" w:fill="auto"/>
            <w:noWrap w:val="0"/>
            <w:vAlign w:val="center"/>
          </w:tcPr>
          <w:p w14:paraId="28825D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指标说明</w:t>
            </w:r>
          </w:p>
        </w:tc>
        <w:tc>
          <w:tcPr>
            <w:tcW w:w="785" w:type="dxa"/>
            <w:shd w:val="clear" w:color="auto" w:fill="auto"/>
            <w:noWrap w:val="0"/>
            <w:vAlign w:val="center"/>
          </w:tcPr>
          <w:p w14:paraId="395CE69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lang w:val="en-US" w:eastAsia="zh-CN"/>
              </w:rPr>
            </w:pPr>
            <w:r>
              <w:rPr>
                <w:rFonts w:hint="eastAsia" w:ascii="宋体" w:hAnsi="宋体" w:eastAsia="宋体" w:cs="宋体"/>
                <w:b/>
                <w:bCs/>
                <w:color w:val="auto"/>
                <w:kern w:val="0"/>
                <w:sz w:val="22"/>
                <w:szCs w:val="22"/>
                <w:lang w:val="en-US" w:eastAsia="zh-CN"/>
              </w:rPr>
              <w:t>分值</w:t>
            </w:r>
          </w:p>
        </w:tc>
        <w:tc>
          <w:tcPr>
            <w:tcW w:w="769" w:type="dxa"/>
            <w:shd w:val="clear" w:color="auto" w:fill="auto"/>
            <w:noWrap w:val="0"/>
            <w:vAlign w:val="center"/>
          </w:tcPr>
          <w:p w14:paraId="185951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lang w:val="en-US" w:eastAsia="zh-CN"/>
              </w:rPr>
            </w:pPr>
            <w:r>
              <w:rPr>
                <w:rFonts w:hint="eastAsia" w:ascii="宋体" w:hAnsi="宋体" w:eastAsia="宋体" w:cs="宋体"/>
                <w:b/>
                <w:bCs/>
                <w:color w:val="auto"/>
                <w:kern w:val="0"/>
                <w:sz w:val="22"/>
                <w:szCs w:val="22"/>
                <w:lang w:val="en-US" w:eastAsia="zh-CN"/>
              </w:rPr>
              <w:t>得分</w:t>
            </w:r>
          </w:p>
        </w:tc>
      </w:tr>
      <w:tr w14:paraId="2DF91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0AA76D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决策　</w:t>
            </w:r>
          </w:p>
          <w:p w14:paraId="3883D9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p w14:paraId="6E000FF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727" w:type="dxa"/>
            <w:vMerge w:val="restart"/>
            <w:shd w:val="clear" w:color="auto" w:fill="auto"/>
            <w:noWrap w:val="0"/>
            <w:vAlign w:val="center"/>
          </w:tcPr>
          <w:p w14:paraId="431A0B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项目立项　</w:t>
            </w:r>
          </w:p>
        </w:tc>
        <w:tc>
          <w:tcPr>
            <w:tcW w:w="820" w:type="dxa"/>
            <w:shd w:val="clear" w:color="auto" w:fill="auto"/>
            <w:noWrap w:val="0"/>
            <w:vAlign w:val="center"/>
          </w:tcPr>
          <w:p w14:paraId="4F4C2D5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立项依据</w:t>
            </w:r>
          </w:p>
          <w:p w14:paraId="4DDD63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充分性</w:t>
            </w:r>
          </w:p>
        </w:tc>
        <w:tc>
          <w:tcPr>
            <w:tcW w:w="2141" w:type="dxa"/>
            <w:shd w:val="clear" w:color="auto" w:fill="auto"/>
            <w:noWrap w:val="0"/>
            <w:vAlign w:val="center"/>
          </w:tcPr>
          <w:p w14:paraId="1586FDC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7D5EC85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6D62FD4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①项目立项是否符合国家法律法规、国民经济发展规划和相关政策；</w:t>
            </w:r>
          </w:p>
          <w:p w14:paraId="5C3220E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②项目立项是否符合行业发展规划和政策要求；</w:t>
            </w:r>
          </w:p>
          <w:p w14:paraId="7DDE8F6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③项目立项是否与部门职责范围相符，属于部门履职所需；</w:t>
            </w:r>
          </w:p>
          <w:p w14:paraId="667423F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④项目是否属于公共财政支持范围，是否符合中央、地方事权支出责任划分原则；</w:t>
            </w:r>
          </w:p>
          <w:p w14:paraId="6A59F93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⑤项目是否与相关部门同类项目或部门内部相关项目重复。</w:t>
            </w:r>
          </w:p>
        </w:tc>
        <w:tc>
          <w:tcPr>
            <w:tcW w:w="785" w:type="dxa"/>
            <w:shd w:val="clear" w:color="auto" w:fill="auto"/>
            <w:noWrap w:val="0"/>
            <w:vAlign w:val="center"/>
          </w:tcPr>
          <w:p w14:paraId="664A14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973B0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1CB95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97BB53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p>
        </w:tc>
        <w:tc>
          <w:tcPr>
            <w:tcW w:w="727" w:type="dxa"/>
            <w:vMerge w:val="continue"/>
            <w:shd w:val="clear" w:color="auto" w:fill="auto"/>
            <w:noWrap w:val="0"/>
            <w:vAlign w:val="center"/>
          </w:tcPr>
          <w:p w14:paraId="749392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p>
        </w:tc>
        <w:tc>
          <w:tcPr>
            <w:tcW w:w="820" w:type="dxa"/>
            <w:shd w:val="clear" w:color="auto" w:fill="auto"/>
            <w:noWrap w:val="0"/>
            <w:vAlign w:val="center"/>
          </w:tcPr>
          <w:p w14:paraId="1EC6F1D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立项程序</w:t>
            </w:r>
          </w:p>
          <w:p w14:paraId="743BBEA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规范性</w:t>
            </w:r>
          </w:p>
        </w:tc>
        <w:tc>
          <w:tcPr>
            <w:tcW w:w="2141" w:type="dxa"/>
            <w:shd w:val="clear" w:color="auto" w:fill="auto"/>
            <w:noWrap w:val="0"/>
            <w:vAlign w:val="center"/>
          </w:tcPr>
          <w:p w14:paraId="207EAF3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项目申请、设立过程是否符合相关要求，用以反映和考核项目立项的规范情况。</w:t>
            </w:r>
          </w:p>
        </w:tc>
        <w:tc>
          <w:tcPr>
            <w:tcW w:w="7821" w:type="dxa"/>
            <w:shd w:val="clear" w:color="auto" w:fill="auto"/>
            <w:noWrap w:val="0"/>
            <w:vAlign w:val="center"/>
          </w:tcPr>
          <w:p w14:paraId="11734AE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677371B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①项目是否按照规定的程序申请设立；</w:t>
            </w:r>
          </w:p>
          <w:p w14:paraId="362725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②审批文件、材料是否符合相关要求；</w:t>
            </w:r>
          </w:p>
          <w:p w14:paraId="6CEF695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③事前是否已经过必要的可行性研究、专家论证、风险评估、绩效评估、集体决策。</w:t>
            </w:r>
          </w:p>
        </w:tc>
        <w:tc>
          <w:tcPr>
            <w:tcW w:w="785" w:type="dxa"/>
            <w:shd w:val="clear" w:color="auto" w:fill="auto"/>
            <w:noWrap w:val="0"/>
            <w:vAlign w:val="center"/>
          </w:tcPr>
          <w:p w14:paraId="486936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96EF24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541CC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41C43A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p>
        </w:tc>
        <w:tc>
          <w:tcPr>
            <w:tcW w:w="727" w:type="dxa"/>
            <w:shd w:val="clear" w:color="auto" w:fill="auto"/>
            <w:noWrap w:val="0"/>
            <w:vAlign w:val="center"/>
          </w:tcPr>
          <w:p w14:paraId="2BFFBF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绩效目标　</w:t>
            </w:r>
          </w:p>
        </w:tc>
        <w:tc>
          <w:tcPr>
            <w:tcW w:w="820" w:type="dxa"/>
            <w:shd w:val="clear" w:color="auto" w:fill="auto"/>
            <w:noWrap w:val="0"/>
            <w:vAlign w:val="center"/>
          </w:tcPr>
          <w:p w14:paraId="1831AC4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绩效目标</w:t>
            </w:r>
          </w:p>
          <w:p w14:paraId="5285E5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合理性</w:t>
            </w:r>
          </w:p>
        </w:tc>
        <w:tc>
          <w:tcPr>
            <w:tcW w:w="2141" w:type="dxa"/>
            <w:shd w:val="clear" w:color="auto" w:fill="auto"/>
            <w:noWrap w:val="0"/>
            <w:vAlign w:val="center"/>
          </w:tcPr>
          <w:p w14:paraId="20F8FE1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347F99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042D76E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（如未设定预算绩效目标，也可考核其他工作任务目标）</w:t>
            </w:r>
          </w:p>
          <w:p w14:paraId="293ACF7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①项目是否有绩效目标；</w:t>
            </w:r>
          </w:p>
          <w:p w14:paraId="7BE83B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②项目绩效目标与实际工作内容是否具有相关性；</w:t>
            </w:r>
          </w:p>
          <w:p w14:paraId="7061FF1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③项目预期产出效益和效果是否符合正常的业绩水平；</w:t>
            </w:r>
          </w:p>
          <w:p w14:paraId="5B58389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④是否与预算确定的项目投资额或资金量相匹配。</w:t>
            </w:r>
          </w:p>
        </w:tc>
        <w:tc>
          <w:tcPr>
            <w:tcW w:w="785" w:type="dxa"/>
            <w:shd w:val="clear" w:color="auto" w:fill="auto"/>
            <w:noWrap w:val="0"/>
            <w:vAlign w:val="center"/>
          </w:tcPr>
          <w:p w14:paraId="64E2BE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F7EB6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0329D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19CF5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决策　</w:t>
            </w:r>
          </w:p>
        </w:tc>
        <w:tc>
          <w:tcPr>
            <w:tcW w:w="727" w:type="dxa"/>
            <w:shd w:val="clear" w:color="auto" w:fill="auto"/>
            <w:noWrap w:val="0"/>
            <w:vAlign w:val="center"/>
          </w:tcPr>
          <w:p w14:paraId="4E2CA6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绩效目标</w:t>
            </w:r>
          </w:p>
        </w:tc>
        <w:tc>
          <w:tcPr>
            <w:tcW w:w="820" w:type="dxa"/>
            <w:shd w:val="clear" w:color="auto" w:fill="auto"/>
            <w:noWrap w:val="0"/>
            <w:vAlign w:val="center"/>
          </w:tcPr>
          <w:p w14:paraId="5FC412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绩效指标</w:t>
            </w:r>
          </w:p>
          <w:p w14:paraId="26CDCD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明确性</w:t>
            </w:r>
          </w:p>
        </w:tc>
        <w:tc>
          <w:tcPr>
            <w:tcW w:w="2141" w:type="dxa"/>
            <w:shd w:val="clear" w:color="auto" w:fill="auto"/>
            <w:noWrap w:val="0"/>
            <w:vAlign w:val="center"/>
          </w:tcPr>
          <w:p w14:paraId="2FA244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18D1B9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1278CF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①是否将项目绩效目标细化分解为具体的绩效指标；</w:t>
            </w:r>
          </w:p>
          <w:p w14:paraId="72550C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②是否通过清晰、可衡量的指标值予以体现；</w:t>
            </w:r>
          </w:p>
          <w:p w14:paraId="10EC7F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③是否与项目目标任务数或计划数相对应。</w:t>
            </w:r>
          </w:p>
          <w:p w14:paraId="4C2CA5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p>
        </w:tc>
        <w:tc>
          <w:tcPr>
            <w:tcW w:w="785" w:type="dxa"/>
            <w:shd w:val="clear" w:color="auto" w:fill="auto"/>
            <w:noWrap w:val="0"/>
            <w:vAlign w:val="center"/>
          </w:tcPr>
          <w:p w14:paraId="5320BD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B37593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797C4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6C9025E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p>
        </w:tc>
        <w:tc>
          <w:tcPr>
            <w:tcW w:w="727" w:type="dxa"/>
            <w:vMerge w:val="restart"/>
            <w:shd w:val="clear" w:color="auto" w:fill="auto"/>
            <w:noWrap w:val="0"/>
            <w:vAlign w:val="center"/>
          </w:tcPr>
          <w:p w14:paraId="3C1434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资金投入</w:t>
            </w:r>
          </w:p>
          <w:p w14:paraId="6EA1E74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820" w:type="dxa"/>
            <w:shd w:val="clear" w:color="auto" w:fill="auto"/>
            <w:noWrap w:val="0"/>
            <w:vAlign w:val="center"/>
          </w:tcPr>
          <w:p w14:paraId="1E305C8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预算编制</w:t>
            </w:r>
          </w:p>
          <w:p w14:paraId="73C843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科学性</w:t>
            </w:r>
          </w:p>
        </w:tc>
        <w:tc>
          <w:tcPr>
            <w:tcW w:w="2141" w:type="dxa"/>
            <w:shd w:val="clear" w:color="auto" w:fill="auto"/>
            <w:noWrap w:val="0"/>
            <w:vAlign w:val="center"/>
          </w:tcPr>
          <w:p w14:paraId="3BB5DA8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954DC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614D86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①预算编制是否经过科学论证；</w:t>
            </w:r>
          </w:p>
          <w:p w14:paraId="5C24D7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②预算内容与项目内容是否匹配；</w:t>
            </w:r>
          </w:p>
          <w:p w14:paraId="4C3824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③预算额度测算依据是否充分，是否按照标准编制；</w:t>
            </w:r>
          </w:p>
          <w:p w14:paraId="50E4E3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④预算确定的项目投资额或资金量是否与工作任务相匹配。</w:t>
            </w:r>
          </w:p>
        </w:tc>
        <w:tc>
          <w:tcPr>
            <w:tcW w:w="785" w:type="dxa"/>
            <w:shd w:val="clear" w:color="auto" w:fill="auto"/>
            <w:noWrap w:val="0"/>
            <w:vAlign w:val="center"/>
          </w:tcPr>
          <w:p w14:paraId="7C3D82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380313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275EF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345D23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p>
        </w:tc>
        <w:tc>
          <w:tcPr>
            <w:tcW w:w="727" w:type="dxa"/>
            <w:vMerge w:val="continue"/>
            <w:shd w:val="clear" w:color="auto" w:fill="auto"/>
            <w:noWrap w:val="0"/>
            <w:vAlign w:val="center"/>
          </w:tcPr>
          <w:p w14:paraId="61B7AF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p>
        </w:tc>
        <w:tc>
          <w:tcPr>
            <w:tcW w:w="820" w:type="dxa"/>
            <w:shd w:val="clear" w:color="auto" w:fill="auto"/>
            <w:noWrap w:val="0"/>
            <w:vAlign w:val="center"/>
          </w:tcPr>
          <w:p w14:paraId="0083C0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资金分配</w:t>
            </w:r>
          </w:p>
          <w:p w14:paraId="2D093C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合理性</w:t>
            </w:r>
          </w:p>
        </w:tc>
        <w:tc>
          <w:tcPr>
            <w:tcW w:w="2141" w:type="dxa"/>
            <w:shd w:val="clear" w:color="auto" w:fill="auto"/>
            <w:noWrap w:val="0"/>
            <w:vAlign w:val="center"/>
          </w:tcPr>
          <w:p w14:paraId="4C18F1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6667E7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3CD770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①预算资金分配依据是否充分；</w:t>
            </w:r>
          </w:p>
          <w:p w14:paraId="31061D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②资金分配额度是否合理，与项目单位或地方实际是否相适应。</w:t>
            </w:r>
          </w:p>
        </w:tc>
        <w:tc>
          <w:tcPr>
            <w:tcW w:w="785" w:type="dxa"/>
            <w:shd w:val="clear" w:color="auto" w:fill="auto"/>
            <w:noWrap w:val="0"/>
            <w:vAlign w:val="center"/>
          </w:tcPr>
          <w:p w14:paraId="056EEE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98F3C0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r>
      <w:tr w14:paraId="29F51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20FB97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过程</w:t>
            </w:r>
          </w:p>
        </w:tc>
        <w:tc>
          <w:tcPr>
            <w:tcW w:w="727" w:type="dxa"/>
            <w:vMerge w:val="restart"/>
            <w:shd w:val="clear" w:color="auto" w:fill="auto"/>
            <w:noWrap w:val="0"/>
            <w:vAlign w:val="center"/>
          </w:tcPr>
          <w:p w14:paraId="1459E8F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资金管理</w:t>
            </w:r>
          </w:p>
        </w:tc>
        <w:tc>
          <w:tcPr>
            <w:tcW w:w="820" w:type="dxa"/>
            <w:shd w:val="clear" w:color="auto" w:fill="auto"/>
            <w:noWrap w:val="0"/>
            <w:vAlign w:val="center"/>
          </w:tcPr>
          <w:p w14:paraId="03409C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资金到位率</w:t>
            </w:r>
          </w:p>
        </w:tc>
        <w:tc>
          <w:tcPr>
            <w:tcW w:w="2141" w:type="dxa"/>
            <w:shd w:val="clear" w:color="auto" w:fill="auto"/>
            <w:noWrap w:val="0"/>
            <w:vAlign w:val="center"/>
          </w:tcPr>
          <w:p w14:paraId="540CAB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428D4A4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资金到位率=（</w:t>
            </w:r>
          </w:p>
          <w:p w14:paraId="5580A3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实际到位资金/预算资金）×100%。</w:t>
            </w:r>
          </w:p>
          <w:p w14:paraId="651215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实际到位资金：一定时期（本年度或项目期）内落实到具体项目的资金。</w:t>
            </w:r>
          </w:p>
          <w:p w14:paraId="207DB3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预算资金：一定时期（本年度或项目期）内预算安排到具体项目的资金。</w:t>
            </w:r>
          </w:p>
        </w:tc>
        <w:tc>
          <w:tcPr>
            <w:tcW w:w="785" w:type="dxa"/>
            <w:shd w:val="clear" w:color="auto" w:fill="auto"/>
            <w:noWrap w:val="0"/>
            <w:vAlign w:val="center"/>
          </w:tcPr>
          <w:p w14:paraId="4CC77F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DC720C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42151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0E337CA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p>
        </w:tc>
        <w:tc>
          <w:tcPr>
            <w:tcW w:w="727" w:type="dxa"/>
            <w:vMerge w:val="continue"/>
            <w:shd w:val="clear" w:color="auto" w:fill="auto"/>
            <w:noWrap w:val="0"/>
            <w:vAlign w:val="center"/>
          </w:tcPr>
          <w:p w14:paraId="1D5EC87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p>
        </w:tc>
        <w:tc>
          <w:tcPr>
            <w:tcW w:w="820" w:type="dxa"/>
            <w:shd w:val="clear" w:color="auto" w:fill="auto"/>
            <w:noWrap w:val="0"/>
            <w:vAlign w:val="center"/>
          </w:tcPr>
          <w:p w14:paraId="5C82E7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预算执行率</w:t>
            </w:r>
          </w:p>
        </w:tc>
        <w:tc>
          <w:tcPr>
            <w:tcW w:w="2141" w:type="dxa"/>
            <w:shd w:val="clear" w:color="auto" w:fill="auto"/>
            <w:noWrap w:val="0"/>
            <w:vAlign w:val="center"/>
          </w:tcPr>
          <w:p w14:paraId="55EC0A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项目预算资金是否按照计划执行，用以反映或考核项目预算执行情况。</w:t>
            </w:r>
          </w:p>
        </w:tc>
        <w:tc>
          <w:tcPr>
            <w:tcW w:w="7821" w:type="dxa"/>
            <w:shd w:val="clear" w:color="auto" w:fill="auto"/>
            <w:noWrap w:val="0"/>
            <w:vAlign w:val="center"/>
          </w:tcPr>
          <w:p w14:paraId="765EAF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预算执行率=（实际支出资金/实际到位资金）×100%。</w:t>
            </w:r>
          </w:p>
          <w:p w14:paraId="567500F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实际支出资金：一定时期（本年度或项目期）内项目实际拨付的资金。</w:t>
            </w:r>
          </w:p>
        </w:tc>
        <w:tc>
          <w:tcPr>
            <w:tcW w:w="785" w:type="dxa"/>
            <w:shd w:val="clear" w:color="auto" w:fill="auto"/>
            <w:noWrap w:val="0"/>
            <w:vAlign w:val="center"/>
          </w:tcPr>
          <w:p w14:paraId="1CC4F8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9A67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610E6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600C11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p w14:paraId="12DF9F8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过程　</w:t>
            </w:r>
          </w:p>
        </w:tc>
        <w:tc>
          <w:tcPr>
            <w:tcW w:w="727" w:type="dxa"/>
            <w:shd w:val="clear" w:color="auto" w:fill="auto"/>
            <w:noWrap w:val="0"/>
            <w:vAlign w:val="center"/>
          </w:tcPr>
          <w:p w14:paraId="7FD360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资金管理</w:t>
            </w:r>
          </w:p>
        </w:tc>
        <w:tc>
          <w:tcPr>
            <w:tcW w:w="820" w:type="dxa"/>
            <w:shd w:val="clear" w:color="auto" w:fill="auto"/>
            <w:noWrap w:val="0"/>
            <w:vAlign w:val="center"/>
          </w:tcPr>
          <w:p w14:paraId="42F8511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资金使用</w:t>
            </w:r>
          </w:p>
          <w:p w14:paraId="2425AB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合规性</w:t>
            </w:r>
          </w:p>
        </w:tc>
        <w:tc>
          <w:tcPr>
            <w:tcW w:w="2141" w:type="dxa"/>
            <w:shd w:val="clear" w:color="auto" w:fill="auto"/>
            <w:noWrap w:val="0"/>
            <w:vAlign w:val="center"/>
          </w:tcPr>
          <w:p w14:paraId="0274879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项目资金使用是否符合相关的财务管理制度规定，用以反映和考核项目资金的规范运行情况。</w:t>
            </w:r>
          </w:p>
        </w:tc>
        <w:tc>
          <w:tcPr>
            <w:tcW w:w="7821" w:type="dxa"/>
            <w:shd w:val="clear" w:color="auto" w:fill="auto"/>
            <w:noWrap w:val="0"/>
            <w:vAlign w:val="center"/>
          </w:tcPr>
          <w:p w14:paraId="44289A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489353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①是否符合国家财经法规和财务管理制度以及有关专项资金管理办法的规定；</w:t>
            </w:r>
          </w:p>
          <w:p w14:paraId="2A3683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②资金的拨付是否有完整的审批程序和手续；</w:t>
            </w:r>
          </w:p>
          <w:p w14:paraId="401780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③是否符合项目预算批复或合同规定的用途；</w:t>
            </w:r>
          </w:p>
          <w:p w14:paraId="1189F32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④是否存在截留、挤占、挪用、虚列支出等情况。</w:t>
            </w:r>
          </w:p>
        </w:tc>
        <w:tc>
          <w:tcPr>
            <w:tcW w:w="785" w:type="dxa"/>
            <w:shd w:val="clear" w:color="auto" w:fill="auto"/>
            <w:noWrap w:val="0"/>
            <w:vAlign w:val="center"/>
          </w:tcPr>
          <w:p w14:paraId="69B4B5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0C96D1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1FD4B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7507A7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p>
        </w:tc>
        <w:tc>
          <w:tcPr>
            <w:tcW w:w="727" w:type="dxa"/>
            <w:vMerge w:val="restart"/>
            <w:shd w:val="clear" w:color="auto" w:fill="auto"/>
            <w:noWrap w:val="0"/>
            <w:vAlign w:val="center"/>
          </w:tcPr>
          <w:p w14:paraId="589A92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组织实施</w:t>
            </w:r>
          </w:p>
          <w:p w14:paraId="694FFE5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820" w:type="dxa"/>
            <w:shd w:val="clear" w:color="auto" w:fill="auto"/>
            <w:noWrap w:val="0"/>
            <w:vAlign w:val="center"/>
          </w:tcPr>
          <w:p w14:paraId="09A8CD0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管理制度</w:t>
            </w:r>
          </w:p>
          <w:p w14:paraId="0B2428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健全性</w:t>
            </w:r>
          </w:p>
        </w:tc>
        <w:tc>
          <w:tcPr>
            <w:tcW w:w="2141" w:type="dxa"/>
            <w:shd w:val="clear" w:color="auto" w:fill="auto"/>
            <w:noWrap w:val="0"/>
            <w:vAlign w:val="center"/>
          </w:tcPr>
          <w:p w14:paraId="13CD08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A94F1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50F00A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①是否已制定或具有相应的财务和业务管理制度；</w:t>
            </w:r>
          </w:p>
          <w:p w14:paraId="7FB55A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②财务和业务管理制度是否合法、合规、完整。</w:t>
            </w:r>
          </w:p>
        </w:tc>
        <w:tc>
          <w:tcPr>
            <w:tcW w:w="785" w:type="dxa"/>
            <w:shd w:val="clear" w:color="auto" w:fill="auto"/>
            <w:noWrap w:val="0"/>
            <w:vAlign w:val="center"/>
          </w:tcPr>
          <w:p w14:paraId="40CFE8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AA6DBE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262B3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4A262D73">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p>
        </w:tc>
        <w:tc>
          <w:tcPr>
            <w:tcW w:w="727" w:type="dxa"/>
            <w:vMerge w:val="continue"/>
            <w:shd w:val="clear" w:color="auto" w:fill="auto"/>
            <w:noWrap w:val="0"/>
            <w:vAlign w:val="center"/>
          </w:tcPr>
          <w:p w14:paraId="7671EF0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p>
        </w:tc>
        <w:tc>
          <w:tcPr>
            <w:tcW w:w="820" w:type="dxa"/>
            <w:shd w:val="clear" w:color="auto" w:fill="auto"/>
            <w:noWrap w:val="0"/>
            <w:vAlign w:val="center"/>
          </w:tcPr>
          <w:p w14:paraId="23122473">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制度执行</w:t>
            </w:r>
          </w:p>
          <w:p w14:paraId="41978BB8">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有效性</w:t>
            </w:r>
          </w:p>
        </w:tc>
        <w:tc>
          <w:tcPr>
            <w:tcW w:w="2141" w:type="dxa"/>
            <w:shd w:val="clear" w:color="auto" w:fill="auto"/>
            <w:noWrap w:val="0"/>
            <w:vAlign w:val="center"/>
          </w:tcPr>
          <w:p w14:paraId="78414BC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项目实施是否符合相关管理规定，用以反映和考核相关管理制度的有效执行情况。</w:t>
            </w:r>
          </w:p>
        </w:tc>
        <w:tc>
          <w:tcPr>
            <w:tcW w:w="7821" w:type="dxa"/>
            <w:shd w:val="clear" w:color="auto" w:fill="auto"/>
            <w:noWrap w:val="0"/>
            <w:vAlign w:val="center"/>
          </w:tcPr>
          <w:p w14:paraId="5553CC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4C73F5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①是否遵守相关法律法规和相关管理规定；</w:t>
            </w:r>
          </w:p>
          <w:p w14:paraId="462CBB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②项目调整及支出调整手续是否完备；</w:t>
            </w:r>
          </w:p>
          <w:p w14:paraId="0BA94E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③项目合同书、验收报告、技术鉴定等资料是否齐全并及时归档；</w:t>
            </w:r>
          </w:p>
          <w:p w14:paraId="079887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④项目实施的人员条件、场地设备、信息支撑等是否落实到位。</w:t>
            </w:r>
          </w:p>
        </w:tc>
        <w:tc>
          <w:tcPr>
            <w:tcW w:w="785" w:type="dxa"/>
            <w:shd w:val="clear" w:color="auto" w:fill="auto"/>
            <w:noWrap w:val="0"/>
            <w:vAlign w:val="center"/>
          </w:tcPr>
          <w:p w14:paraId="7F1F31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F28566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55BA8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71E5BB55">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产出</w:t>
            </w:r>
          </w:p>
        </w:tc>
        <w:tc>
          <w:tcPr>
            <w:tcW w:w="727" w:type="dxa"/>
            <w:shd w:val="clear" w:color="auto" w:fill="auto"/>
            <w:noWrap w:val="0"/>
            <w:vAlign w:val="center"/>
          </w:tcPr>
          <w:p w14:paraId="652F2223">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产出数量</w:t>
            </w:r>
          </w:p>
        </w:tc>
        <w:tc>
          <w:tcPr>
            <w:tcW w:w="820" w:type="dxa"/>
            <w:shd w:val="clear" w:color="auto" w:fill="auto"/>
            <w:noWrap w:val="0"/>
            <w:vAlign w:val="center"/>
          </w:tcPr>
          <w:p w14:paraId="2CDB5AB3">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lang w:val="en-US" w:eastAsia="zh-CN"/>
              </w:rPr>
              <w:t>普查员及普查指导员清查阶段数量</w:t>
            </w:r>
          </w:p>
        </w:tc>
        <w:tc>
          <w:tcPr>
            <w:tcW w:w="2141" w:type="dxa"/>
            <w:shd w:val="clear" w:color="auto" w:fill="auto"/>
            <w:noWrap w:val="0"/>
            <w:vAlign w:val="center"/>
          </w:tcPr>
          <w:p w14:paraId="48E82B5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项目实施的实际产出数与计划产出数的比率，用以反映和考核项目产出数量目标的实现程度。</w:t>
            </w:r>
          </w:p>
        </w:tc>
        <w:tc>
          <w:tcPr>
            <w:tcW w:w="7821" w:type="dxa"/>
            <w:shd w:val="clear" w:color="auto" w:fill="auto"/>
            <w:noWrap w:val="0"/>
            <w:vAlign w:val="center"/>
          </w:tcPr>
          <w:p w14:paraId="7DE49C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实际完成率=（实际产出数/计划产出数）×100%。</w:t>
            </w:r>
          </w:p>
          <w:p w14:paraId="70302B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实际产出数：一定时期（本年度或项目期）内项目实际产出的产品或提供的服务数量。</w:t>
            </w:r>
          </w:p>
          <w:p w14:paraId="3DD3697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5C2A50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769" w:type="dxa"/>
            <w:shd w:val="clear" w:color="auto" w:fill="auto"/>
            <w:noWrap w:val="0"/>
            <w:vAlign w:val="center"/>
          </w:tcPr>
          <w:p w14:paraId="22131F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r>
      <w:tr w14:paraId="467A13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1474767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yellow"/>
              </w:rPr>
            </w:pPr>
          </w:p>
        </w:tc>
        <w:tc>
          <w:tcPr>
            <w:tcW w:w="727" w:type="dxa"/>
            <w:shd w:val="clear" w:color="auto" w:fill="auto"/>
            <w:noWrap w:val="0"/>
            <w:vAlign w:val="center"/>
          </w:tcPr>
          <w:p w14:paraId="08B479C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yellow"/>
              </w:rPr>
            </w:pPr>
          </w:p>
        </w:tc>
        <w:tc>
          <w:tcPr>
            <w:tcW w:w="820" w:type="dxa"/>
            <w:shd w:val="clear" w:color="auto" w:fill="auto"/>
            <w:noWrap w:val="0"/>
            <w:vAlign w:val="center"/>
          </w:tcPr>
          <w:p w14:paraId="15BA3A9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yellow"/>
              </w:rPr>
            </w:pPr>
            <w:r>
              <w:rPr>
                <w:rFonts w:hint="eastAsia" w:ascii="宋体" w:hAnsi="宋体" w:eastAsia="宋体" w:cs="宋体"/>
                <w:color w:val="auto"/>
                <w:kern w:val="0"/>
                <w:sz w:val="20"/>
                <w:szCs w:val="20"/>
                <w:highlight w:val="none"/>
                <w:shd w:val="clear" w:color="auto" w:fill="auto"/>
                <w:lang w:val="en-US" w:eastAsia="zh-CN"/>
              </w:rPr>
              <w:t>普查员及普查指导员普查阶段数量</w:t>
            </w:r>
          </w:p>
        </w:tc>
        <w:tc>
          <w:tcPr>
            <w:tcW w:w="2141" w:type="dxa"/>
            <w:shd w:val="clear" w:color="auto" w:fill="auto"/>
            <w:noWrap w:val="0"/>
            <w:vAlign w:val="center"/>
          </w:tcPr>
          <w:p w14:paraId="5A1270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val="en-US" w:eastAsia="zh-CN" w:bidi="ar-SA"/>
              </w:rPr>
            </w:pPr>
            <w:r>
              <w:rPr>
                <w:rFonts w:hint="eastAsia" w:ascii="宋体" w:hAnsi="宋体" w:eastAsia="宋体" w:cs="宋体"/>
                <w:color w:val="auto"/>
                <w:kern w:val="0"/>
                <w:sz w:val="22"/>
                <w:szCs w:val="22"/>
              </w:rPr>
              <w:t>项目实施的实际产出数与计划产出数的比率，用以反映和考核项目产出数量目标的实现程度。</w:t>
            </w:r>
          </w:p>
        </w:tc>
        <w:tc>
          <w:tcPr>
            <w:tcW w:w="7821" w:type="dxa"/>
            <w:shd w:val="clear" w:color="auto" w:fill="auto"/>
            <w:noWrap w:val="0"/>
            <w:vAlign w:val="center"/>
          </w:tcPr>
          <w:p w14:paraId="3ED87A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实际完成率=（实际产出数/计划产出数）×100%。</w:t>
            </w:r>
          </w:p>
          <w:p w14:paraId="515706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实际产出数：一定时期（本年度或项目期）内项目实际产出的产品或提供的服务数量。</w:t>
            </w:r>
          </w:p>
          <w:p w14:paraId="26FB1AD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val="en-US" w:eastAsia="zh-CN" w:bidi="ar-SA"/>
              </w:rPr>
            </w:pPr>
            <w:r>
              <w:rPr>
                <w:rFonts w:hint="eastAsia" w:ascii="宋体" w:hAnsi="宋体" w:eastAsia="宋体" w:cs="宋体"/>
                <w:color w:val="auto"/>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2B4BE1F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57E6AEE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55EFD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7BA9CEA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产出</w:t>
            </w:r>
          </w:p>
        </w:tc>
        <w:tc>
          <w:tcPr>
            <w:tcW w:w="727" w:type="dxa"/>
            <w:vMerge w:val="restart"/>
            <w:shd w:val="clear" w:color="auto" w:fill="auto"/>
            <w:noWrap w:val="0"/>
            <w:vAlign w:val="center"/>
          </w:tcPr>
          <w:p w14:paraId="11C4755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产出质量</w:t>
            </w:r>
          </w:p>
        </w:tc>
        <w:tc>
          <w:tcPr>
            <w:tcW w:w="820" w:type="dxa"/>
            <w:shd w:val="clear" w:color="auto" w:fill="auto"/>
            <w:noWrap w:val="0"/>
            <w:vAlign w:val="center"/>
          </w:tcPr>
          <w:p w14:paraId="46B8F36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lang w:val="en-US" w:eastAsia="zh-CN"/>
              </w:rPr>
            </w:pPr>
            <w:r>
              <w:rPr>
                <w:rFonts w:hint="eastAsia" w:ascii="宋体" w:hAnsi="宋体" w:eastAsia="宋体" w:cs="宋体"/>
                <w:color w:val="auto"/>
                <w:kern w:val="0"/>
                <w:sz w:val="22"/>
                <w:szCs w:val="22"/>
                <w:lang w:val="en-US" w:eastAsia="zh-CN"/>
              </w:rPr>
              <w:t>普查员及普查指导员工作量</w:t>
            </w:r>
          </w:p>
        </w:tc>
        <w:tc>
          <w:tcPr>
            <w:tcW w:w="2141" w:type="dxa"/>
            <w:shd w:val="clear" w:color="auto" w:fill="auto"/>
            <w:noWrap w:val="0"/>
            <w:vAlign w:val="center"/>
          </w:tcPr>
          <w:p w14:paraId="1F648E3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项目完成的质量达标产出数与实际产出数的比率，用以反映和考核项目产出质量目标的实现程度。</w:t>
            </w:r>
          </w:p>
        </w:tc>
        <w:tc>
          <w:tcPr>
            <w:tcW w:w="7821" w:type="dxa"/>
            <w:shd w:val="clear" w:color="auto" w:fill="auto"/>
            <w:noWrap w:val="0"/>
            <w:vAlign w:val="center"/>
          </w:tcPr>
          <w:p w14:paraId="69F09A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质量达标率=（质量达标产出数/实际产出数）×100%。</w:t>
            </w:r>
          </w:p>
          <w:p w14:paraId="0EC4F1D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1648BF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6B11F40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616401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5F2570E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p>
        </w:tc>
        <w:tc>
          <w:tcPr>
            <w:tcW w:w="727" w:type="dxa"/>
            <w:vMerge w:val="continue"/>
            <w:shd w:val="clear" w:color="auto" w:fill="auto"/>
            <w:noWrap w:val="0"/>
            <w:vAlign w:val="center"/>
          </w:tcPr>
          <w:p w14:paraId="04910E1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p>
        </w:tc>
        <w:tc>
          <w:tcPr>
            <w:tcW w:w="820" w:type="dxa"/>
            <w:shd w:val="clear" w:color="auto" w:fill="auto"/>
            <w:noWrap w:val="0"/>
            <w:vAlign w:val="center"/>
          </w:tcPr>
          <w:p w14:paraId="0D50A3C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lang w:val="en-US" w:eastAsia="zh-CN"/>
              </w:rPr>
            </w:pPr>
            <w:r>
              <w:rPr>
                <w:rFonts w:hint="eastAsia" w:ascii="宋体" w:hAnsi="宋体" w:eastAsia="宋体" w:cs="宋体"/>
                <w:color w:val="auto"/>
                <w:kern w:val="0"/>
                <w:sz w:val="22"/>
                <w:szCs w:val="22"/>
                <w:lang w:val="en-US" w:eastAsia="zh-CN"/>
              </w:rPr>
              <w:t>普查员及普查指导员普查数据登记完成率</w:t>
            </w:r>
          </w:p>
        </w:tc>
        <w:tc>
          <w:tcPr>
            <w:tcW w:w="2141" w:type="dxa"/>
            <w:shd w:val="clear" w:color="auto" w:fill="auto"/>
            <w:noWrap w:val="0"/>
            <w:vAlign w:val="center"/>
          </w:tcPr>
          <w:p w14:paraId="01A742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val="en-US" w:eastAsia="zh-CN" w:bidi="ar-SA"/>
              </w:rPr>
            </w:pPr>
            <w:r>
              <w:rPr>
                <w:rFonts w:hint="eastAsia" w:ascii="宋体" w:hAnsi="宋体" w:eastAsia="宋体" w:cs="宋体"/>
                <w:color w:val="auto"/>
                <w:kern w:val="0"/>
                <w:sz w:val="22"/>
                <w:szCs w:val="22"/>
              </w:rPr>
              <w:t>项目完成的质量达标产出数与实际产出数的比率，用以反映和考核项目产出质量目标的实现程度。</w:t>
            </w:r>
          </w:p>
        </w:tc>
        <w:tc>
          <w:tcPr>
            <w:tcW w:w="7821" w:type="dxa"/>
            <w:shd w:val="clear" w:color="auto" w:fill="auto"/>
            <w:noWrap w:val="0"/>
            <w:vAlign w:val="center"/>
          </w:tcPr>
          <w:p w14:paraId="29B385A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质量达标率=（质量达标产出数/实际产出数）×100%。</w:t>
            </w:r>
          </w:p>
          <w:p w14:paraId="2B4428F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val="en-US" w:eastAsia="zh-CN" w:bidi="ar-SA"/>
              </w:rPr>
            </w:pPr>
            <w:r>
              <w:rPr>
                <w:rFonts w:hint="eastAsia" w:ascii="宋体" w:hAnsi="宋体" w:eastAsia="宋体" w:cs="宋体"/>
                <w:color w:val="auto"/>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0FDBB1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7EC3CAD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4.44</w:t>
            </w:r>
          </w:p>
        </w:tc>
      </w:tr>
      <w:tr w14:paraId="44FEB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533D571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yellow"/>
              </w:rPr>
            </w:pPr>
          </w:p>
        </w:tc>
        <w:tc>
          <w:tcPr>
            <w:tcW w:w="727" w:type="dxa"/>
            <w:shd w:val="clear" w:color="auto" w:fill="auto"/>
            <w:noWrap w:val="0"/>
            <w:vAlign w:val="center"/>
          </w:tcPr>
          <w:p w14:paraId="6B3931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产出时效</w:t>
            </w:r>
          </w:p>
        </w:tc>
        <w:tc>
          <w:tcPr>
            <w:tcW w:w="820" w:type="dxa"/>
            <w:shd w:val="clear" w:color="auto" w:fill="auto"/>
            <w:noWrap w:val="0"/>
            <w:vAlign w:val="center"/>
          </w:tcPr>
          <w:p w14:paraId="5EC05A9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lang w:val="en-US" w:eastAsia="zh-CN"/>
              </w:rPr>
              <w:t>普查员及普查指导员补助发放及时率</w:t>
            </w:r>
          </w:p>
        </w:tc>
        <w:tc>
          <w:tcPr>
            <w:tcW w:w="2141" w:type="dxa"/>
            <w:shd w:val="clear" w:color="auto" w:fill="auto"/>
            <w:noWrap w:val="0"/>
            <w:vAlign w:val="center"/>
          </w:tcPr>
          <w:p w14:paraId="7F5B80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项目实际完成时间与计划完成时间的比较，用以反映和考核项目产出时效目标的实现程度。</w:t>
            </w:r>
          </w:p>
        </w:tc>
        <w:tc>
          <w:tcPr>
            <w:tcW w:w="7821" w:type="dxa"/>
            <w:shd w:val="clear" w:color="auto" w:fill="auto"/>
            <w:noWrap w:val="0"/>
            <w:vAlign w:val="center"/>
          </w:tcPr>
          <w:p w14:paraId="764884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实际完成时间：项目实施单位完成该项目实际所耗用的时间。</w:t>
            </w:r>
          </w:p>
          <w:p w14:paraId="62B8F14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计划完成时间：按照项目实施计划或相关规定完成该项目所需的时间。</w:t>
            </w:r>
          </w:p>
        </w:tc>
        <w:tc>
          <w:tcPr>
            <w:tcW w:w="785" w:type="dxa"/>
            <w:shd w:val="clear" w:color="auto" w:fill="auto"/>
            <w:noWrap w:val="0"/>
            <w:vAlign w:val="center"/>
          </w:tcPr>
          <w:p w14:paraId="15F97B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D6DCD2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4.44</w:t>
            </w:r>
          </w:p>
        </w:tc>
      </w:tr>
      <w:tr w14:paraId="1981F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177D41F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yellow"/>
              </w:rPr>
            </w:pPr>
          </w:p>
        </w:tc>
        <w:tc>
          <w:tcPr>
            <w:tcW w:w="727" w:type="dxa"/>
            <w:vMerge w:val="restart"/>
            <w:shd w:val="clear" w:color="auto" w:fill="auto"/>
            <w:noWrap w:val="0"/>
            <w:vAlign w:val="center"/>
          </w:tcPr>
          <w:p w14:paraId="58636F2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产出成本</w:t>
            </w:r>
          </w:p>
        </w:tc>
        <w:tc>
          <w:tcPr>
            <w:tcW w:w="820" w:type="dxa"/>
            <w:shd w:val="clear" w:color="auto" w:fill="auto"/>
            <w:noWrap w:val="0"/>
            <w:vAlign w:val="center"/>
          </w:tcPr>
          <w:p w14:paraId="6654C87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lang w:val="en-US" w:eastAsia="zh-CN"/>
              </w:rPr>
            </w:pPr>
            <w:r>
              <w:rPr>
                <w:rFonts w:hint="eastAsia" w:ascii="宋体" w:hAnsi="宋体" w:eastAsia="宋体" w:cs="宋体"/>
                <w:color w:val="auto"/>
                <w:kern w:val="0"/>
                <w:sz w:val="22"/>
                <w:szCs w:val="22"/>
                <w:lang w:val="en-US" w:eastAsia="zh-CN"/>
              </w:rPr>
              <w:t>普查员及普查指导员清查阶段补助经费</w:t>
            </w:r>
          </w:p>
        </w:tc>
        <w:tc>
          <w:tcPr>
            <w:tcW w:w="2141" w:type="dxa"/>
            <w:shd w:val="clear" w:color="auto" w:fill="auto"/>
            <w:noWrap w:val="0"/>
            <w:vAlign w:val="center"/>
          </w:tcPr>
          <w:p w14:paraId="465D756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完成项目计划工作目标的实际节约成本与计划成本的比率，用以反映和考核项目的成本节约程度。</w:t>
            </w:r>
          </w:p>
        </w:tc>
        <w:tc>
          <w:tcPr>
            <w:tcW w:w="7821" w:type="dxa"/>
            <w:shd w:val="clear" w:color="auto" w:fill="auto"/>
            <w:noWrap w:val="0"/>
            <w:vAlign w:val="center"/>
          </w:tcPr>
          <w:p w14:paraId="689FB6B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p>
          <w:p w14:paraId="28E786C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成本节约率=[（计划成本-实际成本）/计划成本]×100%。</w:t>
            </w:r>
          </w:p>
          <w:p w14:paraId="5E824F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实际成本：项目实施单位如期、保质、保量完成既定工作目标实际所耗费的支出。</w:t>
            </w:r>
          </w:p>
          <w:p w14:paraId="657CABB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计划成本：项目实施单位为完成工作目标计划安排的支出，一般以项目预算为参考。</w:t>
            </w:r>
          </w:p>
        </w:tc>
        <w:tc>
          <w:tcPr>
            <w:tcW w:w="785" w:type="dxa"/>
            <w:shd w:val="clear" w:color="auto" w:fill="auto"/>
            <w:noWrap w:val="0"/>
            <w:vAlign w:val="center"/>
          </w:tcPr>
          <w:p w14:paraId="4F3172E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4C425B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77FE5D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shd w:val="clear" w:color="auto" w:fill="auto"/>
            <w:noWrap w:val="0"/>
            <w:vAlign w:val="center"/>
          </w:tcPr>
          <w:p w14:paraId="21BEAB9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p>
        </w:tc>
        <w:tc>
          <w:tcPr>
            <w:tcW w:w="727" w:type="dxa"/>
            <w:vMerge w:val="continue"/>
            <w:shd w:val="clear" w:color="auto" w:fill="auto"/>
            <w:noWrap w:val="0"/>
            <w:vAlign w:val="center"/>
          </w:tcPr>
          <w:p w14:paraId="560E8E9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p>
        </w:tc>
        <w:tc>
          <w:tcPr>
            <w:tcW w:w="820" w:type="dxa"/>
            <w:shd w:val="clear" w:color="auto" w:fill="auto"/>
            <w:noWrap w:val="0"/>
            <w:vAlign w:val="center"/>
          </w:tcPr>
          <w:p w14:paraId="61C5456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lang w:val="en-US" w:eastAsia="zh-CN"/>
              </w:rPr>
            </w:pPr>
            <w:r>
              <w:rPr>
                <w:rFonts w:hint="eastAsia" w:ascii="宋体" w:hAnsi="宋体" w:eastAsia="宋体" w:cs="宋体"/>
                <w:color w:val="auto"/>
                <w:kern w:val="0"/>
                <w:sz w:val="22"/>
                <w:szCs w:val="22"/>
                <w:lang w:val="en-US" w:eastAsia="zh-CN"/>
              </w:rPr>
              <w:t>普查员及普查指导员普查阶段补助经费</w:t>
            </w:r>
          </w:p>
        </w:tc>
        <w:tc>
          <w:tcPr>
            <w:tcW w:w="2141" w:type="dxa"/>
            <w:shd w:val="clear" w:color="auto" w:fill="auto"/>
            <w:noWrap w:val="0"/>
            <w:vAlign w:val="center"/>
          </w:tcPr>
          <w:p w14:paraId="54F1D14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val="en-US" w:eastAsia="zh-CN" w:bidi="ar-SA"/>
              </w:rPr>
            </w:pPr>
            <w:r>
              <w:rPr>
                <w:rFonts w:hint="eastAsia" w:ascii="宋体" w:hAnsi="宋体" w:eastAsia="宋体" w:cs="宋体"/>
                <w:color w:val="auto"/>
                <w:kern w:val="0"/>
                <w:sz w:val="22"/>
                <w:szCs w:val="22"/>
              </w:rPr>
              <w:t>完成项目计划工作目标的实际节约成本与计划成本的比率，用以反映和考核项目的成本节约程度。</w:t>
            </w:r>
          </w:p>
        </w:tc>
        <w:tc>
          <w:tcPr>
            <w:tcW w:w="7821" w:type="dxa"/>
            <w:shd w:val="clear" w:color="auto" w:fill="auto"/>
            <w:noWrap w:val="0"/>
            <w:vAlign w:val="center"/>
          </w:tcPr>
          <w:p w14:paraId="6FAFC2B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p>
          <w:p w14:paraId="6B93AE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成本节约率=[（计划成本-实际成本）/计划成本]×100%。</w:t>
            </w:r>
          </w:p>
          <w:p w14:paraId="6B397F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实际成本：项目实施单位如期、保质、保量完成既定工作目标实际所耗费的支出。</w:t>
            </w:r>
          </w:p>
          <w:p w14:paraId="2F70158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val="en-US" w:eastAsia="zh-CN" w:bidi="ar-SA"/>
              </w:rPr>
            </w:pPr>
            <w:r>
              <w:rPr>
                <w:rFonts w:hint="eastAsia" w:ascii="宋体" w:hAnsi="宋体" w:eastAsia="宋体" w:cs="宋体"/>
                <w:color w:val="auto"/>
                <w:kern w:val="0"/>
                <w:sz w:val="22"/>
                <w:szCs w:val="22"/>
              </w:rPr>
              <w:t>计划成本：项目实施单位为完成工作目标计划安排的支出，一般以项目预算为参考。</w:t>
            </w:r>
          </w:p>
        </w:tc>
        <w:tc>
          <w:tcPr>
            <w:tcW w:w="785" w:type="dxa"/>
            <w:shd w:val="clear" w:color="auto" w:fill="auto"/>
            <w:noWrap w:val="0"/>
            <w:vAlign w:val="center"/>
          </w:tcPr>
          <w:p w14:paraId="34F261B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78FF98F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397A7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75424F1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效益　</w:t>
            </w:r>
          </w:p>
        </w:tc>
        <w:tc>
          <w:tcPr>
            <w:tcW w:w="727" w:type="dxa"/>
            <w:vMerge w:val="restart"/>
            <w:shd w:val="clear" w:color="auto" w:fill="auto"/>
            <w:noWrap w:val="0"/>
            <w:vAlign w:val="center"/>
          </w:tcPr>
          <w:p w14:paraId="7946743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项目效益　</w:t>
            </w:r>
          </w:p>
        </w:tc>
        <w:tc>
          <w:tcPr>
            <w:tcW w:w="820" w:type="dxa"/>
            <w:shd w:val="clear" w:color="auto" w:fill="auto"/>
            <w:noWrap w:val="0"/>
            <w:vAlign w:val="center"/>
          </w:tcPr>
          <w:p w14:paraId="7F7BC3F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lang w:val="en-US" w:eastAsia="zh-CN"/>
              </w:rPr>
              <w:t>普查数据提高政府统计公信力</w:t>
            </w:r>
          </w:p>
        </w:tc>
        <w:tc>
          <w:tcPr>
            <w:tcW w:w="2141" w:type="dxa"/>
            <w:shd w:val="clear" w:color="auto" w:fill="auto"/>
            <w:noWrap w:val="0"/>
            <w:vAlign w:val="center"/>
          </w:tcPr>
          <w:p w14:paraId="1DBD20E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项目实施所产生的效益。</w:t>
            </w:r>
          </w:p>
        </w:tc>
        <w:tc>
          <w:tcPr>
            <w:tcW w:w="7821" w:type="dxa"/>
            <w:shd w:val="clear" w:color="auto" w:fill="auto"/>
            <w:noWrap w:val="0"/>
            <w:vAlign w:val="center"/>
          </w:tcPr>
          <w:p w14:paraId="7156944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项目实施所产生的社会效益、经济效益、生态效益、可持续影响等。可根据项目实际情况有选择地设置和细化。</w:t>
            </w:r>
          </w:p>
        </w:tc>
        <w:tc>
          <w:tcPr>
            <w:tcW w:w="785" w:type="dxa"/>
            <w:shd w:val="clear" w:color="auto" w:fill="auto"/>
            <w:noWrap w:val="0"/>
            <w:vAlign w:val="center"/>
          </w:tcPr>
          <w:p w14:paraId="38EF4F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15</w:t>
            </w:r>
          </w:p>
        </w:tc>
        <w:tc>
          <w:tcPr>
            <w:tcW w:w="769" w:type="dxa"/>
            <w:shd w:val="clear" w:color="auto" w:fill="auto"/>
            <w:noWrap w:val="0"/>
            <w:vAlign w:val="center"/>
          </w:tcPr>
          <w:p w14:paraId="7E03756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15</w:t>
            </w:r>
          </w:p>
        </w:tc>
      </w:tr>
      <w:tr w14:paraId="25451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7F6714E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yellow"/>
              </w:rPr>
            </w:pPr>
          </w:p>
        </w:tc>
        <w:tc>
          <w:tcPr>
            <w:tcW w:w="727" w:type="dxa"/>
            <w:vMerge w:val="continue"/>
            <w:shd w:val="clear" w:color="auto" w:fill="auto"/>
            <w:noWrap w:val="0"/>
            <w:vAlign w:val="center"/>
          </w:tcPr>
          <w:p w14:paraId="5BEB845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yellow"/>
              </w:rPr>
            </w:pPr>
          </w:p>
        </w:tc>
        <w:tc>
          <w:tcPr>
            <w:tcW w:w="820" w:type="dxa"/>
            <w:shd w:val="clear" w:color="auto" w:fill="auto"/>
            <w:noWrap w:val="0"/>
            <w:vAlign w:val="center"/>
          </w:tcPr>
          <w:p w14:paraId="3C7A238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yellow"/>
                <w:lang w:val="en-US" w:eastAsia="zh-CN"/>
              </w:rPr>
            </w:pPr>
            <w:r>
              <w:rPr>
                <w:rFonts w:hint="eastAsia" w:ascii="宋体" w:hAnsi="宋体" w:eastAsia="宋体" w:cs="宋体"/>
                <w:color w:val="auto"/>
                <w:kern w:val="0"/>
                <w:sz w:val="20"/>
                <w:szCs w:val="20"/>
                <w:highlight w:val="none"/>
                <w:shd w:val="clear" w:color="auto" w:fill="auto"/>
                <w:lang w:val="en-US" w:eastAsia="zh-CN"/>
              </w:rPr>
              <w:t>普查指导员和普查员满意度</w:t>
            </w:r>
          </w:p>
        </w:tc>
        <w:tc>
          <w:tcPr>
            <w:tcW w:w="2141" w:type="dxa"/>
            <w:shd w:val="clear" w:color="auto" w:fill="auto"/>
            <w:noWrap w:val="0"/>
            <w:vAlign w:val="center"/>
          </w:tcPr>
          <w:p w14:paraId="3BB5B0B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社会公众或服务对象对项目实施效果的满意程度。</w:t>
            </w:r>
          </w:p>
        </w:tc>
        <w:tc>
          <w:tcPr>
            <w:tcW w:w="7821" w:type="dxa"/>
            <w:shd w:val="clear" w:color="auto" w:fill="auto"/>
            <w:noWrap w:val="0"/>
            <w:vAlign w:val="center"/>
          </w:tcPr>
          <w:p w14:paraId="15A8964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社会公众或服务对象是指因该项目实施而受到影响的部门（单位）、群体或个人。一般采取社会调查的方式。</w:t>
            </w:r>
          </w:p>
        </w:tc>
        <w:tc>
          <w:tcPr>
            <w:tcW w:w="785" w:type="dxa"/>
            <w:shd w:val="clear" w:color="auto" w:fill="auto"/>
            <w:noWrap w:val="0"/>
            <w:vAlign w:val="center"/>
          </w:tcPr>
          <w:p w14:paraId="1C6D104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CB4A0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0ED1C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1E76966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lang w:val="en-US" w:eastAsia="zh-CN"/>
              </w:rPr>
            </w:pPr>
            <w:r>
              <w:rPr>
                <w:rFonts w:hint="eastAsia" w:ascii="宋体" w:hAnsi="宋体" w:eastAsia="宋体" w:cs="宋体"/>
                <w:color w:val="auto"/>
                <w:kern w:val="0"/>
                <w:sz w:val="22"/>
                <w:szCs w:val="22"/>
                <w:lang w:val="en-US" w:eastAsia="zh-CN"/>
              </w:rPr>
              <w:t>合计</w:t>
            </w:r>
          </w:p>
        </w:tc>
        <w:tc>
          <w:tcPr>
            <w:tcW w:w="7821" w:type="dxa"/>
            <w:shd w:val="clear" w:color="auto" w:fill="auto"/>
            <w:noWrap w:val="0"/>
            <w:vAlign w:val="center"/>
          </w:tcPr>
          <w:p w14:paraId="4922E0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rPr>
            </w:pPr>
          </w:p>
        </w:tc>
        <w:tc>
          <w:tcPr>
            <w:tcW w:w="785" w:type="dxa"/>
            <w:shd w:val="clear" w:color="auto" w:fill="auto"/>
            <w:noWrap w:val="0"/>
            <w:vAlign w:val="center"/>
          </w:tcPr>
          <w:p w14:paraId="37EC41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769" w:type="dxa"/>
            <w:shd w:val="clear" w:color="auto" w:fill="auto"/>
            <w:noWrap w:val="0"/>
            <w:vAlign w:val="center"/>
          </w:tcPr>
          <w:p w14:paraId="6AFA488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97.88</w:t>
            </w:r>
          </w:p>
        </w:tc>
      </w:tr>
    </w:tbl>
    <w:p w14:paraId="3DAB7CF4">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color w:val="auto"/>
          <w:sz w:val="30"/>
          <w:szCs w:val="24"/>
        </w:rPr>
      </w:pPr>
    </w:p>
    <w:p w14:paraId="336B3C9F">
      <w:pPr>
        <w:pageBreakBefore w:val="0"/>
        <w:kinsoku/>
        <w:wordWrap/>
        <w:overflowPunct/>
        <w:topLinePunct w:val="0"/>
        <w:autoSpaceDE/>
        <w:autoSpaceDN/>
        <w:bidi w:val="0"/>
        <w:spacing w:line="560" w:lineRule="exact"/>
        <w:textAlignment w:val="auto"/>
        <w:rPr>
          <w:rFonts w:hint="default"/>
          <w:color w:val="auto"/>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3A0914"/>
    <w:rsid w:val="007D6A04"/>
    <w:rsid w:val="00E23C81"/>
    <w:rsid w:val="01253350"/>
    <w:rsid w:val="01282E62"/>
    <w:rsid w:val="014029CF"/>
    <w:rsid w:val="01470C4C"/>
    <w:rsid w:val="02200440"/>
    <w:rsid w:val="02284B43"/>
    <w:rsid w:val="02B015E2"/>
    <w:rsid w:val="02DC08FA"/>
    <w:rsid w:val="033B569D"/>
    <w:rsid w:val="03412A55"/>
    <w:rsid w:val="039C3BA0"/>
    <w:rsid w:val="03A845BB"/>
    <w:rsid w:val="03B45AD1"/>
    <w:rsid w:val="04D12EE4"/>
    <w:rsid w:val="04D63993"/>
    <w:rsid w:val="07890F4F"/>
    <w:rsid w:val="081E0B1B"/>
    <w:rsid w:val="08892439"/>
    <w:rsid w:val="08EB30F3"/>
    <w:rsid w:val="09237408"/>
    <w:rsid w:val="09781BD6"/>
    <w:rsid w:val="09F359DF"/>
    <w:rsid w:val="0A575E65"/>
    <w:rsid w:val="0ACA0AB6"/>
    <w:rsid w:val="0C032502"/>
    <w:rsid w:val="0C27698C"/>
    <w:rsid w:val="0C473784"/>
    <w:rsid w:val="0D4452F3"/>
    <w:rsid w:val="0E794CFD"/>
    <w:rsid w:val="0F5E5042"/>
    <w:rsid w:val="0FB029A1"/>
    <w:rsid w:val="0FE95707"/>
    <w:rsid w:val="10510571"/>
    <w:rsid w:val="10787A20"/>
    <w:rsid w:val="108672DE"/>
    <w:rsid w:val="10EC685A"/>
    <w:rsid w:val="11FA6155"/>
    <w:rsid w:val="12CF0947"/>
    <w:rsid w:val="12F1313F"/>
    <w:rsid w:val="136C678E"/>
    <w:rsid w:val="13EB2FF5"/>
    <w:rsid w:val="14D374E4"/>
    <w:rsid w:val="14ED4CAC"/>
    <w:rsid w:val="15A46B04"/>
    <w:rsid w:val="165825BC"/>
    <w:rsid w:val="16BC5D73"/>
    <w:rsid w:val="170549BE"/>
    <w:rsid w:val="174165D4"/>
    <w:rsid w:val="176F36D7"/>
    <w:rsid w:val="1795226D"/>
    <w:rsid w:val="18456B1E"/>
    <w:rsid w:val="19F368E9"/>
    <w:rsid w:val="1C1171C5"/>
    <w:rsid w:val="1D265138"/>
    <w:rsid w:val="1D7B6BCA"/>
    <w:rsid w:val="1DA41A79"/>
    <w:rsid w:val="1DF53469"/>
    <w:rsid w:val="1E2F24F2"/>
    <w:rsid w:val="1E58492F"/>
    <w:rsid w:val="1E5B6757"/>
    <w:rsid w:val="1ED10AC6"/>
    <w:rsid w:val="1F89225F"/>
    <w:rsid w:val="1F900A1F"/>
    <w:rsid w:val="1FC0575D"/>
    <w:rsid w:val="206132C7"/>
    <w:rsid w:val="21B00C1D"/>
    <w:rsid w:val="22835CF3"/>
    <w:rsid w:val="22EA5D72"/>
    <w:rsid w:val="23031BEB"/>
    <w:rsid w:val="23917691"/>
    <w:rsid w:val="244D65B8"/>
    <w:rsid w:val="245E1E24"/>
    <w:rsid w:val="25AD5E5D"/>
    <w:rsid w:val="2732478D"/>
    <w:rsid w:val="27661469"/>
    <w:rsid w:val="27900EAD"/>
    <w:rsid w:val="279B538A"/>
    <w:rsid w:val="286F545C"/>
    <w:rsid w:val="29314FBC"/>
    <w:rsid w:val="2AA2081A"/>
    <w:rsid w:val="2C024B86"/>
    <w:rsid w:val="2C927671"/>
    <w:rsid w:val="2CB832DE"/>
    <w:rsid w:val="2CC6306F"/>
    <w:rsid w:val="2D7C5CD6"/>
    <w:rsid w:val="2DA72B9F"/>
    <w:rsid w:val="2E483E7E"/>
    <w:rsid w:val="2E690493"/>
    <w:rsid w:val="2E9854BD"/>
    <w:rsid w:val="2F0D407F"/>
    <w:rsid w:val="2F190F99"/>
    <w:rsid w:val="2F454B19"/>
    <w:rsid w:val="310224D9"/>
    <w:rsid w:val="31B4621C"/>
    <w:rsid w:val="31E3230A"/>
    <w:rsid w:val="32764F2C"/>
    <w:rsid w:val="330957E0"/>
    <w:rsid w:val="33356F64"/>
    <w:rsid w:val="333956B5"/>
    <w:rsid w:val="33944516"/>
    <w:rsid w:val="34B62907"/>
    <w:rsid w:val="35696FCA"/>
    <w:rsid w:val="36BD137C"/>
    <w:rsid w:val="38053EDF"/>
    <w:rsid w:val="380812A4"/>
    <w:rsid w:val="385D37E7"/>
    <w:rsid w:val="38782EDD"/>
    <w:rsid w:val="39E66E3B"/>
    <w:rsid w:val="3B42664A"/>
    <w:rsid w:val="3C99027B"/>
    <w:rsid w:val="3CAD1E92"/>
    <w:rsid w:val="3D232ABA"/>
    <w:rsid w:val="3D836A4E"/>
    <w:rsid w:val="3E1C107E"/>
    <w:rsid w:val="3EA37E97"/>
    <w:rsid w:val="3F6251B6"/>
    <w:rsid w:val="3FBE0BC5"/>
    <w:rsid w:val="4048103A"/>
    <w:rsid w:val="40736643"/>
    <w:rsid w:val="40D24A7A"/>
    <w:rsid w:val="413D7035"/>
    <w:rsid w:val="42410DF0"/>
    <w:rsid w:val="42621029"/>
    <w:rsid w:val="435241E2"/>
    <w:rsid w:val="43525542"/>
    <w:rsid w:val="43975C51"/>
    <w:rsid w:val="439E3FA7"/>
    <w:rsid w:val="44B32266"/>
    <w:rsid w:val="44FC64F4"/>
    <w:rsid w:val="45CD7AF7"/>
    <w:rsid w:val="467F4585"/>
    <w:rsid w:val="470628CB"/>
    <w:rsid w:val="4729480B"/>
    <w:rsid w:val="47555BD4"/>
    <w:rsid w:val="47BC2DB1"/>
    <w:rsid w:val="47E96399"/>
    <w:rsid w:val="47F76025"/>
    <w:rsid w:val="486E33F5"/>
    <w:rsid w:val="48E12B50"/>
    <w:rsid w:val="499441BE"/>
    <w:rsid w:val="499A6C1C"/>
    <w:rsid w:val="4A195607"/>
    <w:rsid w:val="4A2138F0"/>
    <w:rsid w:val="4A583887"/>
    <w:rsid w:val="4B9F6E02"/>
    <w:rsid w:val="4C89637B"/>
    <w:rsid w:val="4E6E48A8"/>
    <w:rsid w:val="4EEC036B"/>
    <w:rsid w:val="4F3904FE"/>
    <w:rsid w:val="4F714FA1"/>
    <w:rsid w:val="501D2673"/>
    <w:rsid w:val="50C80BF1"/>
    <w:rsid w:val="50D45665"/>
    <w:rsid w:val="51852833"/>
    <w:rsid w:val="51A258E6"/>
    <w:rsid w:val="52522E68"/>
    <w:rsid w:val="52F11AC8"/>
    <w:rsid w:val="534F49D9"/>
    <w:rsid w:val="53555F0F"/>
    <w:rsid w:val="535D23D5"/>
    <w:rsid w:val="5402266C"/>
    <w:rsid w:val="541E3855"/>
    <w:rsid w:val="56B1600C"/>
    <w:rsid w:val="56F4341A"/>
    <w:rsid w:val="575A7321"/>
    <w:rsid w:val="580C3AB9"/>
    <w:rsid w:val="583C7AE0"/>
    <w:rsid w:val="586C1E9A"/>
    <w:rsid w:val="586E0800"/>
    <w:rsid w:val="59216F96"/>
    <w:rsid w:val="598C4145"/>
    <w:rsid w:val="59957D1B"/>
    <w:rsid w:val="59CA3C2C"/>
    <w:rsid w:val="59D4294E"/>
    <w:rsid w:val="5B634312"/>
    <w:rsid w:val="5B9D2CCD"/>
    <w:rsid w:val="5B9E71EA"/>
    <w:rsid w:val="5CB5471F"/>
    <w:rsid w:val="5E226FBC"/>
    <w:rsid w:val="5FE72BD2"/>
    <w:rsid w:val="60120613"/>
    <w:rsid w:val="60221E48"/>
    <w:rsid w:val="615D5386"/>
    <w:rsid w:val="618D5292"/>
    <w:rsid w:val="622E78FA"/>
    <w:rsid w:val="63226DB0"/>
    <w:rsid w:val="63343F70"/>
    <w:rsid w:val="63B76FCF"/>
    <w:rsid w:val="64296E1C"/>
    <w:rsid w:val="64386FCC"/>
    <w:rsid w:val="649E64A2"/>
    <w:rsid w:val="65E5270A"/>
    <w:rsid w:val="663D3C54"/>
    <w:rsid w:val="667A6962"/>
    <w:rsid w:val="66862C89"/>
    <w:rsid w:val="66BB486D"/>
    <w:rsid w:val="67394C7D"/>
    <w:rsid w:val="68126B38"/>
    <w:rsid w:val="68291A1A"/>
    <w:rsid w:val="682B6A71"/>
    <w:rsid w:val="68352BB8"/>
    <w:rsid w:val="691327EB"/>
    <w:rsid w:val="691B1594"/>
    <w:rsid w:val="69212BA6"/>
    <w:rsid w:val="693A016B"/>
    <w:rsid w:val="69410CA7"/>
    <w:rsid w:val="6A17429C"/>
    <w:rsid w:val="6A567EA3"/>
    <w:rsid w:val="6B4B4368"/>
    <w:rsid w:val="6B79100E"/>
    <w:rsid w:val="6C844C00"/>
    <w:rsid w:val="6E10212C"/>
    <w:rsid w:val="6E43561A"/>
    <w:rsid w:val="6E557973"/>
    <w:rsid w:val="6E9568DB"/>
    <w:rsid w:val="6F0D6C22"/>
    <w:rsid w:val="6F47657F"/>
    <w:rsid w:val="6FAF23D9"/>
    <w:rsid w:val="70635CF6"/>
    <w:rsid w:val="70670707"/>
    <w:rsid w:val="720E3691"/>
    <w:rsid w:val="7249173A"/>
    <w:rsid w:val="724A7297"/>
    <w:rsid w:val="724E244C"/>
    <w:rsid w:val="72DA6946"/>
    <w:rsid w:val="732764B3"/>
    <w:rsid w:val="74026044"/>
    <w:rsid w:val="7432570A"/>
    <w:rsid w:val="74325A77"/>
    <w:rsid w:val="74746410"/>
    <w:rsid w:val="747C3044"/>
    <w:rsid w:val="748A7DE8"/>
    <w:rsid w:val="75C8506C"/>
    <w:rsid w:val="75E5007C"/>
    <w:rsid w:val="77636B63"/>
    <w:rsid w:val="77813724"/>
    <w:rsid w:val="77861774"/>
    <w:rsid w:val="78F31435"/>
    <w:rsid w:val="79300B45"/>
    <w:rsid w:val="794D3E18"/>
    <w:rsid w:val="79F3729A"/>
    <w:rsid w:val="7A592736"/>
    <w:rsid w:val="7A880722"/>
    <w:rsid w:val="7ABE6120"/>
    <w:rsid w:val="7ACB0498"/>
    <w:rsid w:val="7AED0B4D"/>
    <w:rsid w:val="7C1E4487"/>
    <w:rsid w:val="7C215E02"/>
    <w:rsid w:val="7CF23764"/>
    <w:rsid w:val="7D851A94"/>
    <w:rsid w:val="7DDA3B8E"/>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before="240" w:after="240" w:line="360" w:lineRule="auto"/>
      <w:jc w:val="center"/>
    </w:pPr>
    <w:rPr>
      <w:b/>
      <w:sz w:val="44"/>
    </w:rPr>
  </w:style>
  <w:style w:type="paragraph" w:styleId="6">
    <w:name w:val="annotation text"/>
    <w:basedOn w:val="1"/>
    <w:autoRedefine/>
    <w:qFormat/>
    <w:uiPriority w:val="0"/>
    <w:pPr>
      <w:jc w:val="left"/>
    </w:p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autoRedefine/>
    <w:qFormat/>
    <w:uiPriority w:val="0"/>
    <w:rPr>
      <w:rFonts w:ascii="Arial" w:hAnsi="Arial" w:eastAsia="楷体"/>
      <w:b/>
      <w:sz w:val="32"/>
    </w:rPr>
  </w:style>
  <w:style w:type="paragraph" w:customStyle="1" w:styleId="20">
    <w:name w:val="WPSOffice手动目录 1"/>
    <w:autoRedefine/>
    <w:qFormat/>
    <w:uiPriority w:val="0"/>
    <w:pPr>
      <w:ind w:leftChars="0"/>
    </w:pPr>
    <w:rPr>
      <w:rFonts w:ascii="Times New Roman" w:hAnsi="Times New Roman" w:eastAsia="宋体" w:cs="Times New Roman"/>
      <w:sz w:val="20"/>
      <w:szCs w:val="20"/>
    </w:rPr>
  </w:style>
  <w:style w:type="paragraph" w:customStyle="1" w:styleId="21">
    <w:name w:val="WPSOffice手动目录 2"/>
    <w:autoRedefine/>
    <w:qFormat/>
    <w:uiPriority w:val="0"/>
    <w:pPr>
      <w:ind w:leftChars="200"/>
    </w:pPr>
    <w:rPr>
      <w:rFonts w:ascii="Times New Roman" w:hAnsi="Times New Roman" w:eastAsia="宋体" w:cs="Times New Roman"/>
      <w:sz w:val="20"/>
      <w:szCs w:val="20"/>
    </w:rPr>
  </w:style>
  <w:style w:type="paragraph" w:customStyle="1" w:styleId="22">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12120</Words>
  <Characters>12798</Characters>
  <Lines>0</Lines>
  <Paragraphs>0</Paragraphs>
  <TotalTime>1</TotalTime>
  <ScaleCrop>false</ScaleCrop>
  <LinksUpToDate>false</LinksUpToDate>
  <CharactersWithSpaces>12873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2025-10-23T10:34:29Z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A3B71F1C3B5B4AFAB7101094F76677B9_13</vt:lpwstr>
  </property>
  <property fmtid="{D5CDD505-2E9C-101B-9397-08002B2CF9AE}" pid="4" name="KSOTemplateDocerSaveRecord">
    <vt:lpwstr>eyJoZGlkIjoiNTY3MmI4ODZmMjljZWZhNGFkN2U2N2Y4ODgwYjM5ZGIiLCJ1c2VySWQiOiIzNjI1MzY3NzcifQ==</vt:lpwstr>
  </property>
</Properties>
</file>