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1572D">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73BA0FA7">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FCCAF9A">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4F863F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25575"/>
      <w:bookmarkStart w:id="2" w:name="_Toc15679"/>
      <w:bookmarkStart w:id="3" w:name="_Toc29123"/>
      <w:r>
        <w:rPr>
          <w:rFonts w:hint="eastAsia" w:cs="宋体"/>
          <w:b/>
          <w:bCs/>
          <w:color w:val="auto"/>
          <w:sz w:val="40"/>
          <w:szCs w:val="40"/>
          <w:highlight w:val="none"/>
          <w:shd w:val="clear" w:color="auto" w:fill="auto"/>
          <w:lang w:val="en-US" w:eastAsia="zh-CN"/>
        </w:rPr>
        <w:t>2024年债务化解（天龙小学门卫室地勘费）、2024年300米塑胶田径场工程</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4947ABCE">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2CEFAE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9312A3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BC82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F333F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BAF15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15C666E">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26A81FEF">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项目名称：2024年债务化解（天龙小学门卫室地勘费）、2024年300米塑胶田径场工程</w:t>
      </w:r>
    </w:p>
    <w:p w14:paraId="00A1578B">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阜康市天龙小学</w:t>
      </w:r>
    </w:p>
    <w:p w14:paraId="41BF44EA">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主管部门：阜康市</w:t>
      </w:r>
      <w:r>
        <w:rPr>
          <w:rFonts w:hint="eastAsia" w:ascii="黑体" w:hAnsi="Times New Roman" w:eastAsia="黑体"/>
          <w:b w:val="0"/>
          <w:bCs/>
          <w:color w:val="auto"/>
          <w:sz w:val="30"/>
          <w:szCs w:val="30"/>
          <w:highlight w:val="none"/>
          <w:lang w:val="en-US" w:eastAsia="zh-CN"/>
        </w:rPr>
        <w:t>教育局</w:t>
      </w:r>
    </w:p>
    <w:p w14:paraId="4AF29557">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赵伟</w:t>
      </w:r>
    </w:p>
    <w:p w14:paraId="0A2A8CF6">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2025年5月7日</w:t>
      </w:r>
    </w:p>
    <w:p w14:paraId="740EDBAF">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5C15AA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7C62DD80">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5C8C1711">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605456F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1114AA6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0F4222D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F5F3B6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44F216B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094901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34415FB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7423FB9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1E552A4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1B6E2AC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5C39562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62A46D0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21751A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A5C412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3AC362C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5E71385A">
          <w:pPr>
            <w:pStyle w:val="10"/>
            <w:tabs>
              <w:tab w:val="right" w:leader="dot" w:pos="8844"/>
            </w:tabs>
            <w:rPr>
              <w:rFonts w:hint="eastAsia"/>
              <w:color w:val="auto"/>
              <w:szCs w:val="28"/>
              <w:highlight w:val="none"/>
              <w:lang w:val="en-US" w:eastAsia="zh-CN"/>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436B1878">
          <w:pPr>
            <w:pStyle w:val="10"/>
            <w:tabs>
              <w:tab w:val="right" w:leader="dot" w:pos="8844"/>
            </w:tabs>
            <w:rPr>
              <w:rFonts w:hint="default"/>
              <w:highlight w:val="none"/>
              <w:lang w:val="en-US" w:eastAsia="zh-CN"/>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rFonts w:hint="eastAsia"/>
              <w:highlight w:val="none"/>
              <w:lang w:val="en-US" w:eastAsia="zh-CN"/>
            </w:rPr>
            <w:t>2</w:t>
          </w:r>
          <w:r>
            <w:rPr>
              <w:rFonts w:hint="eastAsia"/>
              <w:szCs w:val="28"/>
              <w:highlight w:val="none"/>
              <w:lang w:val="en-US" w:eastAsia="zh-CN"/>
            </w:rPr>
            <w:fldChar w:fldCharType="end"/>
          </w:r>
          <w:r>
            <w:rPr>
              <w:rFonts w:hint="eastAsia"/>
              <w:szCs w:val="28"/>
              <w:highlight w:val="none"/>
              <w:lang w:val="en-US" w:eastAsia="zh-CN"/>
            </w:rPr>
            <w:t>5</w:t>
          </w:r>
        </w:p>
        <w:p w14:paraId="462D56BB">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0F5788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3893391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18512EEA">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66A63D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07FA0D2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1974B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30</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0B258D8F">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6933F32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1194"/>
      <w:bookmarkStart w:id="5" w:name="_Toc22946"/>
      <w:bookmarkStart w:id="6" w:name="_Toc20432"/>
      <w:bookmarkStart w:id="7" w:name="_Toc3663"/>
      <w:r>
        <w:rPr>
          <w:rFonts w:hint="eastAsia" w:cs="宋体"/>
          <w:b/>
          <w:bCs/>
          <w:color w:val="auto"/>
          <w:sz w:val="36"/>
          <w:szCs w:val="36"/>
          <w:highlight w:val="none"/>
          <w:shd w:val="clear" w:color="auto" w:fill="auto"/>
          <w:lang w:val="en-US" w:eastAsia="zh-CN"/>
        </w:rPr>
        <w:t>2024年化债项目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4305256B">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7429710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2143B618">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5043"/>
      <w:bookmarkStart w:id="11" w:name="_Toc29812"/>
      <w:bookmarkStart w:id="12" w:name="_Toc10645"/>
      <w:bookmarkStart w:id="13" w:name="_Toc22346"/>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7516216D">
      <w:pPr>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校为贯彻落实2024年政府化债工作要求，定期化解学校债务，减轻政府债务负担，经学校化债小组研究决定，对学校300米塑胶操场项目、门卫室地勘费进行化债，通过项目的实施化解单位债务，有效提升单位和政府形象。完善政府债务化解机制。</w:t>
      </w:r>
    </w:p>
    <w:p w14:paraId="5FB16745">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7880"/>
      <w:bookmarkStart w:id="15" w:name="_Toc1630"/>
      <w:bookmarkStart w:id="16" w:name="_Toc27343"/>
      <w:bookmarkStart w:id="17" w:name="_Toc107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140FCAD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eastAsia="zh-CN"/>
        </w:rPr>
      </w:pPr>
      <w:bookmarkStart w:id="18" w:name="_Toc16592"/>
      <w:bookmarkStart w:id="19" w:name="_Toc21898"/>
      <w:bookmarkStart w:id="20" w:name="_Toc27245"/>
      <w:bookmarkStart w:id="21" w:name="_Toc27409"/>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sz w:val="32"/>
          <w:szCs w:val="32"/>
          <w:highlight w:val="none"/>
        </w:rPr>
        <w:t>本项目自2024年1月</w:t>
      </w:r>
      <w:r>
        <w:rPr>
          <w:rFonts w:hint="eastAsia"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日开始，我校2024年完成化解债务项目2个，化债项目涉及企业2个，资金使用合格率预计100%，资金支付及时率预计达到100%，</w:t>
      </w:r>
      <w:r>
        <w:rPr>
          <w:rFonts w:hint="eastAsia" w:cs="仿宋_GB2312"/>
          <w:b w:val="0"/>
          <w:bCs w:val="0"/>
          <w:color w:val="auto"/>
          <w:sz w:val="32"/>
          <w:szCs w:val="32"/>
          <w:highlight w:val="none"/>
          <w:lang w:eastAsia="zh-CN"/>
        </w:rPr>
        <w:t>300米塑胶操场</w:t>
      </w:r>
      <w:r>
        <w:rPr>
          <w:rFonts w:hint="eastAsia" w:ascii="仿宋_GB2312" w:hAnsi="仿宋_GB2312" w:eastAsia="仿宋_GB2312" w:cs="仿宋_GB2312"/>
          <w:b w:val="0"/>
          <w:bCs w:val="0"/>
          <w:color w:val="auto"/>
          <w:sz w:val="32"/>
          <w:szCs w:val="32"/>
          <w:highlight w:val="none"/>
        </w:rPr>
        <w:t>工程款预计还款</w:t>
      </w:r>
      <w:r>
        <w:rPr>
          <w:rFonts w:hint="eastAsia" w:cs="仿宋_GB2312"/>
          <w:b w:val="0"/>
          <w:bCs w:val="0"/>
          <w:color w:val="auto"/>
          <w:sz w:val="32"/>
          <w:szCs w:val="32"/>
          <w:highlight w:val="none"/>
          <w:lang w:val="en-US" w:eastAsia="zh-CN"/>
        </w:rPr>
        <w:t>300</w:t>
      </w:r>
      <w:r>
        <w:rPr>
          <w:rFonts w:hint="eastAsia" w:ascii="仿宋_GB2312" w:hAnsi="仿宋_GB2312" w:eastAsia="仿宋_GB2312" w:cs="仿宋_GB2312"/>
          <w:b w:val="0"/>
          <w:bCs w:val="0"/>
          <w:color w:val="auto"/>
          <w:sz w:val="32"/>
          <w:szCs w:val="32"/>
          <w:highlight w:val="none"/>
        </w:rPr>
        <w:t>万元，</w:t>
      </w:r>
      <w:r>
        <w:rPr>
          <w:rFonts w:hint="eastAsia" w:cs="仿宋_GB2312"/>
          <w:b w:val="0"/>
          <w:bCs w:val="0"/>
          <w:color w:val="auto"/>
          <w:sz w:val="32"/>
          <w:szCs w:val="32"/>
          <w:highlight w:val="none"/>
          <w:lang w:val="en-US" w:eastAsia="zh-CN"/>
        </w:rPr>
        <w:t>门卫室</w:t>
      </w:r>
      <w:r>
        <w:rPr>
          <w:rFonts w:hint="eastAsia" w:ascii="仿宋_GB2312" w:hAnsi="仿宋_GB2312" w:eastAsia="仿宋_GB2312" w:cs="仿宋_GB2312"/>
          <w:b w:val="0"/>
          <w:bCs w:val="0"/>
          <w:color w:val="auto"/>
          <w:sz w:val="32"/>
          <w:szCs w:val="32"/>
          <w:highlight w:val="none"/>
        </w:rPr>
        <w:t>地勘费</w:t>
      </w:r>
      <w:r>
        <w:rPr>
          <w:rFonts w:hint="eastAsia" w:cs="仿宋_GB2312"/>
          <w:b w:val="0"/>
          <w:bCs w:val="0"/>
          <w:color w:val="auto"/>
          <w:sz w:val="32"/>
          <w:szCs w:val="32"/>
          <w:highlight w:val="none"/>
          <w:lang w:val="en-US" w:eastAsia="zh-CN"/>
        </w:rPr>
        <w:t>0.4</w:t>
      </w:r>
      <w:r>
        <w:rPr>
          <w:rFonts w:hint="eastAsia" w:ascii="仿宋_GB2312" w:hAnsi="仿宋_GB2312" w:eastAsia="仿宋_GB2312" w:cs="仿宋_GB2312"/>
          <w:b w:val="0"/>
          <w:bCs w:val="0"/>
          <w:color w:val="auto"/>
          <w:sz w:val="32"/>
          <w:szCs w:val="32"/>
          <w:highlight w:val="none"/>
        </w:rPr>
        <w:t>万元</w:t>
      </w:r>
      <w:r>
        <w:rPr>
          <w:rFonts w:hint="eastAsia" w:cs="仿宋_GB2312"/>
          <w:b w:val="0"/>
          <w:bCs w:val="0"/>
          <w:color w:val="auto"/>
          <w:sz w:val="32"/>
          <w:szCs w:val="32"/>
          <w:highlight w:val="none"/>
          <w:lang w:eastAsia="zh-CN"/>
        </w:rPr>
        <w:t>。</w:t>
      </w:r>
    </w:p>
    <w:p w14:paraId="50A8367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b w:val="0"/>
          <w:bCs w:val="0"/>
          <w:color w:val="auto"/>
          <w:sz w:val="32"/>
          <w:szCs w:val="32"/>
          <w:highlight w:val="none"/>
          <w:shd w:val="clear" w:color="auto" w:fill="auto"/>
          <w:lang w:val="en-US" w:eastAsia="zh-CN"/>
        </w:rPr>
        <w:t>本项目</w:t>
      </w:r>
      <w:r>
        <w:rPr>
          <w:rFonts w:hint="eastAsia" w:ascii="仿宋_GB2312" w:hAnsi="仿宋_GB2312" w:eastAsia="仿宋_GB2312" w:cs="仿宋_GB2312"/>
          <w:color w:val="auto"/>
          <w:sz w:val="32"/>
          <w:szCs w:val="32"/>
          <w:highlight w:val="none"/>
          <w:lang w:eastAsia="zh-CN"/>
        </w:rPr>
        <w:t>成立了2024年债务化解（天龙小学门卫室地勘费）、2024年300米塑胶田径场工程项目工作领导小组，由</w:t>
      </w:r>
      <w:r>
        <w:rPr>
          <w:rFonts w:hint="eastAsia" w:ascii="仿宋_GB2312" w:hAnsi="仿宋_GB2312" w:eastAsia="仿宋_GB2312" w:cs="仿宋_GB2312"/>
          <w:color w:val="auto"/>
          <w:sz w:val="32"/>
          <w:szCs w:val="32"/>
          <w:highlight w:val="none"/>
          <w:lang w:val="en-US" w:eastAsia="zh-CN"/>
        </w:rPr>
        <w:t>杨志刚</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赵伟</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徐静静</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张佳</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赵浩伟</w:t>
      </w:r>
      <w:r>
        <w:rPr>
          <w:rFonts w:hint="eastAsia" w:ascii="仿宋_GB2312" w:hAnsi="仿宋_GB2312" w:eastAsia="仿宋_GB2312" w:cs="仿宋_GB2312"/>
          <w:color w:val="auto"/>
          <w:sz w:val="32"/>
          <w:szCs w:val="32"/>
          <w:highlight w:val="none"/>
          <w:lang w:eastAsia="zh-CN"/>
        </w:rPr>
        <w:t>主要负责项目监督管理、验收，</w:t>
      </w:r>
      <w:r>
        <w:rPr>
          <w:rFonts w:hint="eastAsia" w:ascii="仿宋_GB2312" w:hAnsi="仿宋_GB2312" w:eastAsia="仿宋_GB2312" w:cs="仿宋_GB2312"/>
          <w:color w:val="auto"/>
          <w:sz w:val="32"/>
          <w:szCs w:val="32"/>
          <w:highlight w:val="none"/>
          <w:lang w:val="en-US" w:eastAsia="zh-CN"/>
        </w:rPr>
        <w:t>冯义新负责</w:t>
      </w:r>
      <w:r>
        <w:rPr>
          <w:rFonts w:hint="eastAsia" w:ascii="仿宋_GB2312" w:hAnsi="仿宋_GB2312" w:eastAsia="仿宋_GB2312" w:cs="仿宋_GB2312"/>
          <w:color w:val="auto"/>
          <w:sz w:val="32"/>
          <w:szCs w:val="32"/>
          <w:highlight w:val="none"/>
          <w:lang w:eastAsia="zh-CN"/>
        </w:rPr>
        <w:t>资金核拨等工作。</w:t>
      </w:r>
    </w:p>
    <w:p w14:paraId="554D43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自2024年1月1日开始，我校2024年完成化解债务项目2个，化债项目涉及企业2个，资金使用合格率预计100%，资金支付及时率预计达到100%，300米塑胶操场工程款预计还款300万元，门卫室地勘费0.4万元，通过项目的实施，预期达到化解单位债务，提升单位和政府形象。</w:t>
      </w:r>
    </w:p>
    <w:p w14:paraId="5CA360CD">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0240"/>
      <w:bookmarkStart w:id="24" w:name="_Toc12348"/>
      <w:bookmarkStart w:id="25" w:name="_Toc185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593D541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694"/>
      <w:bookmarkStart w:id="27" w:name="_Toc23509"/>
      <w:bookmarkStart w:id="28" w:name="_Toc2636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123CE34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5573"/>
      <w:bookmarkStart w:id="31" w:name="_Toc9464"/>
      <w:r>
        <w:rPr>
          <w:rFonts w:hint="eastAsia" w:ascii="仿宋_GB2312" w:hAnsi="仿宋_GB2312" w:eastAsia="仿宋_GB2312" w:cs="仿宋_GB2312"/>
          <w:color w:val="auto"/>
          <w:sz w:val="32"/>
          <w:szCs w:val="32"/>
          <w:highlight w:val="none"/>
          <w:lang w:val="en-US" w:eastAsia="zh-CN"/>
        </w:rPr>
        <w:t>该项目年初预算数100.40万元，全年预算数300.40万元，该项目资金已全部落实到位，资金来源为财政拨款。</w:t>
      </w:r>
      <w:bookmarkEnd w:id="29"/>
      <w:bookmarkEnd w:id="30"/>
      <w:bookmarkEnd w:id="31"/>
      <w:bookmarkStart w:id="32" w:name="_Toc28187"/>
      <w:bookmarkStart w:id="33" w:name="_Toc3409"/>
      <w:bookmarkStart w:id="34" w:name="_Toc1166"/>
    </w:p>
    <w:p w14:paraId="57934EC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6622EA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1647"/>
      <w:bookmarkStart w:id="36" w:name="_Toc29121"/>
      <w:bookmarkStart w:id="37" w:name="_Toc1430"/>
      <w:r>
        <w:rPr>
          <w:rFonts w:hint="eastAsia" w:ascii="仿宋_GB2312" w:hAnsi="仿宋_GB2312" w:eastAsia="仿宋_GB2312" w:cs="仿宋_GB2312"/>
          <w:color w:val="auto"/>
          <w:sz w:val="32"/>
          <w:szCs w:val="32"/>
          <w:highlight w:val="none"/>
          <w:lang w:val="en-US" w:eastAsia="zh-CN"/>
        </w:rPr>
        <w:t>该项目年初预算数100.40万元，全年预算数300.40万元，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全年执行数300.40万元，预算执行率为100%，主要用于：</w:t>
      </w:r>
      <w:r>
        <w:rPr>
          <w:rFonts w:hint="eastAsia" w:ascii="仿宋_GB2312" w:hAnsi="仿宋_GB2312" w:eastAsia="仿宋_GB2312" w:cs="仿宋_GB2312"/>
          <w:b w:val="0"/>
          <w:bCs w:val="0"/>
          <w:color w:val="auto"/>
          <w:sz w:val="32"/>
          <w:szCs w:val="32"/>
          <w:highlight w:val="none"/>
          <w:lang w:eastAsia="zh-CN"/>
        </w:rPr>
        <w:t>300米塑胶操场</w:t>
      </w:r>
      <w:r>
        <w:rPr>
          <w:rFonts w:hint="eastAsia" w:ascii="仿宋_GB2312" w:hAnsi="仿宋_GB2312" w:eastAsia="仿宋_GB2312" w:cs="仿宋_GB2312"/>
          <w:b w:val="0"/>
          <w:bCs w:val="0"/>
          <w:color w:val="auto"/>
          <w:sz w:val="32"/>
          <w:szCs w:val="32"/>
          <w:highlight w:val="none"/>
        </w:rPr>
        <w:t>工程费用</w:t>
      </w:r>
      <w:r>
        <w:rPr>
          <w:rFonts w:hint="eastAsia" w:ascii="仿宋_GB2312" w:hAnsi="仿宋_GB2312" w:eastAsia="仿宋_GB2312" w:cs="仿宋_GB2312"/>
          <w:b w:val="0"/>
          <w:bCs w:val="0"/>
          <w:color w:val="auto"/>
          <w:sz w:val="32"/>
          <w:szCs w:val="32"/>
          <w:highlight w:val="none"/>
          <w:lang w:val="en-US" w:eastAsia="zh-CN"/>
        </w:rPr>
        <w:t>300.00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val="en-US" w:eastAsia="zh-CN"/>
        </w:rPr>
        <w:t>门卫室</w:t>
      </w:r>
      <w:r>
        <w:rPr>
          <w:rFonts w:hint="eastAsia" w:ascii="仿宋_GB2312" w:hAnsi="仿宋_GB2312" w:eastAsia="仿宋_GB2312" w:cs="仿宋_GB2312"/>
          <w:b w:val="0"/>
          <w:bCs w:val="0"/>
          <w:color w:val="auto"/>
          <w:sz w:val="32"/>
          <w:szCs w:val="32"/>
          <w:highlight w:val="none"/>
        </w:rPr>
        <w:t>地勘费用</w:t>
      </w:r>
      <w:r>
        <w:rPr>
          <w:rFonts w:hint="eastAsia" w:ascii="仿宋_GB2312" w:hAnsi="仿宋_GB2312" w:eastAsia="仿宋_GB2312" w:cs="仿宋_GB2312"/>
          <w:b w:val="0"/>
          <w:bCs w:val="0"/>
          <w:color w:val="auto"/>
          <w:sz w:val="32"/>
          <w:szCs w:val="32"/>
          <w:highlight w:val="none"/>
          <w:lang w:val="en-US" w:eastAsia="zh-CN"/>
        </w:rPr>
        <w:t>0.40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w:t>
      </w:r>
      <w:bookmarkEnd w:id="35"/>
      <w:bookmarkEnd w:id="36"/>
      <w:bookmarkEnd w:id="37"/>
    </w:p>
    <w:p w14:paraId="09AE60D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15EAC52C">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8528"/>
      <w:bookmarkStart w:id="40" w:name="_Toc14758"/>
      <w:bookmarkStart w:id="41" w:name="_Toc10047"/>
      <w:bookmarkStart w:id="42" w:name="_Toc25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5BDB367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SA"/>
        </w:rPr>
      </w:pPr>
      <w:bookmarkStart w:id="43" w:name="_Toc8990"/>
      <w:bookmarkStart w:id="44" w:name="_Toc3255"/>
      <w:bookmarkStart w:id="45" w:name="_Toc4487"/>
      <w:bookmarkStart w:id="46" w:name="_Toc4007"/>
      <w:r>
        <w:rPr>
          <w:rFonts w:hint="eastAsia" w:cs="仿宋_GB2312"/>
          <w:b w:val="0"/>
          <w:bCs/>
          <w:color w:val="auto"/>
          <w:kern w:val="2"/>
          <w:sz w:val="32"/>
          <w:szCs w:val="32"/>
          <w:highlight w:val="none"/>
          <w:shd w:val="clear" w:color="auto" w:fill="auto"/>
          <w:lang w:val="en-US" w:eastAsia="zh-CN" w:bidi="ar-SA"/>
        </w:rPr>
        <w:t>2024年债务化解（天龙小学门卫室地勘费）、2024年300米塑胶田径场工程项目绩效总体目标为：</w:t>
      </w: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实为完善教育教学硬件设施。安排2024年债务化解资金300.4万元，预计完成学校生活服务天龙小学门卫室地勘费和2024年300米塑胶田径场工程的支付工作，资金支付及时率预计达到100%，通过项目的实施，预期达到化解单位债务，提升单位和政府形象，完善政府债务化解机制。</w:t>
      </w:r>
    </w:p>
    <w:p w14:paraId="75ABF585">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5EF6CF1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1B7178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1F6C0C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6CB7CC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化解债务项目数量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指标，预期目标值为≥2个；</w:t>
      </w:r>
    </w:p>
    <w:p w14:paraId="59D50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化债项目涉及企业</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指标，预期目标值为≥2个；</w:t>
      </w:r>
    </w:p>
    <w:p w14:paraId="14776A3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794E72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资金使用合规率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ECB55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4D7C9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任务完成时间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指标，预期目标值为≤2024年12月；</w:t>
      </w:r>
    </w:p>
    <w:p w14:paraId="59D11F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3C90AC6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①经济成本指标</w:t>
      </w:r>
    </w:p>
    <w:p w14:paraId="4676C7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300米塑胶操场</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指标，预期目标值为≤300万元；</w:t>
      </w:r>
    </w:p>
    <w:p w14:paraId="5B2AD9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门卫室地勘费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指标，预期目标值为≤0.4万元；</w:t>
      </w:r>
    </w:p>
    <w:p w14:paraId="6E9421A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552AA22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69008A3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化解单位债务，提升单位和政府形象</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4ED5A1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②生态效益指标</w:t>
      </w:r>
    </w:p>
    <w:p w14:paraId="11893FF6">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完善政府债务化解机制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2DB3015">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46EBE83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480473081"/>
      <w:bookmarkStart w:id="49" w:name="_Toc26632"/>
      <w:bookmarkStart w:id="50" w:name="_Toc5462343"/>
      <w:bookmarkStart w:id="51" w:name="_Toc5258"/>
      <w:bookmarkStart w:id="52" w:name="_Toc12868"/>
      <w:bookmarkStart w:id="53" w:name="_Toc22922"/>
      <w:bookmarkStart w:id="54" w:name="_Toc22169_WPSOffice_Level2"/>
      <w:bookmarkStart w:id="55" w:name="_Toc21664"/>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0D72D5A3">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3EC98BA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FE83EF7">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74CD9FA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24A28326">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91123BF">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1F53317">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534358A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68E272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17A288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5FE4AE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21BD4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2033C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71C31C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A12A7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DE440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91852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EE82C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13737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963330C">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16346"/>
      <w:bookmarkStart w:id="62"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41D457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文件要求对2024年度我单位实施的2024年债务化解（天龙小学门卫室地勘费）、2024年300米塑胶田径场工程项目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261DC05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阜康市上户沟学校</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负责实施，旨在化解单位债务，有效提升单位和政府形象。完善政府债务化解机制。项目预算涵盖从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2024年1月4日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300.4</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57583AB4">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21311"/>
      <w:bookmarkStart w:id="64" w:name="_Toc11666"/>
      <w:r>
        <w:rPr>
          <w:rFonts w:hint="default" w:cs="仿宋_GB2312"/>
          <w:color w:val="auto"/>
          <w:sz w:val="32"/>
          <w:szCs w:val="32"/>
          <w:highlight w:val="none"/>
          <w:shd w:val="clear" w:color="auto" w:fill="auto"/>
          <w:lang w:val="en-US" w:eastAsia="zh-CN"/>
        </w:rPr>
        <w:t>4.绩效评价的范围</w:t>
      </w:r>
      <w:bookmarkEnd w:id="63"/>
      <w:bookmarkEnd w:id="64"/>
    </w:p>
    <w:p w14:paraId="47C7530F">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721A9A3">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15066AB5">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3ED5792C">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7987B8FB">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108A381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1286"/>
      <w:bookmarkStart w:id="66"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30B33249">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5354"/>
      <w:bookmarkStart w:id="68" w:name="_Toc13694"/>
      <w:bookmarkStart w:id="69"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54E4CF4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2024年化债项目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4930B041">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4D06098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F61FA6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6136B82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DA7CC8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270306E">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24396"/>
      <w:bookmarkStart w:id="71" w:name="_Toc419984722"/>
      <w:bookmarkStart w:id="72" w:name="_Toc1913"/>
      <w:bookmarkStart w:id="73" w:name="_Toc428278230"/>
      <w:bookmarkStart w:id="74" w:name="_Toc26131"/>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29A51B5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748487A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6D96F59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78486D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129A298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12ABFA9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36E4883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4CE0A50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7622CD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684492DB">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260BD819">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17ABD5ED">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A719B3F">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原因：通过该方法能在预算管理中，可优先资助效益较高的服务项目，避免资源浪费。</w:t>
      </w:r>
    </w:p>
    <w:p w14:paraId="02CA0258">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auto"/>
          <w:spacing w:val="17"/>
          <w:sz w:val="32"/>
          <w:szCs w:val="32"/>
          <w:highlight w:val="none"/>
          <w:lang w:val="en-US" w:eastAsia="zh-CN"/>
        </w:rPr>
        <w:t>原因：增强法制意识与社会教育意义，强化监督与透明度。</w:t>
      </w:r>
    </w:p>
    <w:p w14:paraId="76DF0F14">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25651"/>
      <w:bookmarkStart w:id="80"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BE57A3D">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val="en-US" w:eastAsia="zh-CN"/>
        </w:rPr>
        <w:t>和</w:t>
      </w:r>
      <w:r>
        <w:rPr>
          <w:rFonts w:hint="default" w:ascii="Times New Roman" w:hAnsi="Times New Roman" w:eastAsia="仿宋_GB2312" w:cs="Times New Roman"/>
          <w:color w:val="auto"/>
          <w:spacing w:val="17"/>
          <w:sz w:val="32"/>
          <w:szCs w:val="32"/>
          <w:highlight w:val="none"/>
        </w:rPr>
        <w:t>行业标准。</w:t>
      </w:r>
    </w:p>
    <w:p w14:paraId="571852F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5AE413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7369C06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5F45191E">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CA32D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31E5B70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188E8B2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56FE797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2024年债务化解（天龙小学门卫室地勘费）、2024年300米塑胶田径场工程项目实施内容、目标信息、预算信息以及其他的一些项目基本信息，有了初步了解，为制定绩效评价工作方案做好准备。</w:t>
      </w:r>
      <w:bookmarkEnd w:id="84"/>
    </w:p>
    <w:p w14:paraId="30C4A4E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227374F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5EC22361">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2C1F3C3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3A0885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0ED3895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3D96182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459A8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376DA55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525854E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2AB8933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02F28B9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003F2DF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72FDA719">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4DAAF98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B93834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3527398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0463D2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38CDC3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291F5C5F">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09E5095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6F149A7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2024年债务化解（天龙小学门卫室地勘费）、2024年300米塑胶田径场工程项目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D9D3C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阜康市上户沟学校</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12BDE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阜康市化解单位债务能力，提升单位及政府形象</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5CEA6B00">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2024年债务化解（天龙小学门卫室地勘费）、2024年300米塑胶田径场工程项目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18EB615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5A04928A">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采用的方法成本效益分析法、公众评判法，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2024年化债项目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2CD26177">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1774AA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2024年化债项目</w:t>
            </w:r>
            <w:r>
              <w:rPr>
                <w:rFonts w:hint="eastAsia" w:ascii="宋体" w:hAnsi="宋体" w:eastAsia="宋体" w:cs="宋体"/>
                <w:b/>
                <w:bCs/>
                <w:color w:val="auto"/>
                <w:kern w:val="0"/>
                <w:sz w:val="28"/>
                <w:szCs w:val="28"/>
                <w:highlight w:val="none"/>
                <w:shd w:val="clear" w:color="auto" w:fill="auto"/>
                <w:lang w:val="en-US" w:eastAsia="zh-CN"/>
              </w:rPr>
              <w:t>得分表</w:t>
            </w:r>
          </w:p>
        </w:tc>
      </w:tr>
      <w:tr w14:paraId="2662AEC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8C1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254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40C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A43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593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52A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180645D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B4E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72B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45D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3F1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47D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C75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0738FDC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02A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007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9C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780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B56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1ED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488FE9D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70F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152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EEE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A92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5AF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692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161DAFD7">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023246D3">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6714975">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6A3173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6FF7A236">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91E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C48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1C8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37E1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C1B7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A638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134C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B73BA54">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9176A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36C6E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A5E6F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70657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93A8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A525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6A21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D00DF0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CF8A3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5ECA1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A55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72B9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AE74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A5C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402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1B11148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0745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E931D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80AA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2D4E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09F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051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4261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01E9D7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DD26F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20F3F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8F5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548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4E00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EFC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3B03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4A565C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1ED09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BA054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C4904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83051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DF4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919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16C4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F5D088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7C6A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E317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0EEE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9337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1EBF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E13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67A9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4F3D329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E926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54F0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B691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FE2F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0F6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293F16B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28069"/>
      <w:bookmarkStart w:id="110" w:name="_Toc13522"/>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174204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①项目立项符合符合国家财经法规和财务管理制度以及有关专项资金管理办法的规定，该建设项目严格按照《会计法》、《预算法》严格执行。</w:t>
      </w:r>
    </w:p>
    <w:p w14:paraId="3180701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②项目立项符合按照《会计法》、《预算法》严格执行。</w:t>
      </w:r>
    </w:p>
    <w:p w14:paraId="4C1730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③项目立项与部门职责范围相符，属于部门履职所需；</w:t>
      </w:r>
    </w:p>
    <w:p w14:paraId="432554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06D8BA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⑤项目与相关部门同类项目或部门内部相关项目不重复。</w:t>
      </w:r>
    </w:p>
    <w:p w14:paraId="44BF33C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530B684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71CA39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4626A4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70BE1AC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w:t>
      </w:r>
      <w:r>
        <w:rPr>
          <w:rFonts w:hint="eastAsia" w:ascii="仿宋_GB2312" w:hAnsi="仿宋_GB2312" w:eastAsia="仿宋_GB2312" w:cs="仿宋_GB2312"/>
          <w:color w:val="auto"/>
          <w:sz w:val="32"/>
          <w:szCs w:val="32"/>
          <w:highlight w:val="none"/>
          <w:lang w:eastAsia="zh-CN"/>
        </w:rPr>
        <w:t>可行性研究、专家论证、风险评估、绩效评估，</w:t>
      </w:r>
      <w:r>
        <w:rPr>
          <w:rFonts w:hint="eastAsia" w:ascii="仿宋_GB2312" w:hAnsi="仿宋_GB2312" w:eastAsia="仿宋_GB2312" w:cs="仿宋_GB2312"/>
          <w:color w:val="auto"/>
          <w:sz w:val="32"/>
          <w:szCs w:val="32"/>
          <w:highlight w:val="none"/>
          <w:lang w:val="en-US" w:eastAsia="zh-CN"/>
        </w:rPr>
        <w:t>扣0.8分。</w:t>
      </w:r>
    </w:p>
    <w:p w14:paraId="5DB704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2693016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392092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B527C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val="en-US" w:eastAsia="zh-CN"/>
        </w:rPr>
        <w:t>完成我校2024年预计完成化解债务项目2个，化债项目涉及企业2个，资金使用合格率预计100%，资金支付及时率预计达到100%，300米塑胶操场工程款预计还款300万元，门卫室地勘费0.4万元</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222EE0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③该项目按照绩效目标完成数量指标、质量指标、时效指标、成本指标，完成了化解单位债务，有效提升单位和政府形象。完善政府债务化解机制，预期产出效益和效果符合正常的业绩水平。</w:t>
      </w:r>
    </w:p>
    <w:p w14:paraId="089710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300.4</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2032047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38636C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1F42DF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其中三级指标共计9个</w:t>
      </w:r>
      <w:r>
        <w:rPr>
          <w:rFonts w:hint="eastAsia" w:ascii="仿宋_GB2312" w:hAnsi="仿宋_GB2312" w:eastAsia="仿宋_GB2312" w:cs="仿宋_GB2312"/>
          <w:color w:val="auto"/>
          <w:sz w:val="32"/>
          <w:szCs w:val="32"/>
          <w:highlight w:val="none"/>
          <w:lang w:eastAsia="zh-CN"/>
        </w:rPr>
        <w:t>；</w:t>
      </w:r>
    </w:p>
    <w:p w14:paraId="590BB20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量化率达到88.89%</w:t>
      </w:r>
      <w:r>
        <w:rPr>
          <w:rFonts w:hint="eastAsia" w:ascii="仿宋_GB2312" w:hAnsi="仿宋_GB2312" w:eastAsia="仿宋_GB2312" w:cs="仿宋_GB2312"/>
          <w:color w:val="auto"/>
          <w:sz w:val="32"/>
          <w:szCs w:val="32"/>
          <w:highlight w:val="none"/>
          <w:lang w:eastAsia="zh-CN"/>
        </w:rPr>
        <w:t>；</w:t>
      </w:r>
    </w:p>
    <w:p w14:paraId="01446B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5CFB8E1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12DF73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2604615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1CA481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2A41FBF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我校2024年预计完成化解债务项目2个，化债项目涉及企业2个，资金使用合格率预计100%，资金支付及时率预计达到100%，300米塑胶操场工程款预计还款300万元，门卫室地勘费0.4万元</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我校2024年预计完成化解债务项目2个，化债项目涉及企业2个，资金使用合格率预计100%，资金支付及时率预计达到100%，300米塑胶操场工程款还款300万元，门卫室地勘费0.4万元</w:t>
      </w:r>
      <w:r>
        <w:rPr>
          <w:rFonts w:hint="eastAsia" w:ascii="仿宋_GB2312" w:hAnsi="仿宋_GB2312" w:eastAsia="仿宋_GB2312" w:cs="仿宋_GB2312"/>
          <w:color w:val="auto"/>
          <w:sz w:val="32"/>
          <w:szCs w:val="32"/>
          <w:highlight w:val="none"/>
          <w:lang w:eastAsia="zh-CN"/>
        </w:rPr>
        <w:t>，预算申请与项目内容匹配；</w:t>
      </w:r>
    </w:p>
    <w:p w14:paraId="042EB4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300.4万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300米塑胶操场工程款还款300万元，门卫室地勘费0.4万元</w:t>
      </w:r>
    </w:p>
    <w:p w14:paraId="55FDFE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25C18DE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95B0F4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16C35F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《2024年中小企业债务化解项目》为依据进行资金分配，预算资金分配依据充分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67F92B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300.4</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613E6DB">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3371FD95">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4071BF1B">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0CE08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62564E15">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E29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EEF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187E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973D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176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8A74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C342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2E22D77">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7E9F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B8F6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6210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CFE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C919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5D23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6ACB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227DE1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F307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4636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E017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8CB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567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027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615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E4F4E4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D9A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2C99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580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B1FD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8AC4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0113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2E35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AE1750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FB5D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33AA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D33F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F61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4A9C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ABD1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5A8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410BE03">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6E21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D04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9D18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7C1A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AE65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9269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E7E9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0C5FCD">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82DE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F9F4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A46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B1AA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EE0B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3185406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1EC4EB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300.4</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300.4</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2D46A69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300.4</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300.4</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bCs/>
          <w:color w:val="auto"/>
          <w:sz w:val="32"/>
          <w:szCs w:val="32"/>
          <w:highlight w:val="none"/>
          <w:lang w:val="en-US" w:eastAsia="zh-CN"/>
        </w:rPr>
        <w:t>。</w:t>
      </w:r>
    </w:p>
    <w:p w14:paraId="42AE86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E90B75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3C5AEF3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300.4</w:t>
      </w:r>
      <w:r>
        <w:rPr>
          <w:rFonts w:hint="eastAsia" w:ascii="仿宋_GB2312" w:hAnsi="仿宋_GB2312" w:eastAsia="仿宋_GB2312" w:cs="仿宋_GB2312"/>
          <w:color w:val="auto"/>
          <w:sz w:val="32"/>
          <w:szCs w:val="32"/>
          <w:highlight w:val="none"/>
          <w:lang w:val="en-US" w:eastAsia="zh-CN"/>
        </w:rPr>
        <w:t>万元。</w:t>
      </w:r>
    </w:p>
    <w:p w14:paraId="5BD6416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300.4</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300.4</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762EA44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5D5565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32317C25">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①符合国家财经法规和财务管理制度以及有关专项资金管理办法的规定，该建设项目严格按照《会计法》、《预算法》严格执行；</w:t>
      </w:r>
    </w:p>
    <w:p w14:paraId="4C9B9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494034A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734185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63E7354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42D514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C9BD1B9">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09601C3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已制定或具有相应的财务和业务管理制度，阜康市</w:t>
      </w:r>
      <w:r>
        <w:rPr>
          <w:rFonts w:hint="eastAsia" w:ascii="仿宋_GB2312" w:hAnsi="仿宋_GB2312" w:eastAsia="仿宋_GB2312" w:cs="仿宋_GB2312"/>
          <w:color w:val="auto"/>
          <w:sz w:val="32"/>
          <w:szCs w:val="32"/>
          <w:highlight w:val="none"/>
          <w:lang w:val="en-US" w:eastAsia="zh-CN"/>
        </w:rPr>
        <w:t>天龙小学</w:t>
      </w:r>
      <w:r>
        <w:rPr>
          <w:rFonts w:hint="eastAsia" w:ascii="仿宋_GB2312" w:hAnsi="仿宋_GB2312" w:eastAsia="仿宋_GB2312" w:cs="仿宋_GB2312"/>
          <w:color w:val="auto"/>
          <w:sz w:val="32"/>
          <w:szCs w:val="32"/>
          <w:highlight w:val="none"/>
          <w:lang w:eastAsia="zh-CN"/>
        </w:rPr>
        <w:t>根据国家相关法规和内部控制等制度文件汇编，建立《阜康市</w:t>
      </w:r>
      <w:r>
        <w:rPr>
          <w:rFonts w:hint="eastAsia" w:ascii="仿宋_GB2312" w:hAnsi="仿宋_GB2312" w:eastAsia="仿宋_GB2312" w:cs="仿宋_GB2312"/>
          <w:color w:val="auto"/>
          <w:sz w:val="32"/>
          <w:szCs w:val="32"/>
          <w:highlight w:val="none"/>
          <w:lang w:val="en-US" w:eastAsia="zh-CN"/>
        </w:rPr>
        <w:t>天龙小学</w:t>
      </w:r>
      <w:r>
        <w:rPr>
          <w:rFonts w:hint="eastAsia" w:ascii="仿宋_GB2312" w:hAnsi="仿宋_GB2312" w:eastAsia="仿宋_GB2312" w:cs="仿宋_GB2312"/>
          <w:color w:val="auto"/>
          <w:sz w:val="32"/>
          <w:szCs w:val="32"/>
          <w:highlight w:val="none"/>
          <w:lang w:eastAsia="zh-CN"/>
        </w:rPr>
        <w:t>内部会计管理制度汇编》、《阜康市</w:t>
      </w:r>
      <w:r>
        <w:rPr>
          <w:rFonts w:hint="eastAsia" w:ascii="仿宋_GB2312" w:hAnsi="仿宋_GB2312" w:eastAsia="仿宋_GB2312" w:cs="仿宋_GB2312"/>
          <w:color w:val="auto"/>
          <w:sz w:val="32"/>
          <w:szCs w:val="32"/>
          <w:highlight w:val="none"/>
          <w:lang w:val="en-US" w:eastAsia="zh-CN"/>
        </w:rPr>
        <w:t>天龙小学</w:t>
      </w:r>
      <w:r>
        <w:rPr>
          <w:rFonts w:hint="eastAsia" w:ascii="仿宋_GB2312" w:hAnsi="仿宋_GB2312" w:eastAsia="仿宋_GB2312" w:cs="仿宋_GB2312"/>
          <w:color w:val="auto"/>
          <w:sz w:val="32"/>
          <w:szCs w:val="32"/>
          <w:highlight w:val="none"/>
          <w:lang w:eastAsia="zh-CN"/>
        </w:rPr>
        <w:t>“三公经费”预算管理和公开制度》等各项规章制度和工作程序，从制度和程序上严把资金使用、管理、绩效等各环节关口，堵塞漏洞、消除隐患，切实加强资金监管；</w:t>
      </w:r>
    </w:p>
    <w:p w14:paraId="5B909DD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3DAA87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3B08354">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13AB02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遵守能遵守《阜康市上户沟学校制度汇编》等相关管理规定；</w:t>
      </w:r>
    </w:p>
    <w:p w14:paraId="7688EE3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lang w:val="en-US" w:eastAsia="zh-CN"/>
        </w:rPr>
        <w:t>该</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实施过程中不</w:t>
      </w:r>
      <w:r>
        <w:rPr>
          <w:rFonts w:hint="eastAsia" w:ascii="仿宋_GB2312" w:hAnsi="仿宋_GB2312" w:eastAsia="仿宋_GB2312" w:cs="仿宋_GB2312"/>
          <w:color w:val="auto"/>
          <w:sz w:val="32"/>
          <w:szCs w:val="32"/>
          <w:highlight w:val="none"/>
        </w:rPr>
        <w:t>存在调整</w:t>
      </w:r>
      <w:r>
        <w:rPr>
          <w:rFonts w:hint="eastAsia" w:ascii="仿宋_GB2312" w:hAnsi="仿宋_GB2312" w:eastAsia="仿宋_GB2312" w:cs="仿宋_GB2312"/>
          <w:color w:val="auto"/>
          <w:sz w:val="32"/>
          <w:szCs w:val="32"/>
          <w:highlight w:val="none"/>
          <w:lang w:val="en-US" w:eastAsia="zh-CN"/>
        </w:rPr>
        <w:t>事项</w:t>
      </w:r>
      <w:r>
        <w:rPr>
          <w:rFonts w:hint="eastAsia" w:ascii="仿宋_GB2312" w:hAnsi="仿宋_GB2312" w:eastAsia="仿宋_GB2312" w:cs="仿宋_GB2312"/>
          <w:color w:val="auto"/>
          <w:sz w:val="32"/>
          <w:szCs w:val="32"/>
          <w:highlight w:val="none"/>
          <w:lang w:eastAsia="zh-CN"/>
        </w:rPr>
        <w:t>。</w:t>
      </w:r>
    </w:p>
    <w:p w14:paraId="7B2A29F7">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772106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2024年化债项目工作领导小组，由</w:t>
      </w:r>
      <w:r>
        <w:rPr>
          <w:rFonts w:hint="eastAsia" w:ascii="仿宋_GB2312" w:hAnsi="仿宋_GB2312" w:eastAsia="仿宋_GB2312" w:cs="仿宋_GB2312"/>
          <w:color w:val="auto"/>
          <w:sz w:val="32"/>
          <w:szCs w:val="32"/>
          <w:highlight w:val="none"/>
          <w:lang w:val="en-US" w:eastAsia="zh-CN"/>
        </w:rPr>
        <w:t>杨志刚</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赵伟</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徐静静和张佳</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赵浩伟</w:t>
      </w:r>
      <w:r>
        <w:rPr>
          <w:rFonts w:hint="eastAsia" w:ascii="仿宋_GB2312" w:hAnsi="仿宋_GB2312" w:eastAsia="仿宋_GB2312" w:cs="仿宋_GB2312"/>
          <w:color w:val="auto"/>
          <w:sz w:val="32"/>
          <w:szCs w:val="32"/>
          <w:highlight w:val="none"/>
          <w:lang w:eastAsia="zh-CN"/>
        </w:rPr>
        <w:t>主要负责项目监督管理、验收，</w:t>
      </w:r>
      <w:r>
        <w:rPr>
          <w:rFonts w:hint="eastAsia" w:ascii="仿宋_GB2312" w:hAnsi="仿宋_GB2312" w:eastAsia="仿宋_GB2312" w:cs="仿宋_GB2312"/>
          <w:color w:val="auto"/>
          <w:sz w:val="32"/>
          <w:szCs w:val="32"/>
          <w:highlight w:val="none"/>
          <w:lang w:val="en-US" w:eastAsia="zh-CN"/>
        </w:rPr>
        <w:t>冯义新负责</w:t>
      </w:r>
      <w:r>
        <w:rPr>
          <w:rFonts w:hint="eastAsia" w:ascii="仿宋_GB2312" w:hAnsi="仿宋_GB2312" w:eastAsia="仿宋_GB2312" w:cs="仿宋_GB2312"/>
          <w:color w:val="auto"/>
          <w:sz w:val="32"/>
          <w:szCs w:val="32"/>
          <w:highlight w:val="none"/>
          <w:lang w:eastAsia="zh-CN"/>
        </w:rPr>
        <w:t>资金核拨等工作。</w:t>
      </w:r>
    </w:p>
    <w:p w14:paraId="59E213D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AB1AAC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13C6973">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48E30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3007E40F">
        <w:tblPrEx>
          <w:shd w:val="clear" w:color="auto" w:fill="auto"/>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C7C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1DE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129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A7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3F9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229B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8C32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4066C4E5">
        <w:tblPrEx>
          <w:shd w:val="clear" w:color="auto" w:fill="auto"/>
          <w:tblCellMar>
            <w:top w:w="0" w:type="dxa"/>
            <w:left w:w="0" w:type="dxa"/>
            <w:bottom w:w="0" w:type="dxa"/>
            <w:right w:w="0" w:type="dxa"/>
          </w:tblCellMar>
        </w:tblPrEx>
        <w:trPr>
          <w:trHeight w:val="471"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A0AF9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7041F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59E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C73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2</w:t>
            </w:r>
            <w:r>
              <w:rPr>
                <w:rFonts w:hint="eastAsia" w:cs="宋体"/>
                <w:color w:val="auto"/>
                <w:kern w:val="0"/>
                <w:sz w:val="20"/>
                <w:szCs w:val="20"/>
                <w:highlight w:val="none"/>
                <w:shd w:val="clear" w:color="auto" w:fill="auto"/>
                <w:lang w:val="en-US" w:eastAsia="zh-CN"/>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202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413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r>
              <w:rPr>
                <w:rFonts w:hint="eastAsia" w:cs="宋体"/>
                <w:color w:val="auto"/>
                <w:kern w:val="0"/>
                <w:sz w:val="20"/>
                <w:szCs w:val="20"/>
                <w:highlight w:val="none"/>
                <w:shd w:val="clear" w:color="auto" w:fill="auto"/>
                <w:lang w:val="en-US" w:eastAsia="zh-CN"/>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FD6D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A39A9A8">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B9AD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D003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6EC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化债项目涉及企业</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CD63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2</w:t>
            </w:r>
            <w:r>
              <w:rPr>
                <w:rFonts w:hint="eastAsia" w:cs="宋体"/>
                <w:color w:val="auto"/>
                <w:kern w:val="0"/>
                <w:sz w:val="20"/>
                <w:szCs w:val="20"/>
                <w:highlight w:val="none"/>
                <w:shd w:val="clear" w:color="auto" w:fill="auto"/>
                <w:lang w:val="en-US" w:eastAsia="zh-CN"/>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1315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B17B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r>
              <w:rPr>
                <w:rFonts w:hint="eastAsia" w:cs="宋体"/>
                <w:color w:val="auto"/>
                <w:kern w:val="0"/>
                <w:sz w:val="20"/>
                <w:szCs w:val="20"/>
                <w:highlight w:val="none"/>
                <w:shd w:val="clear" w:color="auto" w:fill="auto"/>
                <w:lang w:val="en-US" w:eastAsia="zh-CN"/>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DC1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563ECF3">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92ED8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E0D627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D56D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ADC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3AA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5403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FEA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6ABB265">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38A81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9C71C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E205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任务完成时间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6EA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2024年12月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4AD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09E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2024年12月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266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3314DAA4">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68259F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705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32B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D91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2B1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291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DA95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593E012">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5672D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EDB7D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8EBF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300米塑胶操场</w:t>
            </w:r>
            <w:r>
              <w:rPr>
                <w:rFonts w:hint="eastAsia" w:ascii="宋体" w:hAnsi="宋体" w:eastAsia="宋体" w:cs="宋体"/>
                <w:color w:val="auto"/>
                <w:kern w:val="0"/>
                <w:sz w:val="20"/>
                <w:szCs w:val="20"/>
                <w:highlight w:val="none"/>
                <w:shd w:val="clear" w:color="auto" w:fill="auto"/>
                <w:lang w:val="en-US" w:eastAsia="zh-CN"/>
              </w:rPr>
              <w:t>工程款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E21D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300</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ED6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59B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300</w:t>
            </w:r>
            <w:r>
              <w:rPr>
                <w:rFonts w:hint="eastAsia" w:ascii="宋体" w:hAnsi="宋体" w:eastAsia="宋体" w:cs="宋体"/>
                <w:color w:val="auto"/>
                <w:kern w:val="0"/>
                <w:sz w:val="20"/>
                <w:szCs w:val="20"/>
                <w:highlight w:val="none"/>
                <w:shd w:val="clear" w:color="auto" w:fill="auto"/>
                <w:lang w:val="en-US" w:eastAsia="zh-CN"/>
              </w:rPr>
              <w:t>万元</w:t>
            </w:r>
          </w:p>
          <w:p w14:paraId="569828F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BF6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B514E3F">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336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414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2A1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门卫室地勘费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728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0.4</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C2D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AF7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0.4</w:t>
            </w:r>
            <w:r>
              <w:rPr>
                <w:rFonts w:hint="eastAsia" w:ascii="宋体" w:hAnsi="宋体" w:eastAsia="宋体" w:cs="宋体"/>
                <w:color w:val="auto"/>
                <w:kern w:val="0"/>
                <w:sz w:val="20"/>
                <w:szCs w:val="20"/>
                <w:highlight w:val="none"/>
                <w:shd w:val="clear" w:color="auto" w:fill="auto"/>
                <w:lang w:val="en-US" w:eastAsia="zh-CN"/>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09C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E242D81">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D65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8A1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A013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EFB2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6669586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0681798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）“化解债务项目数量”</w:t>
      </w:r>
      <w:r>
        <w:rPr>
          <w:rFonts w:hint="eastAsia" w:ascii="仿宋_GB2312" w:hAnsi="仿宋_GB2312" w:eastAsia="仿宋_GB2312" w:cs="仿宋_GB2312"/>
          <w:color w:val="auto"/>
          <w:sz w:val="32"/>
          <w:szCs w:val="32"/>
          <w:highlight w:val="none"/>
          <w:lang w:val="en-US" w:eastAsia="zh-CN"/>
        </w:rPr>
        <w:t>指标，预期目标值为</w:t>
      </w:r>
      <w:r>
        <w:rPr>
          <w:rFonts w:hint="eastAsia" w:cs="宋体"/>
          <w:color w:val="auto"/>
          <w:kern w:val="0"/>
          <w:sz w:val="20"/>
          <w:szCs w:val="20"/>
          <w:highlight w:val="none"/>
          <w:shd w:val="clear" w:color="auto" w:fill="auto"/>
          <w:lang w:val="en-US" w:eastAsia="zh-CN"/>
        </w:rPr>
        <w:t>≥</w:t>
      </w:r>
      <w:r>
        <w:rPr>
          <w:rFonts w:hint="eastAsia" w:ascii="仿宋_GB2312" w:hAnsi="仿宋_GB2312" w:eastAsia="仿宋_GB2312" w:cs="仿宋_GB2312"/>
          <w:color w:val="auto"/>
          <w:sz w:val="32"/>
          <w:szCs w:val="32"/>
          <w:highlight w:val="none"/>
          <w:lang w:val="en-US" w:eastAsia="zh-CN"/>
        </w:rPr>
        <w:t>2个，实际完成为2个。实际完成率=（2个/2个）×100%=100%。</w:t>
      </w:r>
    </w:p>
    <w:p w14:paraId="20919F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）“化债项目涉及企业”</w:t>
      </w:r>
      <w:r>
        <w:rPr>
          <w:rFonts w:hint="eastAsia" w:ascii="仿宋_GB2312" w:hAnsi="仿宋_GB2312" w:eastAsia="仿宋_GB2312" w:cs="仿宋_GB2312"/>
          <w:color w:val="auto"/>
          <w:sz w:val="32"/>
          <w:szCs w:val="32"/>
          <w:highlight w:val="none"/>
          <w:lang w:val="en-US" w:eastAsia="zh-CN"/>
        </w:rPr>
        <w:t>指标，预期目标值为</w:t>
      </w:r>
      <w:r>
        <w:rPr>
          <w:rFonts w:hint="eastAsia" w:cs="宋体"/>
          <w:color w:val="auto"/>
          <w:kern w:val="0"/>
          <w:sz w:val="20"/>
          <w:szCs w:val="20"/>
          <w:highlight w:val="none"/>
          <w:shd w:val="clear" w:color="auto" w:fill="auto"/>
          <w:lang w:val="en-US" w:eastAsia="zh-CN"/>
        </w:rPr>
        <w:t>≥</w:t>
      </w:r>
      <w:r>
        <w:rPr>
          <w:rFonts w:hint="eastAsia" w:ascii="仿宋_GB2312" w:hAnsi="仿宋_GB2312" w:eastAsia="仿宋_GB2312" w:cs="仿宋_GB2312"/>
          <w:color w:val="auto"/>
          <w:sz w:val="32"/>
          <w:szCs w:val="32"/>
          <w:highlight w:val="none"/>
          <w:lang w:val="en-US" w:eastAsia="zh-CN"/>
        </w:rPr>
        <w:t>2个，实际完成为2个。实际完成率=（2个/2个）×100%=100%。</w:t>
      </w:r>
    </w:p>
    <w:p w14:paraId="1D905A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51BC9C2">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108A5C1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资金使用合规率”指标，预期目标值为=100%，实际完成为100%。实际完成率100%。</w:t>
      </w:r>
    </w:p>
    <w:p w14:paraId="05A4CD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18632DE4">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3A62329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（1）“任务完成时间”指标，预期目标值为2024年12月，实际完成为2024年12月。实际完成率100%。</w:t>
      </w:r>
    </w:p>
    <w:p w14:paraId="2ADCDC3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（2）“资金支付及时率”指标，预期目标值为=100%，实际完成为100%。实际完成率100%。</w:t>
      </w:r>
    </w:p>
    <w:p w14:paraId="6163F37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651F040">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33F44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4087FA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（1）“300米塑胶操场工程款”指标，预期目标值为≤300万元，实际完成为300万元。实际完成率=（300万元/300万元）×100%=100%。</w:t>
      </w:r>
    </w:p>
    <w:p w14:paraId="31972A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“门卫室地勘费”指标，预期目标值为≤0.4万元，实际完成为0.4万元。实际完成率=（0.4万元/0.4万元）×100%=100%。</w:t>
      </w:r>
    </w:p>
    <w:p w14:paraId="7EF19A1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9287B4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773C8CDE">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575FC6E">
      <w:pPr>
        <w:pageBreakBefore w:val="0"/>
        <w:widowControl w:val="0"/>
        <w:kinsoku/>
        <w:wordWrap/>
        <w:overflowPunct/>
        <w:topLinePunct w:val="0"/>
        <w:autoSpaceDE/>
        <w:autoSpaceDN/>
        <w:bidi w:val="0"/>
        <w:adjustRightInd/>
        <w:spacing w:line="560" w:lineRule="exact"/>
        <w:ind w:firstLine="560"/>
        <w:jc w:val="center"/>
        <w:textAlignment w:val="auto"/>
        <w:rPr>
          <w:rFonts w:hint="eastAsia"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31807871">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6CEC7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7103C7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69132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C82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BB8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6E47FB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40B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0A91FA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AB7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A26E9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14D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14E7F5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7B5E88F">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auto" w:sz="4" w:space="0"/>
            </w:tcBorders>
            <w:shd w:val="clear" w:color="auto" w:fill="auto"/>
            <w:tcMar>
              <w:top w:w="15" w:type="dxa"/>
              <w:left w:w="15" w:type="dxa"/>
              <w:right w:w="15" w:type="dxa"/>
            </w:tcMar>
            <w:vAlign w:val="center"/>
          </w:tcPr>
          <w:p w14:paraId="21057F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5F52D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3D6EE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72B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C0A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D912D">
            <w:pPr>
              <w:keepNext w:val="0"/>
              <w:keepLines w:val="0"/>
              <w:pageBreakBefore w:val="0"/>
              <w:widowControl/>
              <w:kinsoku/>
              <w:wordWrap/>
              <w:overflowPunct/>
              <w:topLinePunct w:val="0"/>
              <w:autoSpaceDE/>
              <w:autoSpaceDN/>
              <w:bidi w:val="0"/>
              <w:adjustRightInd/>
              <w:snapToGrid w:val="0"/>
              <w:spacing w:line="240" w:lineRule="auto"/>
              <w:ind w:firstLine="400" w:firstLineChars="20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092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858C206">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6E52C9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CA4C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3D48E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完善政府债务化解机制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A97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EB5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1EFAE">
            <w:pPr>
              <w:keepNext w:val="0"/>
              <w:keepLines w:val="0"/>
              <w:pageBreakBefore w:val="0"/>
              <w:widowControl/>
              <w:kinsoku/>
              <w:wordWrap/>
              <w:overflowPunct/>
              <w:topLinePunct w:val="0"/>
              <w:autoSpaceDE/>
              <w:autoSpaceDN/>
              <w:bidi w:val="0"/>
              <w:adjustRightInd/>
              <w:snapToGrid w:val="0"/>
              <w:spacing w:line="240" w:lineRule="auto"/>
              <w:ind w:firstLine="400" w:firstLineChars="20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0C7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ACFD8D9">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4C8495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92A9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494DE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BB1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≥98%</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679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D01AF">
            <w:pPr>
              <w:keepNext w:val="0"/>
              <w:keepLines w:val="0"/>
              <w:pageBreakBefore w:val="0"/>
              <w:widowControl/>
              <w:kinsoku/>
              <w:wordWrap/>
              <w:overflowPunct/>
              <w:topLinePunct w:val="0"/>
              <w:autoSpaceDE/>
              <w:autoSpaceDN/>
              <w:bidi w:val="0"/>
              <w:adjustRightInd/>
              <w:snapToGrid w:val="0"/>
              <w:spacing w:line="240" w:lineRule="auto"/>
              <w:ind w:firstLine="400" w:firstLineChars="20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7FA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5959C85">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A8D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04D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3492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3C3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0566BE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8010"/>
      <w:bookmarkStart w:id="141" w:name="_Toc517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2820CD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（1）“化解单位债务，提升单位和政府形象”指标，预期目标值为=100%，实际完成为100%，实际完成率100%。</w:t>
      </w:r>
    </w:p>
    <w:p w14:paraId="04098E0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通过项目的实施，提高了我小化解单位债务，提升单位和政府形象。</w:t>
      </w:r>
    </w:p>
    <w:p w14:paraId="3498DAB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12A149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2.生态效益指标完成情况</w:t>
      </w:r>
    </w:p>
    <w:p w14:paraId="27519A5F">
      <w:pPr>
        <w:pageBreakBefore w:val="0"/>
        <w:numPr>
          <w:ilvl w:val="0"/>
          <w:numId w:val="0"/>
        </w:numPr>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“完善政府债务化解机制”指标，预期目标值为=100%，实际完成为100%，实际完成率100%。</w:t>
      </w:r>
    </w:p>
    <w:p w14:paraId="01354F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通过项目的实施，保障了政府债务化解机制。</w:t>
      </w:r>
    </w:p>
    <w:p w14:paraId="43B869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8C9DFE4">
      <w:pPr>
        <w:pStyle w:val="14"/>
        <w:keepNext w:val="0"/>
        <w:keepLines w:val="0"/>
        <w:pageBreakBefore w:val="0"/>
        <w:widowControl/>
        <w:numPr>
          <w:ilvl w:val="0"/>
          <w:numId w:val="2"/>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满意度指标完成情况分析</w:t>
      </w:r>
    </w:p>
    <w:p w14:paraId="36813F0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“企业满意度”指标，预期目标值为≥98%，实际完成为100%，实际完成率100%。</w:t>
      </w:r>
    </w:p>
    <w:p w14:paraId="5420A74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5FF5DEFD">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4"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4"/>
    </w:p>
    <w:p w14:paraId="396549B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5" w:name="_Toc15449"/>
      <w:bookmarkStart w:id="146" w:name="_Toc28290"/>
      <w:bookmarkStart w:id="147"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5"/>
    </w:p>
    <w:p w14:paraId="594F7C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2024年化债项目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300.4</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截至2024年12月31日共支出300.4万元，预算执行率为100%。</w:t>
      </w:r>
    </w:p>
    <w:bookmarkEnd w:id="146"/>
    <w:bookmarkEnd w:id="147"/>
    <w:p w14:paraId="409AD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8" w:name="_Toc29168"/>
      <w:r>
        <w:rPr>
          <w:rFonts w:hint="eastAsia" w:ascii="仿宋_GB2312" w:hAnsi="仿宋_GB2312" w:eastAsia="仿宋_GB2312" w:cs="仿宋_GB2312"/>
          <w:color w:val="auto"/>
          <w:sz w:val="32"/>
          <w:szCs w:val="32"/>
          <w:highlight w:val="none"/>
          <w:lang w:val="en-US" w:eastAsia="zh-CN"/>
        </w:rPr>
        <w:t>2024年化债项目所设定的绩效目标依据充分，绩效目标设定的绩效指标明确，预算编制具有合理性，制度建设完全，相关制度执行有效，资金到位及时，但未影响项目进度。项目资金严格按照预算管理规定开支，项目能够按时开展，并及时完成，总体完成质量较好，达成了既定的目标。</w:t>
      </w:r>
    </w:p>
    <w:p w14:paraId="03294BF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r>
        <w:rPr>
          <w:rFonts w:hint="eastAsia" w:ascii="Times New Roman" w:hAnsi="Times New Roman" w:eastAsia="楷体_GB2312" w:cs="Times New Roman"/>
          <w:b/>
          <w:bCs/>
          <w:color w:val="auto"/>
          <w:kern w:val="28"/>
          <w:sz w:val="32"/>
          <w:highlight w:val="none"/>
          <w:lang w:val="en-US" w:eastAsia="zh-CN"/>
        </w:rPr>
        <w:t>（二）存在的问题及原因分析</w:t>
      </w:r>
      <w:bookmarkEnd w:id="148"/>
    </w:p>
    <w:p w14:paraId="1C1A046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lang w:eastAsia="zh-CN"/>
        </w:rPr>
        <w:t>资金预算不足，难以满足演练需求</w:t>
      </w:r>
    </w:p>
    <w:p w14:paraId="3464A5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单位内控职责不够细化，项目预算的绩效设定与实际的项目支出存在些许差距，争取在今后工作中准确预算把握项目建设支出内容，以达到资金使用的最大效益。</w:t>
      </w:r>
    </w:p>
    <w:p w14:paraId="4BB0462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lang w:eastAsia="zh-CN"/>
        </w:rPr>
        <w:t>部门间协调配合不畅</w:t>
      </w:r>
    </w:p>
    <w:p w14:paraId="0DE02E3C">
      <w:pPr>
        <w:pStyle w:val="2"/>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sz w:val="32"/>
          <w:szCs w:val="32"/>
          <w:highlight w:val="none"/>
          <w:lang w:eastAsia="zh-CN"/>
        </w:rPr>
      </w:pPr>
      <w:bookmarkStart w:id="149" w:name="_Toc3333"/>
      <w:r>
        <w:rPr>
          <w:rFonts w:hint="eastAsia" w:ascii="仿宋_GB2312" w:hAnsi="仿宋_GB2312" w:eastAsia="仿宋_GB2312" w:cs="仿宋_GB2312"/>
          <w:color w:val="auto"/>
          <w:sz w:val="32"/>
          <w:szCs w:val="32"/>
          <w:highlight w:val="none"/>
          <w:lang w:eastAsia="zh-CN"/>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p>
    <w:p w14:paraId="518D17C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9"/>
    </w:p>
    <w:p w14:paraId="32B2DA5F">
      <w:pPr>
        <w:pageBreakBefore w:val="0"/>
        <w:kinsoku/>
        <w:wordWrap/>
        <w:overflowPunct/>
        <w:topLinePunct w:val="0"/>
        <w:autoSpaceDE/>
        <w:autoSpaceDN/>
        <w:bidi w:val="0"/>
        <w:spacing w:line="560" w:lineRule="exact"/>
        <w:textAlignment w:val="auto"/>
        <w:outlineLvl w:val="1"/>
        <w:rPr>
          <w:rFonts w:hint="eastAsia" w:ascii="Times New Roman" w:hAnsi="Times New Roman" w:eastAsia="楷体_GB2312" w:cs="Times New Roman"/>
          <w:b w:val="0"/>
          <w:bCs w:val="0"/>
          <w:color w:val="auto"/>
          <w:kern w:val="28"/>
          <w:sz w:val="32"/>
          <w:szCs w:val="32"/>
          <w:highlight w:val="none"/>
          <w:lang w:val="en-US" w:eastAsia="zh-CN" w:bidi="ar-SA"/>
        </w:rPr>
      </w:pPr>
      <w:bookmarkStart w:id="150" w:name="_Toc3948"/>
      <w:bookmarkStart w:id="151" w:name="_Toc20454"/>
      <w:r>
        <w:rPr>
          <w:rFonts w:hint="eastAsia" w:ascii="Times New Roman" w:hAnsi="Times New Roman" w:eastAsia="楷体_GB2312" w:cs="Times New Roman"/>
          <w:b w:val="0"/>
          <w:bCs w:val="0"/>
          <w:color w:val="auto"/>
          <w:kern w:val="28"/>
          <w:sz w:val="32"/>
          <w:szCs w:val="32"/>
          <w:highlight w:val="none"/>
          <w:lang w:val="en-US" w:eastAsia="zh-CN" w:bidi="ar-SA"/>
        </w:rPr>
        <w:t>（一）细化预算编制工作</w:t>
      </w:r>
    </w:p>
    <w:p w14:paraId="5F80C6DD">
      <w:pPr>
        <w:pageBreakBefore w:val="0"/>
        <w:kinsoku/>
        <w:wordWrap/>
        <w:overflowPunct/>
        <w:topLinePunct w:val="0"/>
        <w:autoSpaceDE/>
        <w:autoSpaceDN/>
        <w:bidi w:val="0"/>
        <w:spacing w:line="560" w:lineRule="exact"/>
        <w:textAlignment w:val="auto"/>
        <w:outlineLvl w:val="1"/>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认真做好预算的编制。进一步加强单位内部机构的预算管理意识，严格按照预算编制的相关制度和要求进行预算编制。</w:t>
      </w:r>
    </w:p>
    <w:p w14:paraId="5ACB2C21">
      <w:pPr>
        <w:pageBreakBefore w:val="0"/>
        <w:kinsoku/>
        <w:wordWrap/>
        <w:overflowPunct/>
        <w:topLinePunct w:val="0"/>
        <w:autoSpaceDE/>
        <w:autoSpaceDN/>
        <w:bidi w:val="0"/>
        <w:spacing w:line="560" w:lineRule="exact"/>
        <w:textAlignment w:val="auto"/>
        <w:outlineLvl w:val="1"/>
        <w:rPr>
          <w:rFonts w:hint="default" w:ascii="Times New Roman" w:hAnsi="Times New Roman" w:eastAsia="楷体_GB2312" w:cs="Times New Roman"/>
          <w:b w:val="0"/>
          <w:bCs w:val="0"/>
          <w:color w:val="auto"/>
          <w:kern w:val="28"/>
          <w:sz w:val="32"/>
          <w:szCs w:val="32"/>
          <w:highlight w:val="none"/>
          <w:lang w:val="en-US" w:eastAsia="zh-CN" w:bidi="ar-SA"/>
        </w:rPr>
      </w:pPr>
      <w:r>
        <w:rPr>
          <w:rFonts w:hint="eastAsia" w:ascii="Times New Roman" w:hAnsi="Times New Roman" w:eastAsia="楷体_GB2312" w:cs="Times New Roman"/>
          <w:b w:val="0"/>
          <w:bCs w:val="0"/>
          <w:color w:val="auto"/>
          <w:kern w:val="28"/>
          <w:sz w:val="32"/>
          <w:szCs w:val="32"/>
          <w:highlight w:val="none"/>
          <w:lang w:val="en-US" w:eastAsia="zh-CN" w:bidi="ar-SA"/>
        </w:rPr>
        <w:t>（二）</w:t>
      </w:r>
      <w:r>
        <w:rPr>
          <w:rFonts w:hint="eastAsia" w:ascii="仿宋_GB2312" w:hAnsi="仿宋_GB2312" w:eastAsia="仿宋_GB2312" w:cs="仿宋_GB2312"/>
          <w:b w:val="0"/>
          <w:bCs w:val="0"/>
          <w:color w:val="auto"/>
          <w:sz w:val="32"/>
          <w:szCs w:val="32"/>
          <w:highlight w:val="none"/>
          <w:lang w:val="en-US" w:eastAsia="zh-CN"/>
        </w:rPr>
        <w:t>加强部门协调管理</w:t>
      </w:r>
    </w:p>
    <w:bookmarkEnd w:id="150"/>
    <w:bookmarkEnd w:id="151"/>
    <w:p w14:paraId="77CF2CCC">
      <w:pPr>
        <w:pStyle w:val="2"/>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sz w:val="32"/>
          <w:szCs w:val="32"/>
          <w:highlight w:val="none"/>
          <w:lang w:val="en-US" w:eastAsia="zh-CN"/>
        </w:rPr>
      </w:pPr>
      <w:bookmarkStart w:id="152" w:name="_Toc14256"/>
      <w:r>
        <w:rPr>
          <w:rFonts w:hint="eastAsia" w:ascii="仿宋_GB2312" w:hAnsi="仿宋_GB2312" w:eastAsia="仿宋_GB2312" w:cs="仿宋_GB2312"/>
          <w:b w:val="0"/>
          <w:bCs w:val="0"/>
          <w:color w:val="auto"/>
          <w:kern w:val="2"/>
          <w:sz w:val="32"/>
          <w:szCs w:val="32"/>
          <w:highlight w:val="none"/>
          <w:lang w:val="en-US" w:eastAsia="zh-CN" w:bidi="ar-SA"/>
        </w:rPr>
        <w:t>针对部门间协调不畅问题，建议学校建立跨部门联动机制，明确资金申请流程与责任分工，由财务部门牵头定期召开协调会，确保信息同步。同时，加强财务规章培训，提升各部门资金管理意识，严格审核资金使用计划，定期开展自查与抽查，对发现的问题限期整改并纳入考核。此外，优化内部沟通平台（如线上协作系统），提高工作效率，确保资金及时到位、规范使用，保障学校重点工作顺利推进。</w:t>
      </w:r>
      <w:r>
        <w:rPr>
          <w:rFonts w:hint="eastAsia" w:ascii="仿宋_GB2312" w:hAnsi="仿宋_GB2312" w:eastAsia="仿宋_GB2312" w:cs="仿宋_GB2312"/>
          <w:color w:val="auto"/>
          <w:sz w:val="32"/>
          <w:szCs w:val="32"/>
          <w:highlight w:val="none"/>
          <w:lang w:val="en-US" w:eastAsia="zh-CN"/>
        </w:rPr>
        <w:t xml:space="preserve">  </w:t>
      </w:r>
    </w:p>
    <w:p w14:paraId="6EA69730">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2"/>
    </w:p>
    <w:p w14:paraId="25A588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304A4F5A">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4DFF6FBB">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3" w:name="_Toc11349"/>
      <w:bookmarkStart w:id="154" w:name="_Toc28971"/>
      <w:r>
        <w:rPr>
          <w:rFonts w:hint="eastAsia" w:ascii="宋体" w:hAnsi="宋体" w:eastAsia="宋体" w:cs="宋体"/>
          <w:b/>
          <w:bCs/>
          <w:color w:val="auto"/>
          <w:highlight w:val="none"/>
          <w:shd w:val="clear" w:color="auto" w:fill="auto"/>
          <w:lang w:val="en-US" w:eastAsia="zh-CN"/>
        </w:rPr>
        <w:t>附件一、项目支出绩效自评表</w:t>
      </w:r>
    </w:p>
    <w:bookmarkEnd w:id="153"/>
    <w:bookmarkEnd w:id="154"/>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971"/>
        <w:gridCol w:w="1217"/>
        <w:gridCol w:w="1217"/>
        <w:gridCol w:w="1135"/>
        <w:gridCol w:w="1053"/>
        <w:gridCol w:w="1217"/>
        <w:gridCol w:w="890"/>
        <w:gridCol w:w="890"/>
        <w:gridCol w:w="890"/>
        <w:gridCol w:w="890"/>
        <w:gridCol w:w="1135"/>
      </w:tblGrid>
      <w:tr w14:paraId="46059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55CAFA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5" w:name="_Toc11223"/>
            <w:bookmarkStart w:id="156" w:name="_Toc15067"/>
            <w:r>
              <w:rPr>
                <w:rFonts w:hint="eastAsia" w:ascii="宋体" w:hAnsi="宋体" w:eastAsia="宋体" w:cs="宋体"/>
                <w:b/>
                <w:bCs/>
                <w:i w:val="0"/>
                <w:iCs w:val="0"/>
                <w:color w:val="000000"/>
                <w:kern w:val="0"/>
                <w:sz w:val="32"/>
                <w:szCs w:val="32"/>
                <w:u w:val="none"/>
                <w:lang w:val="en-US" w:eastAsia="zh-CN" w:bidi="ar"/>
              </w:rPr>
              <w:t>项目支出绩效自评表</w:t>
            </w:r>
          </w:p>
        </w:tc>
      </w:tr>
      <w:tr w14:paraId="59E7A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3D3BD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6C424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00DBE2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1BFCAA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2024年债务化解（天龙小学门卫室地勘费）、2024年300米塑胶田径场工程</w:t>
            </w:r>
          </w:p>
        </w:tc>
      </w:tr>
      <w:tr w14:paraId="13BF5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AD09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1472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AF49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A4F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阜康市天龙小学</w:t>
            </w:r>
          </w:p>
        </w:tc>
      </w:tr>
      <w:tr w14:paraId="52FD5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8484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4E677">
            <w:pPr>
              <w:jc w:val="center"/>
              <w:rPr>
                <w:rFonts w:hint="eastAsia" w:ascii="宋体" w:hAnsi="宋体" w:eastAsia="宋体" w:cs="宋体"/>
                <w:b/>
                <w:bCs/>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785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B801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12A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C2B8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01C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91C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067EE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C0BA4">
            <w:pPr>
              <w:jc w:val="center"/>
              <w:rPr>
                <w:rFonts w:hint="eastAsia" w:ascii="宋体" w:hAnsi="宋体" w:eastAsia="宋体" w:cs="宋体"/>
                <w:b/>
                <w:bCs/>
                <w:i w:val="0"/>
                <w:iCs w:val="0"/>
                <w:color w:val="000000"/>
                <w:sz w:val="18"/>
                <w:szCs w:val="18"/>
                <w:u w:val="none"/>
              </w:rPr>
            </w:pP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E2E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ED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100.40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C95D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300.40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7F7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300.40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178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863C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9E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6F1AB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C12C6">
            <w:pPr>
              <w:jc w:val="center"/>
              <w:rPr>
                <w:rFonts w:hint="eastAsia" w:ascii="宋体" w:hAnsi="宋体" w:eastAsia="宋体" w:cs="宋体"/>
                <w:b/>
                <w:bCs/>
                <w:i w:val="0"/>
                <w:iCs w:val="0"/>
                <w:color w:val="000000"/>
                <w:sz w:val="18"/>
                <w:szCs w:val="18"/>
                <w:u w:val="none"/>
              </w:rPr>
            </w:pP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7B58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9BA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100.40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83C9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300.40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D088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300.40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F4F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AB8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6BB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90C6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DC98A">
            <w:pPr>
              <w:jc w:val="center"/>
              <w:rPr>
                <w:rFonts w:hint="eastAsia" w:ascii="宋体" w:hAnsi="宋体" w:eastAsia="宋体" w:cs="宋体"/>
                <w:b/>
                <w:bCs/>
                <w:i w:val="0"/>
                <w:iCs w:val="0"/>
                <w:color w:val="000000"/>
                <w:sz w:val="18"/>
                <w:szCs w:val="18"/>
                <w:u w:val="none"/>
              </w:rPr>
            </w:pP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99A2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C4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03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2DB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6597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271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2D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1CE6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3FB9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F3AEA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23C8F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1FF2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D7D1D">
            <w:pPr>
              <w:jc w:val="center"/>
              <w:rPr>
                <w:rFonts w:hint="eastAsia" w:ascii="宋体" w:hAnsi="宋体" w:eastAsia="宋体" w:cs="宋体"/>
                <w:b/>
                <w:bCs/>
                <w:i w:val="0"/>
                <w:iCs w:val="0"/>
                <w:color w:val="000000"/>
                <w:sz w:val="18"/>
                <w:szCs w:val="18"/>
                <w:u w:val="none"/>
              </w:rPr>
            </w:pPr>
          </w:p>
        </w:tc>
        <w:tc>
          <w:tcPr>
            <w:tcW w:w="19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7E4E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善教育教学硬件设施。安排2024年债务化解资金100.40万元，预计完成学校生活服务天龙小学门卫室地勘费和2024年300米塑胶田径场工程的支付工作，资金支付及时率预计达到100%，通过项目的实施，预期达到化解单位债务，提升单位和政府形象，完善政府债务化解机制。</w:t>
            </w:r>
          </w:p>
        </w:tc>
        <w:tc>
          <w:tcPr>
            <w:tcW w:w="286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94941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完成学校天龙小学门卫室地勘费和2024年300米塑胶田径场工程的支付工作，支付金额300.40万元，资金支付及时率达到100%，通过项目的实施，达到化解单位债务，提升单位和政府形象，完善政府债务化。</w:t>
            </w:r>
          </w:p>
        </w:tc>
      </w:tr>
      <w:tr w14:paraId="6F1ED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B33A02">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10A7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8A3D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F923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A27D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59D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417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B1D8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87AA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FD61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1E2E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CF9A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024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6832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3491A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14113">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7EA36">
            <w:pPr>
              <w:jc w:val="center"/>
              <w:rPr>
                <w:rFonts w:hint="eastAsia" w:ascii="宋体" w:hAnsi="宋体" w:eastAsia="宋体" w:cs="宋体"/>
                <w:b/>
                <w:bCs/>
                <w:i w:val="0"/>
                <w:iCs w:val="0"/>
                <w:color w:val="000000"/>
                <w:sz w:val="18"/>
                <w:szCs w:val="18"/>
                <w:u w:val="none"/>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28D5D">
            <w:pPr>
              <w:jc w:val="center"/>
              <w:rPr>
                <w:rFonts w:hint="eastAsia" w:ascii="宋体" w:hAnsi="宋体" w:eastAsia="宋体" w:cs="宋体"/>
                <w:b/>
                <w:bCs/>
                <w:i w:val="0"/>
                <w:iCs w:val="0"/>
                <w:color w:val="000000"/>
                <w:sz w:val="18"/>
                <w:szCs w:val="18"/>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CD285">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68019">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AF3DC">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7F8DB">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3D387">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7A845">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B3F24">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EE657">
            <w:pPr>
              <w:jc w:val="center"/>
              <w:rPr>
                <w:rFonts w:hint="eastAsia" w:ascii="宋体" w:hAnsi="宋体" w:eastAsia="宋体" w:cs="宋体"/>
                <w:b/>
                <w:bCs/>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10627">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0C1EC">
            <w:pPr>
              <w:jc w:val="center"/>
              <w:rPr>
                <w:rFonts w:hint="eastAsia" w:ascii="宋体" w:hAnsi="宋体" w:eastAsia="宋体" w:cs="宋体"/>
                <w:b/>
                <w:bCs/>
                <w:i w:val="0"/>
                <w:iCs w:val="0"/>
                <w:color w:val="000000"/>
                <w:sz w:val="18"/>
                <w:szCs w:val="18"/>
                <w:u w:val="none"/>
              </w:rPr>
            </w:pPr>
          </w:p>
        </w:tc>
        <w:tc>
          <w:tcPr>
            <w:tcW w:w="8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8C50E">
            <w:pPr>
              <w:jc w:val="center"/>
              <w:rPr>
                <w:rFonts w:hint="eastAsia" w:ascii="宋体" w:hAnsi="宋体" w:eastAsia="宋体" w:cs="宋体"/>
                <w:b/>
                <w:bCs/>
                <w:i w:val="0"/>
                <w:iCs w:val="0"/>
                <w:color w:val="000000"/>
                <w:sz w:val="18"/>
                <w:szCs w:val="18"/>
                <w:u w:val="none"/>
              </w:rPr>
            </w:pPr>
          </w:p>
        </w:tc>
      </w:tr>
      <w:tr w14:paraId="6F8D9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43A8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F827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C0C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17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1B0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0A6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AB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4E7C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D1F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0B3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627E1">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995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00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29898">
            <w:pPr>
              <w:jc w:val="center"/>
              <w:rPr>
                <w:rFonts w:hint="eastAsia" w:ascii="宋体" w:hAnsi="宋体" w:eastAsia="宋体" w:cs="宋体"/>
                <w:i w:val="0"/>
                <w:iCs w:val="0"/>
                <w:color w:val="000000"/>
                <w:sz w:val="18"/>
                <w:szCs w:val="18"/>
                <w:u w:val="none"/>
              </w:rPr>
            </w:pPr>
          </w:p>
        </w:tc>
      </w:tr>
      <w:tr w14:paraId="10909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051C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1CA27">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EE1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1B6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化债项目涉及企业</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A6B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541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81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6F4A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9ED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D3A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34A6E">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72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AF1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05F2D">
            <w:pPr>
              <w:jc w:val="center"/>
              <w:rPr>
                <w:rFonts w:hint="eastAsia" w:ascii="宋体" w:hAnsi="宋体" w:eastAsia="宋体" w:cs="宋体"/>
                <w:i w:val="0"/>
                <w:iCs w:val="0"/>
                <w:color w:val="000000"/>
                <w:sz w:val="18"/>
                <w:szCs w:val="18"/>
                <w:u w:val="none"/>
              </w:rPr>
            </w:pPr>
          </w:p>
        </w:tc>
      </w:tr>
      <w:tr w14:paraId="240C3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D4A6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D8397">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899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B85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3DC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5FB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D86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291E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890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EBF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F4FF6">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71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1D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BEC65">
            <w:pPr>
              <w:jc w:val="center"/>
              <w:rPr>
                <w:rFonts w:hint="eastAsia" w:ascii="宋体" w:hAnsi="宋体" w:eastAsia="宋体" w:cs="宋体"/>
                <w:i w:val="0"/>
                <w:iCs w:val="0"/>
                <w:color w:val="000000"/>
                <w:sz w:val="18"/>
                <w:szCs w:val="18"/>
                <w:u w:val="none"/>
              </w:rPr>
            </w:pPr>
          </w:p>
        </w:tc>
      </w:tr>
      <w:tr w14:paraId="648CB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CC352">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AFDE0">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6CB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4C8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任务完成时间</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2DD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922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&lt;=2024年8月</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A24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E35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B2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9A3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456BD">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C92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75B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A0062">
            <w:pPr>
              <w:jc w:val="center"/>
              <w:rPr>
                <w:rFonts w:hint="eastAsia" w:ascii="宋体" w:hAnsi="宋体" w:eastAsia="宋体" w:cs="宋体"/>
                <w:i w:val="0"/>
                <w:iCs w:val="0"/>
                <w:color w:val="000000"/>
                <w:sz w:val="18"/>
                <w:szCs w:val="18"/>
                <w:u w:val="none"/>
              </w:rPr>
            </w:pPr>
          </w:p>
        </w:tc>
      </w:tr>
      <w:tr w14:paraId="64436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56C0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29B3B">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56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01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3AD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C8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79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15E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F9B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7E4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BC74F">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237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F24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1F994">
            <w:pPr>
              <w:jc w:val="center"/>
              <w:rPr>
                <w:rFonts w:hint="eastAsia" w:ascii="宋体" w:hAnsi="宋体" w:eastAsia="宋体" w:cs="宋体"/>
                <w:i w:val="0"/>
                <w:iCs w:val="0"/>
                <w:color w:val="000000"/>
                <w:sz w:val="18"/>
                <w:szCs w:val="18"/>
                <w:u w:val="none"/>
              </w:rPr>
            </w:pPr>
          </w:p>
        </w:tc>
      </w:tr>
      <w:tr w14:paraId="47544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D0C72">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4748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44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7B9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300米塑胶操场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89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4C2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1B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38B8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C5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F51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B6EE4">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D72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1A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72B02">
            <w:pPr>
              <w:jc w:val="center"/>
              <w:rPr>
                <w:rFonts w:hint="eastAsia" w:ascii="宋体" w:hAnsi="宋体" w:eastAsia="宋体" w:cs="宋体"/>
                <w:i w:val="0"/>
                <w:iCs w:val="0"/>
                <w:color w:val="000000"/>
                <w:sz w:val="18"/>
                <w:szCs w:val="18"/>
                <w:u w:val="none"/>
              </w:rPr>
            </w:pPr>
          </w:p>
        </w:tc>
      </w:tr>
      <w:tr w14:paraId="279EA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CCD9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216A4">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C64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5F0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门卫室地勘费</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A83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CE8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&lt;=0.40万元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52C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=0.40万元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476F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ECD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7C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868B6">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389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8F3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B33D8">
            <w:pPr>
              <w:jc w:val="center"/>
              <w:rPr>
                <w:rFonts w:hint="eastAsia" w:ascii="宋体" w:hAnsi="宋体" w:eastAsia="宋体" w:cs="宋体"/>
                <w:i w:val="0"/>
                <w:iCs w:val="0"/>
                <w:color w:val="000000"/>
                <w:sz w:val="18"/>
                <w:szCs w:val="18"/>
                <w:u w:val="none"/>
              </w:rPr>
            </w:pPr>
          </w:p>
        </w:tc>
      </w:tr>
      <w:tr w14:paraId="181DB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AD0A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55866">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17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3934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E3D9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F816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B51B2">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8754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A34B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227D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F5CD1">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38B5B">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03358">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F032C">
            <w:pPr>
              <w:jc w:val="center"/>
              <w:rPr>
                <w:rFonts w:hint="eastAsia" w:ascii="宋体" w:hAnsi="宋体" w:eastAsia="宋体" w:cs="宋体"/>
                <w:i w:val="0"/>
                <w:iCs w:val="0"/>
                <w:color w:val="000000"/>
                <w:sz w:val="18"/>
                <w:szCs w:val="18"/>
                <w:u w:val="none"/>
              </w:rPr>
            </w:pPr>
          </w:p>
        </w:tc>
      </w:tr>
      <w:tr w14:paraId="38D64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39FB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436FA">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78A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9032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7FB13">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E33C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A628D">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6F0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9E356">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6301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DFA77">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EE907">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C78BD">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7E1BB">
            <w:pPr>
              <w:jc w:val="center"/>
              <w:rPr>
                <w:rFonts w:hint="eastAsia" w:ascii="宋体" w:hAnsi="宋体" w:eastAsia="宋体" w:cs="宋体"/>
                <w:i w:val="0"/>
                <w:iCs w:val="0"/>
                <w:color w:val="000000"/>
                <w:sz w:val="18"/>
                <w:szCs w:val="18"/>
                <w:u w:val="none"/>
              </w:rPr>
            </w:pPr>
          </w:p>
        </w:tc>
      </w:tr>
      <w:tr w14:paraId="3E961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D2FB7">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66C6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33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F4FD0">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BA510">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162D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D844E">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A2A1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4AA33">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CBD2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9F2D2">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ECD02">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D57BB">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6E43B">
            <w:pPr>
              <w:jc w:val="center"/>
              <w:rPr>
                <w:rFonts w:hint="eastAsia" w:ascii="宋体" w:hAnsi="宋体" w:eastAsia="宋体" w:cs="宋体"/>
                <w:i w:val="0"/>
                <w:iCs w:val="0"/>
                <w:color w:val="000000"/>
                <w:sz w:val="18"/>
                <w:szCs w:val="18"/>
                <w:u w:val="none"/>
              </w:rPr>
            </w:pPr>
          </w:p>
        </w:tc>
      </w:tr>
      <w:tr w14:paraId="31EF6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F1B9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85631">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EEC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D2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化解单位债务，提升单位和政府形象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64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D5F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DC0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379E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69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E6B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55E42">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E37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5F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36067">
            <w:pPr>
              <w:jc w:val="center"/>
              <w:rPr>
                <w:rFonts w:hint="eastAsia" w:ascii="宋体" w:hAnsi="宋体" w:eastAsia="宋体" w:cs="宋体"/>
                <w:i w:val="0"/>
                <w:iCs w:val="0"/>
                <w:color w:val="000000"/>
                <w:sz w:val="18"/>
                <w:szCs w:val="18"/>
                <w:u w:val="none"/>
              </w:rPr>
            </w:pPr>
          </w:p>
        </w:tc>
      </w:tr>
      <w:tr w14:paraId="004B7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20621">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123C9">
            <w:pPr>
              <w:jc w:val="center"/>
              <w:rPr>
                <w:rFonts w:hint="eastAsia" w:ascii="宋体" w:hAnsi="宋体" w:eastAsia="宋体" w:cs="宋体"/>
                <w:i w:val="0"/>
                <w:iCs w:val="0"/>
                <w:color w:val="000000"/>
                <w:sz w:val="18"/>
                <w:szCs w:val="1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098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206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完善政府债务化解机制</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AA2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81B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84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967E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5B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E07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5E039">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4E1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13C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37A50">
            <w:pPr>
              <w:jc w:val="center"/>
              <w:rPr>
                <w:rFonts w:hint="eastAsia" w:ascii="宋体" w:hAnsi="宋体" w:eastAsia="宋体" w:cs="宋体"/>
                <w:i w:val="0"/>
                <w:iCs w:val="0"/>
                <w:color w:val="000000"/>
                <w:sz w:val="18"/>
                <w:szCs w:val="18"/>
                <w:u w:val="none"/>
              </w:rPr>
            </w:pPr>
          </w:p>
        </w:tc>
      </w:tr>
      <w:tr w14:paraId="1F11D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48A3F">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6DC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17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24ED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CBE25">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2F08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D1CCA">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7452E">
            <w:pPr>
              <w:jc w:val="center"/>
              <w:rPr>
                <w:rFonts w:hint="eastAsia" w:ascii="宋体" w:hAnsi="宋体" w:eastAsia="宋体" w:cs="宋体"/>
                <w:i w:val="0"/>
                <w:iCs w:val="0"/>
                <w:color w:val="000000"/>
                <w:sz w:val="18"/>
                <w:szCs w:val="18"/>
                <w:u w:val="none"/>
              </w:rPr>
            </w:pPr>
            <w:bookmarkStart w:id="157" w:name="_GoBack"/>
            <w:bookmarkEnd w:id="157"/>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821EB">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E6C7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B0A5">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C16E8">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40594">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56D0E">
            <w:pPr>
              <w:jc w:val="center"/>
              <w:rPr>
                <w:rFonts w:hint="eastAsia" w:ascii="宋体" w:hAnsi="宋体" w:eastAsia="宋体" w:cs="宋体"/>
                <w:i w:val="0"/>
                <w:iCs w:val="0"/>
                <w:color w:val="000000"/>
                <w:sz w:val="18"/>
                <w:szCs w:val="18"/>
                <w:u w:val="none"/>
              </w:rPr>
            </w:pPr>
          </w:p>
        </w:tc>
      </w:tr>
      <w:tr w14:paraId="24AE5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57" w:type="pct"/>
            <w:gridSpan w:val="4"/>
            <w:tcBorders>
              <w:top w:val="single" w:color="000000" w:sz="4" w:space="0"/>
              <w:left w:val="single" w:color="000000" w:sz="4" w:space="0"/>
              <w:bottom w:val="single" w:color="000000" w:sz="4" w:space="0"/>
              <w:right w:val="nil"/>
            </w:tcBorders>
            <w:shd w:val="clear" w:color="auto" w:fill="auto"/>
            <w:vAlign w:val="center"/>
          </w:tcPr>
          <w:p w14:paraId="4908C6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27C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0A9200BB">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7FBE6">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FA3B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DD9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EC42">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AFB98">
            <w:pP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DED89">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3FE53">
            <w:pP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021A0">
            <w:pPr>
              <w:rPr>
                <w:rFonts w:hint="eastAsia" w:ascii="宋体" w:hAnsi="宋体" w:eastAsia="宋体" w:cs="宋体"/>
                <w:i w:val="0"/>
                <w:iCs w:val="0"/>
                <w:color w:val="000000"/>
                <w:sz w:val="18"/>
                <w:szCs w:val="18"/>
                <w:u w:val="none"/>
              </w:rPr>
            </w:pPr>
          </w:p>
        </w:tc>
      </w:tr>
    </w:tbl>
    <w:p w14:paraId="0E483762">
      <w:pPr>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br w:type="page"/>
      </w:r>
    </w:p>
    <w:p w14:paraId="181A11AC">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55"/>
      <w:bookmarkEnd w:id="156"/>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4A1289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tblHeader/>
          <w:jc w:val="center"/>
        </w:trPr>
        <w:tc>
          <w:tcPr>
            <w:tcW w:w="861" w:type="dxa"/>
            <w:shd w:val="clear" w:color="auto" w:fill="auto"/>
            <w:noWrap w:val="0"/>
            <w:vAlign w:val="center"/>
          </w:tcPr>
          <w:p w14:paraId="7EE417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1C621E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0B840A5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24BEA6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18D6FFA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07CBAE9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5C9718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040F08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03A468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40C6E51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0778889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71FE56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5587C41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30A9038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3FFEE56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5D46A8E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F77640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49A07F1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2509B4A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2443F4A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2A44805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11E04A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3DF392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FDF0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2AC8AFC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17A64E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5EB8B8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64064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03A89E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3687617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6D707D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5379E6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54FFDEE2">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3265D9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05B22812">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w:t>
            </w:r>
          </w:p>
        </w:tc>
      </w:tr>
      <w:tr w14:paraId="473D7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50C12A7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D5D2C6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27B0332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1FAFD98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33F4488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7E55E6E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08017F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6D31660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1AB035F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635797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25907AE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5C5077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2A56AA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233B7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5F4C07B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06787F9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3B2019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1A24319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613EEC8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6F2BB8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482C7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460DE3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2C4C53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5A3E11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1F32C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582D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134B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4FE26D3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56D3F8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139CBF9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3583507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2EACD33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785C7D8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3A239E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2F5DA8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1DD433D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67EC29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097744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0F9DBF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391ED6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A97F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0645D6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14AD9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44BF667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465245D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7AB0051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51A354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85454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25DFFF4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14A9DA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3961B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7040E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2BD0FA5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4D2E686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31434B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172F821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5E780C6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19266BA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6A8A8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007491C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5004C27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4EE44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6B8A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16CAA29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D15113C">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D01710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29A88DF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6EA332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20ACFF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75CF12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CC1E99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0DD10D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306276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31E2E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2726500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1DF0594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0BBA0F2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33950B3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2378FF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C8FDE1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339877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70F3C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6E7DA16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10120F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DC18F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62A6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3B90549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7B10A0E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4166EF4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7A1F673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302502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075025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2CE4E4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FCE23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D4A86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557D27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3A9A2A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F6D1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60BAE80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E3B39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1A542F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3BF354A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1088AC0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19FAB2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F0F40F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7C8EE5D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458979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D867F1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C5A82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882F6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63EC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1EFBD8F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7E1D6C7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6CBD9E3D">
            <w:pPr>
              <w:pageBreakBefore w:val="0"/>
              <w:widowControl/>
              <w:kinsoku/>
              <w:wordWrap/>
              <w:overflowPunct/>
              <w:topLinePunct w:val="0"/>
              <w:autoSpaceDE/>
              <w:autoSpaceDN/>
              <w:bidi w:val="0"/>
              <w:spacing w:line="240" w:lineRule="auto"/>
              <w:ind w:firstLine="0" w:firstLineChars="0"/>
              <w:jc w:val="both"/>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化债项目</w:t>
            </w:r>
            <w:r>
              <w:rPr>
                <w:rFonts w:hint="eastAsia" w:cs="宋体"/>
                <w:color w:val="auto"/>
                <w:kern w:val="0"/>
                <w:sz w:val="22"/>
                <w:szCs w:val="22"/>
                <w:highlight w:val="none"/>
                <w:lang w:val="en-US" w:eastAsia="zh-CN"/>
              </w:rPr>
              <w:t>数量</w:t>
            </w:r>
          </w:p>
        </w:tc>
        <w:tc>
          <w:tcPr>
            <w:tcW w:w="2141" w:type="dxa"/>
            <w:shd w:val="clear" w:color="auto" w:fill="auto"/>
            <w:noWrap w:val="0"/>
            <w:vAlign w:val="center"/>
          </w:tcPr>
          <w:p w14:paraId="64C3B96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437ACF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11E924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91917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16F1A1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B6C809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2754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15ADD71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2934084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172C7584">
            <w:pPr>
              <w:pageBreakBefore w:val="0"/>
              <w:widowControl/>
              <w:kinsoku/>
              <w:wordWrap/>
              <w:overflowPunct/>
              <w:topLinePunct w:val="0"/>
              <w:autoSpaceDE/>
              <w:autoSpaceDN/>
              <w:bidi w:val="0"/>
              <w:spacing w:line="240" w:lineRule="auto"/>
              <w:ind w:firstLine="0" w:firstLineChars="0"/>
              <w:jc w:val="both"/>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化债项目涉及企业</w:t>
            </w:r>
          </w:p>
        </w:tc>
        <w:tc>
          <w:tcPr>
            <w:tcW w:w="2141" w:type="dxa"/>
            <w:shd w:val="clear" w:color="auto" w:fill="auto"/>
            <w:noWrap w:val="0"/>
            <w:vAlign w:val="center"/>
          </w:tcPr>
          <w:p w14:paraId="484EE3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F210E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0CF009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74024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61809F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D3F27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6B389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3E7E45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9FF443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66E03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资金使用合规率</w:t>
            </w:r>
          </w:p>
        </w:tc>
        <w:tc>
          <w:tcPr>
            <w:tcW w:w="2141" w:type="dxa"/>
            <w:shd w:val="clear" w:color="auto" w:fill="auto"/>
            <w:noWrap w:val="0"/>
            <w:vAlign w:val="center"/>
          </w:tcPr>
          <w:p w14:paraId="5A9F44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3373C4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55A3E2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654F63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688DEC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8C406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4923372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7B5870A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2A823FB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任务完成时间</w:t>
            </w:r>
          </w:p>
        </w:tc>
        <w:tc>
          <w:tcPr>
            <w:tcW w:w="2141" w:type="dxa"/>
            <w:shd w:val="clear" w:color="auto" w:fill="auto"/>
            <w:noWrap w:val="0"/>
            <w:vAlign w:val="center"/>
          </w:tcPr>
          <w:p w14:paraId="656B66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3B4820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3F25BCB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7342FF0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818FB3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B765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7885150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50AC37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产出</w:t>
            </w:r>
            <w:r>
              <w:rPr>
                <w:rFonts w:hint="eastAsia" w:cs="宋体"/>
                <w:color w:val="auto"/>
                <w:kern w:val="0"/>
                <w:sz w:val="22"/>
                <w:szCs w:val="22"/>
                <w:highlight w:val="none"/>
                <w:lang w:val="en-US" w:eastAsia="zh-CN"/>
              </w:rPr>
              <w:t>时效</w:t>
            </w:r>
          </w:p>
        </w:tc>
        <w:tc>
          <w:tcPr>
            <w:tcW w:w="820" w:type="dxa"/>
            <w:shd w:val="clear" w:color="auto" w:fill="auto"/>
            <w:noWrap w:val="0"/>
            <w:vAlign w:val="center"/>
          </w:tcPr>
          <w:p w14:paraId="05AFDB0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资金支付及时率</w:t>
            </w:r>
          </w:p>
        </w:tc>
        <w:tc>
          <w:tcPr>
            <w:tcW w:w="2141" w:type="dxa"/>
            <w:shd w:val="clear" w:color="auto" w:fill="auto"/>
            <w:noWrap w:val="0"/>
            <w:vAlign w:val="center"/>
          </w:tcPr>
          <w:p w14:paraId="3662366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1E6DF1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7872A0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338CD0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4D5769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7FB440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DDCA71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AD27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6A4E4B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99B604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4C255B6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eastAsia="zh-CN"/>
              </w:rPr>
              <w:t>300米塑胶操场</w:t>
            </w:r>
            <w:r>
              <w:rPr>
                <w:rFonts w:hint="eastAsia" w:ascii="宋体" w:hAnsi="宋体" w:eastAsia="宋体" w:cs="宋体"/>
                <w:color w:val="auto"/>
                <w:kern w:val="0"/>
                <w:sz w:val="22"/>
                <w:szCs w:val="22"/>
                <w:highlight w:val="none"/>
              </w:rPr>
              <w:t>工程款</w:t>
            </w:r>
          </w:p>
        </w:tc>
        <w:tc>
          <w:tcPr>
            <w:tcW w:w="2141" w:type="dxa"/>
            <w:shd w:val="clear" w:color="auto" w:fill="auto"/>
            <w:noWrap w:val="0"/>
            <w:vAlign w:val="center"/>
          </w:tcPr>
          <w:p w14:paraId="07FDE0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3A2A6A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C6F78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E7BC5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51E49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3A40DF0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12B5DC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BBC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189075D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4953C89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713B704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门卫室</w:t>
            </w:r>
            <w:r>
              <w:rPr>
                <w:rFonts w:hint="eastAsia" w:ascii="宋体" w:hAnsi="宋体" w:eastAsia="宋体" w:cs="宋体"/>
                <w:color w:val="auto"/>
                <w:kern w:val="0"/>
                <w:sz w:val="22"/>
                <w:szCs w:val="22"/>
                <w:highlight w:val="none"/>
              </w:rPr>
              <w:t>地勘费</w:t>
            </w:r>
          </w:p>
        </w:tc>
        <w:tc>
          <w:tcPr>
            <w:tcW w:w="2141" w:type="dxa"/>
            <w:shd w:val="clear" w:color="auto" w:fill="auto"/>
            <w:noWrap w:val="0"/>
            <w:vAlign w:val="center"/>
          </w:tcPr>
          <w:p w14:paraId="3C5433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FDB14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4536C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D9E23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CBF58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52EB61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6D84E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42D4D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169E28E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1FE3A8A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C31C40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化解单位债务，提升单位和政府形象</w:t>
            </w:r>
          </w:p>
        </w:tc>
        <w:tc>
          <w:tcPr>
            <w:tcW w:w="2141" w:type="dxa"/>
            <w:shd w:val="clear" w:color="auto" w:fill="auto"/>
            <w:noWrap w:val="0"/>
            <w:vAlign w:val="center"/>
          </w:tcPr>
          <w:p w14:paraId="2892E4A2">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4CDBEA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5E98089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68C7A0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8CA7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2C8317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27DD42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48036A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完善政府债务化解机制</w:t>
            </w:r>
          </w:p>
        </w:tc>
        <w:tc>
          <w:tcPr>
            <w:tcW w:w="2141" w:type="dxa"/>
            <w:shd w:val="clear" w:color="auto" w:fill="auto"/>
            <w:noWrap w:val="0"/>
            <w:vAlign w:val="center"/>
          </w:tcPr>
          <w:p w14:paraId="72A826F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2515D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3336A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0F17D1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9EFC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3D7C873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9BBA6F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16A30D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企业满意度</w:t>
            </w:r>
          </w:p>
        </w:tc>
        <w:tc>
          <w:tcPr>
            <w:tcW w:w="2141" w:type="dxa"/>
            <w:shd w:val="clear" w:color="auto" w:fill="auto"/>
            <w:noWrap w:val="0"/>
            <w:vAlign w:val="center"/>
          </w:tcPr>
          <w:p w14:paraId="5C0EF6A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B6D6D6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1F4A1E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3AE36A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bidi="ar-SA"/>
              </w:rPr>
              <w:t>10</w:t>
            </w:r>
          </w:p>
        </w:tc>
      </w:tr>
      <w:tr w14:paraId="50359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4549" w:type="dxa"/>
            <w:gridSpan w:val="4"/>
            <w:shd w:val="clear" w:color="auto" w:fill="auto"/>
            <w:noWrap w:val="0"/>
            <w:vAlign w:val="center"/>
          </w:tcPr>
          <w:p w14:paraId="152543E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75453F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5906A2E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518E2CF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99.2</w:t>
            </w:r>
          </w:p>
        </w:tc>
      </w:tr>
    </w:tbl>
    <w:p w14:paraId="2E4A5D7D">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color w:val="auto"/>
          <w:sz w:val="30"/>
          <w:szCs w:val="24"/>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23C1C1-E22C-44EF-990C-3B8A9E38DD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embedRegular r:id="rId2" w:fontKey="{64EE469F-859A-4914-92C8-1C045B297019}"/>
  </w:font>
  <w:font w:name="仿宋_GB2312">
    <w:panose1 w:val="02010609030101010101"/>
    <w:charset w:val="86"/>
    <w:family w:val="modern"/>
    <w:pitch w:val="default"/>
    <w:sig w:usb0="00000001" w:usb1="080E0000" w:usb2="00000000" w:usb3="00000000" w:csb0="00040000" w:csb1="00000000"/>
    <w:embedRegular r:id="rId3" w:fontKey="{10B04AEF-44A5-4C9A-8E37-5D268E103E9D}"/>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embedRegular r:id="rId4" w:fontKey="{9B034458-89D9-4FAF-A495-291D1D371C6B}"/>
  </w:font>
  <w:font w:name="方正仿宋_GBK">
    <w:panose1 w:val="02000000000000000000"/>
    <w:charset w:val="86"/>
    <w:family w:val="auto"/>
    <w:pitch w:val="default"/>
    <w:sig w:usb0="A00002BF" w:usb1="38CF7CFA" w:usb2="00082016" w:usb3="00000000" w:csb0="00040001" w:csb1="00000000"/>
    <w:embedRegular r:id="rId5" w:fontKey="{5AD4F44D-64C2-4960-A24D-4DA5A026DC86}"/>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609A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47B37">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647B37">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5B5124F6"/>
    <w:multiLevelType w:val="singleLevel"/>
    <w:tmpl w:val="5B5124F6"/>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WQwMzYxNTUyMGVlZTg3YTVjMjE0ODQ5OTM3ZDYifQ=="/>
  </w:docVars>
  <w:rsids>
    <w:rsidRoot w:val="68291A1A"/>
    <w:rsid w:val="007D6A04"/>
    <w:rsid w:val="00DF5700"/>
    <w:rsid w:val="00E23C81"/>
    <w:rsid w:val="01253350"/>
    <w:rsid w:val="01282E62"/>
    <w:rsid w:val="014029CF"/>
    <w:rsid w:val="01470C4C"/>
    <w:rsid w:val="02021905"/>
    <w:rsid w:val="02200440"/>
    <w:rsid w:val="02284B43"/>
    <w:rsid w:val="02B015E2"/>
    <w:rsid w:val="02D5044D"/>
    <w:rsid w:val="02DC08FA"/>
    <w:rsid w:val="033B569D"/>
    <w:rsid w:val="039C3BA0"/>
    <w:rsid w:val="03A845BB"/>
    <w:rsid w:val="03B45AD1"/>
    <w:rsid w:val="04D12EE4"/>
    <w:rsid w:val="04D63993"/>
    <w:rsid w:val="06A91BE8"/>
    <w:rsid w:val="07890F4F"/>
    <w:rsid w:val="07AF6F0E"/>
    <w:rsid w:val="08892439"/>
    <w:rsid w:val="08EB30F3"/>
    <w:rsid w:val="09237408"/>
    <w:rsid w:val="09781BD6"/>
    <w:rsid w:val="097F55EA"/>
    <w:rsid w:val="09F359DF"/>
    <w:rsid w:val="0A143A15"/>
    <w:rsid w:val="0A1E15E6"/>
    <w:rsid w:val="0A575E65"/>
    <w:rsid w:val="0ACA0AB6"/>
    <w:rsid w:val="0C032502"/>
    <w:rsid w:val="0C27698C"/>
    <w:rsid w:val="0D4452F3"/>
    <w:rsid w:val="0D5E104D"/>
    <w:rsid w:val="0E15483F"/>
    <w:rsid w:val="0E5C5423"/>
    <w:rsid w:val="0F5E5042"/>
    <w:rsid w:val="0FE95707"/>
    <w:rsid w:val="104C2755"/>
    <w:rsid w:val="10510571"/>
    <w:rsid w:val="10787A20"/>
    <w:rsid w:val="108672DE"/>
    <w:rsid w:val="10EC685A"/>
    <w:rsid w:val="11FA6155"/>
    <w:rsid w:val="12CF0947"/>
    <w:rsid w:val="12F1313F"/>
    <w:rsid w:val="12FB2185"/>
    <w:rsid w:val="136C678E"/>
    <w:rsid w:val="13EB2FF5"/>
    <w:rsid w:val="13EE1CEA"/>
    <w:rsid w:val="14ED4CAC"/>
    <w:rsid w:val="15426E35"/>
    <w:rsid w:val="158A4532"/>
    <w:rsid w:val="15A46B04"/>
    <w:rsid w:val="15B40B18"/>
    <w:rsid w:val="16070B53"/>
    <w:rsid w:val="165825BC"/>
    <w:rsid w:val="16BC5D73"/>
    <w:rsid w:val="176F36D7"/>
    <w:rsid w:val="1795226D"/>
    <w:rsid w:val="18456B1E"/>
    <w:rsid w:val="1A82320B"/>
    <w:rsid w:val="1BC752FA"/>
    <w:rsid w:val="1C1171C5"/>
    <w:rsid w:val="1D265138"/>
    <w:rsid w:val="1D7B6BCA"/>
    <w:rsid w:val="1DA41A79"/>
    <w:rsid w:val="1DF53469"/>
    <w:rsid w:val="1E2F24F2"/>
    <w:rsid w:val="1E58492F"/>
    <w:rsid w:val="1E5B6757"/>
    <w:rsid w:val="1ED10AC6"/>
    <w:rsid w:val="1F610E97"/>
    <w:rsid w:val="1F89225F"/>
    <w:rsid w:val="1F900A1F"/>
    <w:rsid w:val="1FC0575D"/>
    <w:rsid w:val="206132C7"/>
    <w:rsid w:val="21B00C1D"/>
    <w:rsid w:val="23031BEB"/>
    <w:rsid w:val="23917691"/>
    <w:rsid w:val="23BE25EC"/>
    <w:rsid w:val="23E5588D"/>
    <w:rsid w:val="244D65B8"/>
    <w:rsid w:val="245E1E24"/>
    <w:rsid w:val="25201F1F"/>
    <w:rsid w:val="25AD5E5D"/>
    <w:rsid w:val="26AB49A5"/>
    <w:rsid w:val="26BE379D"/>
    <w:rsid w:val="2732478D"/>
    <w:rsid w:val="27483F9D"/>
    <w:rsid w:val="27661469"/>
    <w:rsid w:val="27900EAD"/>
    <w:rsid w:val="279B538A"/>
    <w:rsid w:val="279B588D"/>
    <w:rsid w:val="286F545C"/>
    <w:rsid w:val="28A32C4B"/>
    <w:rsid w:val="29314FBC"/>
    <w:rsid w:val="2AA2081A"/>
    <w:rsid w:val="2AEC2259"/>
    <w:rsid w:val="2AEC440E"/>
    <w:rsid w:val="2B2D4A4E"/>
    <w:rsid w:val="2C024B86"/>
    <w:rsid w:val="2C927671"/>
    <w:rsid w:val="2CC6306F"/>
    <w:rsid w:val="2D7C5CD6"/>
    <w:rsid w:val="2E483E7E"/>
    <w:rsid w:val="2E690493"/>
    <w:rsid w:val="2E926184"/>
    <w:rsid w:val="2E9854BD"/>
    <w:rsid w:val="2F0D407F"/>
    <w:rsid w:val="2F454B19"/>
    <w:rsid w:val="2FA01C92"/>
    <w:rsid w:val="30654C8A"/>
    <w:rsid w:val="310224D9"/>
    <w:rsid w:val="31B4621C"/>
    <w:rsid w:val="31E3230A"/>
    <w:rsid w:val="330957E0"/>
    <w:rsid w:val="33356F64"/>
    <w:rsid w:val="33944516"/>
    <w:rsid w:val="34B62907"/>
    <w:rsid w:val="35D733CF"/>
    <w:rsid w:val="36321AB2"/>
    <w:rsid w:val="36BD137C"/>
    <w:rsid w:val="36DF436F"/>
    <w:rsid w:val="378E453E"/>
    <w:rsid w:val="38053EDF"/>
    <w:rsid w:val="380812A4"/>
    <w:rsid w:val="385D37E7"/>
    <w:rsid w:val="38782EDD"/>
    <w:rsid w:val="390D66F3"/>
    <w:rsid w:val="3A5E7380"/>
    <w:rsid w:val="3B42664A"/>
    <w:rsid w:val="3CAD1E92"/>
    <w:rsid w:val="3D836A4E"/>
    <w:rsid w:val="3EA37E97"/>
    <w:rsid w:val="3FBE0BC5"/>
    <w:rsid w:val="4048103A"/>
    <w:rsid w:val="40736643"/>
    <w:rsid w:val="40D24A7A"/>
    <w:rsid w:val="42621029"/>
    <w:rsid w:val="43364A89"/>
    <w:rsid w:val="435241E2"/>
    <w:rsid w:val="43975C51"/>
    <w:rsid w:val="439E3FA7"/>
    <w:rsid w:val="44B32266"/>
    <w:rsid w:val="44CA2B9B"/>
    <w:rsid w:val="44FC64F4"/>
    <w:rsid w:val="467F4585"/>
    <w:rsid w:val="470628CB"/>
    <w:rsid w:val="4729480B"/>
    <w:rsid w:val="47555BD4"/>
    <w:rsid w:val="47B84001"/>
    <w:rsid w:val="47BC2DB1"/>
    <w:rsid w:val="47E96399"/>
    <w:rsid w:val="47F76025"/>
    <w:rsid w:val="48286871"/>
    <w:rsid w:val="486E33F5"/>
    <w:rsid w:val="48E12B50"/>
    <w:rsid w:val="499441BE"/>
    <w:rsid w:val="499A6C1C"/>
    <w:rsid w:val="4A195607"/>
    <w:rsid w:val="4A2138F0"/>
    <w:rsid w:val="4A583887"/>
    <w:rsid w:val="4B9F6E02"/>
    <w:rsid w:val="4C89637B"/>
    <w:rsid w:val="4DD4405D"/>
    <w:rsid w:val="4E6E48A8"/>
    <w:rsid w:val="4EEC036B"/>
    <w:rsid w:val="4EEF633A"/>
    <w:rsid w:val="4F714FA1"/>
    <w:rsid w:val="501D2673"/>
    <w:rsid w:val="5084478B"/>
    <w:rsid w:val="50C80BF1"/>
    <w:rsid w:val="51852833"/>
    <w:rsid w:val="51A42B0C"/>
    <w:rsid w:val="52F11AC8"/>
    <w:rsid w:val="534F49D9"/>
    <w:rsid w:val="53555F0F"/>
    <w:rsid w:val="535D23D5"/>
    <w:rsid w:val="558C0743"/>
    <w:rsid w:val="563C14CF"/>
    <w:rsid w:val="56845383"/>
    <w:rsid w:val="56F4341A"/>
    <w:rsid w:val="575A7321"/>
    <w:rsid w:val="580C3AB9"/>
    <w:rsid w:val="583C7AE0"/>
    <w:rsid w:val="586C1E9A"/>
    <w:rsid w:val="586E0800"/>
    <w:rsid w:val="59216F96"/>
    <w:rsid w:val="598C4145"/>
    <w:rsid w:val="59957D1B"/>
    <w:rsid w:val="59A93DB0"/>
    <w:rsid w:val="59D4294E"/>
    <w:rsid w:val="5A92474A"/>
    <w:rsid w:val="5AE14D89"/>
    <w:rsid w:val="5B634312"/>
    <w:rsid w:val="5B9D2CCD"/>
    <w:rsid w:val="5B9E71EA"/>
    <w:rsid w:val="5E226FBC"/>
    <w:rsid w:val="5E987634"/>
    <w:rsid w:val="5FE72BD2"/>
    <w:rsid w:val="60120613"/>
    <w:rsid w:val="60EE1FAE"/>
    <w:rsid w:val="6151093C"/>
    <w:rsid w:val="618D5292"/>
    <w:rsid w:val="62050DB8"/>
    <w:rsid w:val="622E78FA"/>
    <w:rsid w:val="63304B00"/>
    <w:rsid w:val="63343F70"/>
    <w:rsid w:val="64296E1C"/>
    <w:rsid w:val="64386FCC"/>
    <w:rsid w:val="649E64A2"/>
    <w:rsid w:val="65E5270A"/>
    <w:rsid w:val="663D3C54"/>
    <w:rsid w:val="667A6962"/>
    <w:rsid w:val="66862C89"/>
    <w:rsid w:val="66BB486D"/>
    <w:rsid w:val="67394C7D"/>
    <w:rsid w:val="67577EB7"/>
    <w:rsid w:val="68126B38"/>
    <w:rsid w:val="68291A1A"/>
    <w:rsid w:val="68352BB8"/>
    <w:rsid w:val="688B0A2A"/>
    <w:rsid w:val="691327EB"/>
    <w:rsid w:val="691B1594"/>
    <w:rsid w:val="693A016B"/>
    <w:rsid w:val="6A17429C"/>
    <w:rsid w:val="6A567EA3"/>
    <w:rsid w:val="6B4B4368"/>
    <w:rsid w:val="6B79100E"/>
    <w:rsid w:val="6B8F70C0"/>
    <w:rsid w:val="6BBF1516"/>
    <w:rsid w:val="6C844C00"/>
    <w:rsid w:val="6CCF756B"/>
    <w:rsid w:val="6E10212C"/>
    <w:rsid w:val="6E43561A"/>
    <w:rsid w:val="6E557973"/>
    <w:rsid w:val="6E9568DB"/>
    <w:rsid w:val="6F0D6C22"/>
    <w:rsid w:val="6F47657F"/>
    <w:rsid w:val="6FAF23D9"/>
    <w:rsid w:val="70635CF6"/>
    <w:rsid w:val="70670707"/>
    <w:rsid w:val="719E7E5D"/>
    <w:rsid w:val="720E3691"/>
    <w:rsid w:val="7249173A"/>
    <w:rsid w:val="724E244C"/>
    <w:rsid w:val="72DA6946"/>
    <w:rsid w:val="732764B3"/>
    <w:rsid w:val="74026044"/>
    <w:rsid w:val="74325A77"/>
    <w:rsid w:val="74746410"/>
    <w:rsid w:val="75C8506C"/>
    <w:rsid w:val="75E5007C"/>
    <w:rsid w:val="77636B63"/>
    <w:rsid w:val="77813724"/>
    <w:rsid w:val="77861774"/>
    <w:rsid w:val="78EA3E0C"/>
    <w:rsid w:val="78F31435"/>
    <w:rsid w:val="79300B45"/>
    <w:rsid w:val="794D3E18"/>
    <w:rsid w:val="79690785"/>
    <w:rsid w:val="79F3729A"/>
    <w:rsid w:val="7A880722"/>
    <w:rsid w:val="7ABE6120"/>
    <w:rsid w:val="7ACB0498"/>
    <w:rsid w:val="7AED0B4D"/>
    <w:rsid w:val="7BCB3093"/>
    <w:rsid w:val="7C1E4487"/>
    <w:rsid w:val="7C215E02"/>
    <w:rsid w:val="7CF23764"/>
    <w:rsid w:val="7D72364A"/>
    <w:rsid w:val="7D851A94"/>
    <w:rsid w:val="7DB71690"/>
    <w:rsid w:val="7E093C63"/>
    <w:rsid w:val="7E5254F3"/>
    <w:rsid w:val="7E797F74"/>
    <w:rsid w:val="7F233313"/>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10194</Words>
  <Characters>10932</Characters>
  <Lines>0</Lines>
  <Paragraphs>0</Paragraphs>
  <TotalTime>1</TotalTime>
  <ScaleCrop>false</ScaleCrop>
  <LinksUpToDate>false</LinksUpToDate>
  <CharactersWithSpaces>11002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2025-10-23T10:27:38Z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E7A60C92247B45FD8FB10E3B8EC5DD04_13</vt:lpwstr>
  </property>
  <property fmtid="{D5CDD505-2E9C-101B-9397-08002B2CF9AE}" pid="4" name="KSOTemplateDocerSaveRecord">
    <vt:lpwstr>eyJoZGlkIjoiNTY3MmI4ODZmMjljZWZhNGFkN2U2N2Y4ODgwYjM5ZGIiLCJ1c2VySWQiOiIzNjI1MzY3NzcifQ==</vt:lpwstr>
  </property>
</Properties>
</file>