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45F5EE">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17B4A121">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52"/>
          <w:szCs w:val="52"/>
          <w:highlight w:val="none"/>
          <w:shd w:val="clear" w:color="auto" w:fill="auto"/>
          <w14:textFill>
            <w14:solidFill>
              <w14:schemeClr w14:val="tx1"/>
            </w14:solidFill>
          </w14:textFill>
        </w:rPr>
      </w:pPr>
    </w:p>
    <w:p w14:paraId="536BE4CD">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2FC8F315">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outlineLvl w:val="0"/>
        <w:rPr>
          <w:rFonts w:hint="eastAsia" w:ascii="宋体" w:hAnsi="宋体" w:eastAsia="宋体" w:cs="宋体"/>
          <w:b/>
          <w:bCs/>
          <w:color w:val="000000" w:themeColor="text1"/>
          <w:sz w:val="40"/>
          <w:szCs w:val="40"/>
          <w:highlight w:val="none"/>
          <w:shd w:val="clear" w:color="auto" w:fill="auto"/>
          <w:lang w:val="en-US" w:eastAsia="zh-CN"/>
          <w14:textFill>
            <w14:solidFill>
              <w14:schemeClr w14:val="tx1"/>
            </w14:solidFill>
          </w14:textFill>
        </w:rPr>
      </w:pPr>
      <w:bookmarkStart w:id="0" w:name="_Toc1949"/>
      <w:bookmarkStart w:id="1" w:name="_Toc15679"/>
      <w:bookmarkStart w:id="2" w:name="_Toc29123"/>
      <w:bookmarkStart w:id="3" w:name="_Toc25575"/>
      <w:r>
        <w:rPr>
          <w:rFonts w:hint="eastAsia" w:cs="宋体"/>
          <w:b/>
          <w:bCs/>
          <w:color w:val="000000" w:themeColor="text1"/>
          <w:sz w:val="40"/>
          <w:szCs w:val="40"/>
          <w:highlight w:val="none"/>
          <w:shd w:val="clear" w:color="auto" w:fill="auto"/>
          <w:lang w:val="en-US" w:eastAsia="zh-CN"/>
          <w14:textFill>
            <w14:solidFill>
              <w14:schemeClr w14:val="tx1"/>
            </w14:solidFill>
          </w14:textFill>
        </w:rPr>
        <w:t>化债资金项目</w:t>
      </w:r>
      <w:r>
        <w:rPr>
          <w:rFonts w:hint="eastAsia" w:ascii="宋体" w:hAnsi="宋体" w:eastAsia="宋体" w:cs="宋体"/>
          <w:b/>
          <w:bCs/>
          <w:color w:val="000000" w:themeColor="text1"/>
          <w:sz w:val="40"/>
          <w:szCs w:val="40"/>
          <w:highlight w:val="none"/>
          <w:shd w:val="clear" w:color="auto" w:fill="auto"/>
          <w:lang w:val="en-US" w:eastAsia="zh-CN"/>
          <w14:textFill>
            <w14:solidFill>
              <w14:schemeClr w14:val="tx1"/>
            </w14:solidFill>
          </w14:textFill>
        </w:rPr>
        <w:t>支出绩效评价报告</w:t>
      </w:r>
      <w:bookmarkEnd w:id="0"/>
      <w:bookmarkEnd w:id="1"/>
      <w:bookmarkEnd w:id="2"/>
      <w:bookmarkEnd w:id="3"/>
    </w:p>
    <w:p w14:paraId="773F87AE">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outlineLvl w:val="0"/>
        <w:rPr>
          <w:rFonts w:hint="eastAsia" w:ascii="宋体" w:hAnsi="宋体" w:eastAsia="宋体" w:cs="宋体"/>
          <w:b/>
          <w:bCs/>
          <w:color w:val="000000" w:themeColor="text1"/>
          <w:sz w:val="40"/>
          <w:szCs w:val="40"/>
          <w:highlight w:val="none"/>
          <w:shd w:val="clear" w:color="auto" w:fill="auto"/>
          <w:lang w:val="en-US" w:eastAsia="zh-CN"/>
          <w14:textFill>
            <w14:solidFill>
              <w14:schemeClr w14:val="tx1"/>
            </w14:solidFill>
          </w14:textFill>
        </w:rPr>
      </w:pPr>
    </w:p>
    <w:p w14:paraId="3C5F9A4C">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outlineLvl w:val="0"/>
        <w:rPr>
          <w:rFonts w:hint="eastAsia" w:ascii="宋体" w:hAnsi="宋体" w:eastAsia="宋体" w:cs="宋体"/>
          <w:b/>
          <w:bCs/>
          <w:color w:val="000000" w:themeColor="text1"/>
          <w:sz w:val="40"/>
          <w:szCs w:val="40"/>
          <w:highlight w:val="none"/>
          <w:shd w:val="clear" w:color="auto" w:fill="auto"/>
          <w:lang w:val="en-US" w:eastAsia="zh-CN"/>
          <w14:textFill>
            <w14:solidFill>
              <w14:schemeClr w14:val="tx1"/>
            </w14:solidFill>
          </w14:textFill>
        </w:rPr>
      </w:pPr>
    </w:p>
    <w:p w14:paraId="72A56850">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outlineLvl w:val="0"/>
        <w:rPr>
          <w:rFonts w:hint="eastAsia" w:ascii="宋体" w:hAnsi="宋体" w:eastAsia="宋体" w:cs="宋体"/>
          <w:b/>
          <w:bCs/>
          <w:color w:val="000000" w:themeColor="text1"/>
          <w:sz w:val="40"/>
          <w:szCs w:val="40"/>
          <w:highlight w:val="none"/>
          <w:shd w:val="clear" w:color="auto" w:fill="auto"/>
          <w:lang w:val="en-US" w:eastAsia="zh-CN"/>
          <w14:textFill>
            <w14:solidFill>
              <w14:schemeClr w14:val="tx1"/>
            </w14:solidFill>
          </w14:textFill>
        </w:rPr>
      </w:pPr>
    </w:p>
    <w:p w14:paraId="6AF00BC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outlineLvl w:val="0"/>
        <w:rPr>
          <w:rFonts w:hint="eastAsia" w:ascii="宋体" w:hAnsi="宋体" w:eastAsia="宋体" w:cs="宋体"/>
          <w:b/>
          <w:bCs/>
          <w:color w:val="000000" w:themeColor="text1"/>
          <w:sz w:val="40"/>
          <w:szCs w:val="40"/>
          <w:highlight w:val="none"/>
          <w:shd w:val="clear" w:color="auto" w:fill="auto"/>
          <w:lang w:val="en-US" w:eastAsia="zh-CN"/>
          <w14:textFill>
            <w14:solidFill>
              <w14:schemeClr w14:val="tx1"/>
            </w14:solidFill>
          </w14:textFill>
        </w:rPr>
      </w:pPr>
    </w:p>
    <w:p w14:paraId="59A97A7D">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outlineLvl w:val="0"/>
        <w:rPr>
          <w:rFonts w:hint="eastAsia" w:ascii="宋体" w:hAnsi="宋体" w:eastAsia="宋体" w:cs="宋体"/>
          <w:b/>
          <w:bCs/>
          <w:color w:val="000000" w:themeColor="text1"/>
          <w:sz w:val="40"/>
          <w:szCs w:val="40"/>
          <w:highlight w:val="none"/>
          <w:shd w:val="clear" w:color="auto" w:fill="auto"/>
          <w:lang w:val="en-US" w:eastAsia="zh-CN"/>
          <w14:textFill>
            <w14:solidFill>
              <w14:schemeClr w14:val="tx1"/>
            </w14:solidFill>
          </w14:textFill>
        </w:rPr>
      </w:pPr>
    </w:p>
    <w:p w14:paraId="123FD47D">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outlineLvl w:val="0"/>
        <w:rPr>
          <w:rFonts w:hint="eastAsia" w:ascii="宋体" w:hAnsi="宋体" w:eastAsia="宋体" w:cs="宋体"/>
          <w:b/>
          <w:bCs/>
          <w:color w:val="000000" w:themeColor="text1"/>
          <w:sz w:val="40"/>
          <w:szCs w:val="40"/>
          <w:highlight w:val="none"/>
          <w:shd w:val="clear" w:color="auto" w:fill="auto"/>
          <w:lang w:val="en-US" w:eastAsia="zh-CN"/>
          <w14:textFill>
            <w14:solidFill>
              <w14:schemeClr w14:val="tx1"/>
            </w14:solidFill>
          </w14:textFill>
        </w:rPr>
      </w:pPr>
    </w:p>
    <w:p w14:paraId="273CEEB5">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outlineLvl w:val="0"/>
        <w:rPr>
          <w:rFonts w:hint="eastAsia" w:ascii="宋体" w:hAnsi="宋体" w:eastAsia="宋体" w:cs="宋体"/>
          <w:b/>
          <w:bCs/>
          <w:color w:val="000000" w:themeColor="text1"/>
          <w:sz w:val="40"/>
          <w:szCs w:val="40"/>
          <w:highlight w:val="none"/>
          <w:shd w:val="clear" w:color="auto" w:fill="auto"/>
          <w:lang w:val="en-US" w:eastAsia="zh-CN"/>
          <w14:textFill>
            <w14:solidFill>
              <w14:schemeClr w14:val="tx1"/>
            </w14:solidFill>
          </w14:textFill>
        </w:rPr>
      </w:pPr>
    </w:p>
    <w:p w14:paraId="43E40032">
      <w:pPr>
        <w:spacing w:line="360" w:lineRule="auto"/>
        <w:ind w:firstLine="0" w:firstLineChars="0"/>
        <w:jc w:val="left"/>
        <w:rPr>
          <w:rFonts w:hint="default" w:ascii="黑体" w:hAnsi="Times New Roman" w:eastAsia="黑体"/>
          <w:b w:val="0"/>
          <w:bCs/>
          <w:color w:val="000000"/>
          <w:sz w:val="30"/>
          <w:szCs w:val="30"/>
          <w:lang w:val="en-US" w:eastAsia="zh-CN"/>
        </w:rPr>
      </w:pPr>
      <w:r>
        <w:rPr>
          <w:rFonts w:hint="eastAsia" w:ascii="黑体" w:hAnsi="Times New Roman" w:eastAsia="黑体"/>
          <w:b w:val="0"/>
          <w:bCs/>
          <w:color w:val="000000"/>
          <w:sz w:val="30"/>
          <w:szCs w:val="30"/>
          <w:lang w:val="en-US" w:eastAsia="zh-CN"/>
        </w:rPr>
        <w:t>项目名称：化债资金项目</w:t>
      </w:r>
    </w:p>
    <w:p w14:paraId="03129415">
      <w:pPr>
        <w:spacing w:line="360" w:lineRule="auto"/>
        <w:ind w:firstLine="0" w:firstLineChars="0"/>
        <w:jc w:val="left"/>
        <w:rPr>
          <w:rFonts w:hint="default" w:ascii="黑体" w:hAnsi="Times New Roman" w:eastAsia="黑体"/>
          <w:b w:val="0"/>
          <w:bCs/>
          <w:color w:val="000000"/>
          <w:sz w:val="30"/>
          <w:szCs w:val="30"/>
          <w:lang w:val="en-US" w:eastAsia="zh-CN"/>
        </w:rPr>
      </w:pPr>
      <w:r>
        <w:rPr>
          <w:rFonts w:hint="eastAsia" w:ascii="黑体" w:hAnsi="Times New Roman" w:eastAsia="黑体"/>
          <w:b w:val="0"/>
          <w:bCs/>
          <w:color w:val="000000"/>
          <w:sz w:val="30"/>
          <w:szCs w:val="30"/>
          <w:lang w:val="en-US" w:eastAsia="zh-CN"/>
        </w:rPr>
        <w:t>实施单位：阜康市水磨沟乡人民政府</w:t>
      </w:r>
    </w:p>
    <w:p w14:paraId="1F92B271">
      <w:pPr>
        <w:spacing w:line="360" w:lineRule="auto"/>
        <w:ind w:firstLine="0" w:firstLineChars="0"/>
        <w:jc w:val="left"/>
        <w:rPr>
          <w:rFonts w:hint="default" w:ascii="黑体" w:hAnsi="Times New Roman" w:eastAsia="黑体"/>
          <w:b w:val="0"/>
          <w:bCs/>
          <w:color w:val="000000"/>
          <w:sz w:val="30"/>
          <w:szCs w:val="30"/>
          <w:lang w:val="en-US" w:eastAsia="zh-CN"/>
        </w:rPr>
      </w:pPr>
      <w:r>
        <w:rPr>
          <w:rFonts w:hint="eastAsia" w:ascii="黑体" w:hAnsi="Times New Roman" w:eastAsia="黑体"/>
          <w:b w:val="0"/>
          <w:bCs/>
          <w:color w:val="000000"/>
          <w:sz w:val="30"/>
          <w:szCs w:val="30"/>
          <w:lang w:val="en-US" w:eastAsia="zh-CN"/>
        </w:rPr>
        <w:t>主管部门：阜康市水磨沟乡人民政府</w:t>
      </w:r>
    </w:p>
    <w:p w14:paraId="5BDA8BD8">
      <w:pPr>
        <w:spacing w:line="360" w:lineRule="auto"/>
        <w:ind w:firstLine="0" w:firstLineChars="0"/>
        <w:jc w:val="left"/>
        <w:rPr>
          <w:rFonts w:hint="default" w:ascii="黑体" w:hAnsi="Times New Roman" w:eastAsia="黑体"/>
          <w:b w:val="0"/>
          <w:bCs/>
          <w:color w:val="000000"/>
          <w:sz w:val="30"/>
          <w:szCs w:val="30"/>
          <w:lang w:val="en-US" w:eastAsia="zh-CN"/>
        </w:rPr>
      </w:pPr>
      <w:r>
        <w:rPr>
          <w:rFonts w:hint="eastAsia" w:ascii="黑体" w:hAnsi="Times New Roman" w:eastAsia="黑体"/>
          <w:b w:val="0"/>
          <w:bCs/>
          <w:color w:val="000000"/>
          <w:sz w:val="30"/>
          <w:szCs w:val="30"/>
          <w:lang w:val="en-US" w:eastAsia="zh-CN"/>
        </w:rPr>
        <w:t>项目负责人：叶力那尔·赛提汉</w:t>
      </w:r>
    </w:p>
    <w:p w14:paraId="0837CCDE">
      <w:pPr>
        <w:spacing w:line="360" w:lineRule="auto"/>
        <w:ind w:firstLine="0" w:firstLineChars="0"/>
        <w:jc w:val="left"/>
        <w:rPr>
          <w:rFonts w:hint="default" w:ascii="黑体" w:hAnsi="Times New Roman" w:eastAsia="黑体"/>
          <w:b w:val="0"/>
          <w:bCs/>
          <w:color w:val="000000"/>
          <w:sz w:val="30"/>
          <w:szCs w:val="30"/>
          <w:lang w:val="en-US" w:eastAsia="zh-CN"/>
        </w:rPr>
      </w:pPr>
      <w:r>
        <w:rPr>
          <w:rFonts w:hint="eastAsia" w:ascii="黑体" w:hAnsi="Times New Roman" w:eastAsia="黑体"/>
          <w:b w:val="0"/>
          <w:bCs/>
          <w:color w:val="000000"/>
          <w:sz w:val="30"/>
          <w:szCs w:val="30"/>
          <w:lang w:val="en-US" w:eastAsia="zh-CN"/>
        </w:rPr>
        <w:t>填报时间：2025年3月31日</w:t>
      </w:r>
    </w:p>
    <w:p w14:paraId="7F894FAB">
      <w:pPr>
        <w:pStyle w:val="9"/>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p>
    <w:p w14:paraId="1C8E0029">
      <w:pPr>
        <w:pageBreakBefore w:val="0"/>
        <w:kinsoku/>
        <w:wordWrap/>
        <w:overflowPunct/>
        <w:topLinePunct w:val="0"/>
        <w:autoSpaceDE/>
        <w:autoSpaceDN/>
        <w:bidi w:val="0"/>
        <w:spacing w:line="560" w:lineRule="exact"/>
        <w:textAlignment w:val="auto"/>
        <w:rPr>
          <w:rFonts w:hint="eastAsia"/>
          <w:lang w:val="en-US" w:eastAsia="zh-CN"/>
        </w:rPr>
      </w:pPr>
      <w:r>
        <w:rPr>
          <w:rFonts w:hint="eastAsia"/>
          <w:lang w:val="en-US" w:eastAsia="zh-CN"/>
        </w:rPr>
        <w:br w:type="page"/>
      </w:r>
    </w:p>
    <w:p w14:paraId="1304B4D8">
      <w:pPr>
        <w:pageBreakBefore w:val="0"/>
        <w:kinsoku/>
        <w:wordWrap/>
        <w:overflowPunct/>
        <w:topLinePunct w:val="0"/>
        <w:autoSpaceDE/>
        <w:autoSpaceDN/>
        <w:bidi w:val="0"/>
        <w:spacing w:line="560" w:lineRule="exact"/>
        <w:textAlignment w:val="auto"/>
        <w:rPr>
          <w:rFonts w:hint="eastAsia"/>
          <w:lang w:val="en-US" w:eastAsia="zh-CN"/>
        </w:rPr>
      </w:pPr>
    </w:p>
    <w:sdt>
      <w:sdtPr>
        <w:rPr>
          <w:rFonts w:ascii="宋体" w:hAnsi="宋体" w:eastAsia="宋体" w:cs="宋体"/>
          <w:b/>
          <w:bCs/>
          <w:kern w:val="2"/>
          <w:sz w:val="28"/>
          <w:szCs w:val="40"/>
          <w:lang w:val="en-US" w:eastAsia="zh-CN" w:bidi="ar-SA"/>
        </w:rPr>
        <w:id w:val="147474046"/>
        <w15:color w:val="DBDBDB"/>
        <w:docPartObj>
          <w:docPartGallery w:val="Table of Contents"/>
          <w:docPartUnique/>
        </w:docPartObj>
      </w:sdtPr>
      <w:sdtEndPr>
        <w:rPr>
          <w:rFonts w:hint="eastAsia" w:ascii="宋体" w:hAnsi="宋体" w:eastAsia="宋体" w:cs="宋体"/>
          <w:b/>
          <w:bCs/>
          <w:kern w:val="2"/>
          <w:sz w:val="28"/>
          <w:szCs w:val="28"/>
          <w:lang w:val="en-US" w:eastAsia="zh-CN" w:bidi="ar-SA"/>
        </w:rPr>
      </w:sdtEndPr>
      <w:sdtContent>
        <w:p w14:paraId="1A5A3797">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sz w:val="40"/>
              <w:szCs w:val="40"/>
            </w:rPr>
          </w:pPr>
          <w:r>
            <w:rPr>
              <w:rFonts w:ascii="宋体" w:hAnsi="宋体" w:eastAsia="宋体"/>
              <w:b/>
              <w:bCs/>
              <w:sz w:val="40"/>
              <w:szCs w:val="40"/>
            </w:rPr>
            <w:t>目录</w:t>
          </w:r>
        </w:p>
        <w:p w14:paraId="7D49E683">
          <w:pPr>
            <w:pStyle w:val="7"/>
            <w:tabs>
              <w:tab w:val="right" w:leader="dot" w:pos="8844"/>
            </w:tabs>
          </w:pPr>
          <w:r>
            <w:rPr>
              <w:rFonts w:hint="eastAsia"/>
              <w:sz w:val="28"/>
              <w:szCs w:val="28"/>
              <w:lang w:val="en-US" w:eastAsia="zh-CN"/>
            </w:rPr>
            <w:fldChar w:fldCharType="begin"/>
          </w:r>
          <w:r>
            <w:rPr>
              <w:rFonts w:hint="eastAsia"/>
              <w:sz w:val="28"/>
              <w:szCs w:val="28"/>
              <w:lang w:val="en-US" w:eastAsia="zh-CN"/>
            </w:rPr>
            <w:instrText xml:space="preserve">TOC \o "1-3" \h \u </w:instrText>
          </w:r>
          <w:r>
            <w:rPr>
              <w:rFonts w:hint="eastAsia"/>
              <w:sz w:val="28"/>
              <w:szCs w:val="28"/>
              <w:lang w:val="en-US" w:eastAsia="zh-CN"/>
            </w:rPr>
            <w:fldChar w:fldCharType="separate"/>
          </w:r>
        </w:p>
        <w:p w14:paraId="6D7D114D">
          <w:pPr>
            <w:pStyle w:val="7"/>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_Toc18485 </w:instrText>
          </w:r>
          <w:r>
            <w:rPr>
              <w:rFonts w:hint="eastAsia"/>
              <w:szCs w:val="28"/>
              <w:lang w:val="en-US" w:eastAsia="zh-CN"/>
            </w:rPr>
            <w:fldChar w:fldCharType="separate"/>
          </w:r>
          <w:r>
            <w:rPr>
              <w:rFonts w:hint="eastAsia" w:ascii="黑体" w:hAnsi="黑体" w:eastAsia="黑体" w:cs="黑体"/>
              <w:bCs w:val="0"/>
              <w:highlight w:val="none"/>
              <w:shd w:val="clear" w:color="auto" w:fill="auto"/>
            </w:rPr>
            <w:t>一、基本情况</w:t>
          </w:r>
          <w:r>
            <w:tab/>
          </w:r>
          <w:r>
            <w:fldChar w:fldCharType="begin"/>
          </w:r>
          <w:r>
            <w:instrText xml:space="preserve"> PAGEREF _Toc18485 \h </w:instrText>
          </w:r>
          <w:r>
            <w:fldChar w:fldCharType="separate"/>
          </w:r>
          <w:r>
            <w:t>4</w:t>
          </w:r>
          <w:r>
            <w:fldChar w:fldCharType="end"/>
          </w:r>
          <w:r>
            <w:rPr>
              <w:rFonts w:hint="eastAsia"/>
              <w:szCs w:val="28"/>
              <w:lang w:val="en-US" w:eastAsia="zh-CN"/>
            </w:rPr>
            <w:fldChar w:fldCharType="end"/>
          </w:r>
        </w:p>
        <w:p w14:paraId="57CB4D68">
          <w:pPr>
            <w:pStyle w:val="7"/>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_Toc23184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（一）项目概况</w:t>
          </w:r>
          <w:r>
            <w:tab/>
          </w:r>
          <w:r>
            <w:fldChar w:fldCharType="begin"/>
          </w:r>
          <w:r>
            <w:instrText xml:space="preserve"> PAGEREF _Toc23184 \h </w:instrText>
          </w:r>
          <w:r>
            <w:fldChar w:fldCharType="separate"/>
          </w:r>
          <w:r>
            <w:t>4</w:t>
          </w:r>
          <w:r>
            <w:fldChar w:fldCharType="end"/>
          </w:r>
          <w:r>
            <w:rPr>
              <w:rFonts w:hint="eastAsia"/>
              <w:szCs w:val="28"/>
              <w:lang w:val="en-US" w:eastAsia="zh-CN"/>
            </w:rPr>
            <w:fldChar w:fldCharType="end"/>
          </w:r>
        </w:p>
        <w:p w14:paraId="6A8AC258">
          <w:pPr>
            <w:pStyle w:val="7"/>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_Toc9109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（二）项目绩效目标</w:t>
          </w:r>
          <w:r>
            <w:tab/>
          </w:r>
          <w:r>
            <w:fldChar w:fldCharType="begin"/>
          </w:r>
          <w:r>
            <w:instrText xml:space="preserve"> PAGEREF _Toc9109 \h </w:instrText>
          </w:r>
          <w:r>
            <w:fldChar w:fldCharType="separate"/>
          </w:r>
          <w:r>
            <w:t>5</w:t>
          </w:r>
          <w:r>
            <w:fldChar w:fldCharType="end"/>
          </w:r>
          <w:r>
            <w:rPr>
              <w:rFonts w:hint="eastAsia"/>
              <w:szCs w:val="28"/>
              <w:lang w:val="en-US" w:eastAsia="zh-CN"/>
            </w:rPr>
            <w:fldChar w:fldCharType="end"/>
          </w:r>
        </w:p>
        <w:p w14:paraId="57892DCF">
          <w:pPr>
            <w:pStyle w:val="7"/>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_Toc26567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rPr>
            <w:t>二、绩效评价工作开展情况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_Toc26567 \h </w:instrText>
          </w:r>
          <w:r>
            <w:rPr>
              <w:rFonts w:hint="eastAsia" w:ascii="黑体" w:hAnsi="黑体" w:eastAsia="黑体" w:cs="黑体"/>
            </w:rPr>
            <w:fldChar w:fldCharType="separate"/>
          </w:r>
          <w:r>
            <w:rPr>
              <w:rFonts w:hint="eastAsia" w:ascii="黑体" w:hAnsi="黑体" w:eastAsia="黑体" w:cs="黑体"/>
            </w:rPr>
            <w:t>7</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686B8B31">
          <w:pPr>
            <w:pStyle w:val="7"/>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_Toc22839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（一）绩效评价的目的、对象和范围</w:t>
          </w:r>
          <w:r>
            <w:tab/>
          </w:r>
          <w:r>
            <w:fldChar w:fldCharType="begin"/>
          </w:r>
          <w:r>
            <w:instrText xml:space="preserve"> PAGEREF _Toc22839 \h </w:instrText>
          </w:r>
          <w:r>
            <w:fldChar w:fldCharType="separate"/>
          </w:r>
          <w:r>
            <w:t>7</w:t>
          </w:r>
          <w:r>
            <w:fldChar w:fldCharType="end"/>
          </w:r>
          <w:r>
            <w:rPr>
              <w:rFonts w:hint="eastAsia"/>
              <w:szCs w:val="28"/>
              <w:lang w:val="en-US" w:eastAsia="zh-CN"/>
            </w:rPr>
            <w:fldChar w:fldCharType="end"/>
          </w:r>
        </w:p>
        <w:p w14:paraId="3BCEF46B">
          <w:pPr>
            <w:pStyle w:val="7"/>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_Toc29785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（二）绩效评价原则、评价指标体系（</w:t>
          </w:r>
          <w:r>
            <w:rPr>
              <w:rFonts w:hint="default" w:ascii="Times New Roman" w:hAnsi="Times New Roman" w:eastAsia="楷体_GB2312" w:cs="Times New Roman"/>
              <w:kern w:val="28"/>
              <w:lang w:val="en-US" w:eastAsia="zh-CN"/>
            </w:rPr>
            <w:t>详情见</w:t>
          </w:r>
          <w:r>
            <w:rPr>
              <w:rFonts w:hint="eastAsia" w:ascii="Times New Roman" w:hAnsi="Times New Roman" w:eastAsia="楷体_GB2312" w:cs="Times New Roman"/>
              <w:kern w:val="28"/>
              <w:lang w:val="en-US" w:eastAsia="zh-CN"/>
            </w:rPr>
            <w:t>附件二）、评价方法、评价标准</w:t>
          </w:r>
          <w:r>
            <w:tab/>
          </w:r>
          <w:r>
            <w:fldChar w:fldCharType="begin"/>
          </w:r>
          <w:r>
            <w:instrText xml:space="preserve"> PAGEREF _Toc29785 \h </w:instrText>
          </w:r>
          <w:r>
            <w:fldChar w:fldCharType="separate"/>
          </w:r>
          <w:r>
            <w:t>11</w:t>
          </w:r>
          <w:r>
            <w:fldChar w:fldCharType="end"/>
          </w:r>
          <w:r>
            <w:rPr>
              <w:rFonts w:hint="eastAsia"/>
              <w:szCs w:val="28"/>
              <w:lang w:val="en-US" w:eastAsia="zh-CN"/>
            </w:rPr>
            <w:fldChar w:fldCharType="end"/>
          </w:r>
        </w:p>
        <w:p w14:paraId="1137142E">
          <w:pPr>
            <w:pStyle w:val="7"/>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_Toc21435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（三）绩效评价工作过程</w:t>
          </w:r>
          <w:r>
            <w:tab/>
          </w:r>
          <w:r>
            <w:fldChar w:fldCharType="begin"/>
          </w:r>
          <w:r>
            <w:instrText xml:space="preserve"> PAGEREF _Toc21435 \h </w:instrText>
          </w:r>
          <w:r>
            <w:fldChar w:fldCharType="separate"/>
          </w:r>
          <w:r>
            <w:t>14</w:t>
          </w:r>
          <w:r>
            <w:fldChar w:fldCharType="end"/>
          </w:r>
          <w:r>
            <w:rPr>
              <w:rFonts w:hint="eastAsia"/>
              <w:szCs w:val="28"/>
              <w:lang w:val="en-US" w:eastAsia="zh-CN"/>
            </w:rPr>
            <w:fldChar w:fldCharType="end"/>
          </w:r>
        </w:p>
        <w:p w14:paraId="2574E8B0">
          <w:pPr>
            <w:pStyle w:val="7"/>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_Toc19261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三、</w:t>
          </w:r>
          <w:r>
            <w:rPr>
              <w:rFonts w:hint="eastAsia" w:ascii="黑体" w:hAnsi="黑体" w:eastAsia="黑体" w:cs="黑体"/>
              <w:bCs w:val="0"/>
              <w:highlight w:val="none"/>
              <w:shd w:val="clear" w:color="auto" w:fill="auto"/>
            </w:rPr>
            <w:t>综合评价情况及评价结论</w:t>
          </w:r>
          <w:r>
            <w:tab/>
          </w:r>
          <w:r>
            <w:fldChar w:fldCharType="begin"/>
          </w:r>
          <w:r>
            <w:instrText xml:space="preserve"> PAGEREF _Toc19261 \h </w:instrText>
          </w:r>
          <w:r>
            <w:fldChar w:fldCharType="separate"/>
          </w:r>
          <w:r>
            <w:t>16</w:t>
          </w:r>
          <w:r>
            <w:fldChar w:fldCharType="end"/>
          </w:r>
          <w:r>
            <w:rPr>
              <w:rFonts w:hint="eastAsia"/>
              <w:szCs w:val="28"/>
              <w:lang w:val="en-US" w:eastAsia="zh-CN"/>
            </w:rPr>
            <w:fldChar w:fldCharType="end"/>
          </w:r>
        </w:p>
        <w:p w14:paraId="5C625C89">
          <w:pPr>
            <w:pStyle w:val="7"/>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_Toc23319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（一）综合评价情况及评价结论</w:t>
          </w:r>
          <w:r>
            <w:tab/>
          </w:r>
          <w:r>
            <w:fldChar w:fldCharType="begin"/>
          </w:r>
          <w:r>
            <w:instrText xml:space="preserve"> PAGEREF _Toc23319 \h </w:instrText>
          </w:r>
          <w:r>
            <w:fldChar w:fldCharType="separate"/>
          </w:r>
          <w:r>
            <w:t>16</w:t>
          </w:r>
          <w:r>
            <w:fldChar w:fldCharType="end"/>
          </w:r>
          <w:r>
            <w:rPr>
              <w:rFonts w:hint="eastAsia"/>
              <w:szCs w:val="28"/>
              <w:lang w:val="en-US" w:eastAsia="zh-CN"/>
            </w:rPr>
            <w:fldChar w:fldCharType="end"/>
          </w:r>
        </w:p>
        <w:p w14:paraId="7B5E6020">
          <w:pPr>
            <w:pStyle w:val="7"/>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_Toc11863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（二）相关评分表</w:t>
          </w:r>
          <w:r>
            <w:tab/>
          </w:r>
          <w:r>
            <w:fldChar w:fldCharType="begin"/>
          </w:r>
          <w:r>
            <w:instrText xml:space="preserve"> PAGEREF _Toc11863 \h </w:instrText>
          </w:r>
          <w:r>
            <w:fldChar w:fldCharType="separate"/>
          </w:r>
          <w:r>
            <w:t>17</w:t>
          </w:r>
          <w:r>
            <w:fldChar w:fldCharType="end"/>
          </w:r>
          <w:r>
            <w:rPr>
              <w:rFonts w:hint="eastAsia"/>
              <w:szCs w:val="28"/>
              <w:lang w:val="en-US" w:eastAsia="zh-CN"/>
            </w:rPr>
            <w:fldChar w:fldCharType="end"/>
          </w:r>
        </w:p>
        <w:p w14:paraId="4B6B276D">
          <w:pPr>
            <w:pStyle w:val="7"/>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_Toc14941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四、绩效评价指标分析</w:t>
          </w:r>
          <w:r>
            <w:tab/>
          </w:r>
          <w:r>
            <w:fldChar w:fldCharType="begin"/>
          </w:r>
          <w:r>
            <w:instrText xml:space="preserve"> PAGEREF _Toc14941 \h </w:instrText>
          </w:r>
          <w:r>
            <w:fldChar w:fldCharType="separate"/>
          </w:r>
          <w:r>
            <w:t>18</w:t>
          </w:r>
          <w:r>
            <w:fldChar w:fldCharType="end"/>
          </w:r>
          <w:r>
            <w:rPr>
              <w:rFonts w:hint="eastAsia"/>
              <w:szCs w:val="28"/>
              <w:lang w:val="en-US" w:eastAsia="zh-CN"/>
            </w:rPr>
            <w:fldChar w:fldCharType="end"/>
          </w:r>
        </w:p>
        <w:p w14:paraId="01C50EF6">
          <w:pPr>
            <w:pStyle w:val="7"/>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_Toc6759 </w:instrText>
          </w:r>
          <w:r>
            <w:rPr>
              <w:rFonts w:hint="eastAsia"/>
              <w:szCs w:val="28"/>
              <w:lang w:val="en-US" w:eastAsia="zh-CN"/>
            </w:rPr>
            <w:fldChar w:fldCharType="separate"/>
          </w:r>
          <w:r>
            <w:rPr>
              <w:rFonts w:hint="eastAsia" w:ascii="Times New Roman" w:hAnsi="Times New Roman" w:eastAsia="楷体_GB2312" w:cs="Times New Roman"/>
              <w:kern w:val="28"/>
            </w:rPr>
            <w:t>（一）项目决策情况</w:t>
          </w:r>
          <w:r>
            <w:tab/>
          </w:r>
          <w:r>
            <w:fldChar w:fldCharType="begin"/>
          </w:r>
          <w:r>
            <w:instrText xml:space="preserve"> PAGEREF _Toc6759 \h </w:instrText>
          </w:r>
          <w:r>
            <w:fldChar w:fldCharType="separate"/>
          </w:r>
          <w:r>
            <w:t>18</w:t>
          </w:r>
          <w:r>
            <w:fldChar w:fldCharType="end"/>
          </w:r>
          <w:r>
            <w:rPr>
              <w:rFonts w:hint="eastAsia"/>
              <w:szCs w:val="28"/>
              <w:lang w:val="en-US" w:eastAsia="zh-CN"/>
            </w:rPr>
            <w:fldChar w:fldCharType="end"/>
          </w:r>
        </w:p>
        <w:p w14:paraId="44C8726B">
          <w:pPr>
            <w:pStyle w:val="7"/>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_Toc10564 </w:instrText>
          </w:r>
          <w:r>
            <w:rPr>
              <w:rFonts w:hint="eastAsia"/>
              <w:szCs w:val="28"/>
              <w:lang w:val="en-US" w:eastAsia="zh-CN"/>
            </w:rPr>
            <w:fldChar w:fldCharType="separate"/>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lang w:val="en-US" w:eastAsia="zh-CN"/>
            </w:rPr>
            <w:t>二</w:t>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rPr>
            <w:t>项目过程情况</w:t>
          </w:r>
          <w:r>
            <w:tab/>
          </w:r>
          <w:r>
            <w:fldChar w:fldCharType="begin"/>
          </w:r>
          <w:r>
            <w:instrText xml:space="preserve"> PAGEREF _Toc10564 \h </w:instrText>
          </w:r>
          <w:r>
            <w:fldChar w:fldCharType="separate"/>
          </w:r>
          <w:r>
            <w:t>21</w:t>
          </w:r>
          <w:r>
            <w:fldChar w:fldCharType="end"/>
          </w:r>
          <w:r>
            <w:rPr>
              <w:rFonts w:hint="eastAsia"/>
              <w:szCs w:val="28"/>
              <w:lang w:val="en-US" w:eastAsia="zh-CN"/>
            </w:rPr>
            <w:fldChar w:fldCharType="end"/>
          </w:r>
        </w:p>
        <w:p w14:paraId="7D1B2BFF">
          <w:pPr>
            <w:pStyle w:val="7"/>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_Toc2441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（三）项目产出情况</w:t>
          </w:r>
          <w:r>
            <w:tab/>
          </w:r>
          <w:r>
            <w:fldChar w:fldCharType="begin"/>
          </w:r>
          <w:r>
            <w:instrText xml:space="preserve"> PAGEREF _Toc2441 \h </w:instrText>
          </w:r>
          <w:r>
            <w:fldChar w:fldCharType="separate"/>
          </w:r>
          <w:r>
            <w:t>23</w:t>
          </w:r>
          <w:r>
            <w:fldChar w:fldCharType="end"/>
          </w:r>
          <w:r>
            <w:rPr>
              <w:rFonts w:hint="eastAsia"/>
              <w:szCs w:val="28"/>
              <w:lang w:val="en-US" w:eastAsia="zh-CN"/>
            </w:rPr>
            <w:fldChar w:fldCharType="end"/>
          </w:r>
        </w:p>
        <w:p w14:paraId="184702ED">
          <w:pPr>
            <w:pStyle w:val="7"/>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_Toc19424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（四）项目效益情况</w:t>
          </w:r>
          <w:r>
            <w:tab/>
          </w:r>
          <w:r>
            <w:fldChar w:fldCharType="begin"/>
          </w:r>
          <w:r>
            <w:instrText xml:space="preserve"> PAGEREF _Toc19424 \h </w:instrText>
          </w:r>
          <w:r>
            <w:fldChar w:fldCharType="separate"/>
          </w:r>
          <w:r>
            <w:t>25</w:t>
          </w:r>
          <w:r>
            <w:fldChar w:fldCharType="end"/>
          </w:r>
          <w:r>
            <w:rPr>
              <w:rFonts w:hint="eastAsia"/>
              <w:szCs w:val="28"/>
              <w:lang w:val="en-US" w:eastAsia="zh-CN"/>
            </w:rPr>
            <w:fldChar w:fldCharType="end"/>
          </w:r>
        </w:p>
        <w:p w14:paraId="1834D4D3">
          <w:pPr>
            <w:pStyle w:val="7"/>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_Toc23313 </w:instrText>
          </w:r>
          <w:r>
            <w:rPr>
              <w:rFonts w:hint="eastAsia"/>
              <w:szCs w:val="28"/>
              <w:highlight w:val="none"/>
              <w:lang w:val="en-US" w:eastAsia="zh-CN"/>
            </w:rPr>
            <w:fldChar w:fldCharType="separate"/>
          </w:r>
          <w:r>
            <w:rPr>
              <w:rFonts w:hint="eastAsia" w:ascii="Times New Roman" w:hAnsi="Times New Roman" w:eastAsia="楷体_GB2312" w:cs="Times New Roman"/>
              <w:bCs/>
              <w:kern w:val="28"/>
              <w:highlight w:val="none"/>
              <w:lang w:val="en-US" w:eastAsia="zh-CN"/>
            </w:rPr>
            <w:t>（五）满意度指标完成情况分析</w:t>
          </w:r>
          <w:r>
            <w:rPr>
              <w:highlight w:val="none"/>
            </w:rPr>
            <w:tab/>
          </w:r>
          <w:r>
            <w:rPr>
              <w:highlight w:val="none"/>
            </w:rPr>
            <w:fldChar w:fldCharType="begin"/>
          </w:r>
          <w:r>
            <w:rPr>
              <w:highlight w:val="none"/>
            </w:rPr>
            <w:instrText xml:space="preserve"> PAGEREF _Toc23313 \h </w:instrText>
          </w:r>
          <w:r>
            <w:rPr>
              <w:highlight w:val="none"/>
            </w:rPr>
            <w:fldChar w:fldCharType="separate"/>
          </w:r>
          <w:r>
            <w:rPr>
              <w:highlight w:val="none"/>
            </w:rPr>
            <w:t>26</w:t>
          </w:r>
          <w:r>
            <w:rPr>
              <w:highlight w:val="none"/>
            </w:rPr>
            <w:fldChar w:fldCharType="end"/>
          </w:r>
          <w:r>
            <w:rPr>
              <w:rFonts w:hint="eastAsia"/>
              <w:szCs w:val="28"/>
              <w:highlight w:val="none"/>
              <w:lang w:val="en-US" w:eastAsia="zh-CN"/>
            </w:rPr>
            <w:fldChar w:fldCharType="end"/>
          </w:r>
        </w:p>
        <w:p w14:paraId="0C29316B">
          <w:pPr>
            <w:pStyle w:val="7"/>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_Toc6622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五、主要经验及做法、存在的问题及原因分析</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_Toc6622 \h </w:instrText>
          </w:r>
          <w:r>
            <w:rPr>
              <w:rFonts w:hint="eastAsia" w:ascii="黑体" w:hAnsi="黑体" w:eastAsia="黑体" w:cs="黑体"/>
            </w:rPr>
            <w:fldChar w:fldCharType="separate"/>
          </w:r>
          <w:r>
            <w:rPr>
              <w:rFonts w:hint="eastAsia" w:ascii="黑体" w:hAnsi="黑体" w:eastAsia="黑体" w:cs="黑体"/>
            </w:rPr>
            <w:t>26</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1646A18D">
          <w:pPr>
            <w:pStyle w:val="7"/>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_Toc15449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（一）主要经验及做法</w:t>
          </w:r>
          <w:r>
            <w:tab/>
          </w:r>
          <w:r>
            <w:fldChar w:fldCharType="begin"/>
          </w:r>
          <w:r>
            <w:instrText xml:space="preserve"> PAGEREF _Toc15449 \h </w:instrText>
          </w:r>
          <w:r>
            <w:fldChar w:fldCharType="separate"/>
          </w:r>
          <w:r>
            <w:t>26</w:t>
          </w:r>
          <w:r>
            <w:fldChar w:fldCharType="end"/>
          </w:r>
          <w:r>
            <w:rPr>
              <w:rFonts w:hint="eastAsia"/>
              <w:szCs w:val="28"/>
              <w:lang w:val="en-US" w:eastAsia="zh-CN"/>
            </w:rPr>
            <w:fldChar w:fldCharType="end"/>
          </w:r>
        </w:p>
        <w:p w14:paraId="044A7C81">
          <w:pPr>
            <w:pStyle w:val="7"/>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_Toc29168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（二）存在的问题及原因分析</w:t>
          </w:r>
          <w:r>
            <w:tab/>
          </w:r>
          <w:r>
            <w:fldChar w:fldCharType="begin"/>
          </w:r>
          <w:r>
            <w:instrText xml:space="preserve"> PAGEREF _Toc29168 \h </w:instrText>
          </w:r>
          <w:r>
            <w:fldChar w:fldCharType="separate"/>
          </w:r>
          <w:r>
            <w:t>27</w:t>
          </w:r>
          <w:r>
            <w:fldChar w:fldCharType="end"/>
          </w:r>
          <w:r>
            <w:rPr>
              <w:rFonts w:hint="eastAsia"/>
              <w:szCs w:val="28"/>
              <w:lang w:val="en-US" w:eastAsia="zh-CN"/>
            </w:rPr>
            <w:fldChar w:fldCharType="end"/>
          </w:r>
        </w:p>
        <w:p w14:paraId="2FB7083A">
          <w:pPr>
            <w:pStyle w:val="7"/>
            <w:tabs>
              <w:tab w:val="right" w:leader="dot" w:pos="8844"/>
            </w:tabs>
            <w:rPr>
              <w:rFonts w:hint="default" w:ascii="黑体" w:hAnsi="黑体" w:eastAsia="黑体" w:cs="黑体"/>
              <w:lang w:val="en-US"/>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_Toc3333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六、有关建议</w:t>
          </w:r>
          <w:r>
            <w:rPr>
              <w:rFonts w:hint="eastAsia" w:ascii="黑体" w:hAnsi="黑体" w:eastAsia="黑体" w:cs="黑体"/>
            </w:rPr>
            <w:tab/>
          </w:r>
          <w:r>
            <w:rPr>
              <w:rFonts w:hint="eastAsia" w:ascii="黑体" w:hAnsi="黑体" w:eastAsia="黑体" w:cs="黑体"/>
              <w:lang w:val="en-US" w:eastAsia="zh-CN"/>
            </w:rPr>
            <w:t>2</w:t>
          </w:r>
          <w:r>
            <w:rPr>
              <w:rFonts w:hint="eastAsia" w:ascii="黑体" w:hAnsi="黑体" w:eastAsia="黑体" w:cs="黑体"/>
              <w:szCs w:val="28"/>
              <w:lang w:val="en-US" w:eastAsia="zh-CN"/>
            </w:rPr>
            <w:fldChar w:fldCharType="end"/>
          </w:r>
          <w:r>
            <w:rPr>
              <w:rFonts w:hint="eastAsia" w:ascii="黑体" w:hAnsi="黑体" w:eastAsia="黑体" w:cs="黑体"/>
              <w:szCs w:val="28"/>
              <w:lang w:val="en-US" w:eastAsia="zh-CN"/>
            </w:rPr>
            <w:t>7</w:t>
          </w:r>
        </w:p>
        <w:p w14:paraId="63588AC4">
          <w:pPr>
            <w:pStyle w:val="7"/>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_Toc14256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七、其他需要说明的问题</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_Toc14256 \h </w:instrText>
          </w:r>
          <w:r>
            <w:rPr>
              <w:rFonts w:hint="eastAsia" w:ascii="黑体" w:hAnsi="黑体" w:eastAsia="黑体" w:cs="黑体"/>
            </w:rPr>
            <w:fldChar w:fldCharType="separate"/>
          </w:r>
          <w:r>
            <w:rPr>
              <w:rFonts w:hint="eastAsia" w:ascii="黑体" w:hAnsi="黑体" w:eastAsia="黑体" w:cs="黑体"/>
            </w:rPr>
            <w:t>27</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0C95B1C8">
          <w:pPr>
            <w:pStyle w:val="7"/>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_Toc28971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附件一、项目支出绩效自评表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_Toc28971 \h </w:instrText>
          </w:r>
          <w:r>
            <w:rPr>
              <w:rFonts w:hint="eastAsia" w:ascii="黑体" w:hAnsi="黑体" w:eastAsia="黑体" w:cs="黑体"/>
            </w:rPr>
            <w:fldChar w:fldCharType="separate"/>
          </w:r>
          <w:r>
            <w:rPr>
              <w:rFonts w:hint="eastAsia" w:ascii="黑体" w:hAnsi="黑体" w:eastAsia="黑体" w:cs="黑体"/>
            </w:rPr>
            <w:t>29</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4C127490">
          <w:pPr>
            <w:pStyle w:val="7"/>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_Toc11223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附件二、项目支出绩效评价指标体系打分表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_Toc11223 \h </w:instrText>
          </w:r>
          <w:r>
            <w:rPr>
              <w:rFonts w:hint="eastAsia" w:ascii="黑体" w:hAnsi="黑体" w:eastAsia="黑体" w:cs="黑体"/>
            </w:rPr>
            <w:fldChar w:fldCharType="separate"/>
          </w:r>
          <w:r>
            <w:rPr>
              <w:rFonts w:hint="eastAsia" w:ascii="黑体" w:hAnsi="黑体" w:eastAsia="黑体" w:cs="黑体"/>
            </w:rPr>
            <w:t>33</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6E953E32">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lang w:val="en-US" w:eastAsia="zh-CN"/>
            </w:rPr>
            <w:sectPr>
              <w:pgSz w:w="11906" w:h="16838"/>
              <w:pgMar w:top="1928" w:right="1531" w:bottom="1701" w:left="1531" w:header="737" w:footer="851" w:gutter="0"/>
              <w:cols w:space="720" w:num="1"/>
              <w:docGrid w:type="lines" w:linePitch="408" w:charSpace="0"/>
            </w:sectPr>
          </w:pPr>
          <w:r>
            <w:rPr>
              <w:rFonts w:hint="eastAsia"/>
              <w:szCs w:val="28"/>
              <w:lang w:val="en-US" w:eastAsia="zh-CN"/>
            </w:rPr>
            <w:fldChar w:fldCharType="end"/>
          </w:r>
        </w:p>
      </w:sdtContent>
    </w:sdt>
    <w:p w14:paraId="4E2F7DB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outlineLvl w:val="0"/>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bookmarkStart w:id="4" w:name="_Toc22946"/>
      <w:bookmarkStart w:id="5" w:name="_Toc3663"/>
      <w:bookmarkStart w:id="6" w:name="_Toc1194"/>
      <w:bookmarkStart w:id="7" w:name="_Toc20432"/>
      <w:r>
        <w:rPr>
          <w:rFonts w:hint="eastAsia" w:cs="宋体"/>
          <w:b/>
          <w:bCs/>
          <w:color w:val="000000" w:themeColor="text1"/>
          <w:sz w:val="36"/>
          <w:szCs w:val="36"/>
          <w:highlight w:val="none"/>
          <w:shd w:val="clear" w:color="auto" w:fill="auto"/>
          <w:lang w:val="en-US" w:eastAsia="zh-CN"/>
          <w14:textFill>
            <w14:solidFill>
              <w14:schemeClr w14:val="tx1"/>
            </w14:solidFill>
          </w14:textFill>
        </w:rPr>
        <w:t>化债资金项目</w:t>
      </w:r>
      <w:r>
        <w:rPr>
          <w:rFonts w:hint="eastAsia" w:ascii="宋体" w:hAnsi="宋体" w:eastAsia="宋体" w:cs="宋体"/>
          <w:b/>
          <w:bCs/>
          <w:color w:val="000000" w:themeColor="text1"/>
          <w:sz w:val="36"/>
          <w:szCs w:val="36"/>
          <w:highlight w:val="none"/>
          <w:shd w:val="clear" w:color="auto" w:fill="auto"/>
          <w:lang w:val="en-US" w:eastAsia="zh-CN"/>
          <w14:textFill>
            <w14:solidFill>
              <w14:schemeClr w14:val="tx1"/>
            </w14:solidFill>
          </w14:textFill>
        </w:rPr>
        <w:t>支出绩效评价报告</w:t>
      </w:r>
      <w:bookmarkEnd w:id="4"/>
      <w:bookmarkEnd w:id="5"/>
      <w:bookmarkEnd w:id="6"/>
      <w:bookmarkEnd w:id="7"/>
    </w:p>
    <w:p w14:paraId="4F8E45C1">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8" w:name="_Toc18485"/>
      <w:r>
        <w:rPr>
          <w:rFonts w:hint="eastAsia" w:ascii="黑体" w:hAnsi="黑体" w:eastAsia="黑体" w:cs="黑体"/>
          <w:b w:val="0"/>
          <w:bCs w:val="0"/>
          <w:color w:val="000000" w:themeColor="text1"/>
          <w:highlight w:val="none"/>
          <w:shd w:val="clear" w:color="auto" w:fill="auto"/>
          <w14:textFill>
            <w14:solidFill>
              <w14:schemeClr w14:val="tx1"/>
            </w14:solidFill>
          </w14:textFill>
        </w:rPr>
        <w:t>一、基本情况</w:t>
      </w:r>
      <w:bookmarkEnd w:id="8"/>
    </w:p>
    <w:p w14:paraId="5DA3D03E">
      <w:pPr>
        <w:pStyle w:val="9"/>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9" w:name="_Toc23184"/>
      <w:r>
        <w:rPr>
          <w:rFonts w:hint="eastAsia" w:ascii="Times New Roman" w:hAnsi="Times New Roman" w:eastAsia="楷体_GB2312" w:cs="Times New Roman"/>
          <w:kern w:val="28"/>
          <w:sz w:val="32"/>
          <w:lang w:val="en-US" w:eastAsia="zh-CN"/>
        </w:rPr>
        <w:t>（一）项目概况</w:t>
      </w:r>
      <w:bookmarkEnd w:id="9"/>
      <w:bookmarkStart w:id="10" w:name="_Toc29812"/>
      <w:bookmarkStart w:id="11" w:name="_Toc5043"/>
      <w:bookmarkStart w:id="12" w:name="_Toc10645"/>
      <w:bookmarkStart w:id="13" w:name="_Toc22346"/>
    </w:p>
    <w:p w14:paraId="4A61E8DE">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color w:val="auto"/>
          <w:kern w:val="2"/>
          <w:sz w:val="32"/>
          <w:szCs w:val="32"/>
          <w:highlight w:val="none"/>
          <w:shd w:val="clear" w:color="auto" w:fill="auto"/>
          <w:lang w:val="en-US" w:eastAsia="zh-CN" w:bidi="ar-SA"/>
        </w:rPr>
      </w:pPr>
      <w:r>
        <w:rPr>
          <w:rFonts w:hint="eastAsia" w:ascii="仿宋_GB2312" w:hAnsi="仿宋_GB2312" w:eastAsia="仿宋_GB2312" w:cs="仿宋_GB2312"/>
          <w:b/>
          <w:bCs/>
          <w:color w:val="auto"/>
          <w:kern w:val="2"/>
          <w:sz w:val="32"/>
          <w:szCs w:val="32"/>
          <w:highlight w:val="none"/>
          <w:shd w:val="clear" w:color="auto" w:fill="auto"/>
          <w:lang w:val="en-US" w:eastAsia="zh-CN" w:bidi="ar-SA"/>
        </w:rPr>
        <w:t>1.项目背景</w:t>
      </w:r>
      <w:bookmarkEnd w:id="10"/>
      <w:bookmarkEnd w:id="11"/>
      <w:bookmarkEnd w:id="12"/>
      <w:bookmarkEnd w:id="13"/>
      <w:bookmarkStart w:id="14" w:name="_Toc27343"/>
      <w:bookmarkStart w:id="15" w:name="_Toc1630"/>
      <w:bookmarkStart w:id="16" w:name="_Toc17880"/>
      <w:bookmarkStart w:id="17" w:name="_Toc10730"/>
    </w:p>
    <w:p w14:paraId="27AEE110">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highlight w:val="yellow"/>
          <w:lang w:val="en-US" w:eastAsia="zh-CN"/>
        </w:rPr>
      </w:pPr>
      <w:r>
        <w:rPr>
          <w:rFonts w:hint="eastAsia" w:ascii="仿宋_GB2312" w:hAnsi="仿宋_GB2312" w:eastAsia="仿宋_GB2312" w:cs="仿宋_GB2312"/>
          <w:sz w:val="32"/>
          <w:szCs w:val="32"/>
        </w:rPr>
        <w:t>按照阜康市债务化解“八个一批”工作要求，我乡密切与相关企业进行协商，确定化解一部分项目形成的陈欠款问题，切实化解企业资金压力。</w:t>
      </w:r>
    </w:p>
    <w:p w14:paraId="174AB9DE">
      <w:pPr>
        <w:pStyle w:val="4"/>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b w:val="0"/>
          <w:bCs w:val="0"/>
          <w:color w:val="000000" w:themeColor="text1"/>
          <w:kern w:val="44"/>
          <w:sz w:val="32"/>
          <w:szCs w:val="22"/>
          <w:highlight w:val="none"/>
          <w:shd w:val="clear" w:color="auto" w:fill="auto"/>
          <w:lang w:val="en-US" w:eastAsia="zh-CN" w:bidi="ar-SA"/>
          <w14:textFill>
            <w14:solidFill>
              <w14:schemeClr w14:val="tx1"/>
            </w14:solidFill>
          </w14:textFill>
        </w:rPr>
      </w:pPr>
      <w:r>
        <w:rPr>
          <w:rFonts w:hint="eastAsia" w:ascii="黑体" w:hAnsi="黑体" w:eastAsia="黑体" w:cs="黑体"/>
          <w:b w:val="0"/>
          <w:bCs w:val="0"/>
          <w:color w:val="000000" w:themeColor="text1"/>
          <w:kern w:val="44"/>
          <w:sz w:val="32"/>
          <w:szCs w:val="22"/>
          <w:highlight w:val="none"/>
          <w:shd w:val="clear" w:color="auto" w:fill="auto"/>
          <w:lang w:val="en-US" w:eastAsia="zh-CN" w:bidi="ar-SA"/>
          <w14:textFill>
            <w14:solidFill>
              <w14:schemeClr w14:val="tx1"/>
            </w14:solidFill>
          </w14:textFill>
        </w:rPr>
        <w:t>2.主要内容及实施情况</w:t>
      </w:r>
      <w:bookmarkEnd w:id="14"/>
      <w:bookmarkEnd w:id="15"/>
      <w:bookmarkEnd w:id="16"/>
      <w:bookmarkEnd w:id="17"/>
    </w:p>
    <w:p w14:paraId="12ACFDEA">
      <w:pPr>
        <w:pStyle w:val="9"/>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pPr>
      <w:bookmarkStart w:id="18" w:name="_Toc16592"/>
      <w:bookmarkStart w:id="19" w:name="_Toc27409"/>
      <w:bookmarkStart w:id="20" w:name="_Toc21898"/>
      <w:bookmarkStart w:id="21" w:name="_Toc27245"/>
      <w:r>
        <w:rPr>
          <w:rFonts w:hint="eastAsia" w:ascii="Times New Roman" w:hAnsi="Times New Roman" w:eastAsia="楷体_GB2312" w:cs="Times New Roman"/>
          <w:kern w:val="28"/>
          <w:sz w:val="32"/>
          <w:lang w:val="en-US" w:eastAsia="zh-CN"/>
        </w:rPr>
        <w:t>项目主要内容</w:t>
      </w:r>
      <w:r>
        <w:rPr>
          <w:rFonts w:hint="eastAsia" w:ascii="仿宋_GB2312" w:hAnsi="仿宋_GB2312" w:eastAsia="仿宋_GB2312" w:cs="仿宋_GB2312"/>
          <w:color w:val="auto"/>
          <w:sz w:val="32"/>
          <w:szCs w:val="32"/>
          <w:highlight w:val="none"/>
          <w:shd w:val="clear" w:color="auto" w:fill="auto"/>
          <w:lang w:val="en-US" w:eastAsia="zh-CN"/>
        </w:rPr>
        <w:t>：</w:t>
      </w:r>
      <w:bookmarkEnd w:id="18"/>
      <w:bookmarkEnd w:id="19"/>
      <w:bookmarkEnd w:id="20"/>
      <w:bookmarkEnd w:id="21"/>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化债资金项目：水磨沟乡2017年改善农村人居环境建设项目-山泉村乡村旅游开发-供水管网建设项目第六标段、3.9公里石头路项目（第一标段）支付47.92万元；水磨沟乡水磨河社区小洪沟片区基层阵地建设项目支付34.89万元；新疆环宇测绘有限公司2017-2023年项目测绘费支付37.68万元；。共计222.51万元；供水管网项目支付102.02万元；共计222.51万元</w:t>
      </w:r>
    </w:p>
    <w:p w14:paraId="38CF4F4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截至2024年12月31日，本项目完成支付工程款项目数量4个，涉及行政村、社区3个、项目完成率100%，竣工验收合格率100%、资金支付准确率100%、项目按期完成率100%、资金至2024年12月31日前发放完成、其中</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水磨沟乡2017年改善农村人居环境建设项目-山泉村乡村旅游开发-供水管网建设项目第六标段、3.9公里石头路项目（第一标段）支付47.92万元；水磨沟乡水磨河社区小洪沟片区基层阵地建设项目支付34.89万元；新疆环宇测绘有限公司2017-2023年项目测绘费支付37.68万元；。共计222.51万元；供水管网项目支付102.02万元</w:t>
      </w:r>
      <w:r>
        <w:rPr>
          <w:rFonts w:hint="eastAsia" w:ascii="仿宋_GB2312" w:hAnsi="仿宋_GB2312" w:eastAsia="仿宋_GB2312" w:cs="仿宋_GB2312"/>
          <w:color w:val="auto"/>
          <w:sz w:val="32"/>
          <w:szCs w:val="32"/>
          <w:highlight w:val="none"/>
          <w:shd w:val="clear" w:color="auto" w:fill="auto"/>
          <w:lang w:val="en-US" w:eastAsia="zh-CN"/>
        </w:rPr>
        <w:t>，达到正常运转率100%、通过项目的实施预计有效改善水磨沟乡各村农村人居环境，提升村民生活水平的效益。</w:t>
      </w:r>
    </w:p>
    <w:p w14:paraId="390D744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本项目按照“八个一批”化债协议，确定了项目领导小组，明确了责任分工：组长为叶力那尔·赛提汗，副组长为马有军，项目负责人为刘爽,组员为刘爽，其中：刘爽负责监管工作，刘爽负责项目档案资料，刘爽负责资金拨付工作。</w:t>
      </w:r>
    </w:p>
    <w:p w14:paraId="0FFB656B">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22" w:name="_Toc10240"/>
      <w:bookmarkStart w:id="23" w:name="_Toc569"/>
      <w:bookmarkStart w:id="24" w:name="_Toc1858"/>
      <w:bookmarkStart w:id="25" w:name="_Toc12348"/>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3.资金投入和使用情况</w:t>
      </w:r>
      <w:bookmarkEnd w:id="22"/>
      <w:bookmarkEnd w:id="23"/>
      <w:bookmarkEnd w:id="24"/>
      <w:bookmarkEnd w:id="25"/>
    </w:p>
    <w:p w14:paraId="5BBB6DE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26" w:name="_Toc23509"/>
      <w:bookmarkStart w:id="27" w:name="_Toc694"/>
      <w:bookmarkStart w:id="28" w:name="_Toc26369"/>
      <w:r>
        <w:rPr>
          <w:rFonts w:hint="eastAsia" w:ascii="仿宋_GB2312" w:hAnsi="仿宋_GB2312" w:eastAsia="仿宋_GB2312" w:cs="仿宋_GB2312"/>
          <w:sz w:val="32"/>
          <w:szCs w:val="32"/>
          <w:highlight w:val="none"/>
          <w:lang w:val="en-US" w:eastAsia="zh-CN"/>
        </w:rPr>
        <w:t>（1）资金投入情况</w:t>
      </w:r>
      <w:bookmarkEnd w:id="26"/>
      <w:bookmarkEnd w:id="27"/>
      <w:bookmarkEnd w:id="28"/>
    </w:p>
    <w:p w14:paraId="6A2A473C">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29" w:name="_Toc29190"/>
      <w:bookmarkStart w:id="30" w:name="_Toc5573"/>
      <w:bookmarkStart w:id="31" w:name="_Toc9464"/>
      <w:r>
        <w:rPr>
          <w:rFonts w:hint="eastAsia" w:ascii="仿宋_GB2312" w:hAnsi="仿宋_GB2312" w:eastAsia="仿宋_GB2312" w:cs="仿宋_GB2312"/>
          <w:sz w:val="32"/>
          <w:szCs w:val="32"/>
          <w:highlight w:val="none"/>
          <w:lang w:val="en-US" w:eastAsia="zh-CN"/>
        </w:rPr>
        <w:t>该项目年初预算数222.51万元，全年预算数222.51万元，该项目资金已全部落实到位，资金来源为财政拨款。</w:t>
      </w:r>
      <w:bookmarkEnd w:id="29"/>
      <w:bookmarkEnd w:id="30"/>
      <w:bookmarkEnd w:id="31"/>
      <w:bookmarkStart w:id="32" w:name="_Toc3409"/>
      <w:bookmarkStart w:id="33" w:name="_Toc1166"/>
      <w:bookmarkStart w:id="34" w:name="_Toc28187"/>
    </w:p>
    <w:p w14:paraId="710F37C0">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（2）资金使用情况</w:t>
      </w:r>
      <w:bookmarkEnd w:id="32"/>
      <w:bookmarkEnd w:id="33"/>
      <w:bookmarkEnd w:id="34"/>
    </w:p>
    <w:p w14:paraId="3B923FF6">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yellow"/>
          <w:lang w:val="en-US" w:eastAsia="zh-CN"/>
        </w:rPr>
      </w:pPr>
      <w:bookmarkStart w:id="35" w:name="_Toc29121"/>
      <w:bookmarkStart w:id="36" w:name="_Toc1430"/>
      <w:bookmarkStart w:id="37" w:name="_Toc11647"/>
      <w:r>
        <w:rPr>
          <w:rFonts w:hint="eastAsia" w:ascii="仿宋_GB2312" w:hAnsi="仿宋_GB2312" w:eastAsia="仿宋_GB2312" w:cs="仿宋_GB2312"/>
          <w:sz w:val="32"/>
          <w:szCs w:val="32"/>
          <w:highlight w:val="none"/>
          <w:lang w:val="en-US" w:eastAsia="zh-CN"/>
        </w:rPr>
        <w:t>该项目年初预算数222.51万元，全年预算数222.51万元，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sz w:val="32"/>
          <w:szCs w:val="32"/>
          <w:highlight w:val="none"/>
          <w:lang w:val="en-US" w:eastAsia="zh-CN"/>
        </w:rPr>
        <w:t>全年执行数222.51万元，预算执行率为100%，主要用于：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水磨沟乡2017年改善农村人居环境建设项目-山泉村乡村旅游开发-供水管网建设项目第六标段、3.9公里石头路项目（第一标段）；水磨沟乡水磨河社区小洪沟片区基层阵地建设项目；新疆环宇测绘有限公司2017-2023年项目测绘费</w:t>
      </w:r>
      <w:bookmarkEnd w:id="35"/>
      <w:bookmarkEnd w:id="36"/>
      <w:bookmarkEnd w:id="37"/>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w:t>
      </w:r>
    </w:p>
    <w:p w14:paraId="67487B64">
      <w:pPr>
        <w:pStyle w:val="9"/>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38" w:name="_Toc9109"/>
      <w:r>
        <w:rPr>
          <w:rFonts w:hint="eastAsia" w:ascii="Times New Roman" w:hAnsi="Times New Roman" w:eastAsia="楷体_GB2312" w:cs="Times New Roman"/>
          <w:kern w:val="28"/>
          <w:sz w:val="32"/>
          <w:lang w:val="en-US" w:eastAsia="zh-CN"/>
        </w:rPr>
        <w:t>（二）项目绩效目标</w:t>
      </w:r>
      <w:bookmarkEnd w:id="38"/>
    </w:p>
    <w:p w14:paraId="641EDF49">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39" w:name="_Toc10047"/>
      <w:bookmarkStart w:id="40" w:name="_Toc8528"/>
      <w:bookmarkStart w:id="41" w:name="_Toc2547"/>
      <w:bookmarkStart w:id="42" w:name="_Toc14758"/>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1.总体目标</w:t>
      </w:r>
      <w:bookmarkEnd w:id="39"/>
      <w:bookmarkEnd w:id="40"/>
      <w:bookmarkEnd w:id="41"/>
      <w:bookmarkEnd w:id="42"/>
    </w:p>
    <w:p w14:paraId="4429658E">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化债资金项目绩效总体目标为：阜康市水磨沟乡人民政府2024年预计完成支付工程款项目数量4个，涉及行政村、社区3个、项目完成率100%，竣工验收合格率100%、资金支付准确率100%、项目按期完成率100%、资金至2024年12月31日前发放完成、其中</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水磨沟乡2017年改善农村人居环境建设项目-山泉村乡村旅游开发-供水管网建设项目第六标段、3.9公里石头路项目（第一标段）支付47.92万元；水磨沟乡水磨河社区小洪沟片区基层阵地建设项目支付34.89万元；新疆环宇测绘有限公司2017-2023年项目测绘费支付37.68万元；。共计222.51万元；供水管网项目支付102.02万元</w:t>
      </w:r>
      <w:r>
        <w:rPr>
          <w:rFonts w:hint="eastAsia" w:ascii="仿宋_GB2312" w:hAnsi="仿宋_GB2312" w:eastAsia="仿宋_GB2312" w:cs="仿宋_GB2312"/>
          <w:color w:val="auto"/>
          <w:sz w:val="32"/>
          <w:szCs w:val="32"/>
          <w:highlight w:val="none"/>
          <w:shd w:val="clear" w:color="auto" w:fill="auto"/>
          <w:lang w:val="en-US" w:eastAsia="zh-CN"/>
        </w:rPr>
        <w:t>，正常运转率100%、通过项目的实施预计有效改善滋泥泉子镇各村农村人居环境，提升村民生活水平。</w:t>
      </w:r>
    </w:p>
    <w:p w14:paraId="6A1D478F">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43" w:name="_Toc3255"/>
      <w:bookmarkStart w:id="44" w:name="_Toc4007"/>
      <w:bookmarkStart w:id="45" w:name="_Toc4487"/>
      <w:bookmarkStart w:id="46" w:name="_Toc899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2.阶段性目标</w:t>
      </w:r>
      <w:bookmarkEnd w:id="43"/>
      <w:bookmarkEnd w:id="44"/>
      <w:bookmarkEnd w:id="45"/>
      <w:bookmarkEnd w:id="46"/>
    </w:p>
    <w:p w14:paraId="5D99B0C2">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根据《预算法》《财政支出绩效评价管理暂行办法》（财预〔20</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20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10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等文件</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的规定，结合项目实施单位的规章制度以及财务相关资料，评价小组对项目绩效目标进行了进一步的完善，完善</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后</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绩效目标如下：</w:t>
      </w:r>
    </w:p>
    <w:p w14:paraId="28B57AE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项目产出</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目标</w:t>
      </w:r>
    </w:p>
    <w:p w14:paraId="0269704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①数量指标</w:t>
      </w:r>
    </w:p>
    <w:p w14:paraId="41FFBDF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支付工程款数量</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指标，预期目标值为≥4个；</w:t>
      </w:r>
    </w:p>
    <w:p w14:paraId="486EB74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color w:va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涉及行政村、社区数量</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指标，预期目标值为≥3个；</w:t>
      </w:r>
    </w:p>
    <w:p w14:paraId="0A200A0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②质量指标</w:t>
      </w:r>
    </w:p>
    <w:p w14:paraId="08DC622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资金支付准确率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57EC773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③时效指标</w:t>
      </w:r>
    </w:p>
    <w:p w14:paraId="19457BD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项目按期完成率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4BFDD4A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color w:va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资金发放完成时间</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指标，预期目标值为2024年12月；</w:t>
      </w:r>
    </w:p>
    <w:p w14:paraId="31F56F0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（2）成本指标</w:t>
      </w:r>
    </w:p>
    <w:p w14:paraId="6FB7335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3.9公里石头路项目</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指标，预期目标值为≤47.92万元；</w:t>
      </w:r>
    </w:p>
    <w:p w14:paraId="32DD2B6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环宇测绘费</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指标，预期目标值为≤37.68万元；</w:t>
      </w:r>
    </w:p>
    <w:p w14:paraId="2F4FD59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小洪沟片区项目</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指标，预期目标值为≤34.89万元万元；</w:t>
      </w:r>
    </w:p>
    <w:p w14:paraId="68F90F0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供水管网项目</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指标，预期目标值为≤102.02万元；</w:t>
      </w:r>
    </w:p>
    <w:p w14:paraId="70A301E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）项目效益</w:t>
      </w:r>
      <w:r>
        <w:rPr>
          <w:rFonts w:hint="eastAsia" w:ascii="仿宋_GB2312" w:hAnsi="仿宋_GB2312" w:eastAsia="仿宋_GB2312" w:cs="仿宋_GB2312"/>
          <w:color w:val="auto"/>
          <w:sz w:val="32"/>
          <w:szCs w:val="32"/>
          <w:highlight w:val="none"/>
          <w:shd w:val="clear" w:color="auto" w:fill="auto"/>
          <w:lang w:val="en-US" w:eastAsia="zh-CN"/>
        </w:rPr>
        <w:t>目标</w:t>
      </w:r>
    </w:p>
    <w:p w14:paraId="778D228B">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①经济效益指标</w:t>
      </w:r>
    </w:p>
    <w:p w14:paraId="596A7665">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47" w:name="OLE_LINK4"/>
      <w:r>
        <w:rPr>
          <w:rFonts w:hint="eastAsia" w:ascii="仿宋_GB2312" w:hAnsi="仿宋_GB2312" w:eastAsia="仿宋_GB2312" w:cs="仿宋_GB2312"/>
          <w:color w:val="auto"/>
          <w:sz w:val="32"/>
          <w:szCs w:val="32"/>
          <w:highlight w:val="none"/>
          <w:shd w:val="clear" w:color="auto" w:fill="auto"/>
          <w:lang w:val="en-US" w:eastAsia="zh-CN"/>
        </w:rPr>
        <w:t>无</w:t>
      </w:r>
    </w:p>
    <w:bookmarkEnd w:id="47"/>
    <w:p w14:paraId="4FA58A6A">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②社会效益指标</w:t>
      </w:r>
    </w:p>
    <w:p w14:paraId="19CDE725">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化解本级债务矛盾，促进社会和谐稳定</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指标，预期目标值为有效促进；</w:t>
      </w:r>
      <w:bookmarkStart w:id="48" w:name="_Toc26567"/>
    </w:p>
    <w:p w14:paraId="5A0A464B">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highlight w:val="none"/>
          <w:shd w:val="clear" w:color="auto" w:fill="auto"/>
          <w14:textFill>
            <w14:solidFill>
              <w14:schemeClr w14:val="tx1"/>
            </w14:solidFill>
          </w14:textFill>
        </w:rPr>
        <w:t>二、绩效评价工作开展情况</w:t>
      </w:r>
      <w:bookmarkEnd w:id="48"/>
    </w:p>
    <w:p w14:paraId="7AF17EA5">
      <w:pPr>
        <w:pStyle w:val="9"/>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49" w:name="_Toc22922"/>
      <w:bookmarkStart w:id="50" w:name="_Toc22169_WPSOffice_Level2"/>
      <w:bookmarkStart w:id="51" w:name="_Toc480473081"/>
      <w:bookmarkStart w:id="52" w:name="_Toc5462343"/>
      <w:bookmarkStart w:id="53" w:name="_Toc12868"/>
      <w:bookmarkStart w:id="54" w:name="_Toc21664"/>
      <w:bookmarkStart w:id="55" w:name="_Toc26632"/>
      <w:bookmarkStart w:id="56" w:name="_Toc5258"/>
      <w:bookmarkStart w:id="57" w:name="_Toc22839"/>
      <w:r>
        <w:rPr>
          <w:rFonts w:hint="eastAsia" w:ascii="Times New Roman" w:hAnsi="Times New Roman" w:eastAsia="楷体_GB2312" w:cs="Times New Roman"/>
          <w:kern w:val="28"/>
          <w:sz w:val="32"/>
          <w:lang w:val="en-US" w:eastAsia="zh-CN"/>
        </w:rPr>
        <w:t>（一）绩效评价的目的</w:t>
      </w:r>
      <w:bookmarkEnd w:id="49"/>
      <w:bookmarkEnd w:id="50"/>
      <w:bookmarkEnd w:id="51"/>
      <w:bookmarkEnd w:id="52"/>
      <w:bookmarkEnd w:id="53"/>
      <w:bookmarkEnd w:id="54"/>
      <w:bookmarkEnd w:id="55"/>
      <w:bookmarkEnd w:id="56"/>
      <w:r>
        <w:rPr>
          <w:rFonts w:hint="eastAsia" w:ascii="Times New Roman" w:hAnsi="Times New Roman" w:eastAsia="楷体_GB2312" w:cs="Times New Roman"/>
          <w:kern w:val="28"/>
          <w:sz w:val="32"/>
          <w:lang w:val="en-US" w:eastAsia="zh-CN"/>
        </w:rPr>
        <w:t>、对象和范围</w:t>
      </w:r>
      <w:bookmarkEnd w:id="57"/>
    </w:p>
    <w:p w14:paraId="34361EB6">
      <w:pPr>
        <w:pStyle w:val="9"/>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kern w:val="28"/>
          <w:sz w:val="32"/>
          <w:lang w:val="en-US" w:eastAsia="zh-CN"/>
        </w:rPr>
      </w:pPr>
      <w:bookmarkStart w:id="58" w:name="_Toc15732"/>
      <w:r>
        <w:rPr>
          <w:rFonts w:hint="default" w:ascii="Times New Roman" w:hAnsi="Times New Roman" w:eastAsia="楷体_GB2312" w:cs="Times New Roman"/>
          <w:kern w:val="28"/>
          <w:sz w:val="32"/>
          <w:lang w:val="en-US" w:eastAsia="zh-CN"/>
        </w:rPr>
        <w:t>1.绩效评价完整性</w:t>
      </w:r>
    </w:p>
    <w:p w14:paraId="36251046">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73F883CE">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14:paraId="10525324">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7E0417CE">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0E72C9CD">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6CD57E5B">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59" w:name="_Toc21770"/>
      <w:bookmarkStart w:id="60" w:name="_Toc417"/>
      <w:r>
        <w:rPr>
          <w:rFonts w:hint="eastAsia"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绩效评价的目的</w:t>
      </w:r>
      <w:bookmarkEnd w:id="58"/>
      <w:bookmarkEnd w:id="59"/>
      <w:bookmarkEnd w:id="60"/>
    </w:p>
    <w:p w14:paraId="35464F88">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为全面了解</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该</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项目预算编制合理性、资金使用合规性、项目管理的规范性、</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目标的实现情况、服务对象的满意度等，通过本次</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部门</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绩效评价来总结经验和教训，促进项目成果转化和应用，为今后类似项目的长效管理，提供可行性参考建议。</w:t>
      </w:r>
    </w:p>
    <w:p w14:paraId="7EEE33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bookmarkStart w:id="61" w:name="_Toc30609"/>
      <w:r>
        <w:rPr>
          <w:rFonts w:hint="default" w:ascii="Times New Roman" w:hAnsi="Times New Roman" w:eastAsia="仿宋_GB2312" w:cs="Times New Roman"/>
          <w:sz w:val="32"/>
          <w:szCs w:val="32"/>
          <w:highlight w:val="none"/>
        </w:rPr>
        <w:t>（1）评估项目实施效果</w:t>
      </w:r>
    </w:p>
    <w:p w14:paraId="63A3192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通过对项目预算执行情况及各项绩效目标达成程度的系统性分析，全面、客观地评估项目在预定周期内的实施效果，包括社会效益维度指标，为项目后续的改进与优化提供科学依据。</w:t>
      </w:r>
    </w:p>
    <w:p w14:paraId="487F83E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750079D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6C2C72D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7CABD3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02FA413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53419D2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54786BB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34FF44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359F3A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29541860">
      <w:pPr>
        <w:pStyle w:val="4"/>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62" w:name="_Toc31970"/>
      <w:bookmarkStart w:id="63" w:name="_Toc16346"/>
      <w:r>
        <w:rPr>
          <w:rFonts w:hint="eastAsia"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.绩效评价的对象</w:t>
      </w:r>
      <w:bookmarkEnd w:id="61"/>
      <w:bookmarkEnd w:id="62"/>
      <w:bookmarkEnd w:id="63"/>
    </w:p>
    <w:p w14:paraId="4249E5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此次我单位根据</w:t>
      </w:r>
      <w:r>
        <w:rPr>
          <w:rFonts w:hint="eastAsia" w:ascii="Times New Roman" w:hAnsi="Times New Roman" w:eastAsia="仿宋_GB2312" w:cs="Times New Roman"/>
          <w:sz w:val="32"/>
          <w:szCs w:val="32"/>
          <w:highlight w:val="none"/>
        </w:rPr>
        <w:t>《财政支出绩效评价管理暂行办法》（</w:t>
      </w:r>
      <w:r>
        <w:rPr>
          <w:rFonts w:hint="eastAsia" w:ascii="Times New Roman" w:hAnsi="Times New Roman" w:eastAsia="仿宋_GB2312" w:cs="Times New Roman"/>
          <w:sz w:val="32"/>
          <w:szCs w:val="32"/>
          <w:highlight w:val="none"/>
          <w:lang w:eastAsia="zh-CN"/>
        </w:rPr>
        <w:t>财预〔2020〕10号</w:t>
      </w:r>
      <w:r>
        <w:rPr>
          <w:rFonts w:hint="eastAsia"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文件要求对2024年度我单位实施的化债资金项目</w:t>
      </w:r>
      <w:r>
        <w:rPr>
          <w:rFonts w:hint="default" w:ascii="Times New Roman" w:hAnsi="Times New Roman" w:eastAsia="仿宋_GB2312" w:cs="Times New Roman"/>
          <w:sz w:val="32"/>
          <w:szCs w:val="32"/>
          <w:highlight w:val="none"/>
        </w:rPr>
        <w:t>及其预算执行情况</w:t>
      </w:r>
      <w:r>
        <w:rPr>
          <w:rFonts w:hint="eastAsia" w:ascii="Times New Roman" w:hAnsi="Times New Roman" w:eastAsia="仿宋_GB2312" w:cs="Times New Roman"/>
          <w:sz w:val="32"/>
          <w:szCs w:val="32"/>
          <w:highlight w:val="none"/>
          <w:lang w:val="en-US" w:eastAsia="zh-CN"/>
        </w:rPr>
        <w:t>开展部门绩效评价。</w:t>
      </w:r>
    </w:p>
    <w:p w14:paraId="38A7D46F">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pP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该项目由</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阜康市水磨沟乡人民政府</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负责实施，旨在2024年预计完成支付</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化债</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工程款项目数量</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4</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个，</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涉及</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行政村、社区</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3</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个、项目完成率100%，竣工验收合格率100%、资金支付准确率100%、项目按期完成率100%、资金至2024年12月31日前发放完成、其中</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水磨沟乡2017年改善农村人居环境建设项目-山泉村乡村旅游开发-供水管网建设项目第六标段、3.9公里石头路项目（第一标段）支付47.92万元；水磨沟乡水磨河社区小洪沟片区基层阵地建设项目支付34.89万元；新疆环宇测绘有限公司2017-2023年项目测绘费支付37.68万元；供水管网项目支付102.02万元</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共计222.51万元，</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正常运转率100%、通过项目的实施预计有效改善</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水磨沟乡</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各村农村人居环境，提升村民生活水平。项目预算涵盖从</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2024年</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3月1日</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至</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2024年12月31日</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的全部资金投入与支出，涉及资金总额为</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222.51</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万元。</w:t>
      </w:r>
    </w:p>
    <w:p w14:paraId="4B5A3373">
      <w:pPr>
        <w:pStyle w:val="4"/>
        <w:pageBreakBefore w:val="0"/>
        <w:kinsoku/>
        <w:wordWrap/>
        <w:overflowPunct/>
        <w:topLinePunct w:val="0"/>
        <w:autoSpaceDE/>
        <w:autoSpaceDN/>
        <w:bidi w:val="0"/>
        <w:adjustRightInd/>
        <w:spacing w:line="560" w:lineRule="exact"/>
        <w:textAlignment w:val="auto"/>
        <w:rPr>
          <w:rFonts w:hint="default" w:cs="仿宋_GB2312"/>
          <w:color w:val="000000" w:themeColor="text1"/>
          <w:sz w:val="32"/>
          <w:szCs w:val="32"/>
          <w:highlight w:val="none"/>
          <w:shd w:val="clear" w:color="auto" w:fill="auto"/>
          <w:lang w:val="en-US" w:eastAsia="zh-CN"/>
          <w14:textFill>
            <w14:solidFill>
              <w14:schemeClr w14:val="tx1"/>
            </w14:solidFill>
          </w14:textFill>
        </w:rPr>
      </w:pPr>
      <w:bookmarkStart w:id="64" w:name="_Toc21311"/>
      <w:bookmarkStart w:id="65" w:name="_Toc11666"/>
      <w:r>
        <w:rPr>
          <w:rFonts w:hint="default" w:cs="仿宋_GB2312"/>
          <w:color w:val="000000" w:themeColor="text1"/>
          <w:sz w:val="32"/>
          <w:szCs w:val="32"/>
          <w:highlight w:val="none"/>
          <w:shd w:val="clear" w:color="auto" w:fill="auto"/>
          <w:lang w:val="en-US" w:eastAsia="zh-CN"/>
          <w14:textFill>
            <w14:solidFill>
              <w14:schemeClr w14:val="tx1"/>
            </w14:solidFill>
          </w14:textFill>
        </w:rPr>
        <w:t>4.绩效评价的范围</w:t>
      </w:r>
      <w:bookmarkEnd w:id="64"/>
      <w:bookmarkEnd w:id="65"/>
    </w:p>
    <w:p w14:paraId="5D2B0289">
      <w:pPr>
        <w:pStyle w:val="9"/>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31B73CF1">
      <w:pPr>
        <w:pStyle w:val="9"/>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项目预算编制与执行：全面审视项目预算的编制依据、合理性、科学性以及实际执行情况，包括预算调整的原因和效果。</w:t>
      </w:r>
    </w:p>
    <w:p w14:paraId="0677434B">
      <w:pPr>
        <w:pStyle w:val="9"/>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资金管理：深入分析项目资金的分配、使用和监管情况，确保资金使用的合规性、高效性和透明度。</w:t>
      </w:r>
    </w:p>
    <w:p w14:paraId="50BA840E">
      <w:pPr>
        <w:pStyle w:val="9"/>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项目实施进度与产出：评估项目是否按照既定计划顺利推进，各项任务是否按时完成，以及项目产出的数量、质量和时效性是否符合预期。</w:t>
      </w:r>
    </w:p>
    <w:p w14:paraId="57924442">
      <w:pPr>
        <w:pStyle w:val="9"/>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green"/>
          <w:lang w:eastAsia="zh-CN"/>
        </w:rPr>
      </w:pP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4</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社会影响：考察项目对社会方面的综合影响。</w:t>
      </w:r>
    </w:p>
    <w:p w14:paraId="6B9D57A9">
      <w:pPr>
        <w:pStyle w:val="9"/>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66" w:name="_Toc29785"/>
      <w:bookmarkStart w:id="67" w:name="_Toc1286"/>
      <w:r>
        <w:rPr>
          <w:rFonts w:hint="eastAsia" w:ascii="Times New Roman" w:hAnsi="Times New Roman" w:eastAsia="楷体_GB2312" w:cs="Times New Roman"/>
          <w:kern w:val="28"/>
          <w:sz w:val="32"/>
          <w:lang w:val="en-US" w:eastAsia="zh-CN"/>
        </w:rPr>
        <w:t>（二）绩效评价原则、评价指标体系（</w:t>
      </w:r>
      <w:r>
        <w:rPr>
          <w:rFonts w:hint="default" w:ascii="Times New Roman" w:hAnsi="Times New Roman" w:eastAsia="楷体_GB2312" w:cs="Times New Roman"/>
          <w:kern w:val="28"/>
          <w:sz w:val="32"/>
          <w:lang w:val="en-US" w:eastAsia="zh-CN"/>
        </w:rPr>
        <w:t>详情见</w:t>
      </w:r>
      <w:r>
        <w:rPr>
          <w:rFonts w:hint="eastAsia" w:ascii="Times New Roman" w:hAnsi="Times New Roman" w:eastAsia="楷体_GB2312" w:cs="Times New Roman"/>
          <w:kern w:val="28"/>
          <w:sz w:val="32"/>
          <w:lang w:val="en-US" w:eastAsia="zh-CN"/>
        </w:rPr>
        <w:t>附件二）、评价方法、评价标准</w:t>
      </w:r>
      <w:bookmarkEnd w:id="66"/>
      <w:bookmarkEnd w:id="67"/>
    </w:p>
    <w:p w14:paraId="23C8D921">
      <w:pPr>
        <w:pStyle w:val="4"/>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000000"/>
          <w:kern w:val="2"/>
          <w:sz w:val="32"/>
          <w:szCs w:val="32"/>
          <w:lang w:val="en-US" w:eastAsia="zh-CN" w:bidi="ar-SA"/>
        </w:rPr>
      </w:pPr>
      <w:bookmarkStart w:id="68" w:name="_Toc24506"/>
      <w:bookmarkStart w:id="69" w:name="_Toc5354"/>
      <w:bookmarkStart w:id="70" w:name="_Toc13694"/>
      <w:r>
        <w:rPr>
          <w:rFonts w:hint="eastAsia" w:ascii="Times New Roman" w:hAnsi="Times New Roman" w:eastAsia="仿宋_GB2312" w:cs="Times New Roman"/>
          <w:b/>
          <w:bCs/>
          <w:color w:val="000000"/>
          <w:kern w:val="2"/>
          <w:sz w:val="32"/>
          <w:szCs w:val="32"/>
          <w:lang w:val="en-US" w:eastAsia="zh-CN" w:bidi="ar-SA"/>
        </w:rPr>
        <w:t>1.绩效评价原则</w:t>
      </w:r>
      <w:bookmarkEnd w:id="68"/>
      <w:bookmarkEnd w:id="69"/>
      <w:bookmarkEnd w:id="70"/>
    </w:p>
    <w:p w14:paraId="4B222A84">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依据《财政支出绩效评价管理暂行办法》（财预〔20</w:t>
      </w:r>
      <w:r>
        <w:rPr>
          <w:rFonts w:hint="eastAsia" w:ascii="Times New Roman" w:hAnsi="Times New Roman" w:eastAsia="仿宋_GB2312" w:cs="Times New Roman"/>
          <w:color w:val="000000"/>
          <w:sz w:val="32"/>
          <w:szCs w:val="32"/>
          <w:lang w:val="en-US" w:eastAsia="zh-CN"/>
        </w:rPr>
        <w:t>20</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10</w:t>
      </w:r>
      <w:r>
        <w:rPr>
          <w:rFonts w:hint="eastAsia" w:ascii="Times New Roman" w:hAnsi="Times New Roman" w:eastAsia="仿宋_GB2312" w:cs="Times New Roman"/>
          <w:color w:val="000000"/>
          <w:sz w:val="32"/>
          <w:szCs w:val="32"/>
          <w:lang w:eastAsia="zh-CN"/>
        </w:rPr>
        <w:t>号）本次绩效评价秉承科学规范、公正公开、分级分类、绩效相关等原则，按照从投入、过程到产出效果和影响的绩效逻辑路径，结合</w:t>
      </w:r>
      <w:r>
        <w:rPr>
          <w:rFonts w:hint="eastAsia" w:ascii="Times New Roman" w:hAnsi="Times New Roman" w:eastAsia="仿宋_GB2312" w:cs="Times New Roman"/>
          <w:color w:val="auto"/>
          <w:sz w:val="32"/>
          <w:szCs w:val="32"/>
          <w:lang w:val="en-US" w:eastAsia="zh-CN"/>
        </w:rPr>
        <w:t>化债资金项目</w:t>
      </w:r>
      <w:r>
        <w:rPr>
          <w:rFonts w:hint="eastAsia" w:ascii="Times New Roman" w:hAnsi="Times New Roman" w:eastAsia="仿宋_GB2312" w:cs="Times New Roman"/>
          <w:color w:val="auto"/>
          <w:sz w:val="32"/>
          <w:szCs w:val="32"/>
          <w:lang w:eastAsia="zh-CN"/>
        </w:rPr>
        <w:t>实</w:t>
      </w:r>
      <w:r>
        <w:rPr>
          <w:rFonts w:hint="eastAsia" w:ascii="Times New Roman" w:hAnsi="Times New Roman" w:eastAsia="仿宋_GB2312" w:cs="Times New Roman"/>
          <w:color w:val="000000"/>
          <w:sz w:val="32"/>
          <w:szCs w:val="32"/>
          <w:lang w:eastAsia="zh-CN"/>
        </w:rPr>
        <w:t>际开展情况，运用定量和定性分析相结合的方法，总结经验做法，反思项目实施和管理中的问题，以切实提升财政资金管理的科学化、规范化和精细化水平。</w:t>
      </w:r>
    </w:p>
    <w:p w14:paraId="7F172005">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根据以上原则，绩效评价应遵循如下要求：</w:t>
      </w:r>
    </w:p>
    <w:p w14:paraId="54548F8E">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w:t>
      </w:r>
      <w:r>
        <w:rPr>
          <w:rFonts w:hint="eastAsia" w:ascii="Times New Roman" w:hAnsi="Times New Roman" w:eastAsia="仿宋_GB2312" w:cs="Times New Roman"/>
          <w:color w:val="000000"/>
          <w:sz w:val="32"/>
          <w:szCs w:val="32"/>
          <w:lang w:eastAsia="zh-CN"/>
        </w:rPr>
        <w:t>）科学公正。绩效评价应当运用科学合理的方法，按照规范的程序，对项目绩效进行客观、公正的反映。</w:t>
      </w:r>
    </w:p>
    <w:p w14:paraId="5A4E727F">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2</w:t>
      </w:r>
      <w:r>
        <w:rPr>
          <w:rFonts w:hint="eastAsia" w:ascii="Times New Roman" w:hAnsi="Times New Roman" w:eastAsia="仿宋_GB2312" w:cs="Times New Roman"/>
          <w:color w:val="000000"/>
          <w:sz w:val="32"/>
          <w:szCs w:val="32"/>
          <w:lang w:eastAsia="zh-CN"/>
        </w:rPr>
        <w:t>）统筹兼顾。单位自评、部门评价和财政评价应职责明确，各有侧重，相互衔接。单位自评应由项目单位自主实施，即“谁支出、谁自评”。</w:t>
      </w:r>
    </w:p>
    <w:p w14:paraId="5FB24BA0">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3</w:t>
      </w:r>
      <w:r>
        <w:rPr>
          <w:rFonts w:hint="eastAsia" w:ascii="Times New Roman" w:hAnsi="Times New Roman" w:eastAsia="仿宋_GB2312" w:cs="Times New Roman"/>
          <w:color w:val="000000"/>
          <w:sz w:val="32"/>
          <w:szCs w:val="32"/>
          <w:lang w:eastAsia="zh-CN"/>
        </w:rPr>
        <w:t>）激励约束。绩效评价结果应与预算安排、政策调整、改进管理实质性挂钩，体现奖优罚劣和激励相容导向，有效要安排、低效要压减、无效要问责。</w:t>
      </w:r>
    </w:p>
    <w:p w14:paraId="34EA78ED">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4</w:t>
      </w:r>
      <w:r>
        <w:rPr>
          <w:rFonts w:hint="eastAsia" w:ascii="Times New Roman" w:hAnsi="Times New Roman" w:eastAsia="仿宋_GB2312" w:cs="Times New Roman"/>
          <w:color w:val="000000"/>
          <w:sz w:val="32"/>
          <w:szCs w:val="32"/>
          <w:lang w:eastAsia="zh-CN"/>
        </w:rPr>
        <w:t>）公开透明。绩效评价结果应依法依规公开，并自觉接受社会监督。</w:t>
      </w:r>
    </w:p>
    <w:p w14:paraId="34B614D7">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sz w:val="32"/>
          <w:szCs w:val="32"/>
          <w:lang w:eastAsia="zh-CN"/>
        </w:rPr>
      </w:pPr>
      <w:bookmarkStart w:id="71" w:name="_Toc428278230"/>
      <w:bookmarkStart w:id="72" w:name="_Toc419984722"/>
      <w:bookmarkStart w:id="73" w:name="_Toc26131"/>
      <w:bookmarkStart w:id="74" w:name="_Toc24396"/>
      <w:bookmarkStart w:id="75" w:name="_Toc1913"/>
      <w:r>
        <w:rPr>
          <w:rFonts w:hint="eastAsia" w:ascii="仿宋_GB2312" w:hAnsi="仿宋_GB2312" w:eastAsia="仿宋_GB2312" w:cs="仿宋_GB2312"/>
          <w:b/>
          <w:bCs/>
          <w:color w:val="000000"/>
          <w:sz w:val="32"/>
          <w:szCs w:val="32"/>
          <w:lang w:val="en-US" w:eastAsia="zh-CN"/>
        </w:rPr>
        <w:t>2.</w:t>
      </w:r>
      <w:r>
        <w:rPr>
          <w:rFonts w:hint="eastAsia" w:ascii="仿宋_GB2312" w:hAnsi="仿宋_GB2312" w:eastAsia="仿宋_GB2312" w:cs="仿宋_GB2312"/>
          <w:b/>
          <w:bCs/>
          <w:color w:val="000000"/>
          <w:sz w:val="32"/>
          <w:szCs w:val="32"/>
          <w:lang w:eastAsia="zh-CN"/>
        </w:rPr>
        <w:t>绩效评价指标体系</w:t>
      </w:r>
      <w:bookmarkEnd w:id="71"/>
      <w:bookmarkEnd w:id="72"/>
      <w:bookmarkEnd w:id="73"/>
      <w:bookmarkEnd w:id="74"/>
      <w:bookmarkEnd w:id="75"/>
    </w:p>
    <w:p w14:paraId="27F292B4">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bookmarkStart w:id="76" w:name="_Toc9941"/>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14:paraId="404A9767">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14:paraId="52FC6CF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79158F0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14:paraId="35632347">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FF0000"/>
          <w:spacing w:val="17"/>
          <w:sz w:val="32"/>
          <w:szCs w:val="32"/>
          <w:lang w:eastAsia="zh-CN"/>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6BB12CF0">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14:paraId="4A64FFE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5152971C">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绩效评价总分值100分，根据综合评分结果，90（含）-100分为优、80（含）-90分为良、60（含）-80分为中、60分以下为差。</w:t>
      </w:r>
    </w:p>
    <w:p w14:paraId="00AFD97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我单位</w:t>
      </w:r>
      <w:r>
        <w:rPr>
          <w:rFonts w:hint="eastAsia" w:ascii="仿宋_GB2312" w:hAnsi="仿宋_GB2312" w:eastAsia="仿宋_GB2312" w:cs="仿宋_GB2312"/>
          <w:color w:val="000000"/>
          <w:sz w:val="32"/>
          <w:szCs w:val="32"/>
          <w:lang w:val="zh-TW" w:eastAsia="zh-TW"/>
        </w:rPr>
        <w:t>根据项目的</w:t>
      </w:r>
      <w:r>
        <w:rPr>
          <w:rFonts w:hint="eastAsia" w:ascii="仿宋_GB2312" w:hAnsi="仿宋_GB2312" w:eastAsia="仿宋_GB2312" w:cs="仿宋_GB2312"/>
          <w:color w:val="000000"/>
          <w:sz w:val="32"/>
          <w:szCs w:val="32"/>
          <w:lang w:val="en-US" w:eastAsia="zh-CN"/>
        </w:rPr>
        <w:t>实施</w:t>
      </w:r>
      <w:r>
        <w:rPr>
          <w:rFonts w:hint="eastAsia" w:ascii="仿宋_GB2312" w:hAnsi="仿宋_GB2312" w:eastAsia="仿宋_GB2312" w:cs="仿宋_GB2312"/>
          <w:color w:val="000000"/>
          <w:sz w:val="32"/>
          <w:szCs w:val="32"/>
          <w:lang w:val="zh-TW" w:eastAsia="zh-TW"/>
        </w:rPr>
        <w:t>资料研读及前期调研，结合项目的实际开展情况，最终形成了项目绩效评价指标体系</w:t>
      </w:r>
      <w:r>
        <w:rPr>
          <w:rFonts w:hint="eastAsia" w:ascii="仿宋_GB2312" w:hAnsi="仿宋_GB2312" w:eastAsia="仿宋_GB2312" w:cs="仿宋_GB2312"/>
          <w:color w:val="000000"/>
          <w:sz w:val="32"/>
          <w:szCs w:val="32"/>
          <w:lang w:val="zh-TW" w:eastAsia="zh-CN"/>
        </w:rPr>
        <w:t>，</w:t>
      </w:r>
      <w:r>
        <w:rPr>
          <w:rFonts w:hint="eastAsia" w:ascii="仿宋_GB2312" w:hAnsi="仿宋_GB2312" w:eastAsia="仿宋_GB2312" w:cs="仿宋_GB2312"/>
          <w:color w:val="000000"/>
          <w:sz w:val="32"/>
          <w:szCs w:val="32"/>
          <w:lang w:val="en-US" w:eastAsia="zh-CN"/>
        </w:rPr>
        <w:t>详见上传的附件二。</w:t>
      </w:r>
    </w:p>
    <w:p w14:paraId="117146CC">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7" w:name="_Toc5690"/>
      <w:bookmarkStart w:id="78" w:name="_Toc30114"/>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评价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方法</w:t>
      </w:r>
      <w:bookmarkEnd w:id="76"/>
      <w:bookmarkEnd w:id="77"/>
      <w:bookmarkEnd w:id="78"/>
    </w:p>
    <w:p w14:paraId="2A4FC044">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bookmarkStart w:id="79" w:name="_Toc25391"/>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w:t>
      </w:r>
      <w:r>
        <w:rPr>
          <w:rFonts w:hint="eastAsia" w:ascii="仿宋_GB2312" w:hAnsi="仿宋_GB2312" w:eastAsia="仿宋_GB2312" w:cs="仿宋_GB2312"/>
          <w:color w:val="000000"/>
          <w:spacing w:val="17"/>
          <w:sz w:val="32"/>
          <w:szCs w:val="32"/>
          <w:lang w:eastAsia="zh-CN"/>
        </w:rPr>
        <w:t>，</w:t>
      </w:r>
      <w:r>
        <w:rPr>
          <w:rFonts w:hint="eastAsia" w:ascii="仿宋_GB2312" w:hAnsi="仿宋_GB2312" w:eastAsia="仿宋_GB2312" w:cs="仿宋_GB2312"/>
          <w:color w:val="000000"/>
          <w:spacing w:val="17"/>
          <w:sz w:val="32"/>
          <w:szCs w:val="32"/>
        </w:rPr>
        <w:t>评价核心为资金的支出完成情况和项目的产出效益。</w:t>
      </w:r>
    </w:p>
    <w:p w14:paraId="2A0E146D">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0840E939">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rPr>
        <w:t>）成本效益分析法。是指将投入与产出、效益进行关联性分析的方法。</w:t>
      </w:r>
      <w:r>
        <w:rPr>
          <w:rFonts w:hint="eastAsia" w:ascii="Times New Roman" w:hAnsi="Times New Roman" w:eastAsia="仿宋_GB2312" w:cs="Times New Roman"/>
          <w:color w:val="auto"/>
          <w:spacing w:val="17"/>
          <w:sz w:val="32"/>
          <w:szCs w:val="32"/>
          <w:highlight w:val="none"/>
          <w:lang w:val="en-US" w:eastAsia="zh-CN"/>
        </w:rPr>
        <w:t>原因：此方法可确定项目的可行性以及分析项目所需资金，从而减小项目风险。</w:t>
      </w:r>
    </w:p>
    <w:p w14:paraId="1F1DA205">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rPr>
        <w:t>）最低成本法。是指在绩效目标确定的前提下，成本最小者为优的方法。</w:t>
      </w:r>
      <w:r>
        <w:rPr>
          <w:rFonts w:hint="eastAsia" w:ascii="Times New Roman" w:hAnsi="Times New Roman" w:eastAsia="仿宋_GB2312" w:cs="Times New Roman"/>
          <w:color w:val="auto"/>
          <w:spacing w:val="17"/>
          <w:sz w:val="32"/>
          <w:szCs w:val="32"/>
          <w:highlight w:val="none"/>
          <w:lang w:val="en-US" w:eastAsia="zh-CN"/>
        </w:rPr>
        <w:t>原因：此方法充分考虑资产的消耗，评估结果更趋于公平合理。</w:t>
      </w:r>
    </w:p>
    <w:p w14:paraId="249BD675">
      <w:pPr>
        <w:pStyle w:val="4"/>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80" w:name="_Toc6081"/>
      <w:bookmarkStart w:id="81" w:name="_Toc25651"/>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4.评价标准</w:t>
      </w:r>
      <w:bookmarkEnd w:id="79"/>
      <w:bookmarkEnd w:id="80"/>
      <w:bookmarkEnd w:id="81"/>
    </w:p>
    <w:p w14:paraId="35596A1A">
      <w:pPr>
        <w:spacing w:line="560" w:lineRule="exact"/>
        <w:ind w:firstLine="708" w:firstLineChars="200"/>
        <w:rPr>
          <w:rFonts w:hint="eastAsia" w:ascii="Times New Roman" w:hAnsi="Times New Roman" w:eastAsia="仿宋_GB2312" w:cs="Times New Roman"/>
          <w:color w:val="00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绩效评价标准通常包括计划标准、行业标准、历史标准等，用于对绩效指标完成情况进行比较、分析、评价。本次评价主要采用了计划标准</w:t>
      </w:r>
      <w:r>
        <w:rPr>
          <w:rFonts w:hint="eastAsia" w:ascii="Times New Roman" w:hAnsi="Times New Roman" w:eastAsia="仿宋_GB2312" w:cs="Times New Roman"/>
          <w:color w:val="000000"/>
          <w:spacing w:val="17"/>
          <w:sz w:val="32"/>
          <w:szCs w:val="32"/>
          <w:highlight w:val="none"/>
          <w:lang w:val="en-US" w:eastAsia="zh-CN"/>
        </w:rPr>
        <w:t>和</w:t>
      </w:r>
      <w:r>
        <w:rPr>
          <w:rFonts w:hint="default" w:ascii="Times New Roman" w:hAnsi="Times New Roman" w:eastAsia="仿宋_GB2312" w:cs="Times New Roman"/>
          <w:color w:val="000000"/>
          <w:spacing w:val="17"/>
          <w:sz w:val="32"/>
          <w:szCs w:val="32"/>
          <w:highlight w:val="none"/>
        </w:rPr>
        <w:t>行业标准</w:t>
      </w:r>
      <w:r>
        <w:rPr>
          <w:rFonts w:hint="eastAsia" w:ascii="Times New Roman" w:hAnsi="Times New Roman" w:eastAsia="仿宋_GB2312" w:cs="Times New Roman"/>
          <w:color w:val="000000"/>
          <w:spacing w:val="17"/>
          <w:sz w:val="32"/>
          <w:szCs w:val="32"/>
          <w:highlight w:val="none"/>
          <w:lang w:eastAsia="zh-CN"/>
        </w:rPr>
        <w:t>。</w:t>
      </w:r>
    </w:p>
    <w:p w14:paraId="47E15014">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计划标准。指以预先制定的目标、计划、预算、定额等作为评价标准。</w:t>
      </w:r>
    </w:p>
    <w:p w14:paraId="743C7C69">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行业标准。指参照国家公布的行业指标数据制定的评价标准。</w:t>
      </w:r>
    </w:p>
    <w:p w14:paraId="1E7DA93F">
      <w:pPr>
        <w:pStyle w:val="9"/>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82" w:name="_Toc21435"/>
      <w:r>
        <w:rPr>
          <w:rFonts w:hint="eastAsia" w:ascii="Times New Roman" w:hAnsi="Times New Roman" w:eastAsia="楷体_GB2312" w:cs="Times New Roman"/>
          <w:kern w:val="28"/>
          <w:sz w:val="32"/>
          <w:lang w:val="en-US" w:eastAsia="zh-CN"/>
        </w:rPr>
        <w:t>（三）绩效评价工作过程</w:t>
      </w:r>
      <w:bookmarkEnd w:id="82"/>
    </w:p>
    <w:p w14:paraId="56CC9EDE">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3" w:name="_Toc12862"/>
      <w:r>
        <w:rPr>
          <w:rFonts w:hint="eastAsia" w:ascii="Times New Roman" w:hAnsi="Times New Roman" w:eastAsia="仿宋_GB2312" w:cs="Times New Roman"/>
          <w:b/>
          <w:bCs/>
          <w:color w:val="000000"/>
          <w:spacing w:val="17"/>
          <w:sz w:val="32"/>
          <w:szCs w:val="32"/>
          <w:highlight w:val="none"/>
          <w:lang w:val="en-US" w:eastAsia="zh-CN"/>
        </w:rPr>
        <w:t>1.前期准备</w:t>
      </w:r>
      <w:bookmarkEnd w:id="83"/>
    </w:p>
    <w:p w14:paraId="7A217E12">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（1）成立绩效评价项目小组</w:t>
      </w:r>
    </w:p>
    <w:p w14:paraId="72F8B95E">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3F8CB9C5">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4" w:name="_Toc31571"/>
      <w:r>
        <w:rPr>
          <w:rFonts w:hint="eastAsia" w:ascii="Times New Roman" w:hAnsi="Times New Roman" w:eastAsia="仿宋_GB2312" w:cs="Times New Roman"/>
          <w:color w:val="000000"/>
          <w:spacing w:val="17"/>
          <w:sz w:val="32"/>
          <w:szCs w:val="32"/>
          <w:highlight w:val="none"/>
          <w:lang w:val="en-US" w:eastAsia="zh-CN"/>
        </w:rPr>
        <w:t>（2）开展前期调研</w:t>
      </w:r>
      <w:bookmarkEnd w:id="84"/>
    </w:p>
    <w:p w14:paraId="0C612F1F">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5" w:name="_Toc21240"/>
      <w:r>
        <w:rPr>
          <w:rFonts w:hint="eastAsia" w:ascii="Times New Roman" w:hAnsi="Times New Roman" w:eastAsia="仿宋_GB2312" w:cs="Times New Roman"/>
          <w:color w:val="000000"/>
          <w:spacing w:val="17"/>
          <w:sz w:val="32"/>
          <w:szCs w:val="32"/>
          <w:highlight w:val="none"/>
          <w:lang w:val="en-US" w:eastAsia="zh-CN"/>
        </w:rPr>
        <w:t>绩效评价项目小组依据此次绩效评价受委托内容，对拟评价的项目实施前期调研。通过调研对</w:t>
      </w:r>
      <w:r>
        <w:rPr>
          <w:rFonts w:hint="eastAsia" w:ascii="Times New Roman" w:hAnsi="Times New Roman" w:eastAsia="仿宋_GB2312" w:cs="Times New Roman"/>
          <w:color w:val="auto"/>
          <w:spacing w:val="17"/>
          <w:sz w:val="32"/>
          <w:szCs w:val="32"/>
          <w:highlight w:val="none"/>
          <w:lang w:val="en-US" w:eastAsia="zh-CN"/>
        </w:rPr>
        <w:t>化债资金项目</w:t>
      </w:r>
      <w:r>
        <w:rPr>
          <w:rFonts w:hint="eastAsia" w:ascii="Times New Roman" w:hAnsi="Times New Roman" w:eastAsia="仿宋_GB2312" w:cs="Times New Roman"/>
          <w:color w:val="000000"/>
          <w:spacing w:val="17"/>
          <w:sz w:val="32"/>
          <w:szCs w:val="32"/>
          <w:highlight w:val="none"/>
          <w:lang w:val="en-US" w:eastAsia="zh-CN"/>
        </w:rPr>
        <w:t>实施内容、目标信息、预算信息以及其他的一些项目基本信息，有了初步了解，为制定绩效评价工作方案做好准备。</w:t>
      </w:r>
      <w:bookmarkEnd w:id="85"/>
    </w:p>
    <w:p w14:paraId="6620DE0F">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6" w:name="_Toc27977"/>
      <w:r>
        <w:rPr>
          <w:rFonts w:hint="eastAsia" w:ascii="Times New Roman" w:hAnsi="Times New Roman" w:eastAsia="仿宋_GB2312" w:cs="Times New Roman"/>
          <w:color w:val="000000"/>
          <w:spacing w:val="17"/>
          <w:sz w:val="32"/>
          <w:szCs w:val="32"/>
          <w:highlight w:val="none"/>
          <w:lang w:val="en-US" w:eastAsia="zh-CN"/>
        </w:rPr>
        <w:t>（3）制订绩效评价工作方案</w:t>
      </w:r>
      <w:bookmarkEnd w:id="86"/>
    </w:p>
    <w:p w14:paraId="1AE72B70">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7" w:name="_Toc19659"/>
      <w:r>
        <w:rPr>
          <w:rFonts w:hint="eastAsia" w:ascii="Times New Roman" w:hAnsi="Times New Roman" w:eastAsia="仿宋_GB2312" w:cs="Times New Roman"/>
          <w:color w:val="000000"/>
          <w:spacing w:val="17"/>
          <w:sz w:val="32"/>
          <w:szCs w:val="32"/>
          <w:highlight w:val="none"/>
          <w:lang w:val="en-US" w:eastAsia="zh-CN"/>
        </w:rPr>
        <w:t>绩效评价项目小组根据有关规定和评价对象的特点以及前期调研收集的一些信息，拟定详细的绩效评价工作方案。</w:t>
      </w:r>
      <w:bookmarkEnd w:id="87"/>
    </w:p>
    <w:p w14:paraId="0F08E522">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8" w:name="_Toc11353"/>
      <w:r>
        <w:rPr>
          <w:rFonts w:hint="eastAsia" w:ascii="Times New Roman" w:hAnsi="Times New Roman" w:eastAsia="仿宋_GB2312" w:cs="Times New Roman"/>
          <w:b/>
          <w:bCs/>
          <w:color w:val="000000"/>
          <w:spacing w:val="17"/>
          <w:sz w:val="32"/>
          <w:szCs w:val="32"/>
          <w:highlight w:val="none"/>
          <w:lang w:val="en-US" w:eastAsia="zh-CN"/>
        </w:rPr>
        <w:t>2.具体实施</w:t>
      </w:r>
      <w:bookmarkEnd w:id="88"/>
    </w:p>
    <w:p w14:paraId="1200518B">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9" w:name="_Toc14111"/>
      <w:r>
        <w:rPr>
          <w:rFonts w:hint="eastAsia" w:ascii="Times New Roman" w:hAnsi="Times New Roman" w:eastAsia="仿宋_GB2312" w:cs="Times New Roman"/>
          <w:color w:val="000000"/>
          <w:spacing w:val="17"/>
          <w:sz w:val="32"/>
          <w:szCs w:val="32"/>
          <w:highlight w:val="none"/>
          <w:lang w:val="en-US" w:eastAsia="zh-CN"/>
        </w:rPr>
        <w:t>（1）收集基础资料</w:t>
      </w:r>
      <w:bookmarkEnd w:id="89"/>
    </w:p>
    <w:p w14:paraId="2E5ABA4A">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0" w:name="_Toc28524"/>
      <w:r>
        <w:rPr>
          <w:rFonts w:hint="eastAsia" w:ascii="Times New Roman" w:hAnsi="Times New Roman" w:eastAsia="仿宋_GB2312" w:cs="Times New Roman"/>
          <w:color w:val="000000"/>
          <w:spacing w:val="17"/>
          <w:sz w:val="32"/>
          <w:szCs w:val="32"/>
          <w:highlight w:val="none"/>
          <w:lang w:val="en-US" w:eastAsia="zh-CN"/>
        </w:rPr>
        <w:t>根据评价工作的需要和要求，在前期调研的基础上，通过多种渠道全面收集项目基础信息资料，主要包括：</w:t>
      </w:r>
      <w:bookmarkEnd w:id="90"/>
    </w:p>
    <w:p w14:paraId="13DEB386">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1" w:name="_Toc32216"/>
      <w:r>
        <w:rPr>
          <w:rFonts w:hint="eastAsia" w:ascii="Times New Roman" w:hAnsi="Times New Roman" w:eastAsia="仿宋_GB2312" w:cs="Times New Roman"/>
          <w:color w:val="000000"/>
          <w:spacing w:val="17"/>
          <w:sz w:val="32"/>
          <w:szCs w:val="32"/>
          <w:highlight w:val="none"/>
          <w:lang w:val="en-US" w:eastAsia="zh-CN"/>
        </w:rPr>
        <w:t>①被评价单位基本概况，如单位职能、事业发展规划、预决算情况、项目立项依据等；</w:t>
      </w:r>
      <w:bookmarkEnd w:id="91"/>
    </w:p>
    <w:p w14:paraId="32D6A5FA">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2" w:name="_Toc10505"/>
      <w:r>
        <w:rPr>
          <w:rFonts w:hint="eastAsia" w:ascii="Times New Roman" w:hAnsi="Times New Roman" w:eastAsia="仿宋_GB2312" w:cs="Times New Roman"/>
          <w:color w:val="000000"/>
          <w:spacing w:val="17"/>
          <w:sz w:val="32"/>
          <w:szCs w:val="32"/>
          <w:highlight w:val="none"/>
          <w:lang w:val="en-US" w:eastAsia="zh-CN"/>
        </w:rPr>
        <w:t>②绩效目标及其设立依据和调整情况；</w:t>
      </w:r>
      <w:bookmarkEnd w:id="92"/>
    </w:p>
    <w:p w14:paraId="14B40ABE">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3" w:name="_Toc28365"/>
      <w:r>
        <w:rPr>
          <w:rFonts w:hint="eastAsia" w:ascii="Times New Roman" w:hAnsi="Times New Roman" w:eastAsia="仿宋_GB2312" w:cs="Times New Roman"/>
          <w:color w:val="000000"/>
          <w:spacing w:val="17"/>
          <w:sz w:val="32"/>
          <w:szCs w:val="32"/>
          <w:highlight w:val="none"/>
          <w:lang w:val="en-US" w:eastAsia="zh-CN"/>
        </w:rPr>
        <w:t>③管理措施及组织实施情况；</w:t>
      </w:r>
      <w:bookmarkEnd w:id="93"/>
    </w:p>
    <w:p w14:paraId="0AD361C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4" w:name="_Toc10091"/>
      <w:r>
        <w:rPr>
          <w:rFonts w:hint="eastAsia" w:ascii="Times New Roman" w:hAnsi="Times New Roman" w:eastAsia="仿宋_GB2312" w:cs="Times New Roman"/>
          <w:color w:val="000000"/>
          <w:spacing w:val="17"/>
          <w:sz w:val="32"/>
          <w:szCs w:val="32"/>
          <w:highlight w:val="none"/>
          <w:lang w:val="en-US" w:eastAsia="zh-CN"/>
        </w:rPr>
        <w:t>④被评价单位总结分析的绩效目标完成情况及绩效报告；</w:t>
      </w:r>
      <w:bookmarkEnd w:id="94"/>
    </w:p>
    <w:p w14:paraId="1205D54E">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5" w:name="_Toc1"/>
      <w:r>
        <w:rPr>
          <w:rFonts w:hint="eastAsia" w:ascii="Times New Roman" w:hAnsi="Times New Roman" w:eastAsia="仿宋_GB2312" w:cs="Times New Roman"/>
          <w:color w:val="000000"/>
          <w:spacing w:val="17"/>
          <w:sz w:val="32"/>
          <w:szCs w:val="32"/>
          <w:highlight w:val="none"/>
          <w:lang w:val="en-US" w:eastAsia="zh-CN"/>
        </w:rPr>
        <w:t>⑤与绩效评价相关的计划标准、行业标准、历史标准等；</w:t>
      </w:r>
      <w:bookmarkEnd w:id="95"/>
    </w:p>
    <w:p w14:paraId="5AA8AFEB">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6" w:name="_Toc20059"/>
      <w:r>
        <w:rPr>
          <w:rFonts w:hint="eastAsia" w:ascii="Times New Roman" w:hAnsi="Times New Roman" w:eastAsia="仿宋_GB2312" w:cs="Times New Roman"/>
          <w:color w:val="000000"/>
          <w:spacing w:val="17"/>
          <w:sz w:val="32"/>
          <w:szCs w:val="32"/>
          <w:highlight w:val="none"/>
          <w:lang w:val="en-US" w:eastAsia="zh-CN"/>
        </w:rPr>
        <w:t>⑥其他必要的相关资料等。</w:t>
      </w:r>
      <w:bookmarkEnd w:id="96"/>
    </w:p>
    <w:p w14:paraId="083891B0">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7" w:name="_Toc31911"/>
      <w:r>
        <w:rPr>
          <w:rFonts w:hint="eastAsia" w:ascii="Times New Roman" w:hAnsi="Times New Roman" w:eastAsia="仿宋_GB2312" w:cs="Times New Roman"/>
          <w:color w:val="000000"/>
          <w:spacing w:val="17"/>
          <w:sz w:val="32"/>
          <w:szCs w:val="32"/>
          <w:highlight w:val="none"/>
          <w:lang w:val="en-US" w:eastAsia="zh-CN"/>
        </w:rPr>
        <w:t>（2）整理、研读基础资料</w:t>
      </w:r>
      <w:bookmarkEnd w:id="97"/>
    </w:p>
    <w:p w14:paraId="7B4358B1">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8" w:name="_Toc167"/>
      <w:r>
        <w:rPr>
          <w:rFonts w:hint="eastAsia" w:ascii="Times New Roman" w:hAnsi="Times New Roman" w:eastAsia="仿宋_GB2312" w:cs="Times New Roman"/>
          <w:color w:val="000000"/>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8"/>
    </w:p>
    <w:p w14:paraId="10079ACD">
      <w:pPr>
        <w:spacing w:line="560" w:lineRule="exact"/>
        <w:ind w:firstLine="711" w:firstLineChars="200"/>
        <w:rPr>
          <w:rFonts w:hint="default" w:ascii="Times New Roman" w:hAnsi="Times New Roman" w:eastAsia="仿宋_GB2312" w:cs="Times New Roman"/>
          <w:b/>
          <w:bCs/>
          <w:color w:val="000000"/>
          <w:spacing w:val="17"/>
          <w:sz w:val="32"/>
          <w:szCs w:val="32"/>
          <w:highlight w:val="none"/>
          <w:lang w:val="en-US" w:eastAsia="zh-CN"/>
        </w:rPr>
      </w:pPr>
      <w:bookmarkStart w:id="99" w:name="_Toc30513"/>
      <w:r>
        <w:rPr>
          <w:rFonts w:hint="eastAsia" w:ascii="Times New Roman" w:hAnsi="Times New Roman" w:eastAsia="仿宋_GB2312" w:cs="Times New Roman"/>
          <w:b/>
          <w:bCs/>
          <w:color w:val="000000"/>
          <w:spacing w:val="17"/>
          <w:sz w:val="32"/>
          <w:szCs w:val="32"/>
          <w:highlight w:val="none"/>
          <w:lang w:val="en-US" w:eastAsia="zh-CN"/>
        </w:rPr>
        <w:t>3.分析评价和撰写报告</w:t>
      </w:r>
      <w:bookmarkEnd w:id="99"/>
    </w:p>
    <w:p w14:paraId="09EC40D9">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0" w:name="_Toc15974"/>
      <w:r>
        <w:rPr>
          <w:rFonts w:hint="eastAsia"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1）综合分析评价</w:t>
      </w:r>
      <w:bookmarkEnd w:id="100"/>
    </w:p>
    <w:p w14:paraId="320BE673">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1" w:name="_Toc4352"/>
      <w:r>
        <w:rPr>
          <w:rFonts w:hint="eastAsia" w:ascii="Times New Roman" w:hAnsi="Times New Roman" w:eastAsia="仿宋_GB2312" w:cs="Times New Roman"/>
          <w:color w:val="000000"/>
          <w:spacing w:val="17"/>
          <w:sz w:val="32"/>
          <w:szCs w:val="32"/>
          <w:highlight w:val="none"/>
          <w:lang w:val="en-US" w:eastAsia="zh-CN"/>
        </w:rPr>
        <w:t>①根据所收集的基础资料，结合现场核查的有关情况，整理出绩效评价所需的项目材料和基础数据。</w:t>
      </w:r>
      <w:bookmarkEnd w:id="101"/>
    </w:p>
    <w:p w14:paraId="7EDDBB6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2" w:name="_Toc26231"/>
      <w:r>
        <w:rPr>
          <w:rFonts w:hint="eastAsia" w:ascii="Times New Roman" w:hAnsi="Times New Roman" w:eastAsia="仿宋_GB2312" w:cs="Times New Roman"/>
          <w:color w:val="000000"/>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2"/>
    </w:p>
    <w:p w14:paraId="0A2C1A5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3" w:name="_Toc27759"/>
      <w:r>
        <w:rPr>
          <w:rFonts w:hint="eastAsia" w:ascii="Times New Roman" w:hAnsi="Times New Roman" w:eastAsia="仿宋_GB2312" w:cs="Times New Roman"/>
          <w:color w:val="000000"/>
          <w:spacing w:val="17"/>
          <w:sz w:val="32"/>
          <w:szCs w:val="32"/>
          <w:highlight w:val="none"/>
          <w:lang w:val="en-US" w:eastAsia="zh-CN"/>
        </w:rPr>
        <w:t>（2）撰写报告</w:t>
      </w:r>
      <w:bookmarkEnd w:id="103"/>
    </w:p>
    <w:p w14:paraId="7439EAC9">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4" w:name="_Toc15579"/>
      <w:r>
        <w:rPr>
          <w:rFonts w:hint="eastAsia" w:ascii="Times New Roman" w:hAnsi="Times New Roman" w:eastAsia="仿宋_GB2312" w:cs="Times New Roman"/>
          <w:color w:val="000000"/>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4"/>
    </w:p>
    <w:p w14:paraId="354C044B">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105" w:name="_Toc1926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三、</w:t>
      </w:r>
      <w:r>
        <w:rPr>
          <w:rFonts w:hint="eastAsia" w:ascii="黑体" w:hAnsi="黑体" w:eastAsia="黑体" w:cs="黑体"/>
          <w:b w:val="0"/>
          <w:bCs w:val="0"/>
          <w:color w:val="000000" w:themeColor="text1"/>
          <w:highlight w:val="none"/>
          <w:shd w:val="clear" w:color="auto" w:fill="auto"/>
          <w14:textFill>
            <w14:solidFill>
              <w14:schemeClr w14:val="tx1"/>
            </w14:solidFill>
          </w14:textFill>
        </w:rPr>
        <w:t>综合评价情况及评价结论</w:t>
      </w:r>
      <w:bookmarkEnd w:id="105"/>
    </w:p>
    <w:p w14:paraId="2B2C3075">
      <w:pPr>
        <w:pStyle w:val="9"/>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highlight w:val="none"/>
          <w:lang w:val="en-US" w:eastAsia="zh-CN"/>
        </w:rPr>
      </w:pPr>
      <w:bookmarkStart w:id="106" w:name="_Toc23319"/>
      <w:r>
        <w:rPr>
          <w:rFonts w:hint="eastAsia" w:ascii="Times New Roman" w:hAnsi="Times New Roman" w:eastAsia="楷体_GB2312" w:cs="Times New Roman"/>
          <w:kern w:val="28"/>
          <w:sz w:val="32"/>
          <w:highlight w:val="none"/>
          <w:lang w:val="en-US" w:eastAsia="zh-CN"/>
        </w:rPr>
        <w:t>（一）综合评价情况及评价结论</w:t>
      </w:r>
      <w:bookmarkEnd w:id="106"/>
    </w:p>
    <w:p w14:paraId="283651BD">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eastAsia" w:ascii="Times New Roman" w:hAnsi="Times New Roman" w:eastAsia="仿宋_GB2312" w:cs="Times New Roman"/>
          <w:color w:val="auto"/>
          <w:sz w:val="32"/>
          <w:szCs w:val="32"/>
          <w:highlight w:val="none"/>
          <w:lang w:val="en-US" w:eastAsia="zh-CN"/>
        </w:rPr>
        <w:t>化债资金项目</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p w14:paraId="21ED12D8">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ascii="Times New Roman" w:hAnsi="Times New Roman" w:eastAsia="仿宋_GB2312" w:cs="Times New Roman"/>
          <w:color w:val="auto"/>
          <w:sz w:val="32"/>
          <w:szCs w:val="32"/>
          <w:highlight w:val="none"/>
          <w:lang w:val="en-US" w:eastAsia="zh-CN"/>
        </w:rPr>
        <w:t>阜康市水磨沟乡人民政府</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3CF8411E">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从项目效益的角度来看，本项目不仅实现了预期的社会效益方面产生了积极的影响。具体而</w:t>
      </w:r>
      <w:r>
        <w:rPr>
          <w:rFonts w:hint="eastAsia" w:ascii="Times New Roman" w:hAnsi="Times New Roman" w:eastAsia="仿宋_GB2312" w:cs="Times New Roman"/>
          <w:color w:val="auto"/>
          <w:sz w:val="32"/>
          <w:szCs w:val="32"/>
          <w:highlight w:val="none"/>
          <w:lang w:val="en-US" w:eastAsia="zh-CN"/>
        </w:rPr>
        <w:t>改善水磨沟乡各村农村人居环境，提升村民生活水平的效益</w:t>
      </w:r>
      <w:r>
        <w:rPr>
          <w:rFonts w:hint="default" w:ascii="Times New Roman" w:hAnsi="Times New Roman" w:eastAsia="仿宋_GB2312" w:cs="Times New Roman"/>
          <w:color w:val="auto"/>
          <w:sz w:val="32"/>
          <w:szCs w:val="32"/>
          <w:highlight w:val="none"/>
        </w:rPr>
        <w:t>等方面的提升，为项目的利益相关者带来了实实在在的利益。</w:t>
      </w:r>
    </w:p>
    <w:p w14:paraId="53984B78">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Fonts w:hint="eastAsia" w:ascii="Times New Roman" w:hAnsi="Times New Roman" w:eastAsia="仿宋_GB2312" w:cs="Times New Roman"/>
          <w:color w:val="auto"/>
          <w:sz w:val="32"/>
          <w:szCs w:val="32"/>
          <w:highlight w:val="none"/>
          <w:lang w:val="en-US" w:eastAsia="zh-CN"/>
        </w:rPr>
        <w:t>化债资金项目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评价等级为优</w:t>
      </w:r>
      <w:r>
        <w:rPr>
          <w:rFonts w:hint="default" w:ascii="Times New Roman" w:hAnsi="Times New Roman" w:eastAsia="仿宋_GB2312" w:cs="Times New Roman"/>
          <w:color w:val="auto"/>
          <w:sz w:val="32"/>
          <w:szCs w:val="32"/>
          <w:highlight w:val="none"/>
        </w:rPr>
        <w:t>。</w:t>
      </w:r>
    </w:p>
    <w:p w14:paraId="586F9276">
      <w:pPr>
        <w:pStyle w:val="9"/>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7" w:name="_Toc11863"/>
      <w:r>
        <w:rPr>
          <w:rFonts w:hint="eastAsia" w:ascii="Times New Roman" w:hAnsi="Times New Roman" w:eastAsia="楷体_GB2312" w:cs="Times New Roman"/>
          <w:color w:val="auto"/>
          <w:kern w:val="28"/>
          <w:sz w:val="32"/>
          <w:highlight w:val="none"/>
          <w:lang w:val="en-US" w:eastAsia="zh-CN"/>
        </w:rPr>
        <w:t>（二）相关评分表</w:t>
      </w:r>
      <w:bookmarkEnd w:id="107"/>
    </w:p>
    <w:p w14:paraId="68089A5A">
      <w:pPr>
        <w:spacing w:line="560" w:lineRule="exact"/>
        <w:ind w:firstLine="708" w:firstLineChars="200"/>
        <w:rPr>
          <w:rFonts w:hint="eastAsia" w:ascii="Times New Roman" w:hAnsi="Times New Roman" w:eastAsia="仿宋_GB2312" w:cs="Times New Roman"/>
          <w:color w:val="auto"/>
          <w:spacing w:val="17"/>
          <w:sz w:val="32"/>
          <w:szCs w:val="32"/>
          <w:highlight w:val="none"/>
          <w:lang w:val="zh-TW" w:eastAsia="zh-TW"/>
        </w:rPr>
      </w:pPr>
      <w:r>
        <w:rPr>
          <w:rFonts w:hint="eastAsia" w:ascii="Times New Roman" w:hAnsi="Times New Roman" w:eastAsia="仿宋_GB2312" w:cs="Times New Roman"/>
          <w:color w:val="auto"/>
          <w:spacing w:val="17"/>
          <w:sz w:val="32"/>
          <w:szCs w:val="32"/>
          <w:highlight w:val="none"/>
          <w:lang w:val="en-US" w:eastAsia="zh-CN"/>
        </w:rPr>
        <w:t>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lang w:val="en-US" w:eastAsia="zh-CN"/>
        </w:rPr>
        <w:t>采用的方法比较法、因素分析法、公众评判法，</w:t>
      </w:r>
      <w:r>
        <w:rPr>
          <w:rFonts w:hint="eastAsia" w:ascii="Times New Roman" w:hAnsi="Times New Roman" w:eastAsia="仿宋_GB2312" w:cs="Times New Roman"/>
          <w:color w:val="auto"/>
          <w:spacing w:val="17"/>
          <w:sz w:val="32"/>
          <w:szCs w:val="32"/>
          <w:highlight w:val="none"/>
          <w:lang w:val="zh-TW" w:eastAsia="zh-TW"/>
        </w:rPr>
        <w:t>对</w:t>
      </w:r>
      <w:r>
        <w:rPr>
          <w:rFonts w:hint="eastAsia" w:ascii="Times New Roman" w:hAnsi="Times New Roman" w:eastAsia="仿宋_GB2312" w:cs="Times New Roman"/>
          <w:color w:val="auto"/>
          <w:spacing w:val="17"/>
          <w:sz w:val="32"/>
          <w:szCs w:val="32"/>
          <w:highlight w:val="none"/>
          <w:lang w:val="en-US" w:eastAsia="zh-CN"/>
        </w:rPr>
        <w:t>化债资金项目</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分，属于“优”</w:t>
      </w:r>
      <w:r>
        <w:rPr>
          <w:rFonts w:hint="default" w:ascii="Times New Roman" w:hAnsi="Times New Roman" w:eastAsia="仿宋_GB2312" w:cs="Times New Roman"/>
          <w:color w:val="000000"/>
          <w:spacing w:val="17"/>
          <w:sz w:val="32"/>
          <w:szCs w:val="32"/>
          <w:highlight w:val="none"/>
          <w:lang w:val="en-US" w:eastAsia="zh-CN"/>
        </w:rPr>
        <w:t>。其中，项目决策类指标权重为20分，得分为</w:t>
      </w:r>
      <w:r>
        <w:rPr>
          <w:rFonts w:hint="eastAsia" w:ascii="Times New Roman" w:hAnsi="Times New Roman" w:eastAsia="仿宋_GB2312" w:cs="Times New Roman"/>
          <w:color w:val="000000"/>
          <w:spacing w:val="17"/>
          <w:sz w:val="32"/>
          <w:szCs w:val="32"/>
          <w:highlight w:val="none"/>
          <w:lang w:val="en-US" w:eastAsia="zh-CN"/>
        </w:rPr>
        <w:t>18</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90</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40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shd w:val="clear"/>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zh-TW" w:eastAsia="zh-TW"/>
        </w:rPr>
        <w:t>：</w:t>
      </w:r>
    </w:p>
    <w:tbl>
      <w:tblPr>
        <w:tblStyle w:val="10"/>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0015C37E">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5CC06E6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w:t>
            </w:r>
            <w:r>
              <w:rPr>
                <w:rFonts w:hint="eastAsia" w:cs="宋体"/>
                <w:b/>
                <w:bCs/>
                <w:color w:val="auto"/>
                <w:kern w:val="0"/>
                <w:sz w:val="28"/>
                <w:szCs w:val="28"/>
                <w:highlight w:val="none"/>
                <w:shd w:val="clear" w:color="auto" w:fill="auto"/>
                <w:lang w:val="en-US" w:eastAsia="zh-CN"/>
              </w:rPr>
              <w:t>化债资金项目</w:t>
            </w:r>
            <w:r>
              <w:rPr>
                <w:rFonts w:hint="eastAsia" w:ascii="宋体" w:hAnsi="宋体" w:eastAsia="宋体" w:cs="宋体"/>
                <w:b/>
                <w:bCs/>
                <w:color w:val="auto"/>
                <w:kern w:val="0"/>
                <w:sz w:val="28"/>
                <w:szCs w:val="28"/>
                <w:highlight w:val="none"/>
                <w:shd w:val="clear" w:color="auto" w:fill="auto"/>
                <w:lang w:val="en-US" w:eastAsia="zh-CN"/>
              </w:rPr>
              <w:t>得分表</w:t>
            </w:r>
          </w:p>
        </w:tc>
      </w:tr>
      <w:tr w14:paraId="234C2D77">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D0E8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FA0C8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49F00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888D3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24CCC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E4B47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76A3D3E4">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5FB3A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72790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4F868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BFD1D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D6203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347B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100CA935">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5517C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146CC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18</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E2A0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F8E47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8B7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8970C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98</w:t>
            </w:r>
          </w:p>
        </w:tc>
      </w:tr>
      <w:tr w14:paraId="11FB413D">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1D48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93B5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01B53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563B3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061CC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97FF2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98</w:t>
            </w:r>
            <w:r>
              <w:rPr>
                <w:rFonts w:hint="eastAsia" w:ascii="宋体" w:hAnsi="宋体" w:eastAsia="宋体" w:cs="宋体"/>
                <w:color w:val="auto"/>
                <w:kern w:val="0"/>
                <w:sz w:val="21"/>
                <w:szCs w:val="21"/>
                <w:highlight w:val="none"/>
                <w:shd w:val="clear" w:color="auto" w:fill="auto"/>
                <w:lang w:val="en-US" w:eastAsia="zh-CN"/>
              </w:rPr>
              <w:t>%</w:t>
            </w:r>
          </w:p>
        </w:tc>
      </w:tr>
    </w:tbl>
    <w:p w14:paraId="50B44199">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08" w:name="_Toc1494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四、绩效评价指标分析</w:t>
      </w:r>
      <w:bookmarkEnd w:id="108"/>
    </w:p>
    <w:p w14:paraId="5A46330D">
      <w:pPr>
        <w:pStyle w:val="9"/>
        <w:widowControl/>
        <w:spacing w:before="0" w:beforeLines="-2147483648" w:after="0" w:afterLines="-2147483648" w:line="560" w:lineRule="exact"/>
        <w:ind w:firstLine="643" w:firstLineChars="200"/>
        <w:jc w:val="both"/>
        <w:rPr>
          <w:rFonts w:hint="eastAsia" w:ascii="Times New Roman" w:hAnsi="Times New Roman" w:eastAsia="楷体_GB2312" w:cs="Times New Roman"/>
          <w:kern w:val="28"/>
          <w:sz w:val="32"/>
          <w:highlight w:val="none"/>
        </w:rPr>
      </w:pPr>
      <w:bookmarkStart w:id="109" w:name="_Toc6759"/>
      <w:r>
        <w:rPr>
          <w:rFonts w:hint="eastAsia" w:ascii="Times New Roman" w:hAnsi="Times New Roman" w:eastAsia="楷体_GB2312" w:cs="Times New Roman"/>
          <w:kern w:val="28"/>
          <w:sz w:val="32"/>
          <w:highlight w:val="none"/>
        </w:rPr>
        <w:t>（一）项目决策情况</w:t>
      </w:r>
      <w:bookmarkEnd w:id="109"/>
    </w:p>
    <w:p w14:paraId="74834E49">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项目决策由3个二级指标和6个三级指标构成，权重分20分，实际得分18分，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628DB1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表</w:t>
      </w:r>
      <w:r>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t>4-1</w:t>
      </w: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项目决策指标及分值</w:t>
      </w:r>
    </w:p>
    <w:tbl>
      <w:tblPr>
        <w:tblStyle w:val="10"/>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005B27FA">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E5A04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0BA33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C08A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4790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FE0C8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110F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33D1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64C98A09">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BA98D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1F1C6E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CEE03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2EB68F1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F44D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98CC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4D7EF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w:t>
            </w:r>
          </w:p>
        </w:tc>
      </w:tr>
      <w:tr w14:paraId="79386A2E">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CE1B6A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D2610C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224EB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A3BF8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88743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FDF5A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8C315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6AF64A7E">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2F97DE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68F5AC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00A42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8FFEE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4ACB3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77954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9115D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5E66DB71">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232D6F4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26830E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7DD01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BD957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B70A5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961F7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1649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16D6475B">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2FED847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476404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0663C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3E1B9D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AF747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8EC35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F3AA8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4EF5F980">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5B450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2C65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F859B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96CEB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2B7E0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F37A1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F559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791E9B76">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EE29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A1F7A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9395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89BC7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35244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18</w:t>
            </w:r>
          </w:p>
        </w:tc>
      </w:tr>
    </w:tbl>
    <w:p w14:paraId="67352E41">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highlight w:val="none"/>
          <w:lang w:val="en-US" w:eastAsia="zh-CN"/>
        </w:rPr>
      </w:pPr>
      <w:bookmarkStart w:id="110" w:name="_Toc28069"/>
      <w:bookmarkStart w:id="111" w:name="_Toc13522"/>
      <w:r>
        <w:rPr>
          <w:rFonts w:hint="eastAsia" w:ascii="仿宋_GB2312" w:hAnsi="仿宋_GB2312" w:eastAsia="仿宋_GB2312" w:cs="仿宋_GB2312"/>
          <w:b/>
          <w:bCs/>
          <w:sz w:val="32"/>
          <w:szCs w:val="32"/>
          <w:highlight w:val="none"/>
          <w:lang w:val="en-US" w:eastAsia="zh-CN"/>
        </w:rPr>
        <w:t>1.立项依据充分性</w:t>
      </w:r>
      <w:bookmarkEnd w:id="110"/>
      <w:bookmarkEnd w:id="111"/>
    </w:p>
    <w:p w14:paraId="52957BD4">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①项目立项符合《阜康市地方政府债务清理化解工作实施方案》（2023-2025年度）文件批复，</w:t>
      </w:r>
      <w:r>
        <w:rPr>
          <w:rFonts w:hint="eastAsia" w:ascii="仿宋_GB2312" w:hAnsi="仿宋_GB2312" w:eastAsia="仿宋_GB2312" w:cs="仿宋_GB2312"/>
          <w:color w:val="auto"/>
          <w:sz w:val="32"/>
          <w:szCs w:val="32"/>
          <w:highlight w:val="none"/>
          <w:lang w:val="en-US" w:eastAsia="zh-CN"/>
        </w:rPr>
        <w:t>无具体的相关立项批复扣1分。</w:t>
      </w:r>
    </w:p>
    <w:p w14:paraId="7F563D1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②项目立项符合《阜康市地方政府债务清理化解工作实施方案》（2023-2025年度）；</w:t>
      </w:r>
    </w:p>
    <w:p w14:paraId="5C626D5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③项目立项与</w:t>
      </w:r>
      <w:r>
        <w:rPr>
          <w:rFonts w:hint="eastAsia" w:ascii="仿宋_GB2312" w:hAnsi="仿宋_GB2312" w:eastAsia="仿宋_GB2312" w:cs="仿宋_GB2312"/>
          <w:color w:val="auto"/>
          <w:sz w:val="32"/>
          <w:szCs w:val="32"/>
          <w:highlight w:val="none"/>
          <w:lang w:val="en-US" w:eastAsia="zh-CN"/>
        </w:rPr>
        <w:t>水磨沟乡人民政府需执行行政辖区内经济和社会发展计划、预算</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管理行政辖区内的经济、教育、科学等事业和财政、社会保障等行政工作相符合，</w:t>
      </w:r>
      <w:r>
        <w:rPr>
          <w:rFonts w:hint="eastAsia" w:ascii="仿宋_GB2312" w:hAnsi="仿宋_GB2312" w:eastAsia="仿宋_GB2312" w:cs="仿宋_GB2312"/>
          <w:color w:val="auto"/>
          <w:sz w:val="32"/>
          <w:szCs w:val="32"/>
          <w:highlight w:val="none"/>
          <w:lang w:eastAsia="zh-CN"/>
        </w:rPr>
        <w:t>属于部门履职所需；</w:t>
      </w:r>
    </w:p>
    <w:p w14:paraId="55B9D74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④项目属于公共财政支持范围，符合《</w:t>
      </w:r>
      <w:r>
        <w:rPr>
          <w:rFonts w:hint="eastAsia" w:ascii="仿宋_GB2312" w:hAnsi="仿宋_GB2312" w:eastAsia="仿宋_GB2312" w:cs="仿宋_GB2312"/>
          <w:color w:val="auto"/>
          <w:sz w:val="32"/>
          <w:szCs w:val="32"/>
          <w:highlight w:val="none"/>
          <w:lang w:val="en-US" w:eastAsia="zh-CN"/>
        </w:rPr>
        <w:t>国务院关于推进中央与地方财政石泉和支出责任划分改革的指导意见</w:t>
      </w:r>
      <w:r>
        <w:rPr>
          <w:rFonts w:hint="eastAsia" w:ascii="仿宋_GB2312" w:hAnsi="仿宋_GB2312" w:eastAsia="仿宋_GB2312" w:cs="仿宋_GB2312"/>
          <w:color w:val="auto"/>
          <w:sz w:val="32"/>
          <w:szCs w:val="32"/>
          <w:highlight w:val="none"/>
          <w:lang w:eastAsia="zh-CN"/>
        </w:rPr>
        <w:t>》；</w:t>
      </w:r>
    </w:p>
    <w:p w14:paraId="6454DE0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⑤项目与相关部门同类项目、部门内部相关项目</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重复。</w:t>
      </w:r>
    </w:p>
    <w:p w14:paraId="5D162C7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综上，该项指标满分2分，得分1分。</w:t>
      </w:r>
    </w:p>
    <w:p w14:paraId="774D2D48">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2" w:name="_Toc21976"/>
      <w:bookmarkStart w:id="113" w:name="_Toc23240"/>
      <w:r>
        <w:rPr>
          <w:rFonts w:hint="eastAsia" w:ascii="仿宋_GB2312" w:hAnsi="仿宋_GB2312" w:eastAsia="仿宋_GB2312" w:cs="仿宋_GB2312"/>
          <w:b/>
          <w:bCs/>
          <w:color w:val="auto"/>
          <w:sz w:val="32"/>
          <w:szCs w:val="32"/>
          <w:highlight w:val="none"/>
          <w:lang w:val="en-US" w:eastAsia="zh-CN"/>
        </w:rPr>
        <w:t>2.立项程序规范性</w:t>
      </w:r>
      <w:bookmarkEnd w:id="112"/>
      <w:bookmarkEnd w:id="113"/>
    </w:p>
    <w:p w14:paraId="5825F19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①项目按照规定的程序申请设立；</w:t>
      </w:r>
    </w:p>
    <w:p w14:paraId="4627B9C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②审批文件、材料符合相关要求；</w:t>
      </w:r>
    </w:p>
    <w:p w14:paraId="68B1F5CF">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③事前经过必要的风险评估、绩效评估、集体决策。</w:t>
      </w:r>
      <w:r>
        <w:rPr>
          <w:rFonts w:hint="eastAsia" w:ascii="仿宋_GB2312" w:hAnsi="仿宋_GB2312" w:eastAsia="仿宋_GB2312" w:cs="仿宋_GB2312"/>
          <w:sz w:val="32"/>
          <w:szCs w:val="32"/>
          <w:highlight w:val="none"/>
          <w:lang w:val="en-US" w:eastAsia="zh-CN"/>
        </w:rPr>
        <w:t>无可行性研究报告、专家论证，扣1分。</w:t>
      </w:r>
    </w:p>
    <w:p w14:paraId="7E5C2A5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sz w:val="32"/>
          <w:szCs w:val="32"/>
          <w:highlight w:val="none"/>
          <w:lang w:val="en-US" w:eastAsia="zh-CN"/>
        </w:rPr>
        <w:t>综上，该项指标满分</w:t>
      </w:r>
      <w:r>
        <w:rPr>
          <w:rFonts w:hint="eastAsia" w:ascii="仿宋_GB2312" w:hAnsi="仿宋_GB2312" w:eastAsia="仿宋_GB2312" w:cs="仿宋_GB2312"/>
          <w:b/>
          <w:bCs/>
          <w:color w:val="auto"/>
          <w:sz w:val="32"/>
          <w:szCs w:val="32"/>
          <w:highlight w:val="none"/>
          <w:lang w:val="en-US" w:eastAsia="zh-CN"/>
        </w:rPr>
        <w:t>3分，得分2分。</w:t>
      </w:r>
    </w:p>
    <w:p w14:paraId="545EC1F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4" w:name="_Toc15382"/>
      <w:bookmarkStart w:id="115" w:name="_Toc23542"/>
      <w:r>
        <w:rPr>
          <w:rFonts w:hint="eastAsia" w:ascii="仿宋_GB2312" w:hAnsi="仿宋_GB2312" w:eastAsia="仿宋_GB2312" w:cs="仿宋_GB2312"/>
          <w:b/>
          <w:bCs/>
          <w:color w:val="auto"/>
          <w:sz w:val="32"/>
          <w:szCs w:val="32"/>
          <w:highlight w:val="none"/>
          <w:lang w:val="en-US" w:eastAsia="zh-CN"/>
        </w:rPr>
        <w:t>3.绩效目标合理性</w:t>
      </w:r>
      <w:bookmarkEnd w:id="114"/>
      <w:bookmarkEnd w:id="115"/>
    </w:p>
    <w:p w14:paraId="3BC6891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①该项目已设置年度绩效目标。</w:t>
      </w:r>
    </w:p>
    <w:p w14:paraId="5F34D4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②该项目实际工作内容为：本项目完成支付工程款项目数量</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eastAsia="zh-CN"/>
        </w:rPr>
        <w:t>个，涉及行政村、社区</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CN"/>
        </w:rPr>
        <w:t>个。绩效目标与实际工作内容一致，两者具有相关性。</w:t>
      </w:r>
    </w:p>
    <w:p w14:paraId="60ABFFD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③该项目按照绩效目标完成数量指标、质量指标、时效指标、成本指标，完成了有效改善水磨沟乡各村农村人居环境，达到提升村民生活水平的效益，预期产出效益和效果符合正常的业绩水平。</w:t>
      </w:r>
    </w:p>
    <w:p w14:paraId="1D69075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④《项目支出绩效目标表》中预算金额为</w:t>
      </w:r>
      <w:r>
        <w:rPr>
          <w:rFonts w:hint="eastAsia" w:ascii="仿宋_GB2312" w:hAnsi="仿宋_GB2312" w:eastAsia="仿宋_GB2312" w:cs="仿宋_GB2312"/>
          <w:color w:val="auto"/>
          <w:sz w:val="32"/>
          <w:szCs w:val="32"/>
          <w:highlight w:val="none"/>
          <w:lang w:val="en-US" w:eastAsia="zh-CN"/>
        </w:rPr>
        <w:t>222.51</w:t>
      </w:r>
      <w:r>
        <w:rPr>
          <w:rFonts w:hint="eastAsia" w:ascii="仿宋_GB2312" w:hAnsi="仿宋_GB2312" w:eastAsia="仿宋_GB2312" w:cs="仿宋_GB2312"/>
          <w:color w:val="auto"/>
          <w:sz w:val="32"/>
          <w:szCs w:val="32"/>
          <w:highlight w:val="none"/>
          <w:lang w:eastAsia="zh-CN"/>
        </w:rPr>
        <w:t>万元，预算确定的项目资金与预算确定的项目投资额相匹配。</w:t>
      </w:r>
    </w:p>
    <w:p w14:paraId="42E1870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4203878C">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highlight w:val="none"/>
          <w:lang w:val="en-US" w:eastAsia="zh-CN"/>
        </w:rPr>
      </w:pPr>
      <w:bookmarkStart w:id="116" w:name="_Toc10650"/>
      <w:bookmarkStart w:id="117" w:name="_Toc18198"/>
      <w:r>
        <w:rPr>
          <w:rFonts w:hint="eastAsia" w:ascii="仿宋_GB2312" w:hAnsi="仿宋_GB2312" w:eastAsia="仿宋_GB2312" w:cs="仿宋_GB2312"/>
          <w:b/>
          <w:bCs/>
          <w:sz w:val="32"/>
          <w:szCs w:val="32"/>
          <w:highlight w:val="none"/>
          <w:lang w:val="en-US" w:eastAsia="zh-CN"/>
        </w:rPr>
        <w:t>4.绩效指标明确性</w:t>
      </w:r>
      <w:bookmarkEnd w:id="116"/>
      <w:bookmarkEnd w:id="117"/>
    </w:p>
    <w:p w14:paraId="4F9A1D6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sz w:val="32"/>
          <w:szCs w:val="32"/>
          <w:highlight w:val="none"/>
          <w:lang w:eastAsia="zh-CN"/>
        </w:rPr>
        <w:t>①将项目绩效目标细化分解为具体的绩效指标，</w:t>
      </w:r>
      <w:r>
        <w:rPr>
          <w:rFonts w:hint="eastAsia" w:ascii="仿宋_GB2312" w:hAnsi="仿宋_GB2312" w:eastAsia="仿宋_GB2312" w:cs="仿宋_GB2312"/>
          <w:sz w:val="32"/>
          <w:szCs w:val="32"/>
          <w:highlight w:val="none"/>
          <w:lang w:val="en-US" w:eastAsia="zh-CN"/>
        </w:rPr>
        <w:t>其中三级指标共计</w:t>
      </w:r>
      <w:r>
        <w:rPr>
          <w:rFonts w:hint="eastAsia" w:ascii="仿宋_GB2312" w:hAnsi="仿宋_GB2312" w:eastAsia="仿宋_GB2312" w:cs="仿宋_GB2312"/>
          <w:color w:val="auto"/>
          <w:sz w:val="32"/>
          <w:szCs w:val="32"/>
          <w:highlight w:val="none"/>
          <w:lang w:val="en-US" w:eastAsia="zh-CN"/>
        </w:rPr>
        <w:t>10个</w:t>
      </w:r>
      <w:r>
        <w:rPr>
          <w:rFonts w:hint="eastAsia" w:ascii="仿宋_GB2312" w:hAnsi="仿宋_GB2312" w:eastAsia="仿宋_GB2312" w:cs="仿宋_GB2312"/>
          <w:color w:val="auto"/>
          <w:sz w:val="32"/>
          <w:szCs w:val="32"/>
          <w:highlight w:val="none"/>
          <w:lang w:eastAsia="zh-CN"/>
        </w:rPr>
        <w:t>；</w:t>
      </w:r>
    </w:p>
    <w:p w14:paraId="0D3823D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②通过清晰、可衡量的指标值予以体现，</w:t>
      </w:r>
      <w:r>
        <w:rPr>
          <w:rFonts w:hint="eastAsia" w:ascii="仿宋_GB2312" w:hAnsi="仿宋_GB2312" w:eastAsia="仿宋_GB2312" w:cs="仿宋_GB2312"/>
          <w:color w:val="auto"/>
          <w:sz w:val="32"/>
          <w:szCs w:val="32"/>
          <w:highlight w:val="none"/>
          <w:lang w:val="en-US" w:eastAsia="zh-CN"/>
        </w:rPr>
        <w:t>量化率达到80%</w:t>
      </w:r>
      <w:r>
        <w:rPr>
          <w:rFonts w:hint="eastAsia" w:ascii="仿宋_GB2312" w:hAnsi="仿宋_GB2312" w:eastAsia="仿宋_GB2312" w:cs="仿宋_GB2312"/>
          <w:color w:val="auto"/>
          <w:sz w:val="32"/>
          <w:szCs w:val="32"/>
          <w:highlight w:val="none"/>
          <w:lang w:eastAsia="zh-CN"/>
        </w:rPr>
        <w:t>；</w:t>
      </w:r>
    </w:p>
    <w:p w14:paraId="18293A5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③《项目绩效目标申报表》中，三级指标的年度指标值与年度绩效目标中任务数一致。</w:t>
      </w:r>
    </w:p>
    <w:p w14:paraId="67AF207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已设置的绩效目标具备明确性、可衡量性、可实现性、相关性、时限性。</w:t>
      </w:r>
    </w:p>
    <w:p w14:paraId="74DF9D8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3D3D9DAF">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8" w:name="_Toc19401"/>
      <w:bookmarkStart w:id="119" w:name="_Toc8296"/>
      <w:r>
        <w:rPr>
          <w:rFonts w:hint="eastAsia" w:ascii="仿宋_GB2312" w:hAnsi="仿宋_GB2312" w:eastAsia="仿宋_GB2312" w:cs="仿宋_GB2312"/>
          <w:b/>
          <w:bCs/>
          <w:color w:val="auto"/>
          <w:sz w:val="32"/>
          <w:szCs w:val="32"/>
          <w:highlight w:val="none"/>
          <w:lang w:val="en-US" w:eastAsia="zh-CN"/>
        </w:rPr>
        <w:t>5.预算编制科学性</w:t>
      </w:r>
      <w:bookmarkEnd w:id="118"/>
      <w:bookmarkEnd w:id="119"/>
    </w:p>
    <w:p w14:paraId="4274601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lang w:val="en-US" w:eastAsia="zh-CN"/>
        </w:rPr>
        <w:t>根据项目预算批复，项目的</w:t>
      </w:r>
      <w:r>
        <w:rPr>
          <w:rFonts w:hint="eastAsia" w:ascii="仿宋_GB2312" w:hAnsi="仿宋_GB2312" w:eastAsia="仿宋_GB2312" w:cs="仿宋_GB2312"/>
          <w:color w:val="auto"/>
          <w:sz w:val="32"/>
          <w:szCs w:val="32"/>
          <w:highlight w:val="none"/>
          <w:lang w:eastAsia="zh-CN"/>
        </w:rPr>
        <w:t>预算编制经过科学论证；</w:t>
      </w:r>
    </w:p>
    <w:p w14:paraId="15AD9AA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②</w:t>
      </w:r>
      <w:r>
        <w:rPr>
          <w:rFonts w:hint="eastAsia" w:ascii="仿宋_GB2312" w:hAnsi="仿宋_GB2312" w:eastAsia="仿宋_GB2312" w:cs="仿宋_GB2312"/>
          <w:color w:val="auto"/>
          <w:sz w:val="32"/>
          <w:szCs w:val="32"/>
          <w:highlight w:val="none"/>
          <w:lang w:eastAsia="zh-CN"/>
        </w:rPr>
        <w:t>预算申请内容为支付工程款项目数量</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eastAsia="zh-CN"/>
        </w:rPr>
        <w:t>个，涉及行政村、社区</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CN"/>
        </w:rPr>
        <w:t>个，项目实际内容为支付工程款项目数量</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eastAsia="zh-CN"/>
        </w:rPr>
        <w:t>个，涉及行政村、社区</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CN"/>
        </w:rPr>
        <w:t>个，</w:t>
      </w:r>
      <w:r>
        <w:rPr>
          <w:rFonts w:hint="eastAsia" w:ascii="仿宋_GB2312" w:hAnsi="仿宋_GB2312" w:eastAsia="仿宋_GB2312" w:cs="仿宋_GB2312"/>
          <w:sz w:val="32"/>
          <w:szCs w:val="32"/>
          <w:highlight w:val="none"/>
          <w:lang w:eastAsia="zh-CN"/>
        </w:rPr>
        <w:t>预算申请与项目内容匹配；</w:t>
      </w:r>
    </w:p>
    <w:p w14:paraId="4F7EBC7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③</w:t>
      </w:r>
      <w:r>
        <w:rPr>
          <w:rFonts w:hint="eastAsia" w:ascii="仿宋_GB2312" w:hAnsi="仿宋_GB2312" w:eastAsia="仿宋_GB2312" w:cs="仿宋_GB2312"/>
          <w:color w:val="auto"/>
          <w:sz w:val="32"/>
          <w:szCs w:val="32"/>
          <w:highlight w:val="none"/>
          <w:lang w:eastAsia="zh-CN"/>
        </w:rPr>
        <w:t>项目预算申请资金</w:t>
      </w:r>
      <w:r>
        <w:rPr>
          <w:rFonts w:hint="eastAsia" w:ascii="仿宋_GB2312" w:hAnsi="仿宋_GB2312" w:eastAsia="仿宋_GB2312" w:cs="仿宋_GB2312"/>
          <w:color w:val="auto"/>
          <w:sz w:val="32"/>
          <w:szCs w:val="32"/>
          <w:highlight w:val="none"/>
          <w:lang w:val="en-US" w:eastAsia="zh-CN"/>
        </w:rPr>
        <w:t>222.51万</w:t>
      </w:r>
      <w:r>
        <w:rPr>
          <w:rFonts w:hint="eastAsia" w:ascii="仿宋_GB2312" w:hAnsi="仿宋_GB2312" w:eastAsia="仿宋_GB2312" w:cs="仿宋_GB2312"/>
          <w:color w:val="auto"/>
          <w:sz w:val="32"/>
          <w:szCs w:val="32"/>
          <w:highlight w:val="none"/>
          <w:lang w:eastAsia="zh-CN"/>
        </w:rPr>
        <w:t>元，我单位在预算申请中严格按照项目实施内容及测算标准进行核算，其中：</w:t>
      </w:r>
      <w:r>
        <w:rPr>
          <w:rFonts w:hint="eastAsia" w:ascii="仿宋_GB2312" w:hAnsi="仿宋_GB2312" w:eastAsia="仿宋_GB2312" w:cs="仿宋_GB2312"/>
          <w:color w:val="auto"/>
          <w:sz w:val="32"/>
          <w:szCs w:val="32"/>
          <w:highlight w:val="none"/>
          <w:lang w:val="en-US" w:eastAsia="zh-CN"/>
        </w:rPr>
        <w:t>水磨沟乡2017年改善农村人居环境建设项目-山泉村乡村旅游开发-供水管网建设项目第六标段、3.9公里石头路项目（第一标段）支付47.92万元；水磨沟乡水磨河社区小洪沟片区基层阵地建设项目支付34.89万元；新疆环宇测绘有限公司2017-2023年项目测绘费支付37.68万元；。共计222.51万元；供水管网项目支付102.02万元</w:t>
      </w:r>
      <w:r>
        <w:rPr>
          <w:rFonts w:hint="eastAsia" w:ascii="仿宋_GB2312" w:hAnsi="仿宋_GB2312" w:eastAsia="仿宋_GB2312" w:cs="仿宋_GB2312"/>
          <w:color w:val="auto"/>
          <w:sz w:val="32"/>
          <w:szCs w:val="32"/>
          <w:highlight w:val="none"/>
          <w:lang w:eastAsia="zh-CN"/>
        </w:rPr>
        <w:t>。</w:t>
      </w:r>
    </w:p>
    <w:p w14:paraId="2422A51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④</w:t>
      </w:r>
      <w:r>
        <w:rPr>
          <w:rFonts w:hint="eastAsia" w:ascii="仿宋_GB2312" w:hAnsi="仿宋_GB2312" w:eastAsia="仿宋_GB2312" w:cs="仿宋_GB2312"/>
          <w:sz w:val="32"/>
          <w:szCs w:val="32"/>
          <w:highlight w:val="none"/>
          <w:lang w:eastAsia="zh-CN"/>
        </w:rPr>
        <w:t>预算确定资金量与实际工作任务相匹配。项目预算额度测算依据充分，严格按照标准编制，项目资金量与</w:t>
      </w:r>
      <w:r>
        <w:rPr>
          <w:rFonts w:hint="eastAsia" w:ascii="仿宋_GB2312" w:hAnsi="仿宋_GB2312" w:eastAsia="仿宋_GB2312" w:cs="仿宋_GB2312"/>
          <w:sz w:val="32"/>
          <w:szCs w:val="32"/>
          <w:highlight w:val="none"/>
          <w:lang w:val="en-US" w:eastAsia="zh-CN"/>
        </w:rPr>
        <w:t>项目实施内容</w:t>
      </w:r>
      <w:r>
        <w:rPr>
          <w:rFonts w:hint="eastAsia" w:ascii="仿宋_GB2312" w:hAnsi="仿宋_GB2312" w:eastAsia="仿宋_GB2312" w:cs="仿宋_GB2312"/>
          <w:sz w:val="32"/>
          <w:szCs w:val="32"/>
          <w:highlight w:val="none"/>
          <w:lang w:eastAsia="zh-CN"/>
        </w:rPr>
        <w:t>相匹配。</w:t>
      </w:r>
    </w:p>
    <w:p w14:paraId="40D56F8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sz w:val="32"/>
          <w:szCs w:val="32"/>
          <w:highlight w:val="none"/>
          <w:lang w:val="en-US" w:eastAsia="zh-CN"/>
        </w:rPr>
        <w:t>综上，该项指标满分</w:t>
      </w:r>
      <w:r>
        <w:rPr>
          <w:rFonts w:hint="eastAsia" w:ascii="仿宋_GB2312" w:hAnsi="仿宋_GB2312" w:eastAsia="仿宋_GB2312" w:cs="仿宋_GB2312"/>
          <w:b/>
          <w:bCs/>
          <w:color w:val="auto"/>
          <w:sz w:val="32"/>
          <w:szCs w:val="32"/>
          <w:highlight w:val="none"/>
          <w:lang w:val="en-US" w:eastAsia="zh-CN"/>
        </w:rPr>
        <w:t>2分，得分2分。</w:t>
      </w:r>
    </w:p>
    <w:p w14:paraId="001F7923">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0" w:name="_Toc20556"/>
      <w:bookmarkStart w:id="121" w:name="_Toc697"/>
      <w:r>
        <w:rPr>
          <w:rFonts w:hint="eastAsia" w:ascii="仿宋_GB2312" w:hAnsi="仿宋_GB2312" w:eastAsia="仿宋_GB2312" w:cs="仿宋_GB2312"/>
          <w:b/>
          <w:bCs/>
          <w:color w:val="auto"/>
          <w:sz w:val="32"/>
          <w:szCs w:val="32"/>
          <w:highlight w:val="none"/>
          <w:lang w:val="en-US" w:eastAsia="zh-CN"/>
        </w:rPr>
        <w:t>6.资金分配合理性</w:t>
      </w:r>
      <w:bookmarkEnd w:id="120"/>
      <w:bookmarkEnd w:id="121"/>
    </w:p>
    <w:p w14:paraId="7F2E48E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①项目实际分配资金以</w:t>
      </w:r>
      <w:r>
        <w:rPr>
          <w:rFonts w:hint="eastAsia" w:ascii="仿宋_GB2312" w:hAnsi="仿宋_GB2312" w:eastAsia="仿宋_GB2312" w:cs="仿宋_GB2312"/>
          <w:color w:val="auto"/>
          <w:sz w:val="32"/>
          <w:szCs w:val="32"/>
          <w:highlight w:val="none"/>
          <w:lang w:eastAsia="zh-Hans"/>
        </w:rPr>
        <w:t>《关于</w:t>
      </w:r>
      <w:r>
        <w:rPr>
          <w:rFonts w:hint="eastAsia" w:ascii="仿宋_GB2312" w:hAnsi="仿宋_GB2312" w:eastAsia="仿宋_GB2312" w:cs="仿宋_GB2312"/>
          <w:color w:val="auto"/>
          <w:sz w:val="32"/>
          <w:szCs w:val="32"/>
          <w:highlight w:val="none"/>
          <w:lang w:eastAsia="zh-CN"/>
        </w:rPr>
        <w:t>申请</w:t>
      </w:r>
      <w:r>
        <w:rPr>
          <w:rFonts w:hint="eastAsia" w:ascii="仿宋_GB2312" w:hAnsi="仿宋_GB2312" w:eastAsia="仿宋_GB2312" w:cs="仿宋_GB2312"/>
          <w:color w:val="auto"/>
          <w:sz w:val="32"/>
          <w:szCs w:val="32"/>
          <w:highlight w:val="none"/>
          <w:lang w:val="en-US" w:eastAsia="zh-CN"/>
        </w:rPr>
        <w:t>化债</w:t>
      </w:r>
      <w:r>
        <w:rPr>
          <w:rFonts w:hint="eastAsia" w:ascii="仿宋_GB2312" w:hAnsi="仿宋_GB2312" w:eastAsia="仿宋_GB2312" w:cs="仿宋_GB2312"/>
          <w:color w:val="auto"/>
          <w:sz w:val="32"/>
          <w:szCs w:val="32"/>
          <w:highlight w:val="none"/>
          <w:lang w:eastAsia="zh-CN"/>
        </w:rPr>
        <w:t>项目资金的请示</w:t>
      </w:r>
      <w:r>
        <w:rPr>
          <w:rFonts w:hint="eastAsia" w:ascii="仿宋_GB2312" w:hAnsi="仿宋_GB2312" w:eastAsia="仿宋_GB2312" w:cs="仿宋_GB2312"/>
          <w:color w:val="auto"/>
          <w:sz w:val="32"/>
          <w:szCs w:val="32"/>
          <w:highlight w:val="none"/>
          <w:lang w:eastAsia="zh-Hans"/>
        </w:rPr>
        <w:t>》为依据进行资金分配，预算资金分配依据充分</w:t>
      </w:r>
      <w:r>
        <w:rPr>
          <w:rFonts w:hint="eastAsia" w:ascii="仿宋_GB2312" w:hAnsi="仿宋_GB2312" w:eastAsia="仿宋_GB2312" w:cs="仿宋_GB2312"/>
          <w:color w:val="auto"/>
          <w:sz w:val="32"/>
          <w:szCs w:val="32"/>
          <w:highlight w:val="none"/>
          <w:lang w:eastAsia="zh-CN"/>
        </w:rPr>
        <w:t>。</w:t>
      </w:r>
    </w:p>
    <w:p w14:paraId="72C61A5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sz w:val="32"/>
          <w:szCs w:val="32"/>
          <w:highlight w:val="none"/>
          <w:lang w:eastAsia="zh-CN"/>
        </w:rPr>
        <w:t>②项目实际到位资金</w:t>
      </w:r>
      <w:r>
        <w:rPr>
          <w:rFonts w:hint="eastAsia" w:ascii="仿宋_GB2312" w:hAnsi="仿宋_GB2312" w:eastAsia="仿宋_GB2312" w:cs="仿宋_GB2312"/>
          <w:color w:val="auto"/>
          <w:sz w:val="32"/>
          <w:szCs w:val="32"/>
          <w:highlight w:val="none"/>
          <w:lang w:val="en-US" w:eastAsia="zh-CN"/>
        </w:rPr>
        <w:t>222.51</w:t>
      </w:r>
      <w:r>
        <w:rPr>
          <w:rFonts w:hint="eastAsia" w:ascii="仿宋_GB2312" w:hAnsi="仿宋_GB2312" w:eastAsia="仿宋_GB2312" w:cs="仿宋_GB2312"/>
          <w:color w:val="auto"/>
          <w:sz w:val="32"/>
          <w:szCs w:val="32"/>
          <w:highlight w:val="none"/>
          <w:lang w:eastAsia="zh-CN"/>
        </w:rPr>
        <w:t>万元，资金分配额度合理，与项目单位</w:t>
      </w:r>
      <w:r>
        <w:rPr>
          <w:rFonts w:hint="eastAsia" w:ascii="仿宋_GB2312" w:hAnsi="仿宋_GB2312" w:eastAsia="仿宋_GB2312" w:cs="仿宋_GB2312"/>
          <w:color w:val="auto"/>
          <w:sz w:val="32"/>
          <w:szCs w:val="32"/>
          <w:highlight w:val="none"/>
          <w:lang w:val="en-US" w:eastAsia="zh-CN"/>
        </w:rPr>
        <w:t>及项目实际实施情况相</w:t>
      </w:r>
      <w:r>
        <w:rPr>
          <w:rFonts w:hint="eastAsia" w:ascii="仿宋_GB2312" w:hAnsi="仿宋_GB2312" w:eastAsia="仿宋_GB2312" w:cs="仿宋_GB2312"/>
          <w:color w:val="auto"/>
          <w:sz w:val="32"/>
          <w:szCs w:val="32"/>
          <w:highlight w:val="none"/>
          <w:lang w:eastAsia="zh-CN"/>
        </w:rPr>
        <w:t>适应。</w:t>
      </w:r>
    </w:p>
    <w:p w14:paraId="61F7D2F7">
      <w:pPr>
        <w:pageBreakBefore w:val="0"/>
        <w:kinsoku/>
        <w:wordWrap/>
        <w:overflowPunct/>
        <w:topLinePunct w:val="0"/>
        <w:autoSpaceDE/>
        <w:autoSpaceDN/>
        <w:bidi w:val="0"/>
        <w:spacing w:line="560" w:lineRule="exact"/>
        <w:textAlignment w:val="auto"/>
        <w:rPr>
          <w:rFonts w:hint="eastAsia"/>
          <w:color w:val="auto"/>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综上，该项指标满分3分，得分3分。</w:t>
      </w:r>
    </w:p>
    <w:p w14:paraId="0AFBEAAC">
      <w:pPr>
        <w:pStyle w:val="9"/>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color w:val="auto"/>
          <w:kern w:val="28"/>
          <w:sz w:val="32"/>
          <w:highlight w:val="none"/>
        </w:rPr>
      </w:pPr>
      <w:bookmarkStart w:id="122" w:name="_Toc10564"/>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lang w:val="en-US" w:eastAsia="zh-CN"/>
        </w:rPr>
        <w:t>二</w:t>
      </w:r>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rPr>
        <w:t>项目过程情况</w:t>
      </w:r>
      <w:bookmarkEnd w:id="122"/>
    </w:p>
    <w:p w14:paraId="176CD378">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7AEE4C8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4-2</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w:t>
      </w:r>
      <w:r>
        <w:rPr>
          <w:rFonts w:hint="eastAsia" w:cs="宋体"/>
          <w:b/>
          <w:bCs/>
          <w:color w:val="000000" w:themeColor="text1"/>
          <w:kern w:val="0"/>
          <w:sz w:val="28"/>
          <w:szCs w:val="28"/>
          <w:highlight w:val="none"/>
          <w:shd w:val="clear" w:color="auto" w:fill="auto"/>
          <w:lang w:val="en-US" w:eastAsia="zh-CN"/>
          <w14:textFill>
            <w14:solidFill>
              <w14:schemeClr w14:val="tx1"/>
            </w14:solidFill>
          </w14:textFill>
        </w:rPr>
        <w:t>过程</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0"/>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293C6D84">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99193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6D56E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2EA97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2DAA4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40689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E614A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DD2E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2A67E035">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30D1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AF83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D18C4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A595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CBDD0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60976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9C0D9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1839FC05">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D3E40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A51B7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2E050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4DBA6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22E20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5A98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9E241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107DD5E">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34556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69ED7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A3AF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02714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3B6C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AE0C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F8431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131CD050">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572D4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CC48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EEE5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872CA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6BC04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873AA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1564C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5242C5F2">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48DCF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310C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4535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68829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70F0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4153E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9718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4A820BC0">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632A8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01E2A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00ADA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EFE52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5ECD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1B514548">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FF0000"/>
          <w:sz w:val="32"/>
          <w:szCs w:val="32"/>
          <w:highlight w:val="none"/>
          <w:lang w:val="en-US" w:eastAsia="zh-CN"/>
        </w:rPr>
      </w:pPr>
      <w:bookmarkStart w:id="123" w:name="_Toc20449"/>
      <w:bookmarkStart w:id="124" w:name="_Toc3886"/>
      <w:r>
        <w:rPr>
          <w:rFonts w:hint="eastAsia" w:ascii="仿宋_GB2312" w:hAnsi="仿宋_GB2312" w:eastAsia="仿宋_GB2312" w:cs="仿宋_GB2312"/>
          <w:b/>
          <w:bCs/>
          <w:sz w:val="32"/>
          <w:szCs w:val="32"/>
          <w:highlight w:val="none"/>
          <w:lang w:val="en-US" w:eastAsia="zh-CN"/>
        </w:rPr>
        <w:t>1.资金到位率</w:t>
      </w:r>
      <w:bookmarkEnd w:id="123"/>
      <w:bookmarkEnd w:id="124"/>
    </w:p>
    <w:p w14:paraId="0FE8B00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项目预算资金为</w:t>
      </w:r>
      <w:r>
        <w:rPr>
          <w:rFonts w:hint="eastAsia" w:ascii="仿宋_GB2312" w:hAnsi="仿宋_GB2312" w:eastAsia="仿宋_GB2312" w:cs="仿宋_GB2312"/>
          <w:b w:val="0"/>
          <w:bCs w:val="0"/>
          <w:color w:val="auto"/>
          <w:sz w:val="32"/>
          <w:szCs w:val="32"/>
          <w:highlight w:val="none"/>
          <w:lang w:val="en-US" w:eastAsia="zh-CN"/>
        </w:rPr>
        <w:t>222.51</w:t>
      </w:r>
      <w:r>
        <w:rPr>
          <w:rFonts w:hint="eastAsia" w:ascii="仿宋_GB2312" w:hAnsi="仿宋_GB2312" w:eastAsia="仿宋_GB2312" w:cs="仿宋_GB2312"/>
          <w:b w:val="0"/>
          <w:bCs w:val="0"/>
          <w:color w:val="auto"/>
          <w:sz w:val="32"/>
          <w:szCs w:val="32"/>
          <w:highlight w:val="none"/>
        </w:rPr>
        <w:t>万元，其中：财政安排资金</w:t>
      </w:r>
      <w:r>
        <w:rPr>
          <w:rFonts w:hint="eastAsia" w:ascii="仿宋_GB2312" w:hAnsi="仿宋_GB2312" w:eastAsia="仿宋_GB2312" w:cs="仿宋_GB2312"/>
          <w:b w:val="0"/>
          <w:bCs w:val="0"/>
          <w:color w:val="auto"/>
          <w:sz w:val="32"/>
          <w:szCs w:val="32"/>
          <w:highlight w:val="none"/>
          <w:lang w:val="en-US" w:eastAsia="zh-CN"/>
        </w:rPr>
        <w:t>222.51</w:t>
      </w:r>
      <w:r>
        <w:rPr>
          <w:rFonts w:hint="eastAsia" w:ascii="仿宋_GB2312" w:hAnsi="仿宋_GB2312" w:eastAsia="仿宋_GB2312" w:cs="仿宋_GB2312"/>
          <w:b w:val="0"/>
          <w:bCs w:val="0"/>
          <w:color w:val="auto"/>
          <w:sz w:val="32"/>
          <w:szCs w:val="32"/>
          <w:highlight w:val="none"/>
        </w:rPr>
        <w:t>万元，其他资金</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p>
    <w:p w14:paraId="6F01E82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资金到位率=（</w:t>
      </w:r>
      <w:r>
        <w:rPr>
          <w:rFonts w:hint="eastAsia" w:ascii="仿宋_GB2312" w:hAnsi="仿宋_GB2312" w:eastAsia="仿宋_GB2312" w:cs="仿宋_GB2312"/>
          <w:b w:val="0"/>
          <w:bCs w:val="0"/>
          <w:color w:val="auto"/>
          <w:sz w:val="32"/>
          <w:szCs w:val="32"/>
          <w:highlight w:val="none"/>
          <w:lang w:val="en-US" w:eastAsia="zh-CN"/>
        </w:rPr>
        <w:t>222.51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222.51</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eastAsia="zh-CN"/>
        </w:rPr>
        <w:t>100%</w:t>
      </w:r>
    </w:p>
    <w:p w14:paraId="5C62C3E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78C5159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5" w:name="_Toc17709"/>
      <w:bookmarkStart w:id="126" w:name="_Toc9705"/>
      <w:r>
        <w:rPr>
          <w:rFonts w:hint="eastAsia" w:ascii="仿宋_GB2312" w:hAnsi="仿宋_GB2312" w:eastAsia="仿宋_GB2312" w:cs="仿宋_GB2312"/>
          <w:b/>
          <w:bCs/>
          <w:color w:val="auto"/>
          <w:sz w:val="32"/>
          <w:szCs w:val="32"/>
          <w:highlight w:val="none"/>
          <w:lang w:val="en-US" w:eastAsia="zh-CN"/>
        </w:rPr>
        <w:t>2.预算执行率</w:t>
      </w:r>
      <w:bookmarkEnd w:id="125"/>
      <w:bookmarkEnd w:id="126"/>
    </w:p>
    <w:p w14:paraId="4AE2A271">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截至2024年12月31日，项目实际支出</w:t>
      </w:r>
      <w:r>
        <w:rPr>
          <w:rFonts w:hint="eastAsia" w:ascii="仿宋_GB2312" w:hAnsi="仿宋_GB2312" w:eastAsia="仿宋_GB2312" w:cs="仿宋_GB2312"/>
          <w:b w:val="0"/>
          <w:bCs w:val="0"/>
          <w:color w:val="auto"/>
          <w:sz w:val="32"/>
          <w:szCs w:val="32"/>
          <w:highlight w:val="none"/>
          <w:lang w:val="en-US" w:eastAsia="zh-CN"/>
        </w:rPr>
        <w:t>222.51</w:t>
      </w:r>
      <w:r>
        <w:rPr>
          <w:rFonts w:hint="eastAsia" w:ascii="仿宋_GB2312" w:hAnsi="仿宋_GB2312" w:eastAsia="仿宋_GB2312" w:cs="仿宋_GB2312"/>
          <w:color w:val="auto"/>
          <w:sz w:val="32"/>
          <w:szCs w:val="32"/>
          <w:highlight w:val="none"/>
          <w:lang w:val="en-US" w:eastAsia="zh-CN"/>
        </w:rPr>
        <w:t>万元。</w:t>
      </w:r>
    </w:p>
    <w:p w14:paraId="16FAC3AB">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预算执行率=（</w:t>
      </w:r>
      <w:r>
        <w:rPr>
          <w:rFonts w:hint="eastAsia" w:ascii="仿宋_GB2312" w:hAnsi="仿宋_GB2312" w:eastAsia="仿宋_GB2312" w:cs="仿宋_GB2312"/>
          <w:b w:val="0"/>
          <w:bCs w:val="0"/>
          <w:color w:val="auto"/>
          <w:sz w:val="32"/>
          <w:szCs w:val="32"/>
          <w:highlight w:val="none"/>
          <w:lang w:val="en-US" w:eastAsia="zh-CN"/>
        </w:rPr>
        <w:t>222.51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222.51</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eastAsia="zh-CN"/>
        </w:rPr>
        <w:t>100%</w:t>
      </w:r>
    </w:p>
    <w:p w14:paraId="118DAC1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54B06C2A">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highlight w:val="none"/>
          <w:lang w:val="en-US" w:eastAsia="zh-CN"/>
        </w:rPr>
      </w:pPr>
      <w:bookmarkStart w:id="127" w:name="_Toc28875"/>
      <w:bookmarkStart w:id="128" w:name="_Toc18691"/>
      <w:r>
        <w:rPr>
          <w:rFonts w:hint="eastAsia" w:ascii="仿宋_GB2312" w:hAnsi="仿宋_GB2312" w:eastAsia="仿宋_GB2312" w:cs="仿宋_GB2312"/>
          <w:b/>
          <w:bCs/>
          <w:sz w:val="32"/>
          <w:szCs w:val="32"/>
          <w:highlight w:val="none"/>
          <w:lang w:val="en-US" w:eastAsia="zh-CN"/>
        </w:rPr>
        <w:t>3.资金使用合规性</w:t>
      </w:r>
      <w:bookmarkEnd w:id="127"/>
      <w:bookmarkEnd w:id="128"/>
    </w:p>
    <w:p w14:paraId="156E0189">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auto"/>
          <w:sz w:val="32"/>
          <w:szCs w:val="32"/>
          <w:highlight w:val="none"/>
        </w:rPr>
      </w:pPr>
      <w:r>
        <w:rPr>
          <w:rFonts w:hint="eastAsia" w:ascii="仿宋_GB2312" w:hAnsi="仿宋_GB2312" w:eastAsia="仿宋_GB2312" w:cs="仿宋_GB2312"/>
          <w:sz w:val="32"/>
          <w:szCs w:val="32"/>
          <w:highlight w:val="none"/>
          <w:lang w:eastAsia="zh-CN"/>
        </w:rPr>
        <w:t>①本项目资金支出符合国家财经法规、《政府会计制度》《</w:t>
      </w:r>
      <w:r>
        <w:rPr>
          <w:rFonts w:hint="eastAsia" w:ascii="仿宋_GB2312" w:hAnsi="仿宋_GB2312" w:eastAsia="仿宋_GB2312" w:cs="仿宋_GB2312"/>
          <w:color w:val="auto"/>
          <w:sz w:val="32"/>
          <w:szCs w:val="32"/>
          <w:highlight w:val="none"/>
          <w:lang w:eastAsia="zh-CN"/>
        </w:rPr>
        <w:t>阜康市水磨沟乡</w:t>
      </w:r>
      <w:r>
        <w:rPr>
          <w:rFonts w:hint="eastAsia" w:ascii="仿宋_GB2312" w:hAnsi="仿宋_GB2312" w:eastAsia="仿宋_GB2312" w:cs="仿宋_GB2312"/>
          <w:color w:val="auto"/>
          <w:sz w:val="32"/>
          <w:szCs w:val="32"/>
          <w:highlight w:val="none"/>
          <w:lang w:val="en-US" w:eastAsia="zh-CN"/>
        </w:rPr>
        <w:t>人民政府</w:t>
      </w:r>
      <w:r>
        <w:rPr>
          <w:rFonts w:hint="eastAsia" w:ascii="仿宋_GB2312" w:hAnsi="仿宋_GB2312" w:eastAsia="仿宋_GB2312" w:cs="仿宋_GB2312"/>
          <w:color w:val="auto"/>
          <w:sz w:val="32"/>
          <w:szCs w:val="32"/>
          <w:highlight w:val="none"/>
          <w:lang w:eastAsia="zh-CN"/>
        </w:rPr>
        <w:t>资金管理办法》《阜康市水磨沟乡</w:t>
      </w:r>
      <w:r>
        <w:rPr>
          <w:rFonts w:hint="eastAsia" w:ascii="仿宋_GB2312" w:hAnsi="仿宋_GB2312" w:eastAsia="仿宋_GB2312" w:cs="仿宋_GB2312"/>
          <w:color w:val="auto"/>
          <w:sz w:val="32"/>
          <w:szCs w:val="32"/>
          <w:highlight w:val="none"/>
          <w:lang w:val="en-US" w:eastAsia="zh-CN"/>
        </w:rPr>
        <w:t>人民政府</w:t>
      </w:r>
      <w:r>
        <w:rPr>
          <w:rFonts w:hint="eastAsia" w:ascii="仿宋_GB2312" w:hAnsi="仿宋_GB2312" w:eastAsia="仿宋_GB2312" w:cs="仿宋_GB2312"/>
          <w:color w:val="auto"/>
          <w:sz w:val="32"/>
          <w:szCs w:val="32"/>
          <w:highlight w:val="none"/>
          <w:lang w:eastAsia="zh-CN"/>
        </w:rPr>
        <w:t>专项资金管理办法》；</w:t>
      </w:r>
    </w:p>
    <w:p w14:paraId="2642226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②资金的拨付有完整的审批程序和手续；</w:t>
      </w:r>
    </w:p>
    <w:p w14:paraId="662F369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③符合项目预算批复或合同规定的用途；</w:t>
      </w:r>
    </w:p>
    <w:p w14:paraId="695CE50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存在截留、挤占、挪用、虚列支出等情况。</w:t>
      </w:r>
    </w:p>
    <w:p w14:paraId="2D0E3966">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46B64C4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25742832">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bidi="ar-SA"/>
        </w:rPr>
        <w:t>4.</w:t>
      </w:r>
      <w:r>
        <w:rPr>
          <w:rFonts w:hint="eastAsia" w:ascii="仿宋_GB2312" w:hAnsi="仿宋_GB2312" w:eastAsia="仿宋_GB2312" w:cs="仿宋_GB2312"/>
          <w:b/>
          <w:bCs/>
          <w:color w:val="auto"/>
          <w:sz w:val="32"/>
          <w:szCs w:val="32"/>
          <w:highlight w:val="none"/>
          <w:lang w:val="en-US" w:eastAsia="zh-CN"/>
        </w:rPr>
        <w:t>管理制度健全性</w:t>
      </w:r>
    </w:p>
    <w:p w14:paraId="17838ED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①</w:t>
      </w:r>
      <w:r>
        <w:rPr>
          <w:rFonts w:hint="eastAsia" w:ascii="仿宋_GB2312" w:hAnsi="仿宋_GB2312" w:eastAsia="仿宋_GB2312" w:cs="仿宋_GB2312"/>
          <w:color w:val="auto"/>
          <w:sz w:val="32"/>
          <w:szCs w:val="32"/>
          <w:highlight w:val="none"/>
          <w:lang w:eastAsia="zh-CN"/>
        </w:rPr>
        <w:t>我单位已制定《阜康市水磨沟乡</w:t>
      </w:r>
      <w:r>
        <w:rPr>
          <w:rFonts w:hint="eastAsia" w:ascii="仿宋_GB2312" w:hAnsi="仿宋_GB2312" w:eastAsia="仿宋_GB2312" w:cs="仿宋_GB2312"/>
          <w:color w:val="auto"/>
          <w:sz w:val="32"/>
          <w:szCs w:val="32"/>
          <w:highlight w:val="none"/>
          <w:lang w:val="en-US" w:eastAsia="zh-CN"/>
        </w:rPr>
        <w:t>人民政府</w:t>
      </w:r>
      <w:r>
        <w:rPr>
          <w:rFonts w:hint="eastAsia" w:ascii="仿宋_GB2312" w:hAnsi="仿宋_GB2312" w:eastAsia="仿宋_GB2312" w:cs="仿宋_GB2312"/>
          <w:color w:val="auto"/>
          <w:sz w:val="32"/>
          <w:szCs w:val="32"/>
          <w:highlight w:val="none"/>
          <w:lang w:eastAsia="zh-CN"/>
        </w:rPr>
        <w:t>资金管理办法》《阜康市政府</w:t>
      </w:r>
      <w:r>
        <w:rPr>
          <w:rFonts w:hint="eastAsia" w:ascii="仿宋_GB2312" w:hAnsi="仿宋_GB2312" w:eastAsia="仿宋_GB2312" w:cs="仿宋_GB2312"/>
          <w:color w:val="auto"/>
          <w:sz w:val="32"/>
          <w:szCs w:val="32"/>
          <w:highlight w:val="none"/>
          <w:lang w:val="en-US" w:eastAsia="zh-CN"/>
        </w:rPr>
        <w:t>人民政府</w:t>
      </w:r>
      <w:r>
        <w:rPr>
          <w:rFonts w:hint="eastAsia" w:ascii="仿宋_GB2312" w:hAnsi="仿宋_GB2312" w:eastAsia="仿宋_GB2312" w:cs="仿宋_GB2312"/>
          <w:color w:val="auto"/>
          <w:sz w:val="32"/>
          <w:szCs w:val="32"/>
          <w:highlight w:val="none"/>
          <w:lang w:eastAsia="zh-CN"/>
        </w:rPr>
        <w:t>采购业务管理制度》《阜康市水磨沟乡</w:t>
      </w:r>
      <w:r>
        <w:rPr>
          <w:rFonts w:hint="eastAsia" w:ascii="仿宋_GB2312" w:hAnsi="仿宋_GB2312" w:eastAsia="仿宋_GB2312" w:cs="仿宋_GB2312"/>
          <w:color w:val="auto"/>
          <w:sz w:val="32"/>
          <w:szCs w:val="32"/>
          <w:highlight w:val="none"/>
          <w:lang w:val="en-US" w:eastAsia="zh-CN"/>
        </w:rPr>
        <w:t>人民政府</w:t>
      </w:r>
      <w:r>
        <w:rPr>
          <w:rFonts w:hint="eastAsia" w:ascii="仿宋_GB2312" w:hAnsi="仿宋_GB2312" w:eastAsia="仿宋_GB2312" w:cs="仿宋_GB2312"/>
          <w:color w:val="auto"/>
          <w:sz w:val="32"/>
          <w:szCs w:val="32"/>
          <w:highlight w:val="none"/>
          <w:lang w:eastAsia="zh-CN"/>
        </w:rPr>
        <w:t>合同管理制度》，</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lang w:eastAsia="zh-CN"/>
        </w:rPr>
        <w:t>制度均符合行政事业单位内控管理要求；</w:t>
      </w:r>
    </w:p>
    <w:p w14:paraId="365CB1F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②已制定的</w:t>
      </w:r>
      <w:r>
        <w:rPr>
          <w:rFonts w:hint="eastAsia" w:ascii="仿宋_GB2312" w:hAnsi="仿宋_GB2312" w:eastAsia="仿宋_GB2312" w:cs="仿宋_GB2312"/>
          <w:color w:val="auto"/>
          <w:sz w:val="32"/>
          <w:szCs w:val="32"/>
          <w:highlight w:val="none"/>
          <w:lang w:eastAsia="zh-CN"/>
        </w:rPr>
        <w:t>财务和业务管理制度合法、合规、完整，本项目执行符合上述制度规定。</w:t>
      </w:r>
    </w:p>
    <w:p w14:paraId="3526067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14427ACE">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highlight w:val="none"/>
          <w:lang w:val="en-US" w:eastAsia="zh-CN"/>
        </w:rPr>
      </w:pPr>
      <w:bookmarkStart w:id="129" w:name="_Toc13984"/>
      <w:bookmarkStart w:id="130" w:name="_Toc31684"/>
      <w:r>
        <w:rPr>
          <w:rFonts w:hint="eastAsia" w:ascii="仿宋_GB2312" w:hAnsi="仿宋_GB2312" w:eastAsia="仿宋_GB2312" w:cs="仿宋_GB2312"/>
          <w:b/>
          <w:bCs/>
          <w:color w:val="auto"/>
          <w:sz w:val="32"/>
          <w:szCs w:val="32"/>
          <w:highlight w:val="none"/>
          <w:lang w:val="en-US" w:eastAsia="zh-CN"/>
        </w:rPr>
        <w:t>5.制度执行有效性</w:t>
      </w:r>
      <w:bookmarkEnd w:id="129"/>
      <w:bookmarkEnd w:id="130"/>
    </w:p>
    <w:p w14:paraId="0D12B64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lang w:val="en-US" w:eastAsia="zh-CN"/>
        </w:rPr>
        <w:t>化债资金项目</w:t>
      </w:r>
      <w:r>
        <w:rPr>
          <w:rFonts w:hint="eastAsia" w:ascii="仿宋_GB2312" w:hAnsi="仿宋_GB2312" w:eastAsia="仿宋_GB2312" w:cs="仿宋_GB2312"/>
          <w:color w:val="auto"/>
          <w:sz w:val="32"/>
          <w:szCs w:val="32"/>
          <w:highlight w:val="none"/>
        </w:rPr>
        <w:t>的实施</w:t>
      </w:r>
      <w:r>
        <w:rPr>
          <w:rFonts w:hint="eastAsia" w:ascii="仿宋_GB2312" w:hAnsi="仿宋_GB2312" w:eastAsia="仿宋_GB2312" w:cs="仿宋_GB2312"/>
          <w:color w:val="auto"/>
          <w:sz w:val="32"/>
          <w:szCs w:val="32"/>
          <w:highlight w:val="none"/>
          <w:lang w:eastAsia="zh-CN"/>
        </w:rPr>
        <w:t>遵守相关法律法规</w:t>
      </w:r>
      <w:r>
        <w:rPr>
          <w:rFonts w:hint="eastAsia" w:ascii="仿宋_GB2312" w:hAnsi="仿宋_GB2312" w:eastAsia="仿宋_GB2312" w:cs="仿宋_GB2312"/>
          <w:color w:val="auto"/>
          <w:sz w:val="32"/>
          <w:szCs w:val="32"/>
          <w:highlight w:val="none"/>
          <w:lang w:val="en-US" w:eastAsia="zh-CN"/>
        </w:rPr>
        <w:t>及</w:t>
      </w:r>
      <w:r>
        <w:rPr>
          <w:rFonts w:hint="eastAsia" w:ascii="仿宋_GB2312" w:hAnsi="仿宋_GB2312" w:eastAsia="仿宋_GB2312" w:cs="仿宋_GB2312"/>
          <w:color w:val="auto"/>
          <w:sz w:val="32"/>
          <w:szCs w:val="32"/>
          <w:highlight w:val="none"/>
          <w:lang w:eastAsia="zh-CN"/>
        </w:rPr>
        <w:t>相关管理规定，</w:t>
      </w:r>
      <w:r>
        <w:rPr>
          <w:rFonts w:hint="eastAsia" w:ascii="仿宋_GB2312" w:hAnsi="仿宋_GB2312" w:eastAsia="仿宋_GB2312" w:cs="仿宋_GB2312"/>
          <w:color w:val="auto"/>
          <w:sz w:val="32"/>
          <w:szCs w:val="32"/>
          <w:highlight w:val="none"/>
        </w:rPr>
        <w:t>符合</w:t>
      </w:r>
      <w:r>
        <w:rPr>
          <w:rFonts w:hint="eastAsia" w:ascii="仿宋_GB2312" w:hAnsi="仿宋_GB2312" w:eastAsia="仿宋_GB2312" w:cs="仿宋_GB2312"/>
          <w:color w:val="auto"/>
          <w:sz w:val="32"/>
          <w:szCs w:val="32"/>
          <w:highlight w:val="none"/>
          <w:lang w:eastAsia="zh-CN"/>
        </w:rPr>
        <w:t>《阜康市水磨沟乡</w:t>
      </w:r>
      <w:r>
        <w:rPr>
          <w:rFonts w:hint="eastAsia" w:ascii="仿宋_GB2312" w:hAnsi="仿宋_GB2312" w:eastAsia="仿宋_GB2312" w:cs="仿宋_GB2312"/>
          <w:color w:val="auto"/>
          <w:sz w:val="32"/>
          <w:szCs w:val="32"/>
          <w:highlight w:val="none"/>
          <w:lang w:val="en-US" w:eastAsia="zh-CN"/>
        </w:rPr>
        <w:t>人民政府</w:t>
      </w:r>
      <w:r>
        <w:rPr>
          <w:rFonts w:hint="eastAsia" w:ascii="仿宋_GB2312" w:hAnsi="仿宋_GB2312" w:eastAsia="仿宋_GB2312" w:cs="仿宋_GB2312"/>
          <w:color w:val="auto"/>
          <w:sz w:val="32"/>
          <w:szCs w:val="32"/>
          <w:highlight w:val="none"/>
          <w:lang w:eastAsia="zh-CN"/>
        </w:rPr>
        <w:t>资金管理办法》《阜康市政府采购业务管理制度》《阜康市水磨沟乡</w:t>
      </w:r>
      <w:r>
        <w:rPr>
          <w:rFonts w:hint="eastAsia" w:ascii="仿宋_GB2312" w:hAnsi="仿宋_GB2312" w:eastAsia="仿宋_GB2312" w:cs="仿宋_GB2312"/>
          <w:color w:val="auto"/>
          <w:sz w:val="32"/>
          <w:szCs w:val="32"/>
          <w:highlight w:val="none"/>
          <w:lang w:val="en-US" w:eastAsia="zh-CN"/>
        </w:rPr>
        <w:t>人民政府</w:t>
      </w:r>
      <w:r>
        <w:rPr>
          <w:rFonts w:hint="eastAsia" w:ascii="仿宋_GB2312" w:hAnsi="仿宋_GB2312" w:eastAsia="仿宋_GB2312" w:cs="仿宋_GB2312"/>
          <w:color w:val="auto"/>
          <w:sz w:val="32"/>
          <w:szCs w:val="32"/>
          <w:highlight w:val="none"/>
          <w:lang w:eastAsia="zh-CN"/>
        </w:rPr>
        <w:t>合同管理制度》</w:t>
      </w:r>
      <w:r>
        <w:rPr>
          <w:rFonts w:hint="eastAsia" w:ascii="仿宋_GB2312" w:hAnsi="仿宋_GB2312" w:eastAsia="仿宋_GB2312" w:cs="仿宋_GB2312"/>
          <w:color w:val="auto"/>
          <w:sz w:val="32"/>
          <w:szCs w:val="32"/>
          <w:highlight w:val="none"/>
        </w:rPr>
        <w:t>等管理规定，</w:t>
      </w:r>
      <w:r>
        <w:rPr>
          <w:rFonts w:hint="eastAsia" w:ascii="仿宋_GB2312" w:hAnsi="仿宋_GB2312" w:eastAsia="仿宋_GB2312" w:cs="仿宋_GB2312"/>
          <w:color w:val="auto"/>
          <w:sz w:val="32"/>
          <w:szCs w:val="32"/>
          <w:highlight w:val="none"/>
          <w:lang w:eastAsia="zh-CN"/>
        </w:rPr>
        <w:t>；</w:t>
      </w:r>
    </w:p>
    <w:p w14:paraId="21958E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w:t>
      </w:r>
      <w:r>
        <w:rPr>
          <w:rFonts w:hint="eastAsia" w:ascii="仿宋_GB2312" w:hAnsi="仿宋_GB2312" w:eastAsia="仿宋_GB2312" w:cs="仿宋_GB2312"/>
          <w:color w:val="auto"/>
          <w:sz w:val="32"/>
          <w:szCs w:val="32"/>
          <w:highlight w:val="none"/>
        </w:rPr>
        <w:t>该项目实施过程中不存在调整事项</w:t>
      </w:r>
      <w:r>
        <w:rPr>
          <w:rFonts w:hint="eastAsia" w:ascii="仿宋_GB2312" w:hAnsi="仿宋_GB2312" w:eastAsia="仿宋_GB2312" w:cs="仿宋_GB2312"/>
          <w:color w:val="auto"/>
          <w:sz w:val="32"/>
          <w:szCs w:val="32"/>
          <w:highlight w:val="none"/>
          <w:lang w:eastAsia="zh-CN"/>
        </w:rPr>
        <w:t>。</w:t>
      </w:r>
    </w:p>
    <w:p w14:paraId="44BDFD6B">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rPr>
        <w:t>项目合同书、验收评审表、财务支付凭证等资料齐全并及时归档。</w:t>
      </w:r>
    </w:p>
    <w:p w14:paraId="5B52D78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sz w:val="32"/>
          <w:szCs w:val="32"/>
          <w:highlight w:val="none"/>
          <w:lang w:eastAsia="zh-CN"/>
        </w:rPr>
        <w:t>④</w:t>
      </w:r>
      <w:r>
        <w:rPr>
          <w:rFonts w:hint="eastAsia" w:ascii="仿宋_GB2312" w:hAnsi="仿宋_GB2312" w:eastAsia="仿宋_GB2312" w:cs="仿宋_GB2312"/>
          <w:color w:val="auto"/>
          <w:sz w:val="32"/>
          <w:szCs w:val="32"/>
          <w:highlight w:val="none"/>
          <w:lang w:eastAsia="zh-CN"/>
        </w:rPr>
        <w:t>项目实施所需要的项目人员和场地设备均已落实到位，具体涉及内容包括：项目资金支出严格按照自治区、地区以及本单位资金管理办法执行，项目启动实施后，为了加快本项目的实施，成立了水磨沟乡村镇规划中心项目领导小组项目工作领导小组，由叶力那尔</w:t>
      </w:r>
      <w:r>
        <w:rPr>
          <w:rFonts w:hint="eastAsia" w:ascii="仿宋_GB2312" w:hAnsi="仿宋_GB2312" w:eastAsia="仿宋_GB2312" w:cs="仿宋_GB2312"/>
          <w:color w:val="auto"/>
          <w:sz w:val="32"/>
          <w:szCs w:val="32"/>
          <w:highlight w:val="none"/>
          <w:lang w:val="en-US" w:eastAsia="zh-CN"/>
        </w:rPr>
        <w:t>·赛提汉</w:t>
      </w:r>
      <w:r>
        <w:rPr>
          <w:rFonts w:hint="eastAsia" w:ascii="仿宋_GB2312" w:hAnsi="仿宋_GB2312" w:eastAsia="仿宋_GB2312" w:cs="仿宋_GB2312"/>
          <w:color w:val="auto"/>
          <w:sz w:val="32"/>
          <w:szCs w:val="32"/>
          <w:highlight w:val="none"/>
          <w:lang w:eastAsia="zh-CN"/>
        </w:rPr>
        <w:t>任组长，负责项目的组织工作；马有军任副组长，负责项目的实施工作；组员包括：</w:t>
      </w:r>
      <w:r>
        <w:rPr>
          <w:rFonts w:hint="eastAsia" w:ascii="Times New Roman" w:hAnsi="Times New Roman" w:eastAsia="仿宋_GB2312" w:cs="Times New Roman"/>
          <w:color w:val="auto"/>
          <w:sz w:val="32"/>
          <w:szCs w:val="32"/>
          <w:highlight w:val="none"/>
          <w:u w:val="none"/>
          <w:lang w:val="en-US" w:eastAsia="zh-CN"/>
        </w:rPr>
        <w:t>刘爽</w:t>
      </w:r>
      <w:r>
        <w:rPr>
          <w:rFonts w:hint="eastAsia" w:ascii="仿宋_GB2312" w:hAnsi="仿宋_GB2312" w:eastAsia="仿宋_GB2312" w:cs="仿宋_GB2312"/>
          <w:color w:val="auto"/>
          <w:sz w:val="32"/>
          <w:szCs w:val="32"/>
          <w:highlight w:val="none"/>
          <w:lang w:eastAsia="zh-CN"/>
        </w:rPr>
        <w:t>，主要负责项目监督管理、验收以及资金核拨等工作。</w:t>
      </w:r>
    </w:p>
    <w:p w14:paraId="5DD6DDB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7658107D">
      <w:pPr>
        <w:pStyle w:val="9"/>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31" w:name="_Toc2441"/>
      <w:r>
        <w:rPr>
          <w:rFonts w:hint="eastAsia" w:ascii="Times New Roman" w:hAnsi="Times New Roman" w:eastAsia="楷体_GB2312" w:cs="Times New Roman"/>
          <w:color w:val="auto"/>
          <w:kern w:val="28"/>
          <w:sz w:val="32"/>
          <w:highlight w:val="none"/>
          <w:lang w:val="en-US" w:eastAsia="zh-CN"/>
        </w:rPr>
        <w:t>（三）项目产出情况</w:t>
      </w:r>
      <w:bookmarkEnd w:id="131"/>
    </w:p>
    <w:p w14:paraId="4BFCAF9D">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包括产出数量、产出质量、产出时效、产出成本四方面的内容，</w:t>
      </w:r>
      <w:r>
        <w:rPr>
          <w:rFonts w:hint="eastAsia" w:ascii="Times New Roman" w:hAnsi="Times New Roman" w:eastAsia="仿宋_GB2312" w:cs="Times New Roman"/>
          <w:color w:val="auto"/>
          <w:sz w:val="32"/>
          <w:szCs w:val="32"/>
          <w:highlight w:val="none"/>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9</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40分，各指标业绩值和绩效分值如表4-3所示</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1EF91F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4-3项目产出</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0"/>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29C43E67">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B9CC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62FC9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4A3CC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22664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7F77D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549E0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F4FE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14:paraId="185E75EC">
        <w:tblPrEx>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5316D3D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A01B37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81DE2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支付工程款数量</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F2B7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≥4个</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2B505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74340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4个</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2660A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45C62462">
        <w:tblPrEx>
          <w:tblCellMar>
            <w:top w:w="0" w:type="dxa"/>
            <w:left w:w="0" w:type="dxa"/>
            <w:bottom w:w="0" w:type="dxa"/>
            <w:right w:w="0" w:type="dxa"/>
          </w:tblCellMar>
        </w:tblPrEx>
        <w:trPr>
          <w:trHeight w:val="88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441D3F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1C6FC3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0CFC3BD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涉及行政村、社区数量</w:t>
            </w:r>
          </w:p>
        </w:tc>
        <w:tc>
          <w:tcPr>
            <w:tcW w:w="1437"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48BA902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≥3个</w:t>
            </w:r>
          </w:p>
        </w:tc>
        <w:tc>
          <w:tcPr>
            <w:tcW w:w="558"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54EFBD2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6F51726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3个</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E8885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52889663">
        <w:tblPrEx>
          <w:tblCellMar>
            <w:top w:w="0" w:type="dxa"/>
            <w:left w:w="0" w:type="dxa"/>
            <w:bottom w:w="0" w:type="dxa"/>
            <w:right w:w="0" w:type="dxa"/>
          </w:tblCellMar>
        </w:tblPrEx>
        <w:trPr>
          <w:trHeight w:val="83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AB5BEB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41051C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70A356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资金支付准确率</w:t>
            </w:r>
          </w:p>
        </w:tc>
        <w:tc>
          <w:tcPr>
            <w:tcW w:w="1437"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A957B3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621DB1A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3580397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495C0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4AA54830">
        <w:tblPrEx>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EC00AD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7E02CC6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F89F1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项目按期完成率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106F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5AC5B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5DAD9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4B137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5C40DE7F">
        <w:tblPrEx>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54B74D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29CCD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A5C03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资金发放完成时间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8342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2024年11月</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2075E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D41B2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2024年11月</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7EAB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708351E4">
        <w:tblPrEx>
          <w:tblCellMar>
            <w:top w:w="0" w:type="dxa"/>
            <w:left w:w="0" w:type="dxa"/>
            <w:bottom w:w="0" w:type="dxa"/>
            <w:right w:w="0" w:type="dxa"/>
          </w:tblCellMar>
        </w:tblPrEx>
        <w:trPr>
          <w:trHeight w:val="573"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3E5E99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61A3B3E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334EF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3.9公里石头路项目</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1005F9">
            <w:pPr>
              <w:keepNext w:val="0"/>
              <w:keepLines w:val="0"/>
              <w:pageBreakBefore w:val="0"/>
              <w:widowControl/>
              <w:tabs>
                <w:tab w:val="left" w:pos="301"/>
              </w:tabs>
              <w:kinsoku/>
              <w:wordWrap/>
              <w:overflowPunct/>
              <w:topLinePunct w:val="0"/>
              <w:autoSpaceDE/>
              <w:autoSpaceDN/>
              <w:bidi w:val="0"/>
              <w:adjustRightInd/>
              <w:snapToGrid w:val="0"/>
              <w:spacing w:line="300" w:lineRule="exact"/>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ab/>
            </w:r>
            <w:r>
              <w:rPr>
                <w:rFonts w:hint="eastAsia" w:cs="宋体"/>
                <w:color w:val="auto"/>
                <w:kern w:val="0"/>
                <w:sz w:val="20"/>
                <w:szCs w:val="20"/>
                <w:highlight w:val="none"/>
                <w:shd w:val="clear" w:color="auto" w:fill="auto"/>
                <w:lang w:val="en-US" w:eastAsia="zh-CN"/>
              </w:rPr>
              <w:t>≤47.92万元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83C08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12468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47.92万元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39B2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2.5</w:t>
            </w:r>
          </w:p>
        </w:tc>
      </w:tr>
      <w:tr w14:paraId="2A9EBC3F">
        <w:tblPrEx>
          <w:tblCellMar>
            <w:top w:w="0" w:type="dxa"/>
            <w:left w:w="0" w:type="dxa"/>
            <w:bottom w:w="0" w:type="dxa"/>
            <w:right w:w="0" w:type="dxa"/>
          </w:tblCellMar>
        </w:tblPrEx>
        <w:trPr>
          <w:trHeight w:val="573"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CC954F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105E58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1B94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环宇测绘费</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F15E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≤37.68万元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4AC7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0723E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37.68万元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1EAFB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2.5</w:t>
            </w:r>
          </w:p>
        </w:tc>
      </w:tr>
      <w:tr w14:paraId="4CA19DCB">
        <w:tblPrEx>
          <w:tblCellMar>
            <w:top w:w="0" w:type="dxa"/>
            <w:left w:w="0" w:type="dxa"/>
            <w:bottom w:w="0" w:type="dxa"/>
            <w:right w:w="0" w:type="dxa"/>
          </w:tblCellMar>
        </w:tblPrEx>
        <w:trPr>
          <w:trHeight w:val="573"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6FA492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91F62E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83B93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小洪沟片区项目</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61999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≤34.89万元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5B636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1A44F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color w:val="auto"/>
                <w:highlight w:val="none"/>
              </w:rPr>
            </w:pPr>
            <w:r>
              <w:rPr>
                <w:rFonts w:hint="eastAsia" w:ascii="宋体" w:hAnsi="宋体" w:eastAsia="宋体" w:cs="宋体"/>
                <w:color w:val="auto"/>
                <w:kern w:val="0"/>
                <w:sz w:val="20"/>
                <w:szCs w:val="20"/>
                <w:highlight w:val="none"/>
                <w:shd w:val="clear" w:color="auto" w:fill="auto"/>
                <w:lang w:val="en-US" w:eastAsia="zh-CN"/>
              </w:rPr>
              <w:t>34.89万元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D55BD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2.5</w:t>
            </w:r>
          </w:p>
        </w:tc>
      </w:tr>
      <w:tr w14:paraId="1525E406">
        <w:tblPrEx>
          <w:tblCellMar>
            <w:top w:w="0" w:type="dxa"/>
            <w:left w:w="0" w:type="dxa"/>
            <w:bottom w:w="0" w:type="dxa"/>
            <w:right w:w="0" w:type="dxa"/>
          </w:tblCellMar>
        </w:tblPrEx>
        <w:trPr>
          <w:trHeight w:val="428" w:hRule="atLeast"/>
        </w:trPr>
        <w:tc>
          <w:tcPr>
            <w:tcW w:w="63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402D3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769BB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82A5D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供水管网项目</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288A5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≤102.02万元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26456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60CD4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color w:val="auto"/>
                <w:highlight w:val="none"/>
              </w:rPr>
            </w:pPr>
            <w:r>
              <w:rPr>
                <w:rFonts w:hint="eastAsia" w:ascii="宋体" w:hAnsi="宋体" w:eastAsia="宋体" w:cs="宋体"/>
                <w:color w:val="auto"/>
                <w:kern w:val="0"/>
                <w:sz w:val="20"/>
                <w:szCs w:val="20"/>
                <w:highlight w:val="none"/>
                <w:shd w:val="clear" w:color="auto" w:fill="auto"/>
                <w:lang w:val="en-US" w:eastAsia="zh-CN"/>
              </w:rPr>
              <w:t>102.02万元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611C9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2.5</w:t>
            </w:r>
          </w:p>
        </w:tc>
      </w:tr>
      <w:tr w14:paraId="750D5E0B">
        <w:tblPrEx>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21017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F67AF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0217E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8D054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r>
      <w:tr w14:paraId="3198FCDF">
        <w:tblPrEx>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CB42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32" w:name="_Toc26689"/>
            <w:bookmarkStart w:id="133" w:name="_Toc11067"/>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E8D9E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cs="宋体"/>
                <w:color w:val="auto"/>
                <w:kern w:val="0"/>
                <w:sz w:val="20"/>
                <w:szCs w:val="20"/>
                <w:highlight w:val="none"/>
                <w:shd w:val="clear" w:color="auto" w:fill="auto"/>
                <w:lang w:val="en-US" w:eastAsia="zh-CN"/>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D2124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AAA81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cs="宋体"/>
                <w:color w:val="auto"/>
                <w:kern w:val="0"/>
                <w:sz w:val="20"/>
                <w:szCs w:val="20"/>
                <w:highlight w:val="none"/>
                <w:shd w:val="clear" w:color="auto" w:fill="auto"/>
                <w:lang w:val="en-US" w:eastAsia="zh-CN"/>
              </w:rPr>
            </w:pPr>
          </w:p>
        </w:tc>
      </w:tr>
    </w:tbl>
    <w:p w14:paraId="1D5E0B5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FF0000"/>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1.数量指标完成情况</w:t>
      </w:r>
      <w:bookmarkEnd w:id="132"/>
      <w:bookmarkEnd w:id="133"/>
    </w:p>
    <w:p w14:paraId="49C979C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支付工程款数量</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指标，预期目标值为≥4个，实际完成为4个。实际完成率=（4个/4个）×100%=100%。</w:t>
      </w:r>
    </w:p>
    <w:p w14:paraId="3C2095B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）“涉及行政村、社区数量”</w:t>
      </w:r>
      <w:r>
        <w:rPr>
          <w:rFonts w:hint="eastAsia" w:ascii="仿宋_GB2312" w:hAnsi="仿宋_GB2312" w:eastAsia="仿宋_GB2312" w:cs="仿宋_GB2312"/>
          <w:color w:val="auto"/>
          <w:sz w:val="32"/>
          <w:szCs w:val="32"/>
          <w:highlight w:val="none"/>
          <w:lang w:val="en-US" w:eastAsia="zh-CN"/>
        </w:rPr>
        <w:t>指标，预期目标值为≥3个，实际完成为3个。实际完成率=（3个/3个）×100%=100%。</w:t>
      </w:r>
    </w:p>
    <w:p w14:paraId="7768824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41257C6F">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4" w:name="_Toc31739"/>
      <w:bookmarkStart w:id="135" w:name="_Toc14255"/>
      <w:r>
        <w:rPr>
          <w:rFonts w:hint="eastAsia" w:ascii="仿宋_GB2312" w:hAnsi="仿宋_GB2312" w:eastAsia="仿宋_GB2312" w:cs="仿宋_GB2312"/>
          <w:b/>
          <w:bCs/>
          <w:color w:val="auto"/>
          <w:sz w:val="32"/>
          <w:szCs w:val="32"/>
          <w:highlight w:val="none"/>
          <w:lang w:val="en-US" w:eastAsia="zh-CN"/>
        </w:rPr>
        <w:t>2.</w:t>
      </w:r>
      <w:bookmarkEnd w:id="134"/>
      <w:r>
        <w:rPr>
          <w:rFonts w:hint="eastAsia" w:ascii="仿宋_GB2312" w:hAnsi="仿宋_GB2312" w:eastAsia="仿宋_GB2312" w:cs="仿宋_GB2312"/>
          <w:b/>
          <w:bCs/>
          <w:color w:val="auto"/>
          <w:sz w:val="32"/>
          <w:szCs w:val="32"/>
          <w:highlight w:val="none"/>
          <w:lang w:val="en-US" w:eastAsia="zh-CN"/>
        </w:rPr>
        <w:t>质量指标完成情况</w:t>
      </w:r>
      <w:bookmarkEnd w:id="135"/>
    </w:p>
    <w:p w14:paraId="38110B6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“资金支付准确率”</w:t>
      </w:r>
      <w:r>
        <w:rPr>
          <w:rFonts w:hint="eastAsia" w:ascii="仿宋_GB2312" w:hAnsi="仿宋_GB2312" w:eastAsia="仿宋_GB2312" w:cs="仿宋_GB2312"/>
          <w:color w:val="auto"/>
          <w:sz w:val="32"/>
          <w:szCs w:val="32"/>
          <w:highlight w:val="none"/>
          <w:lang w:val="en-US" w:eastAsia="zh-CN"/>
        </w:rPr>
        <w:t>指标，预期目标值为=100%，实际完成为100%。实际完成率100%。</w:t>
      </w:r>
    </w:p>
    <w:p w14:paraId="25318B4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sz w:val="32"/>
          <w:szCs w:val="32"/>
          <w:highlight w:val="none"/>
          <w:lang w:val="en-US" w:eastAsia="zh-CN"/>
        </w:rPr>
        <w:t>综上，该项指标满分</w:t>
      </w:r>
      <w:r>
        <w:rPr>
          <w:rFonts w:hint="eastAsia" w:ascii="仿宋_GB2312" w:hAnsi="仿宋_GB2312" w:eastAsia="仿宋_GB2312" w:cs="仿宋_GB2312"/>
          <w:b/>
          <w:bCs/>
          <w:color w:val="auto"/>
          <w:sz w:val="32"/>
          <w:szCs w:val="32"/>
          <w:highlight w:val="none"/>
          <w:lang w:val="en-US" w:eastAsia="zh-CN"/>
        </w:rPr>
        <w:t>10分，得分10分。</w:t>
      </w:r>
    </w:p>
    <w:p w14:paraId="60A4B9F9">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6" w:name="_Toc18307"/>
      <w:bookmarkStart w:id="137" w:name="_Toc28885"/>
      <w:r>
        <w:rPr>
          <w:rFonts w:hint="eastAsia" w:ascii="仿宋_GB2312" w:hAnsi="仿宋_GB2312" w:eastAsia="仿宋_GB2312" w:cs="仿宋_GB2312"/>
          <w:b/>
          <w:bCs/>
          <w:color w:val="auto"/>
          <w:sz w:val="32"/>
          <w:szCs w:val="32"/>
          <w:highlight w:val="none"/>
          <w:lang w:val="en-US" w:eastAsia="zh-CN"/>
        </w:rPr>
        <w:t>3.</w:t>
      </w:r>
      <w:bookmarkEnd w:id="136"/>
      <w:r>
        <w:rPr>
          <w:rFonts w:hint="eastAsia" w:ascii="仿宋_GB2312" w:hAnsi="仿宋_GB2312" w:eastAsia="仿宋_GB2312" w:cs="仿宋_GB2312"/>
          <w:b/>
          <w:bCs/>
          <w:color w:val="auto"/>
          <w:sz w:val="32"/>
          <w:szCs w:val="32"/>
          <w:highlight w:val="none"/>
          <w:lang w:val="en-US" w:eastAsia="zh-CN"/>
        </w:rPr>
        <w:t>时效指标完成情况</w:t>
      </w:r>
      <w:bookmarkEnd w:id="137"/>
    </w:p>
    <w:p w14:paraId="4A0523A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项目按期完成率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指标，预期目标值为=100%，实际完成为100%。实际完成率100%。</w:t>
      </w:r>
    </w:p>
    <w:p w14:paraId="725BD7D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资金发放完成时间</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指标，预期目标值为2024年11月，实际完成为2024年11月。实际完成率100%。</w:t>
      </w:r>
    </w:p>
    <w:p w14:paraId="1DAB949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2306AD7C">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8" w:name="_Toc32765"/>
      <w:bookmarkStart w:id="139" w:name="_Toc20607"/>
      <w:r>
        <w:rPr>
          <w:rFonts w:hint="eastAsia" w:ascii="仿宋_GB2312" w:hAnsi="仿宋_GB2312" w:eastAsia="仿宋_GB2312" w:cs="仿宋_GB2312"/>
          <w:b/>
          <w:bCs/>
          <w:color w:val="auto"/>
          <w:sz w:val="32"/>
          <w:szCs w:val="32"/>
          <w:highlight w:val="none"/>
          <w:lang w:val="en-US" w:eastAsia="zh-CN"/>
        </w:rPr>
        <w:t>4.项目</w:t>
      </w:r>
      <w:bookmarkEnd w:id="138"/>
      <w:r>
        <w:rPr>
          <w:rFonts w:hint="eastAsia" w:ascii="仿宋_GB2312" w:hAnsi="仿宋_GB2312" w:eastAsia="仿宋_GB2312" w:cs="仿宋_GB2312"/>
          <w:b/>
          <w:bCs/>
          <w:color w:val="auto"/>
          <w:sz w:val="32"/>
          <w:szCs w:val="32"/>
          <w:highlight w:val="none"/>
          <w:lang w:val="en-US" w:eastAsia="zh-CN"/>
        </w:rPr>
        <w:t>成本情况</w:t>
      </w:r>
      <w:bookmarkEnd w:id="139"/>
    </w:p>
    <w:p w14:paraId="56BD170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经济</w:t>
      </w:r>
      <w:r>
        <w:rPr>
          <w:rFonts w:hint="eastAsia" w:ascii="仿宋_GB2312" w:hAnsi="仿宋_GB2312" w:eastAsia="仿宋_GB2312" w:cs="仿宋_GB2312"/>
          <w:b/>
          <w:bCs/>
          <w:color w:val="auto"/>
          <w:sz w:val="32"/>
          <w:szCs w:val="32"/>
          <w:highlight w:val="none"/>
          <w:lang w:eastAsia="zh-CN"/>
        </w:rPr>
        <w:t>成本指标完成情况</w:t>
      </w:r>
    </w:p>
    <w:p w14:paraId="5A62F62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（1）“3.9公里石头路项目”指标，预期目标值为≤47.92万元，实际完成为47.92万元。实际完成率=（47.92万元/47.92万元）×100%=100%。</w:t>
      </w:r>
    </w:p>
    <w:p w14:paraId="7F4757C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环宇测绘费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指标，预期目标值为≤37.68万元，实际完成为37.68万元。实际完成率=（37.68万元/37.68万元）×100%=100%。</w:t>
      </w:r>
    </w:p>
    <w:p w14:paraId="502DB7C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小洪沟片区项目</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指标，预期目标值为≤34.89万元，实际完成为34.89万元。实际完成率=（34.89万元/34.89万元）×100%=100%。</w:t>
      </w:r>
    </w:p>
    <w:p w14:paraId="6DF1CBE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供水管网项目</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指标，预期目标值为≤102.02万元，实际完成为102.02万元。实际完成率=（102.02万元/102.02万元）×100%=100%。</w:t>
      </w:r>
    </w:p>
    <w:p w14:paraId="0227943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0F626798">
      <w:pPr>
        <w:pStyle w:val="9"/>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highlight w:val="none"/>
          <w:lang w:val="en-US" w:eastAsia="zh-CN"/>
        </w:rPr>
      </w:pPr>
      <w:bookmarkStart w:id="140" w:name="_Toc19424"/>
      <w:r>
        <w:rPr>
          <w:rFonts w:hint="eastAsia" w:ascii="Times New Roman" w:hAnsi="Times New Roman" w:eastAsia="楷体_GB2312" w:cs="Times New Roman"/>
          <w:kern w:val="28"/>
          <w:sz w:val="32"/>
          <w:highlight w:val="none"/>
          <w:lang w:val="en-US" w:eastAsia="zh-CN"/>
        </w:rPr>
        <w:t>（四）项目效益情况</w:t>
      </w:r>
      <w:bookmarkEnd w:id="140"/>
    </w:p>
    <w:p w14:paraId="239A1820">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sz w:val="32"/>
          <w:szCs w:val="32"/>
          <w:highlight w:val="none"/>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55B3C19B">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4-4项目效益</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0"/>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12E23D9A">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157EB48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14:paraId="1BA982E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55C6913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455C7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14924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0CD87AB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3704B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1515294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DCB19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14:paraId="6631998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A1AFF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68BFCF1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3F51A564">
        <w:tblPrEx>
          <w:tblCellMar>
            <w:top w:w="0" w:type="dxa"/>
            <w:left w:w="0" w:type="dxa"/>
            <w:bottom w:w="0" w:type="dxa"/>
            <w:right w:w="0" w:type="dxa"/>
          </w:tblCellMar>
        </w:tblPrEx>
        <w:trPr>
          <w:trHeight w:val="935" w:hRule="atLeast"/>
          <w:jc w:val="center"/>
        </w:trPr>
        <w:tc>
          <w:tcPr>
            <w:tcW w:w="685" w:type="dxa"/>
            <w:tcBorders>
              <w:left w:val="single" w:color="auto" w:sz="4" w:space="0"/>
              <w:right w:val="single" w:color="000000" w:sz="4" w:space="0"/>
            </w:tcBorders>
            <w:shd w:val="clear" w:color="auto" w:fill="auto"/>
            <w:tcMar>
              <w:top w:w="15" w:type="dxa"/>
              <w:left w:w="15" w:type="dxa"/>
              <w:right w:w="15" w:type="dxa"/>
            </w:tcMar>
            <w:vAlign w:val="center"/>
          </w:tcPr>
          <w:p w14:paraId="5662C67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14:paraId="397B3A5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right w:val="single" w:color="000000" w:sz="4" w:space="0"/>
            </w:tcBorders>
            <w:shd w:val="clear" w:color="auto" w:fill="auto"/>
            <w:tcMar>
              <w:top w:w="15" w:type="dxa"/>
              <w:left w:w="15" w:type="dxa"/>
              <w:right w:w="15" w:type="dxa"/>
            </w:tcMar>
            <w:vAlign w:val="center"/>
          </w:tcPr>
          <w:p w14:paraId="7CAB337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化解本级债务矛盾，促进社会和谐稳定</w:t>
            </w:r>
          </w:p>
        </w:tc>
        <w:tc>
          <w:tcPr>
            <w:tcW w:w="870"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34A935C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有效促进</w:t>
            </w:r>
          </w:p>
        </w:tc>
        <w:tc>
          <w:tcPr>
            <w:tcW w:w="645"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9B54FF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3B82EE6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4ED75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37AEDC59">
        <w:tblPrEx>
          <w:tblCellMar>
            <w:top w:w="0" w:type="dxa"/>
            <w:left w:w="0" w:type="dxa"/>
            <w:bottom w:w="0" w:type="dxa"/>
            <w:right w:w="0" w:type="dxa"/>
          </w:tblCellMar>
        </w:tblPrEx>
        <w:trPr>
          <w:trHeight w:val="922" w:hRule="atLeast"/>
          <w:jc w:val="center"/>
        </w:trPr>
        <w:tc>
          <w:tcPr>
            <w:tcW w:w="685" w:type="dxa"/>
            <w:tcBorders>
              <w:left w:val="single" w:color="auto" w:sz="4" w:space="0"/>
              <w:right w:val="single" w:color="000000" w:sz="4" w:space="0"/>
            </w:tcBorders>
            <w:shd w:val="clear" w:color="auto" w:fill="auto"/>
            <w:tcMar>
              <w:top w:w="15" w:type="dxa"/>
              <w:left w:w="15" w:type="dxa"/>
              <w:right w:w="15" w:type="dxa"/>
            </w:tcMar>
            <w:vAlign w:val="center"/>
          </w:tcPr>
          <w:p w14:paraId="18BE0DA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14:paraId="31F7CCF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满意度指标</w:t>
            </w:r>
          </w:p>
        </w:tc>
        <w:tc>
          <w:tcPr>
            <w:tcW w:w="2744" w:type="dxa"/>
            <w:tcBorders>
              <w:top w:val="single" w:color="000000" w:sz="4" w:space="0"/>
              <w:left w:val="single" w:color="auto" w:sz="4" w:space="0"/>
              <w:right w:val="single" w:color="000000" w:sz="4" w:space="0"/>
            </w:tcBorders>
            <w:shd w:val="clear" w:color="auto" w:fill="auto"/>
            <w:tcMar>
              <w:top w:w="15" w:type="dxa"/>
              <w:left w:w="15" w:type="dxa"/>
              <w:right w:w="15" w:type="dxa"/>
            </w:tcMar>
            <w:vAlign w:val="center"/>
          </w:tcPr>
          <w:p w14:paraId="68AA00A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企业满意度</w:t>
            </w:r>
          </w:p>
        </w:tc>
        <w:tc>
          <w:tcPr>
            <w:tcW w:w="870"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0451181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cs="宋体"/>
                <w:color w:val="auto"/>
                <w:kern w:val="0"/>
                <w:sz w:val="20"/>
                <w:szCs w:val="20"/>
                <w:highlight w:val="none"/>
                <w:shd w:val="clear" w:color="auto" w:fill="auto"/>
                <w:lang w:val="en-US" w:eastAsia="zh-CN"/>
              </w:rPr>
            </w:pPr>
            <w:bookmarkStart w:id="141" w:name="OLE_LINK6"/>
            <w:r>
              <w:rPr>
                <w:rFonts w:hint="eastAsia" w:ascii="宋体" w:hAnsi="宋体" w:eastAsia="宋体" w:cs="宋体"/>
                <w:color w:val="auto"/>
                <w:kern w:val="0"/>
                <w:sz w:val="20"/>
                <w:szCs w:val="20"/>
                <w:highlight w:val="none"/>
                <w:shd w:val="clear" w:color="auto" w:fill="auto"/>
                <w:lang w:val="en-US" w:eastAsia="zh-CN"/>
              </w:rPr>
              <w:t>≥90%</w:t>
            </w:r>
            <w:bookmarkEnd w:id="141"/>
          </w:p>
        </w:tc>
        <w:tc>
          <w:tcPr>
            <w:tcW w:w="645"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70533D9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03FAF9D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D8966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2E6E5311">
        <w:tblPrEx>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B807C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6652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05D3B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4B5F6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7D557648">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highlight w:val="none"/>
          <w:lang w:val="en-US" w:eastAsia="zh-CN"/>
        </w:rPr>
      </w:pPr>
      <w:bookmarkStart w:id="142" w:name="_Toc27006"/>
      <w:bookmarkStart w:id="143" w:name="_Toc29606"/>
      <w:r>
        <w:rPr>
          <w:rFonts w:hint="eastAsia" w:ascii="仿宋_GB2312" w:hAnsi="仿宋_GB2312" w:eastAsia="仿宋_GB2312" w:cs="仿宋_GB2312"/>
          <w:b/>
          <w:bCs/>
          <w:sz w:val="32"/>
          <w:szCs w:val="32"/>
          <w:highlight w:val="none"/>
          <w:lang w:val="en-US" w:eastAsia="zh-CN"/>
        </w:rPr>
        <w:t>1.社会效益指标</w:t>
      </w:r>
      <w:bookmarkEnd w:id="142"/>
      <w:r>
        <w:rPr>
          <w:rFonts w:hint="eastAsia" w:ascii="仿宋_GB2312" w:hAnsi="仿宋_GB2312" w:eastAsia="仿宋_GB2312" w:cs="仿宋_GB2312"/>
          <w:b/>
          <w:bCs/>
          <w:sz w:val="32"/>
          <w:szCs w:val="32"/>
          <w:highlight w:val="none"/>
          <w:lang w:val="en-US" w:eastAsia="zh-CN"/>
        </w:rPr>
        <w:t>完成情况</w:t>
      </w:r>
      <w:bookmarkEnd w:id="143"/>
    </w:p>
    <w:p w14:paraId="547372F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“化解本级债务矛盾，促进社会和谐稳定”指标，预期目标值为有效促进，实际完成为达到预期指标。</w:t>
      </w:r>
    </w:p>
    <w:p w14:paraId="23B309C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通过项目的实施，确定化解一部分项目形成的陈欠款问题，切实化解企业资金压力。</w:t>
      </w:r>
    </w:p>
    <w:p w14:paraId="55DFA0F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52288720">
      <w:pPr>
        <w:pStyle w:val="9"/>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44" w:name="_Toc23313"/>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44"/>
    </w:p>
    <w:p w14:paraId="0AF2812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企业满意度</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指标，预期目标值为≧90%，实际完成为100%。</w:t>
      </w:r>
    </w:p>
    <w:p w14:paraId="6B3DA38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51F7A323">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45" w:name="_Toc6622"/>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五</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、主要经验及做法、存在的问题及原因分析</w:t>
      </w:r>
      <w:bookmarkEnd w:id="145"/>
    </w:p>
    <w:p w14:paraId="70F631D8">
      <w:pPr>
        <w:pStyle w:val="9"/>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6" w:name="_Toc15449"/>
      <w:bookmarkStart w:id="147" w:name="_Toc1921"/>
      <w:bookmarkStart w:id="148" w:name="_Toc28290"/>
      <w:r>
        <w:rPr>
          <w:rFonts w:hint="eastAsia" w:ascii="Times New Roman" w:hAnsi="Times New Roman" w:eastAsia="楷体_GB2312" w:cs="Times New Roman"/>
          <w:b/>
          <w:bCs/>
          <w:kern w:val="28"/>
          <w:sz w:val="32"/>
          <w:highlight w:val="none"/>
          <w:lang w:val="en-US" w:eastAsia="zh-CN"/>
        </w:rPr>
        <w:t>（一）主要经验及做法</w:t>
      </w:r>
      <w:bookmarkEnd w:id="146"/>
    </w:p>
    <w:p w14:paraId="5FA308B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化债资金项目</w:t>
      </w:r>
      <w:r>
        <w:rPr>
          <w:rFonts w:hint="eastAsia" w:ascii="仿宋_GB2312" w:hAnsi="仿宋_GB2312" w:eastAsia="仿宋_GB2312" w:cs="仿宋_GB2312"/>
          <w:color w:val="auto"/>
          <w:sz w:val="32"/>
          <w:szCs w:val="32"/>
          <w:highlight w:val="none"/>
          <w:lang w:eastAsia="zh-CN"/>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lang w:eastAsia="zh-CN"/>
        </w:rPr>
        <w:t>年预算</w:t>
      </w:r>
      <w:r>
        <w:rPr>
          <w:rFonts w:hint="eastAsia" w:ascii="仿宋_GB2312" w:hAnsi="仿宋_GB2312" w:eastAsia="仿宋_GB2312" w:cs="仿宋_GB2312"/>
          <w:color w:val="auto"/>
          <w:sz w:val="32"/>
          <w:szCs w:val="32"/>
          <w:highlight w:val="none"/>
          <w:lang w:val="en-US" w:eastAsia="zh-CN"/>
        </w:rPr>
        <w:t>数</w:t>
      </w:r>
      <w:r>
        <w:rPr>
          <w:rFonts w:hint="eastAsia" w:ascii="仿宋_GB2312" w:hAnsi="仿宋_GB2312" w:eastAsia="仿宋_GB2312" w:cs="仿宋_GB2312"/>
          <w:color w:val="auto"/>
          <w:sz w:val="32"/>
          <w:szCs w:val="32"/>
          <w:highlight w:val="none"/>
          <w:lang w:eastAsia="zh-CN"/>
        </w:rPr>
        <w:t>为</w:t>
      </w:r>
      <w:r>
        <w:rPr>
          <w:rFonts w:hint="eastAsia" w:ascii="仿宋_GB2312" w:hAnsi="仿宋_GB2312" w:eastAsia="仿宋_GB2312" w:cs="仿宋_GB2312"/>
          <w:color w:val="auto"/>
          <w:sz w:val="32"/>
          <w:szCs w:val="32"/>
          <w:highlight w:val="none"/>
          <w:lang w:val="en-US" w:eastAsia="zh-CN"/>
        </w:rPr>
        <w:t>222.51</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截至2024年12月31日共</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lang w:val="en-US" w:eastAsia="zh-CN"/>
        </w:rPr>
        <w:t>222.51</w:t>
      </w:r>
      <w:r>
        <w:rPr>
          <w:rFonts w:hint="eastAsia" w:ascii="仿宋_GB2312" w:hAnsi="仿宋_GB2312" w:eastAsia="仿宋_GB2312" w:cs="仿宋_GB2312"/>
          <w:color w:val="auto"/>
          <w:sz w:val="32"/>
          <w:szCs w:val="32"/>
          <w:highlight w:val="none"/>
          <w:lang w:eastAsia="zh-CN"/>
        </w:rPr>
        <w:t>万元，预算</w:t>
      </w:r>
      <w:r>
        <w:rPr>
          <w:rFonts w:hint="eastAsia" w:ascii="仿宋_GB2312" w:hAnsi="仿宋_GB2312" w:eastAsia="仿宋_GB2312" w:cs="仿宋_GB2312"/>
          <w:color w:val="auto"/>
          <w:sz w:val="32"/>
          <w:szCs w:val="32"/>
          <w:highlight w:val="none"/>
          <w:lang w:val="en-US" w:eastAsia="zh-CN"/>
        </w:rPr>
        <w:t>执行</w:t>
      </w:r>
      <w:r>
        <w:rPr>
          <w:rFonts w:hint="eastAsia" w:ascii="仿宋_GB2312" w:hAnsi="仿宋_GB2312" w:eastAsia="仿宋_GB2312" w:cs="仿宋_GB2312"/>
          <w:color w:val="auto"/>
          <w:sz w:val="32"/>
          <w:szCs w:val="32"/>
          <w:highlight w:val="none"/>
          <w:lang w:eastAsia="zh-CN"/>
        </w:rPr>
        <w:t>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w:t>
      </w:r>
    </w:p>
    <w:p w14:paraId="4AF0520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阜康市水磨沟乡人民政府</w:t>
      </w:r>
      <w:r>
        <w:rPr>
          <w:rFonts w:hint="eastAsia" w:ascii="仿宋_GB2312" w:hAnsi="仿宋_GB2312" w:eastAsia="仿宋_GB2312" w:cs="仿宋_GB2312"/>
          <w:color w:val="auto"/>
          <w:sz w:val="32"/>
          <w:szCs w:val="32"/>
          <w:highlight w:val="none"/>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color w:val="auto"/>
          <w:sz w:val="32"/>
          <w:szCs w:val="32"/>
          <w:highlight w:val="none"/>
          <w:lang w:val="en-US" w:eastAsia="zh-CN"/>
        </w:rPr>
        <w:t>阜康市滋泥泉子镇人民政府</w:t>
      </w:r>
      <w:r>
        <w:rPr>
          <w:rFonts w:hint="eastAsia" w:ascii="仿宋_GB2312" w:hAnsi="仿宋_GB2312" w:eastAsia="仿宋_GB2312" w:cs="仿宋_GB2312"/>
          <w:color w:val="auto"/>
          <w:sz w:val="32"/>
          <w:szCs w:val="32"/>
          <w:highlight w:val="none"/>
          <w:lang w:eastAsia="zh-CN"/>
        </w:rPr>
        <w:t>事业发展中关系民生与稳定的项目，切实优化资源配置，提高了资金使用的效率和效果。</w:t>
      </w:r>
    </w:p>
    <w:bookmarkEnd w:id="147"/>
    <w:bookmarkEnd w:id="148"/>
    <w:p w14:paraId="38EA8495">
      <w:pPr>
        <w:pStyle w:val="9"/>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9" w:name="_Toc29168"/>
      <w:r>
        <w:rPr>
          <w:rFonts w:hint="eastAsia" w:ascii="Times New Roman" w:hAnsi="Times New Roman" w:eastAsia="楷体_GB2312" w:cs="Times New Roman"/>
          <w:b/>
          <w:bCs/>
          <w:kern w:val="28"/>
          <w:sz w:val="32"/>
          <w:highlight w:val="none"/>
          <w:lang w:val="en-US" w:eastAsia="zh-CN"/>
        </w:rPr>
        <w:t>（二）存在的问题及原因分析</w:t>
      </w:r>
      <w:bookmarkEnd w:id="149"/>
    </w:p>
    <w:p w14:paraId="2119FBB7">
      <w:pPr>
        <w:pageBreakBefore w:val="0"/>
        <w:kinsoku/>
        <w:wordWrap/>
        <w:overflowPunct/>
        <w:topLinePunct w:val="0"/>
        <w:autoSpaceDE/>
        <w:autoSpaceDN/>
        <w:bidi w:val="0"/>
        <w:spacing w:line="560" w:lineRule="exact"/>
        <w:ind w:firstLine="960" w:firstLineChars="3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1、在项目管理、行政审批或工程建设领域，“无具体立项批复”通常指项目缺乏正式批准文件，可能引发合规性、资金使用或后续管理问题。</w:t>
      </w:r>
    </w:p>
    <w:p w14:paraId="2417EC68">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 2、在项目审批、投资决策或工程建设过程中，“无可行性研究报告”可能导致项目论证不足、审批受阻、投资失控或后期运营风险。未进行可行性分析可能导致预算超支、工期延误或技术方案不合理。</w:t>
      </w:r>
    </w:p>
    <w:p w14:paraId="2283B7DA">
      <w:pPr>
        <w:bidi w:val="0"/>
        <w:rPr>
          <w:rFonts w:hint="eastAsia" w:ascii="黑体" w:hAnsi="黑体" w:eastAsia="黑体" w:cs="黑体"/>
          <w:b w:val="0"/>
          <w:bCs w:val="0"/>
          <w:color w:val="000000" w:themeColor="text1"/>
          <w:kern w:val="44"/>
          <w:sz w:val="32"/>
          <w:szCs w:val="22"/>
          <w:highlight w:val="none"/>
          <w:shd w:val="clear" w:color="auto" w:fill="auto"/>
          <w:lang w:val="en-US" w:eastAsia="zh-CN" w:bidi="ar-SA"/>
          <w14:textFill>
            <w14:solidFill>
              <w14:schemeClr w14:val="tx1"/>
            </w14:solidFill>
          </w14:textFill>
        </w:rPr>
      </w:pPr>
      <w:r>
        <w:rPr>
          <w:rFonts w:hint="eastAsia" w:ascii="黑体" w:hAnsi="黑体" w:eastAsia="黑体" w:cs="黑体"/>
          <w:b w:val="0"/>
          <w:bCs w:val="0"/>
          <w:color w:val="000000" w:themeColor="text1"/>
          <w:kern w:val="44"/>
          <w:sz w:val="32"/>
          <w:szCs w:val="22"/>
          <w:highlight w:val="none"/>
          <w:shd w:val="clear" w:color="auto" w:fill="auto"/>
          <w:lang w:val="en-US" w:eastAsia="zh-CN" w:bidi="ar-SA"/>
          <w14:textFill>
            <w14:solidFill>
              <w14:schemeClr w14:val="tx1"/>
            </w14:solidFill>
          </w14:textFill>
        </w:rPr>
        <w:t>六、有关建议</w:t>
      </w:r>
    </w:p>
    <w:p w14:paraId="5126B71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（一）向发改部门提交补充申请，说明原因并附可行性报告、规划意见等材料。小额资金项目也按照审批程序发布相应的文件批复。</w:t>
      </w:r>
      <w:bookmarkStart w:id="150" w:name="_Toc14256"/>
    </w:p>
    <w:p w14:paraId="548C045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(二)为确保项目的有效性和技术上的合理性，应当编写可行研究报告。向发改部门提交补充申请，说明原因并附可行性报告、规划意见等材料。</w:t>
      </w:r>
    </w:p>
    <w:p w14:paraId="52BAB6B6">
      <w:pPr>
        <w:bidi w:val="0"/>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r>
        <w:rPr>
          <w:rFonts w:hint="eastAsia" w:ascii="黑体" w:hAnsi="黑体" w:eastAsia="黑体" w:cs="黑体"/>
          <w:b w:val="0"/>
          <w:bCs w:val="0"/>
          <w:color w:val="000000" w:themeColor="text1"/>
          <w:kern w:val="44"/>
          <w:sz w:val="32"/>
          <w:szCs w:val="22"/>
          <w:highlight w:val="none"/>
          <w:shd w:val="clear" w:color="auto" w:fill="auto"/>
          <w:lang w:val="en-US" w:eastAsia="zh-CN" w:bidi="ar-SA"/>
          <w14:textFill>
            <w14:solidFill>
              <w14:schemeClr w14:val="tx1"/>
            </w14:solidFill>
          </w14:textFill>
        </w:rPr>
        <w:t>七、其</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他需要说明的问题</w:t>
      </w:r>
      <w:bookmarkEnd w:id="150"/>
    </w:p>
    <w:p w14:paraId="534DB2F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无其他需要说明的问题。</w:t>
      </w:r>
    </w:p>
    <w:p w14:paraId="056A0595">
      <w:pPr>
        <w:pageBreakBefore w:val="0"/>
        <w:kinsoku/>
        <w:wordWrap/>
        <w:overflowPunct/>
        <w:topLinePunct w:val="0"/>
        <w:autoSpaceDE/>
        <w:autoSpaceDN/>
        <w:bidi w:val="0"/>
        <w:adjustRightInd/>
        <w:spacing w:line="560" w:lineRule="exact"/>
        <w:textAlignment w:val="auto"/>
        <w:rPr>
          <w:rFonts w:hint="eastAsia" w:cs="宋体"/>
          <w:color w:val="000000" w:themeColor="text1"/>
          <w:highlight w:val="none"/>
          <w:shd w:val="clear" w:color="auto" w:fill="auto"/>
          <w:lang w:val="en-US" w:eastAsia="zh-CN"/>
          <w14:textFill>
            <w14:solidFill>
              <w14:schemeClr w14:val="tx1"/>
            </w14:solidFill>
          </w14:textFill>
        </w:rPr>
        <w:sectPr>
          <w:footerReference r:id="rId5" w:type="default"/>
          <w:pgSz w:w="11906" w:h="16838"/>
          <w:pgMar w:top="1440" w:right="1800" w:bottom="1440" w:left="1800" w:header="737" w:footer="851" w:gutter="0"/>
          <w:pgNumType w:fmt="decimal"/>
          <w:cols w:space="720" w:num="1"/>
          <w:docGrid w:type="lines" w:linePitch="408" w:charSpace="0"/>
        </w:sectPr>
      </w:pPr>
    </w:p>
    <w:p w14:paraId="648446C4">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highlight w:val="none"/>
        </w:rPr>
      </w:pPr>
      <w:bookmarkStart w:id="151" w:name="_Toc11349"/>
      <w:bookmarkStart w:id="152" w:name="_Toc28971"/>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附件一、项目支出绩效自评表</w:t>
      </w:r>
      <w:bookmarkEnd w:id="151"/>
      <w:bookmarkEnd w:id="152"/>
    </w:p>
    <w:tbl>
      <w:tblPr>
        <w:tblStyle w:val="1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70"/>
        <w:gridCol w:w="871"/>
        <w:gridCol w:w="871"/>
        <w:gridCol w:w="949"/>
        <w:gridCol w:w="1188"/>
        <w:gridCol w:w="1347"/>
        <w:gridCol w:w="1268"/>
        <w:gridCol w:w="1029"/>
        <w:gridCol w:w="1188"/>
        <w:gridCol w:w="871"/>
        <w:gridCol w:w="871"/>
        <w:gridCol w:w="871"/>
        <w:gridCol w:w="871"/>
        <w:gridCol w:w="1109"/>
      </w:tblGrid>
      <w:tr w14:paraId="5FE960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26E70EB6">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119370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6F895A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00DF02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4"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4CCA3E2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95"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56B7E9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化债资金项目</w:t>
            </w:r>
          </w:p>
        </w:tc>
      </w:tr>
      <w:tr w14:paraId="4CC84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50A25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7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A2163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阜康市水磨沟乡人民政府</w:t>
            </w:r>
          </w:p>
        </w:tc>
        <w:tc>
          <w:tcPr>
            <w:tcW w:w="6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84CA5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17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AD044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阜康市水磨沟乡人民政府</w:t>
            </w:r>
          </w:p>
        </w:tc>
      </w:tr>
      <w:tr w14:paraId="2AD0D6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64F9A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8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0817AD">
            <w:pPr>
              <w:jc w:val="center"/>
              <w:rPr>
                <w:rFonts w:hint="eastAsia" w:ascii="宋体" w:hAnsi="宋体" w:eastAsia="宋体" w:cs="宋体"/>
                <w:b/>
                <w:bCs/>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A966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79657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9D606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9A5A3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3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B2A59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BBEFE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798046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41693E">
            <w:pPr>
              <w:jc w:val="center"/>
              <w:rPr>
                <w:rFonts w:hint="eastAsia" w:ascii="宋体" w:hAnsi="宋体" w:eastAsia="宋体" w:cs="宋体"/>
                <w:b/>
                <w:bCs/>
                <w:i w:val="0"/>
                <w:iCs w:val="0"/>
                <w:color w:val="000000"/>
                <w:sz w:val="18"/>
                <w:szCs w:val="18"/>
                <w:u w:val="none"/>
              </w:rPr>
            </w:pPr>
          </w:p>
        </w:tc>
        <w:tc>
          <w:tcPr>
            <w:tcW w:w="8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633BA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ADA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222.51</w:t>
            </w:r>
          </w:p>
        </w:tc>
        <w:tc>
          <w:tcPr>
            <w:tcW w:w="6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F2D3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222.51</w:t>
            </w:r>
          </w:p>
        </w:tc>
        <w:tc>
          <w:tcPr>
            <w:tcW w:w="6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E34B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222.51</w:t>
            </w:r>
          </w:p>
        </w:tc>
        <w:tc>
          <w:tcPr>
            <w:tcW w:w="6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E3CA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3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7EF8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9C70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4116E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451FF8">
            <w:pPr>
              <w:jc w:val="center"/>
              <w:rPr>
                <w:rFonts w:hint="eastAsia" w:ascii="宋体" w:hAnsi="宋体" w:eastAsia="宋体" w:cs="宋体"/>
                <w:b/>
                <w:bCs/>
                <w:i w:val="0"/>
                <w:iCs w:val="0"/>
                <w:color w:val="000000"/>
                <w:sz w:val="18"/>
                <w:szCs w:val="18"/>
                <w:u w:val="none"/>
              </w:rPr>
            </w:pPr>
          </w:p>
        </w:tc>
        <w:tc>
          <w:tcPr>
            <w:tcW w:w="8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2FFF7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92C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222.51</w:t>
            </w:r>
          </w:p>
        </w:tc>
        <w:tc>
          <w:tcPr>
            <w:tcW w:w="6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8761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222.51</w:t>
            </w:r>
          </w:p>
        </w:tc>
        <w:tc>
          <w:tcPr>
            <w:tcW w:w="6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F96C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222.51</w:t>
            </w:r>
          </w:p>
        </w:tc>
        <w:tc>
          <w:tcPr>
            <w:tcW w:w="6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AB40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CCDC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72C7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4961B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B07585">
            <w:pPr>
              <w:jc w:val="center"/>
              <w:rPr>
                <w:rFonts w:hint="eastAsia" w:ascii="宋体" w:hAnsi="宋体" w:eastAsia="宋体" w:cs="宋体"/>
                <w:b/>
                <w:bCs/>
                <w:i w:val="0"/>
                <w:iCs w:val="0"/>
                <w:color w:val="000000"/>
                <w:sz w:val="18"/>
                <w:szCs w:val="18"/>
                <w:u w:val="none"/>
              </w:rPr>
            </w:pPr>
          </w:p>
        </w:tc>
        <w:tc>
          <w:tcPr>
            <w:tcW w:w="8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60010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04C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518B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F1BE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4849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E47C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1D1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0F0E4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3C433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8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80E9CB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1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DB0819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485E45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1868B8">
            <w:pPr>
              <w:jc w:val="center"/>
              <w:rPr>
                <w:rFonts w:hint="eastAsia" w:ascii="宋体" w:hAnsi="宋体" w:eastAsia="宋体" w:cs="宋体"/>
                <w:b/>
                <w:bCs/>
                <w:i w:val="0"/>
                <w:iCs w:val="0"/>
                <w:color w:val="000000"/>
                <w:sz w:val="18"/>
                <w:szCs w:val="18"/>
                <w:u w:val="none"/>
              </w:rPr>
            </w:pPr>
          </w:p>
        </w:tc>
        <w:tc>
          <w:tcPr>
            <w:tcW w:w="198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3824A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阜康市水磨沟乡人民政府2024年预计完成支付工程款项目数量4个，</w:t>
            </w:r>
            <w:r>
              <w:rPr>
                <w:rFonts w:hint="eastAsia" w:cs="宋体"/>
                <w:i w:val="0"/>
                <w:iCs w:val="0"/>
                <w:color w:val="000000"/>
                <w:kern w:val="0"/>
                <w:sz w:val="18"/>
                <w:szCs w:val="18"/>
                <w:u w:val="none"/>
                <w:lang w:val="en-US" w:eastAsia="zh-CN" w:bidi="ar"/>
              </w:rPr>
              <w:t>涉及</w:t>
            </w:r>
            <w:r>
              <w:rPr>
                <w:rFonts w:hint="eastAsia" w:ascii="宋体" w:hAnsi="宋体" w:eastAsia="宋体" w:cs="宋体"/>
                <w:i w:val="0"/>
                <w:iCs w:val="0"/>
                <w:color w:val="000000"/>
                <w:kern w:val="0"/>
                <w:sz w:val="18"/>
                <w:szCs w:val="18"/>
                <w:u w:val="none"/>
                <w:lang w:val="en-US" w:eastAsia="zh-CN" w:bidi="ar"/>
              </w:rPr>
              <w:t>行政村、社区3个、项目完成率100%，竣工验收合格率100%、资金支付准确率100%、项目按期完成率100%、资金至2024年12月31日前发放完成、其中2024年工程款222.51万元、正常运转率100%、通过项目的实施预计有效改善水磨沟乡各村农村人居环境，提升村民生活水平。</w:t>
            </w:r>
          </w:p>
        </w:tc>
        <w:tc>
          <w:tcPr>
            <w:tcW w:w="281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FCB14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截至2024年12月31日，本项目完成支付工程款项目数量4个，</w:t>
            </w:r>
            <w:r>
              <w:rPr>
                <w:rFonts w:hint="eastAsia" w:cs="宋体"/>
                <w:i w:val="0"/>
                <w:iCs w:val="0"/>
                <w:color w:val="000000"/>
                <w:kern w:val="0"/>
                <w:sz w:val="18"/>
                <w:szCs w:val="18"/>
                <w:u w:val="none"/>
                <w:lang w:val="en-US" w:eastAsia="zh-CN" w:bidi="ar"/>
              </w:rPr>
              <w:t>涉及</w:t>
            </w:r>
            <w:r>
              <w:rPr>
                <w:rFonts w:hint="eastAsia" w:ascii="宋体" w:hAnsi="宋体" w:eastAsia="宋体" w:cs="宋体"/>
                <w:i w:val="0"/>
                <w:iCs w:val="0"/>
                <w:color w:val="000000"/>
                <w:kern w:val="0"/>
                <w:sz w:val="18"/>
                <w:szCs w:val="18"/>
                <w:u w:val="none"/>
                <w:lang w:val="en-US" w:eastAsia="zh-CN" w:bidi="ar"/>
              </w:rPr>
              <w:t>行政村、社区3个、资金支付准确率100%、项目按期完成率100%、资金至2024年11月支付222.51万元，达到正常运转率100%、通过化解本级债务矛盾，促进社会和谐稳定。</w:t>
            </w:r>
          </w:p>
        </w:tc>
      </w:tr>
      <w:tr w14:paraId="57DD4C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495D43">
            <w:pPr>
              <w:jc w:val="center"/>
              <w:rPr>
                <w:rFonts w:hint="eastAsia" w:ascii="宋体" w:hAnsi="宋体" w:eastAsia="宋体" w:cs="宋体"/>
                <w:i w:val="0"/>
                <w:iCs w:val="0"/>
                <w:color w:val="000000"/>
                <w:sz w:val="18"/>
                <w:szCs w:val="18"/>
                <w:u w:val="none"/>
              </w:rPr>
            </w:pPr>
          </w:p>
        </w:tc>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5EB92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3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A5119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D09DE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5137A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B61B4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F8348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413AB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9FB54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25F5C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A80E7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8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4C60E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9EE39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7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DD3C8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264FC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E1FF96">
            <w:pPr>
              <w:jc w:val="center"/>
              <w:rPr>
                <w:rFonts w:hint="eastAsia" w:ascii="宋体" w:hAnsi="宋体" w:eastAsia="宋体" w:cs="宋体"/>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DF35E6">
            <w:pPr>
              <w:jc w:val="center"/>
              <w:rPr>
                <w:rFonts w:hint="eastAsia" w:ascii="宋体" w:hAnsi="宋体" w:eastAsia="宋体" w:cs="宋体"/>
                <w:b/>
                <w:bCs/>
                <w:i w:val="0"/>
                <w:iCs w:val="0"/>
                <w:color w:val="000000"/>
                <w:sz w:val="18"/>
                <w:szCs w:val="18"/>
                <w:u w:val="none"/>
              </w:rPr>
            </w:pPr>
          </w:p>
        </w:tc>
        <w:tc>
          <w:tcPr>
            <w:tcW w:w="3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75588F">
            <w:pPr>
              <w:jc w:val="center"/>
              <w:rPr>
                <w:rFonts w:hint="eastAsia" w:ascii="宋体" w:hAnsi="宋体" w:eastAsia="宋体" w:cs="宋体"/>
                <w:b/>
                <w:bCs/>
                <w:i w:val="0"/>
                <w:iCs w:val="0"/>
                <w:color w:val="000000"/>
                <w:sz w:val="18"/>
                <w:szCs w:val="18"/>
                <w:u w:val="none"/>
              </w:rPr>
            </w:pPr>
          </w:p>
        </w:tc>
        <w:tc>
          <w:tcPr>
            <w:tcW w:w="4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5528CD">
            <w:pPr>
              <w:jc w:val="center"/>
              <w:rPr>
                <w:rFonts w:hint="eastAsia" w:ascii="宋体" w:hAnsi="宋体" w:eastAsia="宋体" w:cs="宋体"/>
                <w:b/>
                <w:bCs/>
                <w:i w:val="0"/>
                <w:iCs w:val="0"/>
                <w:color w:val="000000"/>
                <w:sz w:val="18"/>
                <w:szCs w:val="18"/>
                <w:u w:val="none"/>
              </w:rPr>
            </w:pPr>
          </w:p>
        </w:tc>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BA4C95">
            <w:pPr>
              <w:jc w:val="center"/>
              <w:rPr>
                <w:rFonts w:hint="eastAsia" w:ascii="宋体" w:hAnsi="宋体" w:eastAsia="宋体" w:cs="宋体"/>
                <w:b/>
                <w:bCs/>
                <w:i w:val="0"/>
                <w:iCs w:val="0"/>
                <w:color w:val="000000"/>
                <w:sz w:val="18"/>
                <w:szCs w:val="18"/>
                <w:u w:val="none"/>
              </w:rPr>
            </w:pPr>
          </w:p>
        </w:tc>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CC958B">
            <w:pPr>
              <w:jc w:val="center"/>
              <w:rPr>
                <w:rFonts w:hint="eastAsia" w:ascii="宋体" w:hAnsi="宋体" w:eastAsia="宋体" w:cs="宋体"/>
                <w:b/>
                <w:bCs/>
                <w:i w:val="0"/>
                <w:iCs w:val="0"/>
                <w:color w:val="000000"/>
                <w:sz w:val="18"/>
                <w:szCs w:val="18"/>
                <w:u w:val="none"/>
              </w:rPr>
            </w:pPr>
          </w:p>
        </w:tc>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97DBB6">
            <w:pPr>
              <w:jc w:val="center"/>
              <w:rPr>
                <w:rFonts w:hint="eastAsia" w:ascii="宋体" w:hAnsi="宋体" w:eastAsia="宋体" w:cs="宋体"/>
                <w:b/>
                <w:bCs/>
                <w:i w:val="0"/>
                <w:iCs w:val="0"/>
                <w:color w:val="000000"/>
                <w:sz w:val="18"/>
                <w:szCs w:val="18"/>
                <w:u w:val="none"/>
              </w:rPr>
            </w:pPr>
          </w:p>
        </w:tc>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2BEADA">
            <w:pPr>
              <w:jc w:val="center"/>
              <w:rPr>
                <w:rFonts w:hint="eastAsia" w:ascii="宋体" w:hAnsi="宋体" w:eastAsia="宋体" w:cs="宋体"/>
                <w:b/>
                <w:bCs/>
                <w:i w:val="0"/>
                <w:iCs w:val="0"/>
                <w:color w:val="000000"/>
                <w:sz w:val="18"/>
                <w:szCs w:val="18"/>
                <w:u w:val="none"/>
              </w:rPr>
            </w:pPr>
          </w:p>
        </w:tc>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73E1ED">
            <w:pPr>
              <w:jc w:val="center"/>
              <w:rPr>
                <w:rFonts w:hint="eastAsia" w:ascii="宋体" w:hAnsi="宋体" w:eastAsia="宋体" w:cs="宋体"/>
                <w:b/>
                <w:bCs/>
                <w:i w:val="0"/>
                <w:iCs w:val="0"/>
                <w:color w:val="000000"/>
                <w:sz w:val="18"/>
                <w:szCs w:val="18"/>
                <w:u w:val="none"/>
              </w:rPr>
            </w:pPr>
          </w:p>
        </w:tc>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D1E82A">
            <w:pPr>
              <w:jc w:val="center"/>
              <w:rPr>
                <w:rFonts w:hint="eastAsia" w:ascii="宋体" w:hAnsi="宋体" w:eastAsia="宋体" w:cs="宋体"/>
                <w:b/>
                <w:bCs/>
                <w:i w:val="0"/>
                <w:iCs w:val="0"/>
                <w:color w:val="000000"/>
                <w:sz w:val="18"/>
                <w:szCs w:val="18"/>
                <w:u w:val="none"/>
              </w:rPr>
            </w:pPr>
          </w:p>
        </w:tc>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7BAB00">
            <w:pPr>
              <w:jc w:val="center"/>
              <w:rPr>
                <w:rFonts w:hint="eastAsia" w:ascii="宋体" w:hAnsi="宋体" w:eastAsia="宋体" w:cs="宋体"/>
                <w:b/>
                <w:bCs/>
                <w:i w:val="0"/>
                <w:iCs w:val="0"/>
                <w:color w:val="000000"/>
                <w:sz w:val="18"/>
                <w:szCs w:val="18"/>
                <w:u w:val="none"/>
              </w:rPr>
            </w:pPr>
          </w:p>
        </w:tc>
        <w:tc>
          <w:tcPr>
            <w:tcW w:w="3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DA537A">
            <w:pPr>
              <w:jc w:val="center"/>
              <w:rPr>
                <w:rFonts w:hint="eastAsia" w:ascii="宋体" w:hAnsi="宋体" w:eastAsia="宋体" w:cs="宋体"/>
                <w:b/>
                <w:bCs/>
                <w:i w:val="0"/>
                <w:iCs w:val="0"/>
                <w:color w:val="000000"/>
                <w:sz w:val="18"/>
                <w:szCs w:val="18"/>
                <w:u w:val="none"/>
              </w:rPr>
            </w:pPr>
          </w:p>
        </w:tc>
        <w:tc>
          <w:tcPr>
            <w:tcW w:w="3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EFE89B">
            <w:pPr>
              <w:jc w:val="center"/>
              <w:rPr>
                <w:rFonts w:hint="eastAsia" w:ascii="宋体" w:hAnsi="宋体" w:eastAsia="宋体" w:cs="宋体"/>
                <w:b/>
                <w:bCs/>
                <w:i w:val="0"/>
                <w:iCs w:val="0"/>
                <w:color w:val="000000"/>
                <w:sz w:val="18"/>
                <w:szCs w:val="18"/>
                <w:u w:val="none"/>
              </w:rPr>
            </w:pPr>
          </w:p>
        </w:tc>
        <w:tc>
          <w:tcPr>
            <w:tcW w:w="7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F8D74F">
            <w:pPr>
              <w:jc w:val="center"/>
              <w:rPr>
                <w:rFonts w:hint="eastAsia" w:ascii="宋体" w:hAnsi="宋体" w:eastAsia="宋体" w:cs="宋体"/>
                <w:b/>
                <w:bCs/>
                <w:i w:val="0"/>
                <w:iCs w:val="0"/>
                <w:color w:val="000000"/>
                <w:sz w:val="18"/>
                <w:szCs w:val="18"/>
                <w:u w:val="none"/>
              </w:rPr>
            </w:pPr>
          </w:p>
        </w:tc>
      </w:tr>
      <w:tr w14:paraId="69B57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25CBB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bookmarkStart w:id="153" w:name="_GoBack" w:colFirst="7" w:colLast="7"/>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C828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4C15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8F9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支付工程款数量</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954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CF9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&gt;=4个</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225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=4个</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7B64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CE3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142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4C930">
            <w:pPr>
              <w:jc w:val="center"/>
              <w:rPr>
                <w:rFonts w:hint="eastAsia" w:ascii="宋体" w:hAnsi="宋体" w:eastAsia="宋体" w:cs="宋体"/>
                <w:i w:val="0"/>
                <w:iCs w:val="0"/>
                <w:color w:val="000000"/>
                <w:sz w:val="18"/>
                <w:szCs w:val="18"/>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BF5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C49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AFB75">
            <w:pPr>
              <w:jc w:val="center"/>
              <w:rPr>
                <w:rFonts w:hint="eastAsia" w:ascii="宋体" w:hAnsi="宋体" w:eastAsia="宋体" w:cs="宋体"/>
                <w:i w:val="0"/>
                <w:iCs w:val="0"/>
                <w:color w:val="000000"/>
                <w:sz w:val="18"/>
                <w:szCs w:val="18"/>
                <w:u w:val="none"/>
              </w:rPr>
            </w:pPr>
          </w:p>
        </w:tc>
      </w:tr>
      <w:tr w14:paraId="49F6FB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2A6FED">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D9DE4B">
            <w:pPr>
              <w:jc w:val="center"/>
              <w:rPr>
                <w:rFonts w:hint="eastAsia" w:ascii="宋体" w:hAnsi="宋体" w:eastAsia="宋体" w:cs="宋体"/>
                <w:i w:val="0"/>
                <w:iCs w:val="0"/>
                <w:color w:val="000000"/>
                <w:sz w:val="18"/>
                <w:szCs w:val="18"/>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C7DA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0E9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涉及行政村、社区数量</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337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6F8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&gt;=3个</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8074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=3个</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0410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8C8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94D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BB85EF">
            <w:pPr>
              <w:jc w:val="center"/>
              <w:rPr>
                <w:rFonts w:hint="eastAsia" w:ascii="宋体" w:hAnsi="宋体" w:eastAsia="宋体" w:cs="宋体"/>
                <w:i w:val="0"/>
                <w:iCs w:val="0"/>
                <w:color w:val="000000"/>
                <w:sz w:val="18"/>
                <w:szCs w:val="18"/>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C0B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3958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40411">
            <w:pPr>
              <w:jc w:val="center"/>
              <w:rPr>
                <w:rFonts w:hint="eastAsia" w:ascii="宋体" w:hAnsi="宋体" w:eastAsia="宋体" w:cs="宋体"/>
                <w:i w:val="0"/>
                <w:iCs w:val="0"/>
                <w:color w:val="000000"/>
                <w:sz w:val="18"/>
                <w:szCs w:val="18"/>
                <w:u w:val="none"/>
              </w:rPr>
            </w:pPr>
          </w:p>
        </w:tc>
      </w:tr>
      <w:tr w14:paraId="65DD0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DB995D">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E19A96">
            <w:pPr>
              <w:jc w:val="center"/>
              <w:rPr>
                <w:rFonts w:hint="eastAsia" w:ascii="宋体" w:hAnsi="宋体" w:eastAsia="宋体" w:cs="宋体"/>
                <w:i w:val="0"/>
                <w:iCs w:val="0"/>
                <w:color w:val="000000"/>
                <w:sz w:val="18"/>
                <w:szCs w:val="18"/>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C37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313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资金支付准确率</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000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049C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=100百分比</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1C9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3C38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1300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F0E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70C04B">
            <w:pPr>
              <w:jc w:val="center"/>
              <w:rPr>
                <w:rFonts w:hint="eastAsia" w:ascii="宋体" w:hAnsi="宋体" w:eastAsia="宋体" w:cs="宋体"/>
                <w:i w:val="0"/>
                <w:iCs w:val="0"/>
                <w:color w:val="000000"/>
                <w:sz w:val="18"/>
                <w:szCs w:val="18"/>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05B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FA9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96667F">
            <w:pPr>
              <w:jc w:val="center"/>
              <w:rPr>
                <w:rFonts w:hint="eastAsia" w:ascii="宋体" w:hAnsi="宋体" w:eastAsia="宋体" w:cs="宋体"/>
                <w:i w:val="0"/>
                <w:iCs w:val="0"/>
                <w:color w:val="000000"/>
                <w:sz w:val="18"/>
                <w:szCs w:val="18"/>
                <w:u w:val="none"/>
              </w:rPr>
            </w:pPr>
          </w:p>
        </w:tc>
      </w:tr>
      <w:tr w14:paraId="275D2C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F48187">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071AAB">
            <w:pPr>
              <w:jc w:val="center"/>
              <w:rPr>
                <w:rFonts w:hint="eastAsia" w:ascii="宋体" w:hAnsi="宋体" w:eastAsia="宋体" w:cs="宋体"/>
                <w:i w:val="0"/>
                <w:iCs w:val="0"/>
                <w:color w:val="000000"/>
                <w:sz w:val="18"/>
                <w:szCs w:val="18"/>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3F1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939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项目按期完成率</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331F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1EA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=100百分比</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63D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4C5E3">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F440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F6F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E2794">
            <w:pPr>
              <w:jc w:val="center"/>
              <w:rPr>
                <w:rFonts w:hint="eastAsia" w:ascii="宋体" w:hAnsi="宋体" w:eastAsia="宋体" w:cs="宋体"/>
                <w:i w:val="0"/>
                <w:iCs w:val="0"/>
                <w:color w:val="000000"/>
                <w:sz w:val="18"/>
                <w:szCs w:val="18"/>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F76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08A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F234D">
            <w:pPr>
              <w:jc w:val="center"/>
              <w:rPr>
                <w:rFonts w:hint="eastAsia" w:ascii="宋体" w:hAnsi="宋体" w:eastAsia="宋体" w:cs="宋体"/>
                <w:i w:val="0"/>
                <w:iCs w:val="0"/>
                <w:color w:val="000000"/>
                <w:sz w:val="18"/>
                <w:szCs w:val="18"/>
                <w:u w:val="none"/>
              </w:rPr>
            </w:pPr>
          </w:p>
        </w:tc>
      </w:tr>
      <w:tr w14:paraId="122150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963330">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4FF816">
            <w:pPr>
              <w:jc w:val="center"/>
              <w:rPr>
                <w:rFonts w:hint="eastAsia" w:ascii="宋体" w:hAnsi="宋体" w:eastAsia="宋体" w:cs="宋体"/>
                <w:i w:val="0"/>
                <w:iCs w:val="0"/>
                <w:color w:val="000000"/>
                <w:sz w:val="18"/>
                <w:szCs w:val="18"/>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643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1D9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资金支付完成时间</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240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0AF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2024年11月</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244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=2024年11月</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E31F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037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8B8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9E44CC">
            <w:pPr>
              <w:jc w:val="center"/>
              <w:rPr>
                <w:rFonts w:hint="eastAsia" w:ascii="宋体" w:hAnsi="宋体" w:eastAsia="宋体" w:cs="宋体"/>
                <w:i w:val="0"/>
                <w:iCs w:val="0"/>
                <w:color w:val="000000"/>
                <w:sz w:val="18"/>
                <w:szCs w:val="18"/>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5CC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E7F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正式材料,原始凭证</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1C60EC">
            <w:pPr>
              <w:jc w:val="center"/>
              <w:rPr>
                <w:rFonts w:hint="eastAsia" w:ascii="宋体" w:hAnsi="宋体" w:eastAsia="宋体" w:cs="宋体"/>
                <w:i w:val="0"/>
                <w:iCs w:val="0"/>
                <w:color w:val="000000"/>
                <w:sz w:val="18"/>
                <w:szCs w:val="18"/>
                <w:u w:val="none"/>
              </w:rPr>
            </w:pPr>
          </w:p>
        </w:tc>
      </w:tr>
      <w:tr w14:paraId="758E10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D89A17">
            <w:pPr>
              <w:jc w:val="center"/>
              <w:rPr>
                <w:rFonts w:hint="eastAsia" w:ascii="宋体" w:hAnsi="宋体" w:eastAsia="宋体" w:cs="宋体"/>
                <w:b/>
                <w:bCs/>
                <w:i w:val="0"/>
                <w:iCs w:val="0"/>
                <w:color w:val="000000"/>
                <w:sz w:val="18"/>
                <w:szCs w:val="18"/>
                <w:u w:val="none"/>
              </w:rPr>
            </w:pPr>
          </w:p>
        </w:tc>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088B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B42F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2917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3.9公里石头路项目</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DEF1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6C5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&lt;=47.92万元</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D42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=47.92万元</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5C0E4">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074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091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1B75E">
            <w:pPr>
              <w:jc w:val="center"/>
              <w:rPr>
                <w:rFonts w:hint="eastAsia" w:ascii="宋体" w:hAnsi="宋体" w:eastAsia="宋体" w:cs="宋体"/>
                <w:i w:val="0"/>
                <w:iCs w:val="0"/>
                <w:color w:val="000000"/>
                <w:sz w:val="18"/>
                <w:szCs w:val="18"/>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358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072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正式材料,原始凭证</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3C537">
            <w:pPr>
              <w:jc w:val="center"/>
              <w:rPr>
                <w:rFonts w:hint="eastAsia" w:ascii="宋体" w:hAnsi="宋体" w:eastAsia="宋体" w:cs="宋体"/>
                <w:i w:val="0"/>
                <w:iCs w:val="0"/>
                <w:color w:val="000000"/>
                <w:sz w:val="18"/>
                <w:szCs w:val="18"/>
                <w:u w:val="none"/>
              </w:rPr>
            </w:pPr>
          </w:p>
        </w:tc>
      </w:tr>
      <w:tr w14:paraId="4B47F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4D2C86">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FD9206">
            <w:pPr>
              <w:jc w:val="center"/>
              <w:rPr>
                <w:rFonts w:hint="eastAsia" w:ascii="宋体" w:hAnsi="宋体" w:eastAsia="宋体" w:cs="宋体"/>
                <w:i w:val="0"/>
                <w:iCs w:val="0"/>
                <w:color w:val="000000"/>
                <w:sz w:val="18"/>
                <w:szCs w:val="18"/>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A08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1F4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环宇测绘费</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05B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7AA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&lt;=37.68万元</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117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=37.68万元</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23AF3">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817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4585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11E56">
            <w:pPr>
              <w:jc w:val="center"/>
              <w:rPr>
                <w:rFonts w:hint="eastAsia" w:ascii="宋体" w:hAnsi="宋体" w:eastAsia="宋体" w:cs="宋体"/>
                <w:i w:val="0"/>
                <w:iCs w:val="0"/>
                <w:color w:val="000000"/>
                <w:sz w:val="18"/>
                <w:szCs w:val="18"/>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D75D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0D7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正式材料,原始凭证</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4F31CB">
            <w:pPr>
              <w:jc w:val="center"/>
              <w:rPr>
                <w:rFonts w:hint="eastAsia" w:ascii="宋体" w:hAnsi="宋体" w:eastAsia="宋体" w:cs="宋体"/>
                <w:i w:val="0"/>
                <w:iCs w:val="0"/>
                <w:color w:val="000000"/>
                <w:sz w:val="18"/>
                <w:szCs w:val="18"/>
                <w:u w:val="none"/>
              </w:rPr>
            </w:pPr>
          </w:p>
        </w:tc>
      </w:tr>
      <w:tr w14:paraId="73B4D8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5F4C70">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4182A5">
            <w:pPr>
              <w:jc w:val="center"/>
              <w:rPr>
                <w:rFonts w:hint="eastAsia" w:ascii="宋体" w:hAnsi="宋体" w:eastAsia="宋体" w:cs="宋体"/>
                <w:i w:val="0"/>
                <w:iCs w:val="0"/>
                <w:color w:val="000000"/>
                <w:sz w:val="18"/>
                <w:szCs w:val="18"/>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9CA5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F36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小洪沟片区项目</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BF4F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147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&lt;=34.89万元</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620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=34.89万元</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1DDC9">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0C2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BFA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4EC21">
            <w:pPr>
              <w:jc w:val="center"/>
              <w:rPr>
                <w:rFonts w:hint="eastAsia" w:ascii="宋体" w:hAnsi="宋体" w:eastAsia="宋体" w:cs="宋体"/>
                <w:i w:val="0"/>
                <w:iCs w:val="0"/>
                <w:color w:val="000000"/>
                <w:sz w:val="18"/>
                <w:szCs w:val="18"/>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376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FEFA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正式材料,原始凭证</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055030">
            <w:pPr>
              <w:jc w:val="center"/>
              <w:rPr>
                <w:rFonts w:hint="eastAsia" w:ascii="宋体" w:hAnsi="宋体" w:eastAsia="宋体" w:cs="宋体"/>
                <w:i w:val="0"/>
                <w:iCs w:val="0"/>
                <w:color w:val="000000"/>
                <w:sz w:val="18"/>
                <w:szCs w:val="18"/>
                <w:u w:val="none"/>
              </w:rPr>
            </w:pPr>
          </w:p>
        </w:tc>
      </w:tr>
      <w:tr w14:paraId="0E069B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236A2E">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FA28FD">
            <w:pPr>
              <w:jc w:val="center"/>
              <w:rPr>
                <w:rFonts w:hint="eastAsia" w:ascii="宋体" w:hAnsi="宋体" w:eastAsia="宋体" w:cs="宋体"/>
                <w:i w:val="0"/>
                <w:iCs w:val="0"/>
                <w:color w:val="000000"/>
                <w:sz w:val="18"/>
                <w:szCs w:val="18"/>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D838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92B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供水管网项目</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CC4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1F07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&lt;=102.02万元</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50D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=102.02万元</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84758">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E26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49D7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5E9F4">
            <w:pPr>
              <w:jc w:val="center"/>
              <w:rPr>
                <w:rFonts w:hint="eastAsia" w:ascii="宋体" w:hAnsi="宋体" w:eastAsia="宋体" w:cs="宋体"/>
                <w:i w:val="0"/>
                <w:iCs w:val="0"/>
                <w:color w:val="000000"/>
                <w:sz w:val="18"/>
                <w:szCs w:val="18"/>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72B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5A8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正式材料,原始凭证</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C69D8">
            <w:pPr>
              <w:jc w:val="center"/>
              <w:rPr>
                <w:rFonts w:hint="eastAsia" w:ascii="宋体" w:hAnsi="宋体" w:eastAsia="宋体" w:cs="宋体"/>
                <w:i w:val="0"/>
                <w:iCs w:val="0"/>
                <w:color w:val="000000"/>
                <w:sz w:val="18"/>
                <w:szCs w:val="18"/>
                <w:u w:val="none"/>
              </w:rPr>
            </w:pPr>
          </w:p>
        </w:tc>
      </w:tr>
      <w:tr w14:paraId="1B4DA3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233E9A">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43F0C0">
            <w:pPr>
              <w:jc w:val="center"/>
              <w:rPr>
                <w:rFonts w:hint="eastAsia" w:ascii="宋体" w:hAnsi="宋体" w:eastAsia="宋体" w:cs="宋体"/>
                <w:i w:val="0"/>
                <w:iCs w:val="0"/>
                <w:color w:val="000000"/>
                <w:sz w:val="18"/>
                <w:szCs w:val="18"/>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755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A21F6">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481CFD">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508E7">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90B1F">
            <w:pPr>
              <w:jc w:val="center"/>
              <w:rPr>
                <w:rFonts w:hint="eastAsia" w:ascii="宋体" w:hAnsi="宋体" w:eastAsia="宋体" w:cs="宋体"/>
                <w:i w:val="0"/>
                <w:iCs w:val="0"/>
                <w:color w:val="000000"/>
                <w:sz w:val="18"/>
                <w:szCs w:val="18"/>
                <w:u w:val="none"/>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2D99F">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5E6F0">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541BC">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4D0918">
            <w:pPr>
              <w:jc w:val="center"/>
              <w:rPr>
                <w:rFonts w:hint="eastAsia" w:ascii="宋体" w:hAnsi="宋体" w:eastAsia="宋体" w:cs="宋体"/>
                <w:i w:val="0"/>
                <w:iCs w:val="0"/>
                <w:color w:val="000000"/>
                <w:sz w:val="18"/>
                <w:szCs w:val="18"/>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049D9">
            <w:pPr>
              <w:jc w:val="center"/>
              <w:rPr>
                <w:rFonts w:hint="eastAsia" w:ascii="宋体" w:hAnsi="宋体" w:eastAsia="宋体" w:cs="宋体"/>
                <w:i w:val="0"/>
                <w:iCs w:val="0"/>
                <w:color w:val="000000"/>
                <w:sz w:val="18"/>
                <w:szCs w:val="18"/>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1A821">
            <w:pPr>
              <w:jc w:val="center"/>
              <w:rPr>
                <w:rFonts w:hint="eastAsia" w:ascii="宋体" w:hAnsi="宋体" w:eastAsia="宋体" w:cs="宋体"/>
                <w:i w:val="0"/>
                <w:iCs w:val="0"/>
                <w:color w:val="000000"/>
                <w:sz w:val="18"/>
                <w:szCs w:val="18"/>
                <w:u w:val="none"/>
              </w:rPr>
            </w:pP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12C116">
            <w:pPr>
              <w:jc w:val="center"/>
              <w:rPr>
                <w:rFonts w:hint="eastAsia" w:ascii="宋体" w:hAnsi="宋体" w:eastAsia="宋体" w:cs="宋体"/>
                <w:i w:val="0"/>
                <w:iCs w:val="0"/>
                <w:color w:val="000000"/>
                <w:sz w:val="18"/>
                <w:szCs w:val="18"/>
                <w:u w:val="none"/>
              </w:rPr>
            </w:pPr>
          </w:p>
        </w:tc>
      </w:tr>
      <w:tr w14:paraId="1804A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0177C8">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0AC99E">
            <w:pPr>
              <w:jc w:val="center"/>
              <w:rPr>
                <w:rFonts w:hint="eastAsia" w:ascii="宋体" w:hAnsi="宋体" w:eastAsia="宋体" w:cs="宋体"/>
                <w:i w:val="0"/>
                <w:iCs w:val="0"/>
                <w:color w:val="000000"/>
                <w:sz w:val="18"/>
                <w:szCs w:val="18"/>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AA6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8307CA">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A2CCC">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DE2A3">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D7A93D">
            <w:pPr>
              <w:jc w:val="center"/>
              <w:rPr>
                <w:rFonts w:hint="eastAsia" w:ascii="宋体" w:hAnsi="宋体" w:eastAsia="宋体" w:cs="宋体"/>
                <w:i w:val="0"/>
                <w:iCs w:val="0"/>
                <w:color w:val="000000"/>
                <w:sz w:val="18"/>
                <w:szCs w:val="18"/>
                <w:u w:val="none"/>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6C32A">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CDCA84">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56F3D">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B4E04">
            <w:pPr>
              <w:jc w:val="center"/>
              <w:rPr>
                <w:rFonts w:hint="eastAsia" w:ascii="宋体" w:hAnsi="宋体" w:eastAsia="宋体" w:cs="宋体"/>
                <w:i w:val="0"/>
                <w:iCs w:val="0"/>
                <w:color w:val="000000"/>
                <w:sz w:val="18"/>
                <w:szCs w:val="18"/>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C8EE8">
            <w:pPr>
              <w:jc w:val="center"/>
              <w:rPr>
                <w:rFonts w:hint="eastAsia" w:ascii="宋体" w:hAnsi="宋体" w:eastAsia="宋体" w:cs="宋体"/>
                <w:i w:val="0"/>
                <w:iCs w:val="0"/>
                <w:color w:val="000000"/>
                <w:sz w:val="18"/>
                <w:szCs w:val="18"/>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C696A">
            <w:pPr>
              <w:jc w:val="center"/>
              <w:rPr>
                <w:rFonts w:hint="eastAsia" w:ascii="宋体" w:hAnsi="宋体" w:eastAsia="宋体" w:cs="宋体"/>
                <w:i w:val="0"/>
                <w:iCs w:val="0"/>
                <w:color w:val="000000"/>
                <w:sz w:val="18"/>
                <w:szCs w:val="18"/>
                <w:u w:val="none"/>
              </w:rPr>
            </w:pP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DFD75A">
            <w:pPr>
              <w:jc w:val="center"/>
              <w:rPr>
                <w:rFonts w:hint="eastAsia" w:ascii="宋体" w:hAnsi="宋体" w:eastAsia="宋体" w:cs="宋体"/>
                <w:i w:val="0"/>
                <w:iCs w:val="0"/>
                <w:color w:val="000000"/>
                <w:sz w:val="18"/>
                <w:szCs w:val="18"/>
                <w:u w:val="none"/>
              </w:rPr>
            </w:pPr>
          </w:p>
        </w:tc>
      </w:tr>
      <w:tr w14:paraId="35889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A9F3B3">
            <w:pPr>
              <w:jc w:val="center"/>
              <w:rPr>
                <w:rFonts w:hint="eastAsia" w:ascii="宋体" w:hAnsi="宋体" w:eastAsia="宋体" w:cs="宋体"/>
                <w:b/>
                <w:bCs/>
                <w:i w:val="0"/>
                <w:iCs w:val="0"/>
                <w:color w:val="000000"/>
                <w:sz w:val="18"/>
                <w:szCs w:val="18"/>
                <w:u w:val="none"/>
              </w:rPr>
            </w:pPr>
          </w:p>
        </w:tc>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81B1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0B90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019F43">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5AC27">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6B79C">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1667A">
            <w:pPr>
              <w:jc w:val="center"/>
              <w:rPr>
                <w:rFonts w:hint="eastAsia" w:ascii="宋体" w:hAnsi="宋体" w:eastAsia="宋体" w:cs="宋体"/>
                <w:i w:val="0"/>
                <w:iCs w:val="0"/>
                <w:color w:val="000000"/>
                <w:sz w:val="18"/>
                <w:szCs w:val="18"/>
                <w:u w:val="none"/>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51EB6">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D22E6">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E9FA6">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9EDD5">
            <w:pPr>
              <w:jc w:val="center"/>
              <w:rPr>
                <w:rFonts w:hint="eastAsia" w:ascii="宋体" w:hAnsi="宋体" w:eastAsia="宋体" w:cs="宋体"/>
                <w:i w:val="0"/>
                <w:iCs w:val="0"/>
                <w:color w:val="000000"/>
                <w:sz w:val="18"/>
                <w:szCs w:val="18"/>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78CCEF">
            <w:pPr>
              <w:jc w:val="center"/>
              <w:rPr>
                <w:rFonts w:hint="eastAsia" w:ascii="宋体" w:hAnsi="宋体" w:eastAsia="宋体" w:cs="宋体"/>
                <w:i w:val="0"/>
                <w:iCs w:val="0"/>
                <w:color w:val="000000"/>
                <w:sz w:val="18"/>
                <w:szCs w:val="18"/>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64019">
            <w:pPr>
              <w:jc w:val="center"/>
              <w:rPr>
                <w:rFonts w:hint="eastAsia" w:ascii="宋体" w:hAnsi="宋体" w:eastAsia="宋体" w:cs="宋体"/>
                <w:i w:val="0"/>
                <w:iCs w:val="0"/>
                <w:color w:val="000000"/>
                <w:sz w:val="18"/>
                <w:szCs w:val="18"/>
                <w:u w:val="none"/>
              </w:rPr>
            </w:pP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BAA37">
            <w:pPr>
              <w:jc w:val="center"/>
              <w:rPr>
                <w:rFonts w:hint="eastAsia" w:ascii="宋体" w:hAnsi="宋体" w:eastAsia="宋体" w:cs="宋体"/>
                <w:i w:val="0"/>
                <w:iCs w:val="0"/>
                <w:color w:val="000000"/>
                <w:sz w:val="18"/>
                <w:szCs w:val="18"/>
                <w:u w:val="none"/>
              </w:rPr>
            </w:pPr>
          </w:p>
        </w:tc>
      </w:tr>
      <w:tr w14:paraId="424E0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8953DD">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2D2CD7">
            <w:pPr>
              <w:jc w:val="center"/>
              <w:rPr>
                <w:rFonts w:hint="eastAsia" w:ascii="宋体" w:hAnsi="宋体" w:eastAsia="宋体" w:cs="宋体"/>
                <w:i w:val="0"/>
                <w:iCs w:val="0"/>
                <w:color w:val="000000"/>
                <w:sz w:val="18"/>
                <w:szCs w:val="18"/>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6BF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333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化解本级债务矛盾，促进社会和谐稳定</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BF4F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4E2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有效促进</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427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9B33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DEBB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922B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148C22">
            <w:pPr>
              <w:jc w:val="center"/>
              <w:rPr>
                <w:rFonts w:hint="eastAsia" w:ascii="宋体" w:hAnsi="宋体" w:eastAsia="宋体" w:cs="宋体"/>
                <w:i w:val="0"/>
                <w:iCs w:val="0"/>
                <w:color w:val="000000"/>
                <w:sz w:val="18"/>
                <w:szCs w:val="18"/>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55A9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EA7A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9FF51">
            <w:pPr>
              <w:jc w:val="center"/>
              <w:rPr>
                <w:rFonts w:hint="eastAsia" w:ascii="宋体" w:hAnsi="宋体" w:eastAsia="宋体" w:cs="宋体"/>
                <w:i w:val="0"/>
                <w:iCs w:val="0"/>
                <w:color w:val="000000"/>
                <w:sz w:val="18"/>
                <w:szCs w:val="18"/>
                <w:u w:val="none"/>
              </w:rPr>
            </w:pPr>
          </w:p>
        </w:tc>
      </w:tr>
      <w:tr w14:paraId="2348E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86E59E">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C10000">
            <w:pPr>
              <w:jc w:val="center"/>
              <w:rPr>
                <w:rFonts w:hint="eastAsia" w:ascii="宋体" w:hAnsi="宋体" w:eastAsia="宋体" w:cs="宋体"/>
                <w:i w:val="0"/>
                <w:iCs w:val="0"/>
                <w:color w:val="000000"/>
                <w:sz w:val="18"/>
                <w:szCs w:val="18"/>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C96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F8D75">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9DE7C">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146C3">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C8C925">
            <w:pPr>
              <w:jc w:val="center"/>
              <w:rPr>
                <w:rFonts w:hint="eastAsia" w:ascii="宋体" w:hAnsi="宋体" w:eastAsia="宋体" w:cs="宋体"/>
                <w:i w:val="0"/>
                <w:iCs w:val="0"/>
                <w:color w:val="000000"/>
                <w:sz w:val="18"/>
                <w:szCs w:val="18"/>
                <w:u w:val="none"/>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B927D">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37FB9">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6B457">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C3300">
            <w:pPr>
              <w:jc w:val="center"/>
              <w:rPr>
                <w:rFonts w:hint="eastAsia" w:ascii="宋体" w:hAnsi="宋体" w:eastAsia="宋体" w:cs="宋体"/>
                <w:i w:val="0"/>
                <w:iCs w:val="0"/>
                <w:color w:val="000000"/>
                <w:sz w:val="18"/>
                <w:szCs w:val="18"/>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FD5282">
            <w:pPr>
              <w:jc w:val="center"/>
              <w:rPr>
                <w:rFonts w:hint="eastAsia" w:ascii="宋体" w:hAnsi="宋体" w:eastAsia="宋体" w:cs="宋体"/>
                <w:i w:val="0"/>
                <w:iCs w:val="0"/>
                <w:color w:val="000000"/>
                <w:sz w:val="18"/>
                <w:szCs w:val="18"/>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421C0">
            <w:pPr>
              <w:jc w:val="center"/>
              <w:rPr>
                <w:rFonts w:hint="eastAsia" w:ascii="宋体" w:hAnsi="宋体" w:eastAsia="宋体" w:cs="宋体"/>
                <w:i w:val="0"/>
                <w:iCs w:val="0"/>
                <w:color w:val="000000"/>
                <w:sz w:val="18"/>
                <w:szCs w:val="18"/>
                <w:u w:val="none"/>
              </w:rPr>
            </w:pP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58858">
            <w:pPr>
              <w:jc w:val="center"/>
              <w:rPr>
                <w:rFonts w:hint="eastAsia" w:ascii="宋体" w:hAnsi="宋体" w:eastAsia="宋体" w:cs="宋体"/>
                <w:i w:val="0"/>
                <w:iCs w:val="0"/>
                <w:color w:val="000000"/>
                <w:sz w:val="18"/>
                <w:szCs w:val="18"/>
                <w:u w:val="none"/>
              </w:rPr>
            </w:pPr>
          </w:p>
        </w:tc>
      </w:tr>
      <w:tr w14:paraId="52E078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04AD12">
            <w:pPr>
              <w:jc w:val="center"/>
              <w:rPr>
                <w:rFonts w:hint="eastAsia" w:ascii="宋体" w:hAnsi="宋体" w:eastAsia="宋体" w:cs="宋体"/>
                <w:b/>
                <w:bCs/>
                <w:i w:val="0"/>
                <w:iCs w:val="0"/>
                <w:color w:val="000000"/>
                <w:sz w:val="18"/>
                <w:szCs w:val="18"/>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AE8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4F7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675DFD">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3E0A11">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D0514E">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5F92C2">
            <w:pPr>
              <w:jc w:val="center"/>
              <w:rPr>
                <w:rFonts w:hint="eastAsia" w:ascii="宋体" w:hAnsi="宋体" w:eastAsia="宋体" w:cs="宋体"/>
                <w:i w:val="0"/>
                <w:iCs w:val="0"/>
                <w:color w:val="000000"/>
                <w:sz w:val="18"/>
                <w:szCs w:val="18"/>
                <w:u w:val="none"/>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E83BF">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2DF40C">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CB258">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17204">
            <w:pPr>
              <w:jc w:val="center"/>
              <w:rPr>
                <w:rFonts w:hint="eastAsia" w:ascii="宋体" w:hAnsi="宋体" w:eastAsia="宋体" w:cs="宋体"/>
                <w:i w:val="0"/>
                <w:iCs w:val="0"/>
                <w:color w:val="000000"/>
                <w:sz w:val="18"/>
                <w:szCs w:val="18"/>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444BA">
            <w:pPr>
              <w:jc w:val="center"/>
              <w:rPr>
                <w:rFonts w:hint="eastAsia" w:ascii="宋体" w:hAnsi="宋体" w:eastAsia="宋体" w:cs="宋体"/>
                <w:i w:val="0"/>
                <w:iCs w:val="0"/>
                <w:color w:val="000000"/>
                <w:sz w:val="18"/>
                <w:szCs w:val="18"/>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EFCA3">
            <w:pPr>
              <w:jc w:val="center"/>
              <w:rPr>
                <w:rFonts w:hint="eastAsia" w:ascii="宋体" w:hAnsi="宋体" w:eastAsia="宋体" w:cs="宋体"/>
                <w:i w:val="0"/>
                <w:iCs w:val="0"/>
                <w:color w:val="000000"/>
                <w:sz w:val="18"/>
                <w:szCs w:val="18"/>
                <w:u w:val="none"/>
              </w:rPr>
            </w:pP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1CF63">
            <w:pPr>
              <w:jc w:val="center"/>
              <w:rPr>
                <w:rFonts w:hint="eastAsia" w:ascii="宋体" w:hAnsi="宋体" w:eastAsia="宋体" w:cs="宋体"/>
                <w:i w:val="0"/>
                <w:iCs w:val="0"/>
                <w:color w:val="000000"/>
                <w:sz w:val="18"/>
                <w:szCs w:val="18"/>
                <w:u w:val="none"/>
              </w:rPr>
            </w:pPr>
          </w:p>
        </w:tc>
      </w:tr>
      <w:bookmarkEnd w:id="153"/>
      <w:tr w14:paraId="420B7B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217" w:type="pct"/>
            <w:gridSpan w:val="4"/>
            <w:tcBorders>
              <w:top w:val="single" w:color="000000" w:sz="4" w:space="0"/>
              <w:left w:val="single" w:color="000000" w:sz="4" w:space="0"/>
              <w:bottom w:val="single" w:color="000000" w:sz="4" w:space="0"/>
              <w:right w:val="nil"/>
            </w:tcBorders>
            <w:shd w:val="clear" w:color="auto" w:fill="auto"/>
            <w:vAlign w:val="center"/>
          </w:tcPr>
          <w:p w14:paraId="6FFF786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3EFE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nil"/>
              <w:bottom w:val="single" w:color="000000" w:sz="4" w:space="0"/>
              <w:right w:val="single" w:color="000000" w:sz="4" w:space="0"/>
            </w:tcBorders>
            <w:shd w:val="clear" w:color="auto" w:fill="auto"/>
            <w:vAlign w:val="center"/>
          </w:tcPr>
          <w:p w14:paraId="1E9B402E">
            <w:pPr>
              <w:rPr>
                <w:rFonts w:hint="eastAsia" w:ascii="宋体" w:hAnsi="宋体" w:eastAsia="宋体" w:cs="宋体"/>
                <w:b/>
                <w:bCs/>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48AC1">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A0EED8">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CAF9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3E435">
            <w:pP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1CDF3">
            <w:pPr>
              <w:rPr>
                <w:rFonts w:hint="eastAsia" w:ascii="宋体" w:hAnsi="宋体" w:eastAsia="宋体" w:cs="宋体"/>
                <w:i w:val="0"/>
                <w:iCs w:val="0"/>
                <w:color w:val="000000"/>
                <w:sz w:val="18"/>
                <w:szCs w:val="18"/>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214C1">
            <w:pPr>
              <w:rPr>
                <w:rFonts w:hint="eastAsia" w:ascii="宋体" w:hAnsi="宋体" w:eastAsia="宋体" w:cs="宋体"/>
                <w:i w:val="0"/>
                <w:iCs w:val="0"/>
                <w:color w:val="000000"/>
                <w:sz w:val="18"/>
                <w:szCs w:val="18"/>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3CE7C">
            <w:pPr>
              <w:rPr>
                <w:rFonts w:hint="eastAsia" w:ascii="宋体" w:hAnsi="宋体" w:eastAsia="宋体" w:cs="宋体"/>
                <w:i w:val="0"/>
                <w:iCs w:val="0"/>
                <w:color w:val="000000"/>
                <w:sz w:val="18"/>
                <w:szCs w:val="18"/>
                <w:u w:val="none"/>
              </w:rPr>
            </w:pP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4DE84">
            <w:pPr>
              <w:rPr>
                <w:rFonts w:hint="eastAsia" w:ascii="宋体" w:hAnsi="宋体" w:eastAsia="宋体" w:cs="宋体"/>
                <w:i w:val="0"/>
                <w:iCs w:val="0"/>
                <w:color w:val="000000"/>
                <w:sz w:val="18"/>
                <w:szCs w:val="18"/>
                <w:u w:val="none"/>
              </w:rPr>
            </w:pPr>
          </w:p>
        </w:tc>
      </w:tr>
    </w:tbl>
    <w:p w14:paraId="5D03204E">
      <w:pPr>
        <w:rPr>
          <w:highlight w:val="none"/>
        </w:rPr>
      </w:pPr>
    </w:p>
    <w:p w14:paraId="5E8881CA">
      <w:pPr>
        <w:ind w:left="0" w:leftChars="0" w:firstLine="0" w:firstLineChars="0"/>
        <w:rPr>
          <w:highlight w:val="none"/>
        </w:rPr>
      </w:pPr>
      <w:r>
        <w:rPr>
          <w:highlight w:val="none"/>
        </w:rPr>
        <w:br w:type="page"/>
      </w:r>
    </w:p>
    <w:p w14:paraId="3D7E94F7">
      <w:pPr>
        <w:pageBreakBefore w:val="0"/>
        <w:kinsoku/>
        <w:wordWrap/>
        <w:overflowPunct/>
        <w:topLinePunct w:val="0"/>
        <w:autoSpaceDE/>
        <w:autoSpaceDN/>
        <w:bidi w:val="0"/>
        <w:spacing w:line="560" w:lineRule="exact"/>
        <w:ind w:firstLine="0" w:firstLineChars="0"/>
        <w:textAlignment w:val="auto"/>
        <w:rPr>
          <w:rFonts w:ascii="Times New Roman" w:hAnsi="Times New Roman" w:eastAsia="仿宋_GB2312" w:cs="Times New Roman"/>
          <w:sz w:val="30"/>
          <w:szCs w:val="24"/>
          <w:highlight w:val="none"/>
        </w:rPr>
      </w:pPr>
    </w:p>
    <w:p w14:paraId="5250795D">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附件二、项目支出绩效评价指标体系打分表</w:t>
      </w:r>
    </w:p>
    <w:tbl>
      <w:tblPr>
        <w:tblStyle w:val="10"/>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24A05C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5729B18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一级指标</w:t>
            </w:r>
          </w:p>
        </w:tc>
        <w:tc>
          <w:tcPr>
            <w:tcW w:w="727" w:type="dxa"/>
            <w:shd w:val="clear" w:color="auto" w:fill="auto"/>
            <w:noWrap w:val="0"/>
            <w:vAlign w:val="center"/>
          </w:tcPr>
          <w:p w14:paraId="2140D54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二级指标</w:t>
            </w:r>
          </w:p>
        </w:tc>
        <w:tc>
          <w:tcPr>
            <w:tcW w:w="820" w:type="dxa"/>
            <w:shd w:val="clear" w:color="auto" w:fill="auto"/>
            <w:noWrap w:val="0"/>
            <w:vAlign w:val="center"/>
          </w:tcPr>
          <w:p w14:paraId="27A9841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三级指标</w:t>
            </w:r>
          </w:p>
        </w:tc>
        <w:tc>
          <w:tcPr>
            <w:tcW w:w="2141" w:type="dxa"/>
            <w:shd w:val="clear" w:color="auto" w:fill="auto"/>
            <w:noWrap w:val="0"/>
            <w:vAlign w:val="center"/>
          </w:tcPr>
          <w:p w14:paraId="3AC8FD6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指标解释</w:t>
            </w:r>
          </w:p>
        </w:tc>
        <w:tc>
          <w:tcPr>
            <w:tcW w:w="7821" w:type="dxa"/>
            <w:shd w:val="clear" w:color="auto" w:fill="auto"/>
            <w:noWrap w:val="0"/>
            <w:vAlign w:val="center"/>
          </w:tcPr>
          <w:p w14:paraId="53F701F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指标说明</w:t>
            </w:r>
          </w:p>
        </w:tc>
        <w:tc>
          <w:tcPr>
            <w:tcW w:w="785" w:type="dxa"/>
            <w:shd w:val="clear" w:color="auto" w:fill="auto"/>
            <w:noWrap w:val="0"/>
            <w:vAlign w:val="center"/>
          </w:tcPr>
          <w:p w14:paraId="1ECF73F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highlight w:val="none"/>
                <w:lang w:val="en-US" w:eastAsia="zh-CN"/>
              </w:rPr>
            </w:pPr>
            <w:r>
              <w:rPr>
                <w:rFonts w:hint="eastAsia" w:ascii="宋体" w:hAnsi="宋体" w:eastAsia="宋体" w:cs="宋体"/>
                <w:b/>
                <w:bCs/>
                <w:color w:val="000000"/>
                <w:kern w:val="0"/>
                <w:sz w:val="22"/>
                <w:szCs w:val="22"/>
                <w:highlight w:val="none"/>
                <w:lang w:val="en-US" w:eastAsia="zh-CN"/>
              </w:rPr>
              <w:t>分值</w:t>
            </w:r>
          </w:p>
        </w:tc>
        <w:tc>
          <w:tcPr>
            <w:tcW w:w="769" w:type="dxa"/>
            <w:shd w:val="clear" w:color="auto" w:fill="auto"/>
            <w:noWrap w:val="0"/>
            <w:vAlign w:val="center"/>
          </w:tcPr>
          <w:p w14:paraId="4A28CE6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highlight w:val="none"/>
                <w:lang w:val="en-US" w:eastAsia="zh-CN"/>
              </w:rPr>
            </w:pPr>
            <w:r>
              <w:rPr>
                <w:rFonts w:hint="eastAsia" w:ascii="宋体" w:hAnsi="宋体" w:eastAsia="宋体" w:cs="宋体"/>
                <w:b/>
                <w:bCs/>
                <w:color w:val="000000"/>
                <w:kern w:val="0"/>
                <w:sz w:val="22"/>
                <w:szCs w:val="22"/>
                <w:highlight w:val="none"/>
                <w:lang w:val="en-US" w:eastAsia="zh-CN"/>
              </w:rPr>
              <w:t>得分</w:t>
            </w:r>
          </w:p>
        </w:tc>
      </w:tr>
      <w:tr w14:paraId="3EB286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0B48348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决策　</w:t>
            </w:r>
          </w:p>
          <w:p w14:paraId="0D0979E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p w14:paraId="3B311211">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tc>
        <w:tc>
          <w:tcPr>
            <w:tcW w:w="727" w:type="dxa"/>
            <w:vMerge w:val="restart"/>
            <w:shd w:val="clear" w:color="auto" w:fill="auto"/>
            <w:noWrap w:val="0"/>
            <w:vAlign w:val="center"/>
          </w:tcPr>
          <w:p w14:paraId="047387D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项目立项　</w:t>
            </w:r>
          </w:p>
        </w:tc>
        <w:tc>
          <w:tcPr>
            <w:tcW w:w="820" w:type="dxa"/>
            <w:shd w:val="clear" w:color="auto" w:fill="auto"/>
            <w:noWrap w:val="0"/>
            <w:vAlign w:val="center"/>
          </w:tcPr>
          <w:p w14:paraId="0B01472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立项依据</w:t>
            </w:r>
          </w:p>
          <w:p w14:paraId="243E996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充分性</w:t>
            </w:r>
          </w:p>
        </w:tc>
        <w:tc>
          <w:tcPr>
            <w:tcW w:w="2141" w:type="dxa"/>
            <w:shd w:val="clear" w:color="auto" w:fill="auto"/>
            <w:noWrap w:val="0"/>
            <w:vAlign w:val="center"/>
          </w:tcPr>
          <w:p w14:paraId="27BB568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项目立项是否符合法律法规、相关政策、发展规划以及部门职责，用以反映和考核项目立项依据情况。</w:t>
            </w:r>
          </w:p>
        </w:tc>
        <w:tc>
          <w:tcPr>
            <w:tcW w:w="7821" w:type="dxa"/>
            <w:shd w:val="clear" w:color="auto" w:fill="auto"/>
            <w:noWrap w:val="0"/>
            <w:vAlign w:val="center"/>
          </w:tcPr>
          <w:p w14:paraId="2B88FF0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3DF4D0A0">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①项目立项是否符合国家法律法规、国民经济发展规划和相关政策；</w:t>
            </w:r>
          </w:p>
          <w:p w14:paraId="73C6760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②项目立项是否符合行业发展规划和政策要求；</w:t>
            </w:r>
          </w:p>
          <w:p w14:paraId="73FACFD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③项目立项是否与部门职责范围相符，属于部门履职所需；</w:t>
            </w:r>
          </w:p>
          <w:p w14:paraId="3AF89E5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④项目是否属于公共财政支持范围，是否符合中央、地方事权支出责任划分原则；</w:t>
            </w:r>
          </w:p>
          <w:p w14:paraId="04662855">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⑤项目是否与相关部门同类项目或部门内部相关项目重复。</w:t>
            </w:r>
          </w:p>
        </w:tc>
        <w:tc>
          <w:tcPr>
            <w:tcW w:w="785" w:type="dxa"/>
            <w:shd w:val="clear" w:color="auto" w:fill="auto"/>
            <w:noWrap w:val="0"/>
            <w:vAlign w:val="center"/>
          </w:tcPr>
          <w:p w14:paraId="1296768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35751F77">
            <w:pPr>
              <w:pageBreakBefore w:val="0"/>
              <w:widowControl/>
              <w:kinsoku/>
              <w:wordWrap/>
              <w:overflowPunct/>
              <w:topLinePunct w:val="0"/>
              <w:autoSpaceDE/>
              <w:autoSpaceDN/>
              <w:bidi w:val="0"/>
              <w:spacing w:line="240" w:lineRule="auto"/>
              <w:ind w:firstLine="0" w:firstLineChars="0"/>
              <w:jc w:val="left"/>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1</w:t>
            </w:r>
          </w:p>
        </w:tc>
      </w:tr>
      <w:tr w14:paraId="537160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680F541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346E72D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820" w:type="dxa"/>
            <w:shd w:val="clear" w:color="auto" w:fill="auto"/>
            <w:noWrap w:val="0"/>
            <w:vAlign w:val="center"/>
          </w:tcPr>
          <w:p w14:paraId="775324F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立项程序</w:t>
            </w:r>
          </w:p>
          <w:p w14:paraId="6BA2A4F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规范性</w:t>
            </w:r>
          </w:p>
        </w:tc>
        <w:tc>
          <w:tcPr>
            <w:tcW w:w="2141" w:type="dxa"/>
            <w:shd w:val="clear" w:color="auto" w:fill="auto"/>
            <w:noWrap w:val="0"/>
            <w:vAlign w:val="center"/>
          </w:tcPr>
          <w:p w14:paraId="49B8E7A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项目申请、设立过程是否符合相关要求，用以反映和考核项目立项的规范情况。</w:t>
            </w:r>
          </w:p>
        </w:tc>
        <w:tc>
          <w:tcPr>
            <w:tcW w:w="7821" w:type="dxa"/>
            <w:shd w:val="clear" w:color="auto" w:fill="auto"/>
            <w:noWrap w:val="0"/>
            <w:vAlign w:val="center"/>
          </w:tcPr>
          <w:p w14:paraId="237CA44C">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79CB85A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①项目是否按照规定的程序申请设立；</w:t>
            </w:r>
          </w:p>
          <w:p w14:paraId="0AE9A9E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②审批文件、材料是否符合相关要求；</w:t>
            </w:r>
          </w:p>
          <w:p w14:paraId="1141BBB9">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③事前是否已经过必要的可行性研究、专家论证、风险评估、绩效评估、集体决策。</w:t>
            </w:r>
          </w:p>
        </w:tc>
        <w:tc>
          <w:tcPr>
            <w:tcW w:w="785" w:type="dxa"/>
            <w:shd w:val="clear" w:color="auto" w:fill="auto"/>
            <w:noWrap w:val="0"/>
            <w:vAlign w:val="center"/>
          </w:tcPr>
          <w:p w14:paraId="2D0A302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6402A16D">
            <w:pPr>
              <w:pageBreakBefore w:val="0"/>
              <w:widowControl/>
              <w:kinsoku/>
              <w:wordWrap/>
              <w:overflowPunct/>
              <w:topLinePunct w:val="0"/>
              <w:autoSpaceDE/>
              <w:autoSpaceDN/>
              <w:bidi w:val="0"/>
              <w:spacing w:line="240" w:lineRule="auto"/>
              <w:ind w:firstLine="0" w:firstLineChars="0"/>
              <w:jc w:val="left"/>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2</w:t>
            </w:r>
          </w:p>
        </w:tc>
      </w:tr>
      <w:tr w14:paraId="0B9599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648E763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shd w:val="clear" w:color="auto" w:fill="auto"/>
            <w:noWrap w:val="0"/>
            <w:vAlign w:val="center"/>
          </w:tcPr>
          <w:p w14:paraId="2FEA102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绩效目标　</w:t>
            </w:r>
          </w:p>
        </w:tc>
        <w:tc>
          <w:tcPr>
            <w:tcW w:w="820" w:type="dxa"/>
            <w:shd w:val="clear" w:color="auto" w:fill="auto"/>
            <w:noWrap w:val="0"/>
            <w:vAlign w:val="center"/>
          </w:tcPr>
          <w:p w14:paraId="1660D5E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绩效目标</w:t>
            </w:r>
          </w:p>
          <w:p w14:paraId="3B292B9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合理性</w:t>
            </w:r>
          </w:p>
        </w:tc>
        <w:tc>
          <w:tcPr>
            <w:tcW w:w="2141" w:type="dxa"/>
            <w:shd w:val="clear" w:color="auto" w:fill="auto"/>
            <w:noWrap w:val="0"/>
            <w:vAlign w:val="center"/>
          </w:tcPr>
          <w:p w14:paraId="700ACE1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2EFB855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74D931B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（如未设定预算绩效目标，也可考核其他工作任务目标）</w:t>
            </w:r>
          </w:p>
          <w:p w14:paraId="0ED7B29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①项目是否有绩效目标；</w:t>
            </w:r>
          </w:p>
          <w:p w14:paraId="2DDCBD3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②项目绩效目标与实际工作内容是否具有相关性；</w:t>
            </w:r>
          </w:p>
          <w:p w14:paraId="662A54C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③项目预期产出效益和效果是否符合正常的业绩水平；</w:t>
            </w:r>
          </w:p>
          <w:p w14:paraId="6BA02AA4">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④是否与预算确定的项目投资额或资金量相匹配。</w:t>
            </w:r>
          </w:p>
        </w:tc>
        <w:tc>
          <w:tcPr>
            <w:tcW w:w="785" w:type="dxa"/>
            <w:shd w:val="clear" w:color="auto" w:fill="auto"/>
            <w:noWrap w:val="0"/>
            <w:vAlign w:val="center"/>
          </w:tcPr>
          <w:p w14:paraId="3CED509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1DA016D3">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tr w14:paraId="27C8B6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3E6353D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决策　</w:t>
            </w:r>
          </w:p>
        </w:tc>
        <w:tc>
          <w:tcPr>
            <w:tcW w:w="727" w:type="dxa"/>
            <w:shd w:val="clear" w:color="auto" w:fill="auto"/>
            <w:noWrap w:val="0"/>
            <w:vAlign w:val="center"/>
          </w:tcPr>
          <w:p w14:paraId="1442229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绩效目标</w:t>
            </w:r>
          </w:p>
        </w:tc>
        <w:tc>
          <w:tcPr>
            <w:tcW w:w="820" w:type="dxa"/>
            <w:shd w:val="clear" w:color="auto" w:fill="auto"/>
            <w:noWrap w:val="0"/>
            <w:vAlign w:val="center"/>
          </w:tcPr>
          <w:p w14:paraId="664FBFC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绩效指标</w:t>
            </w:r>
          </w:p>
          <w:p w14:paraId="5DDAC2C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明确性</w:t>
            </w:r>
          </w:p>
        </w:tc>
        <w:tc>
          <w:tcPr>
            <w:tcW w:w="2141" w:type="dxa"/>
            <w:shd w:val="clear" w:color="auto" w:fill="auto"/>
            <w:noWrap w:val="0"/>
            <w:vAlign w:val="center"/>
          </w:tcPr>
          <w:p w14:paraId="3B34A36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依据绩效目标设定的绩效指标是否清晰、细化、可衡量等，用以反映和考核项目绩效目标的明细化情况。</w:t>
            </w:r>
          </w:p>
        </w:tc>
        <w:tc>
          <w:tcPr>
            <w:tcW w:w="7821" w:type="dxa"/>
            <w:shd w:val="clear" w:color="auto" w:fill="auto"/>
            <w:noWrap w:val="0"/>
            <w:vAlign w:val="center"/>
          </w:tcPr>
          <w:p w14:paraId="5C47C5C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69BC875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①是否将项目绩效目标细化分解为具体的绩效指标；</w:t>
            </w:r>
          </w:p>
          <w:p w14:paraId="77A9D73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②是否通过清晰、可衡量的指标值予以体现；</w:t>
            </w:r>
          </w:p>
          <w:p w14:paraId="0819EBE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③是否与项目目标任务数或计划数相对应。</w:t>
            </w:r>
          </w:p>
          <w:p w14:paraId="4C6F4C2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p>
        </w:tc>
        <w:tc>
          <w:tcPr>
            <w:tcW w:w="785" w:type="dxa"/>
            <w:shd w:val="clear" w:color="auto" w:fill="auto"/>
            <w:noWrap w:val="0"/>
            <w:vAlign w:val="center"/>
          </w:tcPr>
          <w:p w14:paraId="4FD8919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12E16B9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tr w14:paraId="222525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612F4AA3">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restart"/>
            <w:shd w:val="clear" w:color="auto" w:fill="auto"/>
            <w:noWrap w:val="0"/>
            <w:vAlign w:val="center"/>
          </w:tcPr>
          <w:p w14:paraId="628EAA2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资金投入</w:t>
            </w:r>
          </w:p>
          <w:p w14:paraId="7F6F8AA6">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tc>
        <w:tc>
          <w:tcPr>
            <w:tcW w:w="820" w:type="dxa"/>
            <w:shd w:val="clear" w:color="auto" w:fill="auto"/>
            <w:noWrap w:val="0"/>
            <w:vAlign w:val="center"/>
          </w:tcPr>
          <w:p w14:paraId="6B484CF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预算编制</w:t>
            </w:r>
          </w:p>
          <w:p w14:paraId="18C31FF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科学性</w:t>
            </w:r>
          </w:p>
        </w:tc>
        <w:tc>
          <w:tcPr>
            <w:tcW w:w="2141" w:type="dxa"/>
            <w:shd w:val="clear" w:color="auto" w:fill="auto"/>
            <w:noWrap w:val="0"/>
            <w:vAlign w:val="center"/>
          </w:tcPr>
          <w:p w14:paraId="26DB08D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5FECAAF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1EAE1E8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①预算编制是否经过科学论证；</w:t>
            </w:r>
          </w:p>
          <w:p w14:paraId="28344FD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②预算内容与项目内容是否匹配；</w:t>
            </w:r>
          </w:p>
          <w:p w14:paraId="1B0994C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③预算额度测算依据是否充分，是否按照标准编制；</w:t>
            </w:r>
          </w:p>
          <w:p w14:paraId="5188AE2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④预算确定的项目投资额或资金量是否与工作任务相匹配。</w:t>
            </w:r>
          </w:p>
        </w:tc>
        <w:tc>
          <w:tcPr>
            <w:tcW w:w="785" w:type="dxa"/>
            <w:shd w:val="clear" w:color="auto" w:fill="auto"/>
            <w:noWrap w:val="0"/>
            <w:vAlign w:val="center"/>
          </w:tcPr>
          <w:p w14:paraId="0D8BA7D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5337B6E0">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2</w:t>
            </w:r>
          </w:p>
        </w:tc>
      </w:tr>
      <w:tr w14:paraId="0DA28B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76178EF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095FF2C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820" w:type="dxa"/>
            <w:shd w:val="clear" w:color="auto" w:fill="auto"/>
            <w:noWrap w:val="0"/>
            <w:vAlign w:val="center"/>
          </w:tcPr>
          <w:p w14:paraId="5066526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资金分配</w:t>
            </w:r>
          </w:p>
          <w:p w14:paraId="7AE247C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合理性</w:t>
            </w:r>
          </w:p>
        </w:tc>
        <w:tc>
          <w:tcPr>
            <w:tcW w:w="2141" w:type="dxa"/>
            <w:shd w:val="clear" w:color="auto" w:fill="auto"/>
            <w:noWrap w:val="0"/>
            <w:vAlign w:val="center"/>
          </w:tcPr>
          <w:p w14:paraId="3DD8542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1E6F222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6ED9597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①预算资金分配依据是否充分；</w:t>
            </w:r>
          </w:p>
          <w:p w14:paraId="0640F56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②资金分配额度是否合理，与项目单位或地方实际是否相适应。</w:t>
            </w:r>
          </w:p>
        </w:tc>
        <w:tc>
          <w:tcPr>
            <w:tcW w:w="785" w:type="dxa"/>
            <w:shd w:val="clear" w:color="auto" w:fill="auto"/>
            <w:noWrap w:val="0"/>
            <w:vAlign w:val="center"/>
          </w:tcPr>
          <w:p w14:paraId="265A720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11CB196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3</w:t>
            </w:r>
          </w:p>
        </w:tc>
      </w:tr>
      <w:tr w14:paraId="27AF7F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1353E2F1">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过程</w:t>
            </w:r>
          </w:p>
        </w:tc>
        <w:tc>
          <w:tcPr>
            <w:tcW w:w="727" w:type="dxa"/>
            <w:vMerge w:val="restart"/>
            <w:shd w:val="clear" w:color="auto" w:fill="auto"/>
            <w:noWrap w:val="0"/>
            <w:vAlign w:val="center"/>
          </w:tcPr>
          <w:p w14:paraId="5D65D70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资金管理</w:t>
            </w:r>
          </w:p>
        </w:tc>
        <w:tc>
          <w:tcPr>
            <w:tcW w:w="820" w:type="dxa"/>
            <w:shd w:val="clear" w:color="auto" w:fill="auto"/>
            <w:noWrap w:val="0"/>
            <w:vAlign w:val="center"/>
          </w:tcPr>
          <w:p w14:paraId="6BFFEAA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资金到位率</w:t>
            </w:r>
          </w:p>
        </w:tc>
        <w:tc>
          <w:tcPr>
            <w:tcW w:w="2141" w:type="dxa"/>
            <w:shd w:val="clear" w:color="auto" w:fill="auto"/>
            <w:noWrap w:val="0"/>
            <w:vAlign w:val="center"/>
          </w:tcPr>
          <w:p w14:paraId="508B969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实际到位资金与预算资金的比率，用以反映和考核资金落实情况对项目实施的总体保障程度。</w:t>
            </w:r>
          </w:p>
        </w:tc>
        <w:tc>
          <w:tcPr>
            <w:tcW w:w="7821" w:type="dxa"/>
            <w:shd w:val="clear" w:color="auto" w:fill="auto"/>
            <w:noWrap w:val="0"/>
            <w:vAlign w:val="center"/>
          </w:tcPr>
          <w:p w14:paraId="431906D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资金到位率=（</w:t>
            </w:r>
          </w:p>
          <w:p w14:paraId="57E51ED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实际到位资金/预算资金）×100%。</w:t>
            </w:r>
          </w:p>
          <w:p w14:paraId="46F44A3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实际到位资金：一定时期（本年度或项目期）内落实到具体项目的资金。</w:t>
            </w:r>
          </w:p>
          <w:p w14:paraId="2028D7B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预算资金：一定时期（本年度或项目期）内预算安排到具体项目的资金。</w:t>
            </w:r>
          </w:p>
        </w:tc>
        <w:tc>
          <w:tcPr>
            <w:tcW w:w="785" w:type="dxa"/>
            <w:shd w:val="clear" w:color="auto" w:fill="auto"/>
            <w:noWrap w:val="0"/>
            <w:vAlign w:val="center"/>
          </w:tcPr>
          <w:p w14:paraId="482911B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0D30251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14:paraId="4B64FF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16EB2F43">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11446E99">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820" w:type="dxa"/>
            <w:shd w:val="clear" w:color="auto" w:fill="auto"/>
            <w:noWrap w:val="0"/>
            <w:vAlign w:val="center"/>
          </w:tcPr>
          <w:p w14:paraId="0F241E5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预算执行率</w:t>
            </w:r>
          </w:p>
        </w:tc>
        <w:tc>
          <w:tcPr>
            <w:tcW w:w="2141" w:type="dxa"/>
            <w:shd w:val="clear" w:color="auto" w:fill="auto"/>
            <w:noWrap w:val="0"/>
            <w:vAlign w:val="center"/>
          </w:tcPr>
          <w:p w14:paraId="40B0FAE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项目预算资金是否按照计划执行，用以反映或考核项目预算执行情况。</w:t>
            </w:r>
          </w:p>
        </w:tc>
        <w:tc>
          <w:tcPr>
            <w:tcW w:w="7821" w:type="dxa"/>
            <w:shd w:val="clear" w:color="auto" w:fill="auto"/>
            <w:noWrap w:val="0"/>
            <w:vAlign w:val="center"/>
          </w:tcPr>
          <w:p w14:paraId="13530BE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预算执行率=（实际支出资金/实际到位资金）×100%。</w:t>
            </w:r>
          </w:p>
          <w:p w14:paraId="3C70927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实际支出资金：一定时期（本年度或项目期）内项目实际拨付的资金。</w:t>
            </w:r>
          </w:p>
        </w:tc>
        <w:tc>
          <w:tcPr>
            <w:tcW w:w="785" w:type="dxa"/>
            <w:shd w:val="clear" w:color="auto" w:fill="auto"/>
            <w:noWrap w:val="0"/>
            <w:vAlign w:val="center"/>
          </w:tcPr>
          <w:p w14:paraId="097B28E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5DBA00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14:paraId="5EC1C3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74BBD87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p w14:paraId="647F14E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过程　</w:t>
            </w:r>
          </w:p>
        </w:tc>
        <w:tc>
          <w:tcPr>
            <w:tcW w:w="727" w:type="dxa"/>
            <w:shd w:val="clear" w:color="auto" w:fill="auto"/>
            <w:noWrap w:val="0"/>
            <w:vAlign w:val="center"/>
          </w:tcPr>
          <w:p w14:paraId="03C2016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资金管理</w:t>
            </w:r>
          </w:p>
        </w:tc>
        <w:tc>
          <w:tcPr>
            <w:tcW w:w="820" w:type="dxa"/>
            <w:shd w:val="clear" w:color="auto" w:fill="auto"/>
            <w:noWrap w:val="0"/>
            <w:vAlign w:val="center"/>
          </w:tcPr>
          <w:p w14:paraId="4AFC528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资金使用</w:t>
            </w:r>
          </w:p>
          <w:p w14:paraId="49DA79E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合规性</w:t>
            </w:r>
          </w:p>
        </w:tc>
        <w:tc>
          <w:tcPr>
            <w:tcW w:w="2141" w:type="dxa"/>
            <w:shd w:val="clear" w:color="auto" w:fill="auto"/>
            <w:noWrap w:val="0"/>
            <w:vAlign w:val="center"/>
          </w:tcPr>
          <w:p w14:paraId="6E2B3CC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项目资金使用是否符合相关的财务管理制度规定，用以反映和考核项目资金的规范运行情况。</w:t>
            </w:r>
          </w:p>
        </w:tc>
        <w:tc>
          <w:tcPr>
            <w:tcW w:w="7821" w:type="dxa"/>
            <w:shd w:val="clear" w:color="auto" w:fill="auto"/>
            <w:noWrap w:val="0"/>
            <w:vAlign w:val="center"/>
          </w:tcPr>
          <w:p w14:paraId="17D7E60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43EF008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①是否符合国家财经法规和财务管理制度以及有关专项资金管理办法的规定；</w:t>
            </w:r>
          </w:p>
          <w:p w14:paraId="55BE34E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②资金的拨付是否有完整的审批程序和手续；</w:t>
            </w:r>
          </w:p>
          <w:p w14:paraId="1833415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③是否符合项目预算批复或合同规定的用途；</w:t>
            </w:r>
          </w:p>
          <w:p w14:paraId="73E919D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④是否存在截留、挤占、挪用、虚列支出等情况。</w:t>
            </w:r>
          </w:p>
        </w:tc>
        <w:tc>
          <w:tcPr>
            <w:tcW w:w="785" w:type="dxa"/>
            <w:shd w:val="clear" w:color="auto" w:fill="auto"/>
            <w:noWrap w:val="0"/>
            <w:vAlign w:val="center"/>
          </w:tcPr>
          <w:p w14:paraId="773510B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7285A39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14:paraId="1C73E3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77AF550B">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restart"/>
            <w:shd w:val="clear" w:color="auto" w:fill="auto"/>
            <w:noWrap w:val="0"/>
            <w:vAlign w:val="center"/>
          </w:tcPr>
          <w:p w14:paraId="0A9B780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组织实施</w:t>
            </w:r>
          </w:p>
          <w:p w14:paraId="1FB76FDC">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tc>
        <w:tc>
          <w:tcPr>
            <w:tcW w:w="820" w:type="dxa"/>
            <w:shd w:val="clear" w:color="auto" w:fill="auto"/>
            <w:noWrap w:val="0"/>
            <w:vAlign w:val="center"/>
          </w:tcPr>
          <w:p w14:paraId="35DA7D2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管理制度</w:t>
            </w:r>
          </w:p>
          <w:p w14:paraId="6C6F2C5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健全性</w:t>
            </w:r>
          </w:p>
        </w:tc>
        <w:tc>
          <w:tcPr>
            <w:tcW w:w="2141" w:type="dxa"/>
            <w:shd w:val="clear" w:color="auto" w:fill="auto"/>
            <w:noWrap w:val="0"/>
            <w:vAlign w:val="center"/>
          </w:tcPr>
          <w:p w14:paraId="06F6B95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64CA137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374F8DF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①是否已制定或具有相应的财务和业务管理制度；</w:t>
            </w:r>
          </w:p>
          <w:p w14:paraId="295EC12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②财务和业务管理制度是否合法、合规、完整。</w:t>
            </w:r>
          </w:p>
        </w:tc>
        <w:tc>
          <w:tcPr>
            <w:tcW w:w="785" w:type="dxa"/>
            <w:shd w:val="clear" w:color="auto" w:fill="auto"/>
            <w:noWrap w:val="0"/>
            <w:vAlign w:val="center"/>
          </w:tcPr>
          <w:p w14:paraId="73853FE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1BCB437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14:paraId="4E13DA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5DD03C0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0416CF8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820" w:type="dxa"/>
            <w:shd w:val="clear" w:color="auto" w:fill="auto"/>
            <w:noWrap w:val="0"/>
            <w:vAlign w:val="center"/>
          </w:tcPr>
          <w:p w14:paraId="0A793F0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制度执行</w:t>
            </w:r>
          </w:p>
          <w:p w14:paraId="65E7869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有效性</w:t>
            </w:r>
          </w:p>
        </w:tc>
        <w:tc>
          <w:tcPr>
            <w:tcW w:w="2141" w:type="dxa"/>
            <w:shd w:val="clear" w:color="auto" w:fill="auto"/>
            <w:noWrap w:val="0"/>
            <w:vAlign w:val="center"/>
          </w:tcPr>
          <w:p w14:paraId="5F4FEB0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项目实施是否符合相关管理规定，用以反映和考核相关管理制度的有效执行情况。</w:t>
            </w:r>
          </w:p>
        </w:tc>
        <w:tc>
          <w:tcPr>
            <w:tcW w:w="7821" w:type="dxa"/>
            <w:shd w:val="clear" w:color="auto" w:fill="auto"/>
            <w:noWrap w:val="0"/>
            <w:vAlign w:val="center"/>
          </w:tcPr>
          <w:p w14:paraId="2FF58D6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1D70237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①是否遵守相关法律法规和相关管理规定；</w:t>
            </w:r>
          </w:p>
          <w:p w14:paraId="22A475F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②项目调整及支出调整手续是否完备；</w:t>
            </w:r>
          </w:p>
          <w:p w14:paraId="312D203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③项目合同书、验收报告、技术鉴定等资料是否齐全并及时归档；</w:t>
            </w:r>
          </w:p>
          <w:p w14:paraId="2E7A638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④项目实施的人员条件、场地设备、信息支撑等是否落实到位。</w:t>
            </w:r>
          </w:p>
        </w:tc>
        <w:tc>
          <w:tcPr>
            <w:tcW w:w="785" w:type="dxa"/>
            <w:shd w:val="clear" w:color="auto" w:fill="auto"/>
            <w:noWrap w:val="0"/>
            <w:vAlign w:val="center"/>
          </w:tcPr>
          <w:p w14:paraId="339EC6B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1CE37C9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14:paraId="38A3E2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58185E8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27" w:type="dxa"/>
            <w:shd w:val="clear" w:color="auto" w:fill="auto"/>
            <w:noWrap w:val="0"/>
            <w:vAlign w:val="center"/>
          </w:tcPr>
          <w:p w14:paraId="43A95DA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产出数量</w:t>
            </w:r>
          </w:p>
        </w:tc>
        <w:tc>
          <w:tcPr>
            <w:tcW w:w="820" w:type="dxa"/>
            <w:shd w:val="clear" w:color="auto" w:fill="auto"/>
            <w:noWrap w:val="0"/>
            <w:vAlign w:val="center"/>
          </w:tcPr>
          <w:p w14:paraId="565964C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支付工程款数量</w:t>
            </w:r>
          </w:p>
        </w:tc>
        <w:tc>
          <w:tcPr>
            <w:tcW w:w="2141" w:type="dxa"/>
            <w:shd w:val="clear" w:color="auto" w:fill="auto"/>
            <w:noWrap w:val="0"/>
            <w:vAlign w:val="center"/>
          </w:tcPr>
          <w:p w14:paraId="10EFD8D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396EDC3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实际完成率=（实际产出数/计划产出数）×100%。</w:t>
            </w:r>
          </w:p>
          <w:p w14:paraId="61598F6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实际产出数：一定时期（本年度或项目期）内项目实际产出的产品或提供的服务数量。</w:t>
            </w:r>
          </w:p>
          <w:p w14:paraId="3F687B8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584799FA">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c>
          <w:tcPr>
            <w:tcW w:w="769" w:type="dxa"/>
            <w:shd w:val="clear" w:color="auto" w:fill="auto"/>
            <w:noWrap w:val="0"/>
            <w:vAlign w:val="center"/>
          </w:tcPr>
          <w:p w14:paraId="5482D70D">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tr w14:paraId="03FB7B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588D839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27" w:type="dxa"/>
            <w:shd w:val="clear" w:color="auto" w:fill="auto"/>
            <w:noWrap w:val="0"/>
            <w:vAlign w:val="center"/>
          </w:tcPr>
          <w:p w14:paraId="65689A0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产出数量</w:t>
            </w:r>
          </w:p>
        </w:tc>
        <w:tc>
          <w:tcPr>
            <w:tcW w:w="820" w:type="dxa"/>
            <w:shd w:val="clear" w:color="auto" w:fill="auto"/>
            <w:noWrap w:val="0"/>
            <w:vAlign w:val="center"/>
          </w:tcPr>
          <w:p w14:paraId="32A11E7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涉及行政村、社区数量</w:t>
            </w:r>
          </w:p>
        </w:tc>
        <w:tc>
          <w:tcPr>
            <w:tcW w:w="2141" w:type="dxa"/>
            <w:shd w:val="clear" w:color="auto" w:fill="auto"/>
            <w:noWrap w:val="0"/>
            <w:vAlign w:val="center"/>
          </w:tcPr>
          <w:p w14:paraId="519471B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color w:val="000000"/>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5837014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实际完成率=（实际产出数/计划产出数）×100%。</w:t>
            </w:r>
          </w:p>
          <w:p w14:paraId="647382E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实际产出数：一定时期（本年度或项目期）内项目实际产出的产品或提供的服务数量。</w:t>
            </w:r>
          </w:p>
          <w:p w14:paraId="232F8A8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color w:val="000000"/>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627DCCA1">
            <w:pPr>
              <w:pageBreakBefore w:val="0"/>
              <w:widowControl/>
              <w:kinsoku/>
              <w:wordWrap/>
              <w:overflowPunct/>
              <w:topLinePunct w:val="0"/>
              <w:autoSpaceDE/>
              <w:autoSpaceDN/>
              <w:bidi w:val="0"/>
              <w:spacing w:line="240" w:lineRule="auto"/>
              <w:ind w:firstLine="0" w:firstLineChars="0"/>
              <w:jc w:val="both"/>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c>
          <w:tcPr>
            <w:tcW w:w="769" w:type="dxa"/>
            <w:shd w:val="clear" w:color="auto" w:fill="auto"/>
            <w:noWrap w:val="0"/>
            <w:vAlign w:val="center"/>
          </w:tcPr>
          <w:p w14:paraId="0C7D20B9">
            <w:pPr>
              <w:pageBreakBefore w:val="0"/>
              <w:widowControl/>
              <w:kinsoku/>
              <w:wordWrap/>
              <w:overflowPunct/>
              <w:topLinePunct w:val="0"/>
              <w:autoSpaceDE/>
              <w:autoSpaceDN/>
              <w:bidi w:val="0"/>
              <w:spacing w:line="240" w:lineRule="auto"/>
              <w:ind w:firstLine="0" w:firstLineChars="0"/>
              <w:jc w:val="both"/>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tr w14:paraId="058226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shd w:val="clear" w:color="auto" w:fill="auto"/>
            <w:noWrap w:val="0"/>
            <w:vAlign w:val="center"/>
          </w:tcPr>
          <w:p w14:paraId="38A9FE6B">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shd w:val="clear" w:color="auto" w:fill="auto"/>
            <w:noWrap w:val="0"/>
            <w:vAlign w:val="center"/>
          </w:tcPr>
          <w:p w14:paraId="23DB75C2">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质量指标</w:t>
            </w:r>
          </w:p>
        </w:tc>
        <w:tc>
          <w:tcPr>
            <w:tcW w:w="820" w:type="dxa"/>
            <w:shd w:val="clear" w:color="auto" w:fill="auto"/>
            <w:noWrap w:val="0"/>
            <w:vAlign w:val="center"/>
          </w:tcPr>
          <w:p w14:paraId="4F072236">
            <w:pPr>
              <w:pageBreakBefore w:val="0"/>
              <w:widowControl/>
              <w:tabs>
                <w:tab w:val="left" w:pos="221"/>
              </w:tabs>
              <w:kinsoku/>
              <w:wordWrap/>
              <w:overflowPunct/>
              <w:topLinePunct w:val="0"/>
              <w:autoSpaceDE/>
              <w:autoSpaceDN/>
              <w:bidi w:val="0"/>
              <w:spacing w:line="240" w:lineRule="auto"/>
              <w:ind w:firstLine="0" w:firstLineChars="0"/>
              <w:jc w:val="left"/>
              <w:textAlignment w:val="auto"/>
              <w:rPr>
                <w:rFonts w:hint="default" w:asciiTheme="minorEastAsia" w:hAnsiTheme="minorEastAsia" w:eastAsiaTheme="minorEastAsia" w:cstheme="minorEastAsia"/>
                <w:color w:val="auto"/>
                <w:kern w:val="0"/>
                <w:sz w:val="21"/>
                <w:szCs w:val="21"/>
                <w:highlight w:val="none"/>
                <w:shd w:val="clear" w:color="auto" w:fill="auto"/>
                <w:lang w:val="en-US" w:eastAsia="zh-CN"/>
              </w:rPr>
            </w:pPr>
            <w:r>
              <w:rPr>
                <w:rFonts w:hint="eastAsia" w:asciiTheme="minorEastAsia" w:hAnsiTheme="minorEastAsia" w:eastAsiaTheme="minorEastAsia" w:cstheme="minorEastAsia"/>
                <w:color w:val="auto"/>
                <w:kern w:val="0"/>
                <w:sz w:val="21"/>
                <w:szCs w:val="21"/>
                <w:highlight w:val="none"/>
                <w:shd w:val="clear" w:color="auto" w:fill="auto"/>
                <w:lang w:val="en-US" w:eastAsia="zh-CN"/>
              </w:rPr>
              <w:t>资金支付准确率</w:t>
            </w:r>
          </w:p>
        </w:tc>
        <w:tc>
          <w:tcPr>
            <w:tcW w:w="2141" w:type="dxa"/>
            <w:shd w:val="clear" w:color="auto" w:fill="auto"/>
            <w:noWrap w:val="0"/>
            <w:vAlign w:val="center"/>
          </w:tcPr>
          <w:p w14:paraId="305EB5C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项目预算资金是否按照计划执行，用以反映或考核项目预算执行情况。</w:t>
            </w:r>
          </w:p>
        </w:tc>
        <w:tc>
          <w:tcPr>
            <w:tcW w:w="7821" w:type="dxa"/>
            <w:shd w:val="clear" w:color="auto" w:fill="auto"/>
            <w:noWrap w:val="0"/>
            <w:vAlign w:val="center"/>
          </w:tcPr>
          <w:p w14:paraId="345AFAE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预算执行率=（实际支出资金/实际到位资金）×100%。</w:t>
            </w:r>
          </w:p>
          <w:p w14:paraId="620E211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实际支出资金：一定时期（本年度或项目期）内项目实际拨付的资金。</w:t>
            </w:r>
          </w:p>
        </w:tc>
        <w:tc>
          <w:tcPr>
            <w:tcW w:w="785" w:type="dxa"/>
            <w:shd w:val="clear" w:color="auto" w:fill="auto"/>
            <w:noWrap w:val="0"/>
            <w:vAlign w:val="center"/>
          </w:tcPr>
          <w:p w14:paraId="3841F786">
            <w:pPr>
              <w:pageBreakBefore w:val="0"/>
              <w:widowControl/>
              <w:kinsoku/>
              <w:wordWrap/>
              <w:overflowPunct/>
              <w:topLinePunct w:val="0"/>
              <w:autoSpaceDE/>
              <w:autoSpaceDN/>
              <w:bidi w:val="0"/>
              <w:spacing w:line="240" w:lineRule="auto"/>
              <w:ind w:firstLine="0" w:firstLineChars="0"/>
              <w:textAlignment w:val="auto"/>
              <w:rPr>
                <w:rFonts w:hint="default" w:cs="宋体"/>
                <w:color w:val="000000"/>
                <w:kern w:val="0"/>
                <w:sz w:val="22"/>
                <w:szCs w:val="22"/>
                <w:highlight w:val="none"/>
                <w:lang w:val="en-US" w:eastAsia="zh-CN"/>
              </w:rPr>
            </w:pPr>
            <w:r>
              <w:rPr>
                <w:rFonts w:hint="eastAsia" w:cs="宋体"/>
                <w:color w:val="000000"/>
                <w:kern w:val="0"/>
                <w:sz w:val="22"/>
                <w:szCs w:val="22"/>
                <w:highlight w:val="none"/>
                <w:lang w:val="en-US" w:eastAsia="zh-CN"/>
              </w:rPr>
              <w:t>10</w:t>
            </w:r>
          </w:p>
        </w:tc>
        <w:tc>
          <w:tcPr>
            <w:tcW w:w="769" w:type="dxa"/>
            <w:shd w:val="clear" w:color="auto" w:fill="auto"/>
            <w:noWrap w:val="0"/>
            <w:vAlign w:val="center"/>
          </w:tcPr>
          <w:p w14:paraId="1E2B5794">
            <w:pPr>
              <w:pageBreakBefore w:val="0"/>
              <w:widowControl/>
              <w:kinsoku/>
              <w:wordWrap/>
              <w:overflowPunct/>
              <w:topLinePunct w:val="0"/>
              <w:autoSpaceDE/>
              <w:autoSpaceDN/>
              <w:bidi w:val="0"/>
              <w:spacing w:line="240" w:lineRule="auto"/>
              <w:ind w:firstLine="0" w:firstLineChars="0"/>
              <w:textAlignment w:val="auto"/>
              <w:rPr>
                <w:rFonts w:hint="default" w:cs="宋体"/>
                <w:color w:val="000000"/>
                <w:kern w:val="0"/>
                <w:sz w:val="22"/>
                <w:szCs w:val="22"/>
                <w:highlight w:val="none"/>
                <w:lang w:val="en-US" w:eastAsia="zh-CN"/>
              </w:rPr>
            </w:pPr>
            <w:r>
              <w:rPr>
                <w:rFonts w:hint="eastAsia" w:cs="宋体"/>
                <w:color w:val="000000"/>
                <w:kern w:val="0"/>
                <w:sz w:val="22"/>
                <w:szCs w:val="22"/>
                <w:highlight w:val="none"/>
                <w:lang w:val="en-US" w:eastAsia="zh-CN"/>
              </w:rPr>
              <w:t>10</w:t>
            </w:r>
          </w:p>
        </w:tc>
      </w:tr>
      <w:tr w14:paraId="1BF6B6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restart"/>
            <w:shd w:val="clear" w:color="auto" w:fill="auto"/>
            <w:noWrap w:val="0"/>
            <w:vAlign w:val="center"/>
          </w:tcPr>
          <w:p w14:paraId="308D5227">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restart"/>
            <w:shd w:val="clear" w:color="auto" w:fill="auto"/>
            <w:noWrap w:val="0"/>
            <w:vAlign w:val="center"/>
          </w:tcPr>
          <w:p w14:paraId="07175CF7">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时效指标</w:t>
            </w:r>
          </w:p>
        </w:tc>
        <w:tc>
          <w:tcPr>
            <w:tcW w:w="820" w:type="dxa"/>
            <w:shd w:val="clear" w:color="auto" w:fill="auto"/>
            <w:noWrap w:val="0"/>
            <w:vAlign w:val="center"/>
          </w:tcPr>
          <w:p w14:paraId="6FF80482">
            <w:pPr>
              <w:pageBreakBefore w:val="0"/>
              <w:widowControl/>
              <w:tabs>
                <w:tab w:val="left" w:pos="221"/>
              </w:tabs>
              <w:kinsoku/>
              <w:wordWrap/>
              <w:overflowPunct/>
              <w:topLinePunct w:val="0"/>
              <w:autoSpaceDE/>
              <w:autoSpaceDN/>
              <w:bidi w:val="0"/>
              <w:spacing w:line="240" w:lineRule="auto"/>
              <w:ind w:firstLine="0" w:firstLineChars="0"/>
              <w:jc w:val="left"/>
              <w:textAlignment w:val="auto"/>
              <w:rPr>
                <w:rFonts w:hint="eastAsia" w:asciiTheme="minorEastAsia" w:hAnsiTheme="minorEastAsia" w:eastAsiaTheme="minorEastAsia" w:cstheme="minorEastAsia"/>
                <w:color w:val="auto"/>
                <w:kern w:val="0"/>
                <w:sz w:val="21"/>
                <w:szCs w:val="21"/>
                <w:highlight w:val="none"/>
                <w:shd w:val="clear" w:color="auto" w:fill="auto"/>
                <w:lang w:val="en-US" w:eastAsia="zh-CN"/>
              </w:rPr>
            </w:pPr>
            <w:r>
              <w:rPr>
                <w:rFonts w:hint="eastAsia" w:asciiTheme="minorEastAsia" w:hAnsiTheme="minorEastAsia" w:eastAsiaTheme="minorEastAsia" w:cstheme="minorEastAsia"/>
                <w:color w:val="auto"/>
                <w:kern w:val="0"/>
                <w:sz w:val="21"/>
                <w:szCs w:val="21"/>
                <w:highlight w:val="none"/>
                <w:shd w:val="clear" w:color="auto" w:fill="auto"/>
                <w:lang w:val="en-US" w:eastAsia="zh-CN"/>
              </w:rPr>
              <w:tab/>
            </w:r>
            <w:r>
              <w:rPr>
                <w:rFonts w:hint="eastAsia" w:asciiTheme="minorEastAsia" w:hAnsiTheme="minorEastAsia" w:eastAsiaTheme="minorEastAsia" w:cstheme="minorEastAsia"/>
                <w:color w:val="auto"/>
                <w:kern w:val="0"/>
                <w:sz w:val="21"/>
                <w:szCs w:val="21"/>
                <w:highlight w:val="none"/>
                <w:shd w:val="clear" w:color="auto" w:fill="auto"/>
                <w:lang w:val="en-US" w:eastAsia="zh-CN"/>
              </w:rPr>
              <w:t>项目按期完成率</w:t>
            </w:r>
          </w:p>
        </w:tc>
        <w:tc>
          <w:tcPr>
            <w:tcW w:w="2141" w:type="dxa"/>
            <w:shd w:val="clear" w:color="auto" w:fill="auto"/>
            <w:noWrap w:val="0"/>
            <w:vAlign w:val="center"/>
          </w:tcPr>
          <w:p w14:paraId="73FB0DA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663268F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实际完成时间：项目实施单位完成该项目实际所耗用的时间。</w:t>
            </w:r>
          </w:p>
          <w:p w14:paraId="13B4BAA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6AA7A249">
            <w:pPr>
              <w:pageBreakBefore w:val="0"/>
              <w:widowControl/>
              <w:kinsoku/>
              <w:wordWrap/>
              <w:overflowPunct/>
              <w:topLinePunct w:val="0"/>
              <w:autoSpaceDE/>
              <w:autoSpaceDN/>
              <w:bidi w:val="0"/>
              <w:spacing w:line="240" w:lineRule="auto"/>
              <w:ind w:firstLine="0" w:firstLineChars="0"/>
              <w:textAlignment w:val="auto"/>
              <w:rPr>
                <w:rFonts w:hint="default"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c>
          <w:tcPr>
            <w:tcW w:w="769" w:type="dxa"/>
            <w:shd w:val="clear" w:color="auto" w:fill="auto"/>
            <w:noWrap w:val="0"/>
            <w:vAlign w:val="center"/>
          </w:tcPr>
          <w:p w14:paraId="29BCAC09">
            <w:pPr>
              <w:pageBreakBefore w:val="0"/>
              <w:widowControl/>
              <w:kinsoku/>
              <w:wordWrap/>
              <w:overflowPunct/>
              <w:topLinePunct w:val="0"/>
              <w:autoSpaceDE/>
              <w:autoSpaceDN/>
              <w:bidi w:val="0"/>
              <w:spacing w:line="240" w:lineRule="auto"/>
              <w:ind w:firstLine="0" w:firstLineChars="0"/>
              <w:textAlignment w:val="auto"/>
              <w:rPr>
                <w:rFonts w:hint="default"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tr w14:paraId="3D7EB2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4F4D438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04B4BFFD">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820" w:type="dxa"/>
            <w:shd w:val="clear" w:color="auto" w:fill="auto"/>
            <w:noWrap w:val="0"/>
            <w:vAlign w:val="center"/>
          </w:tcPr>
          <w:p w14:paraId="4E56F37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Theme="minorEastAsia" w:hAnsiTheme="minorEastAsia" w:eastAsiaTheme="minorEastAsia" w:cstheme="minorEastAsia"/>
                <w:color w:val="auto"/>
                <w:kern w:val="0"/>
                <w:sz w:val="21"/>
                <w:szCs w:val="21"/>
                <w:highlight w:val="none"/>
                <w:shd w:val="clear" w:color="auto" w:fill="auto"/>
                <w:lang w:val="en-US" w:eastAsia="zh-CN"/>
              </w:rPr>
              <w:t>资金发放完成时间</w:t>
            </w:r>
          </w:p>
        </w:tc>
        <w:tc>
          <w:tcPr>
            <w:tcW w:w="2141" w:type="dxa"/>
            <w:shd w:val="clear" w:color="auto" w:fill="auto"/>
            <w:noWrap w:val="0"/>
            <w:vAlign w:val="center"/>
          </w:tcPr>
          <w:p w14:paraId="16A3B56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color w:val="000000"/>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5E67E1F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实际完成时间：项目实施单位完成该项目实际所耗用的时间。</w:t>
            </w:r>
          </w:p>
          <w:p w14:paraId="2FFBB72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color w:val="000000"/>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155BA00B">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c>
          <w:tcPr>
            <w:tcW w:w="769" w:type="dxa"/>
            <w:shd w:val="clear" w:color="auto" w:fill="auto"/>
            <w:noWrap w:val="0"/>
            <w:vAlign w:val="center"/>
          </w:tcPr>
          <w:p w14:paraId="32689907">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tr w14:paraId="751F7C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4" w:hRule="atLeast"/>
          <w:jc w:val="center"/>
        </w:trPr>
        <w:tc>
          <w:tcPr>
            <w:tcW w:w="861" w:type="dxa"/>
            <w:vMerge w:val="continue"/>
            <w:shd w:val="clear" w:color="auto" w:fill="auto"/>
            <w:noWrap w:val="0"/>
            <w:vAlign w:val="center"/>
          </w:tcPr>
          <w:p w14:paraId="5B70F1B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restart"/>
            <w:shd w:val="clear" w:color="auto" w:fill="auto"/>
            <w:noWrap w:val="0"/>
            <w:vAlign w:val="center"/>
          </w:tcPr>
          <w:p w14:paraId="2278353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产出成本</w:t>
            </w:r>
          </w:p>
        </w:tc>
        <w:tc>
          <w:tcPr>
            <w:tcW w:w="820" w:type="dxa"/>
            <w:shd w:val="clear" w:color="auto" w:fill="auto"/>
            <w:noWrap w:val="0"/>
            <w:vAlign w:val="center"/>
          </w:tcPr>
          <w:p w14:paraId="7878D01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Theme="minorEastAsia" w:hAnsiTheme="minorEastAsia" w:eastAsiaTheme="minorEastAsia" w:cstheme="minorEastAsia"/>
                <w:color w:val="auto"/>
                <w:kern w:val="0"/>
                <w:sz w:val="21"/>
                <w:szCs w:val="21"/>
                <w:highlight w:val="none"/>
                <w:shd w:val="clear" w:color="auto" w:fill="auto"/>
                <w:lang w:val="en-US" w:eastAsia="zh-CN"/>
              </w:rPr>
              <w:t>3.9公里石头路项目</w:t>
            </w:r>
          </w:p>
        </w:tc>
        <w:tc>
          <w:tcPr>
            <w:tcW w:w="2141" w:type="dxa"/>
            <w:shd w:val="clear" w:color="auto" w:fill="auto"/>
            <w:noWrap w:val="0"/>
            <w:vAlign w:val="center"/>
          </w:tcPr>
          <w:p w14:paraId="5069684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22DE778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p>
          <w:p w14:paraId="5D7C369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成本节约率=[（计划成本-实际成本）/计划成本]×100%。</w:t>
            </w:r>
          </w:p>
          <w:p w14:paraId="2E0B2C8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实际成本：项目实施单位如期、保质、保量完成既定工作目标实际所耗费的支出。</w:t>
            </w:r>
          </w:p>
          <w:p w14:paraId="53D06A8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35EB5DFB">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2.5</w:t>
            </w:r>
          </w:p>
        </w:tc>
        <w:tc>
          <w:tcPr>
            <w:tcW w:w="769" w:type="dxa"/>
            <w:shd w:val="clear" w:color="auto" w:fill="auto"/>
            <w:noWrap w:val="0"/>
            <w:vAlign w:val="center"/>
          </w:tcPr>
          <w:p w14:paraId="7E08BD6A">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2.5</w:t>
            </w:r>
          </w:p>
        </w:tc>
      </w:tr>
      <w:tr w14:paraId="6215B9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4" w:hRule="atLeast"/>
          <w:jc w:val="center"/>
        </w:trPr>
        <w:tc>
          <w:tcPr>
            <w:tcW w:w="861" w:type="dxa"/>
            <w:vMerge w:val="continue"/>
            <w:shd w:val="clear" w:color="auto" w:fill="auto"/>
            <w:noWrap w:val="0"/>
            <w:vAlign w:val="center"/>
          </w:tcPr>
          <w:p w14:paraId="079B3714">
            <w:pPr>
              <w:pageBreakBefore w:val="0"/>
              <w:widowControl/>
              <w:kinsoku/>
              <w:wordWrap/>
              <w:overflowPunct/>
              <w:topLinePunct w:val="0"/>
              <w:autoSpaceDE/>
              <w:autoSpaceDN/>
              <w:bidi w:val="0"/>
              <w:spacing w:line="240" w:lineRule="auto"/>
              <w:ind w:firstLine="0" w:firstLineChars="0"/>
              <w:textAlignment w:val="auto"/>
              <w:rPr>
                <w:highlight w:val="none"/>
              </w:rPr>
            </w:pPr>
          </w:p>
        </w:tc>
        <w:tc>
          <w:tcPr>
            <w:tcW w:w="727" w:type="dxa"/>
            <w:vMerge w:val="continue"/>
            <w:shd w:val="clear" w:color="auto" w:fill="auto"/>
            <w:noWrap w:val="0"/>
            <w:vAlign w:val="center"/>
          </w:tcPr>
          <w:p w14:paraId="1E74387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p>
        </w:tc>
        <w:tc>
          <w:tcPr>
            <w:tcW w:w="820" w:type="dxa"/>
            <w:shd w:val="clear" w:color="auto" w:fill="auto"/>
            <w:noWrap w:val="0"/>
            <w:vAlign w:val="center"/>
          </w:tcPr>
          <w:p w14:paraId="710FDE7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Theme="minorEastAsia" w:hAnsiTheme="minorEastAsia" w:eastAsiaTheme="minorEastAsia" w:cstheme="minorEastAsia"/>
                <w:color w:val="auto"/>
                <w:kern w:val="0"/>
                <w:sz w:val="21"/>
                <w:szCs w:val="21"/>
                <w:highlight w:val="none"/>
                <w:shd w:val="clear" w:color="auto" w:fill="auto"/>
                <w:lang w:val="en-US" w:eastAsia="zh-CN"/>
              </w:rPr>
              <w:t>环宇测绘费</w:t>
            </w:r>
          </w:p>
        </w:tc>
        <w:tc>
          <w:tcPr>
            <w:tcW w:w="2141" w:type="dxa"/>
            <w:shd w:val="clear" w:color="auto" w:fill="auto"/>
            <w:noWrap w:val="0"/>
            <w:vAlign w:val="center"/>
          </w:tcPr>
          <w:p w14:paraId="32CA37B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color w:val="000000"/>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34F8DCD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p>
          <w:p w14:paraId="21FF9A3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成本节约率=[（计划成本-实际成本）/计划成本]×100%。</w:t>
            </w:r>
          </w:p>
          <w:p w14:paraId="2E088D1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实际成本：项目实施单位如期、保质、保量完成既定工作目标实际所耗费的支出。</w:t>
            </w:r>
          </w:p>
          <w:p w14:paraId="6A93387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color w:val="000000"/>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135017C1">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2.5</w:t>
            </w:r>
          </w:p>
        </w:tc>
        <w:tc>
          <w:tcPr>
            <w:tcW w:w="769" w:type="dxa"/>
            <w:shd w:val="clear" w:color="auto" w:fill="auto"/>
            <w:noWrap w:val="0"/>
            <w:vAlign w:val="center"/>
          </w:tcPr>
          <w:p w14:paraId="18C2D520">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2.5</w:t>
            </w:r>
          </w:p>
        </w:tc>
      </w:tr>
      <w:tr w14:paraId="1EDAAE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4" w:hRule="atLeast"/>
          <w:jc w:val="center"/>
        </w:trPr>
        <w:tc>
          <w:tcPr>
            <w:tcW w:w="861" w:type="dxa"/>
            <w:vMerge w:val="continue"/>
            <w:shd w:val="clear" w:color="auto" w:fill="auto"/>
            <w:noWrap w:val="0"/>
            <w:vAlign w:val="center"/>
          </w:tcPr>
          <w:p w14:paraId="42D6EFB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00B30B5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p>
        </w:tc>
        <w:tc>
          <w:tcPr>
            <w:tcW w:w="820" w:type="dxa"/>
            <w:shd w:val="clear" w:color="auto" w:fill="auto"/>
            <w:noWrap w:val="0"/>
            <w:vAlign w:val="center"/>
          </w:tcPr>
          <w:p w14:paraId="2D08B44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Theme="minorEastAsia" w:hAnsiTheme="minorEastAsia" w:eastAsiaTheme="minorEastAsia" w:cstheme="minorEastAsia"/>
                <w:color w:val="auto"/>
                <w:kern w:val="0"/>
                <w:sz w:val="21"/>
                <w:szCs w:val="21"/>
                <w:highlight w:val="none"/>
                <w:shd w:val="clear" w:color="auto" w:fill="auto"/>
                <w:lang w:val="en-US" w:eastAsia="zh-CN"/>
              </w:rPr>
              <w:t>小洪沟片区项目</w:t>
            </w:r>
          </w:p>
        </w:tc>
        <w:tc>
          <w:tcPr>
            <w:tcW w:w="2141" w:type="dxa"/>
            <w:shd w:val="clear" w:color="auto" w:fill="auto"/>
            <w:noWrap w:val="0"/>
            <w:vAlign w:val="center"/>
          </w:tcPr>
          <w:p w14:paraId="345F916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7821" w:type="dxa"/>
            <w:shd w:val="clear" w:color="auto" w:fill="auto"/>
            <w:noWrap w:val="0"/>
            <w:vAlign w:val="center"/>
          </w:tcPr>
          <w:p w14:paraId="0314C26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p>
          <w:p w14:paraId="108CF55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成本节约率=[（计划成本-实际成本）/计划成本]×100%。</w:t>
            </w:r>
          </w:p>
          <w:p w14:paraId="78E0501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实际成本：项目实施单位如期、保质、保量完成既定工作目标实际所耗费的支出。</w:t>
            </w:r>
          </w:p>
          <w:p w14:paraId="09B4357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rPr>
              <w:t>计划成本：项目实施单位为完成工作目标计划安排的支出，一般以项目预算为参考。</w:t>
            </w:r>
          </w:p>
        </w:tc>
        <w:tc>
          <w:tcPr>
            <w:tcW w:w="785" w:type="dxa"/>
            <w:shd w:val="clear" w:color="auto" w:fill="auto"/>
            <w:noWrap w:val="0"/>
            <w:vAlign w:val="center"/>
          </w:tcPr>
          <w:p w14:paraId="0BEBA2ED">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2.5</w:t>
            </w:r>
          </w:p>
        </w:tc>
        <w:tc>
          <w:tcPr>
            <w:tcW w:w="769" w:type="dxa"/>
            <w:shd w:val="clear" w:color="auto" w:fill="auto"/>
            <w:noWrap w:val="0"/>
            <w:vAlign w:val="center"/>
          </w:tcPr>
          <w:p w14:paraId="18C20F82">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2.5</w:t>
            </w:r>
          </w:p>
        </w:tc>
      </w:tr>
      <w:tr w14:paraId="3826AB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4" w:hRule="atLeast"/>
          <w:jc w:val="center"/>
        </w:trPr>
        <w:tc>
          <w:tcPr>
            <w:tcW w:w="861" w:type="dxa"/>
            <w:vMerge w:val="continue"/>
            <w:shd w:val="clear" w:color="auto" w:fill="auto"/>
            <w:noWrap w:val="0"/>
            <w:vAlign w:val="center"/>
          </w:tcPr>
          <w:p w14:paraId="4C68D82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5F78C92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p>
        </w:tc>
        <w:tc>
          <w:tcPr>
            <w:tcW w:w="820" w:type="dxa"/>
            <w:shd w:val="clear" w:color="auto" w:fill="auto"/>
            <w:noWrap w:val="0"/>
            <w:vAlign w:val="center"/>
          </w:tcPr>
          <w:p w14:paraId="6B613CA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Theme="minorEastAsia" w:hAnsiTheme="minorEastAsia" w:eastAsiaTheme="minorEastAsia" w:cstheme="minorEastAsia"/>
                <w:color w:val="auto"/>
                <w:kern w:val="0"/>
                <w:sz w:val="21"/>
                <w:szCs w:val="21"/>
                <w:highlight w:val="none"/>
                <w:shd w:val="clear" w:color="auto" w:fill="auto"/>
                <w:lang w:val="en-US" w:eastAsia="zh-CN"/>
              </w:rPr>
              <w:t>供水管网项目</w:t>
            </w:r>
          </w:p>
        </w:tc>
        <w:tc>
          <w:tcPr>
            <w:tcW w:w="2141" w:type="dxa"/>
            <w:shd w:val="clear" w:color="auto" w:fill="auto"/>
            <w:noWrap w:val="0"/>
            <w:vAlign w:val="center"/>
          </w:tcPr>
          <w:p w14:paraId="2144259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7821" w:type="dxa"/>
            <w:shd w:val="clear" w:color="auto" w:fill="auto"/>
            <w:noWrap w:val="0"/>
            <w:vAlign w:val="center"/>
          </w:tcPr>
          <w:p w14:paraId="413F2D6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p>
          <w:p w14:paraId="5883AA6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成本节约率=[（计划成本-实际成本）/计划成本]×100%。</w:t>
            </w:r>
          </w:p>
          <w:p w14:paraId="472E929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实际成本：项目实施单位如期、保质、保量完成既定工作目标实际所耗费的支出。</w:t>
            </w:r>
          </w:p>
          <w:p w14:paraId="329721B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rPr>
              <w:t>计划成本：项目实施单位为完成工作目标计划安排的支出，一般以项目预算为参考。</w:t>
            </w:r>
          </w:p>
        </w:tc>
        <w:tc>
          <w:tcPr>
            <w:tcW w:w="785" w:type="dxa"/>
            <w:shd w:val="clear" w:color="auto" w:fill="auto"/>
            <w:noWrap w:val="0"/>
            <w:vAlign w:val="center"/>
          </w:tcPr>
          <w:p w14:paraId="4D666866">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2.5</w:t>
            </w:r>
          </w:p>
        </w:tc>
        <w:tc>
          <w:tcPr>
            <w:tcW w:w="769" w:type="dxa"/>
            <w:shd w:val="clear" w:color="auto" w:fill="auto"/>
            <w:noWrap w:val="0"/>
            <w:vAlign w:val="center"/>
          </w:tcPr>
          <w:p w14:paraId="5654E3EB">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2.5</w:t>
            </w:r>
          </w:p>
        </w:tc>
      </w:tr>
      <w:tr w14:paraId="3CED89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63FBC7F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效益　</w:t>
            </w:r>
          </w:p>
        </w:tc>
        <w:tc>
          <w:tcPr>
            <w:tcW w:w="727" w:type="dxa"/>
            <w:vMerge w:val="restart"/>
            <w:shd w:val="clear" w:color="auto" w:fill="auto"/>
            <w:noWrap w:val="0"/>
            <w:vAlign w:val="center"/>
          </w:tcPr>
          <w:p w14:paraId="5F43E61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项目效益　</w:t>
            </w:r>
          </w:p>
        </w:tc>
        <w:tc>
          <w:tcPr>
            <w:tcW w:w="820" w:type="dxa"/>
            <w:shd w:val="clear" w:color="auto" w:fill="auto"/>
            <w:noWrap w:val="0"/>
            <w:vAlign w:val="center"/>
          </w:tcPr>
          <w:p w14:paraId="1F05561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化解本级债务矛盾，促进社会和谐稳定</w:t>
            </w:r>
          </w:p>
        </w:tc>
        <w:tc>
          <w:tcPr>
            <w:tcW w:w="2141" w:type="dxa"/>
            <w:shd w:val="clear" w:color="auto" w:fill="auto"/>
            <w:noWrap w:val="0"/>
            <w:vAlign w:val="center"/>
          </w:tcPr>
          <w:p w14:paraId="11203751">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7821" w:type="dxa"/>
            <w:shd w:val="clear" w:color="auto" w:fill="auto"/>
            <w:noWrap w:val="0"/>
            <w:vAlign w:val="center"/>
          </w:tcPr>
          <w:p w14:paraId="5CD7016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785" w:type="dxa"/>
            <w:shd w:val="clear" w:color="auto" w:fill="auto"/>
            <w:noWrap w:val="0"/>
            <w:vAlign w:val="center"/>
          </w:tcPr>
          <w:p w14:paraId="68E7DB4A">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c>
          <w:tcPr>
            <w:tcW w:w="769" w:type="dxa"/>
            <w:shd w:val="clear" w:color="auto" w:fill="auto"/>
            <w:noWrap w:val="0"/>
            <w:vAlign w:val="center"/>
          </w:tcPr>
          <w:p w14:paraId="0EF7AB38">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r>
      <w:tr w14:paraId="5A6B15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4F4C058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p>
        </w:tc>
        <w:tc>
          <w:tcPr>
            <w:tcW w:w="727" w:type="dxa"/>
            <w:vMerge w:val="continue"/>
            <w:shd w:val="clear" w:color="auto" w:fill="auto"/>
            <w:noWrap w:val="0"/>
            <w:vAlign w:val="center"/>
          </w:tcPr>
          <w:p w14:paraId="05DE769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820" w:type="dxa"/>
            <w:shd w:val="clear" w:color="auto" w:fill="auto"/>
            <w:noWrap w:val="0"/>
            <w:vAlign w:val="center"/>
          </w:tcPr>
          <w:p w14:paraId="040334A7">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eastAsia="宋体" w:cs="宋体"/>
                <w:color w:val="auto"/>
                <w:kern w:val="0"/>
                <w:sz w:val="20"/>
                <w:szCs w:val="20"/>
                <w:highlight w:val="none"/>
                <w:shd w:val="clear" w:color="auto" w:fill="auto"/>
                <w:lang w:val="en-US" w:eastAsia="zh-CN"/>
              </w:rPr>
              <w:t>企业满意度</w:t>
            </w:r>
          </w:p>
        </w:tc>
        <w:tc>
          <w:tcPr>
            <w:tcW w:w="2141" w:type="dxa"/>
            <w:shd w:val="clear" w:color="auto" w:fill="auto"/>
            <w:noWrap w:val="0"/>
            <w:vAlign w:val="center"/>
          </w:tcPr>
          <w:p w14:paraId="3A35F38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社会公众或服务对象对项目实施效果的满意程度。</w:t>
            </w:r>
          </w:p>
        </w:tc>
        <w:tc>
          <w:tcPr>
            <w:tcW w:w="7821" w:type="dxa"/>
            <w:shd w:val="clear" w:color="auto" w:fill="auto"/>
            <w:noWrap w:val="0"/>
            <w:vAlign w:val="center"/>
          </w:tcPr>
          <w:p w14:paraId="656D025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社会公众或服务对象是指因该项目实施而受到影响的部门（单位）、群体或个人。一般采取社会调查的方式。</w:t>
            </w:r>
          </w:p>
        </w:tc>
        <w:tc>
          <w:tcPr>
            <w:tcW w:w="785" w:type="dxa"/>
            <w:shd w:val="clear" w:color="auto" w:fill="auto"/>
            <w:noWrap w:val="0"/>
            <w:vAlign w:val="center"/>
          </w:tcPr>
          <w:p w14:paraId="1168884D">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c>
          <w:tcPr>
            <w:tcW w:w="769" w:type="dxa"/>
            <w:shd w:val="clear" w:color="auto" w:fill="auto"/>
            <w:noWrap w:val="0"/>
            <w:vAlign w:val="center"/>
          </w:tcPr>
          <w:p w14:paraId="21741404">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r>
      <w:tr w14:paraId="40B2A1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5E75FDD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合计</w:t>
            </w:r>
          </w:p>
        </w:tc>
        <w:tc>
          <w:tcPr>
            <w:tcW w:w="7821" w:type="dxa"/>
            <w:shd w:val="clear" w:color="auto" w:fill="auto"/>
            <w:noWrap w:val="0"/>
            <w:vAlign w:val="center"/>
          </w:tcPr>
          <w:p w14:paraId="1496C48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p>
        </w:tc>
        <w:tc>
          <w:tcPr>
            <w:tcW w:w="785" w:type="dxa"/>
            <w:shd w:val="clear" w:color="auto" w:fill="auto"/>
            <w:noWrap w:val="0"/>
            <w:vAlign w:val="center"/>
          </w:tcPr>
          <w:p w14:paraId="1CE3A294">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100</w:t>
            </w:r>
          </w:p>
        </w:tc>
        <w:tc>
          <w:tcPr>
            <w:tcW w:w="769" w:type="dxa"/>
            <w:shd w:val="clear" w:color="auto" w:fill="auto"/>
            <w:noWrap w:val="0"/>
            <w:vAlign w:val="center"/>
          </w:tcPr>
          <w:p w14:paraId="39D40178">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98</w:t>
            </w:r>
          </w:p>
        </w:tc>
      </w:tr>
    </w:tbl>
    <w:p w14:paraId="7DA4F5F2">
      <w:pPr>
        <w:pageBreakBefore w:val="0"/>
        <w:kinsoku/>
        <w:wordWrap/>
        <w:overflowPunct/>
        <w:topLinePunct w:val="0"/>
        <w:autoSpaceDE/>
        <w:autoSpaceDN/>
        <w:bidi w:val="0"/>
        <w:spacing w:line="560" w:lineRule="exact"/>
        <w:textAlignment w:val="auto"/>
        <w:rPr>
          <w:rFonts w:hint="default"/>
          <w:lang w:val="en-US" w:eastAsia="zh-CN"/>
        </w:rPr>
      </w:pPr>
    </w:p>
    <w:p w14:paraId="72A88BDD"/>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Sans Serif">
    <w:altName w:val="Arial"/>
    <w:panose1 w:val="00000000000000000000"/>
    <w:charset w:val="00"/>
    <w:family w:val="swiss"/>
    <w:pitch w:val="default"/>
    <w:sig w:usb0="00000000" w:usb1="00000000" w:usb2="00000000" w:usb3="00000000" w:csb0="0000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6FBFDE">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F28EAB">
                          <w:pPr>
                            <w:pStyle w:val="6"/>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0F28EAB">
                    <w:pPr>
                      <w:pStyle w:val="6"/>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2D1E24"/>
    <w:rsid w:val="04E268D5"/>
    <w:rsid w:val="0695254C"/>
    <w:rsid w:val="10FA27E0"/>
    <w:rsid w:val="2064434E"/>
    <w:rsid w:val="2BE51EFD"/>
    <w:rsid w:val="2C3C12B8"/>
    <w:rsid w:val="39056E26"/>
    <w:rsid w:val="3B4C4FF2"/>
    <w:rsid w:val="3C654160"/>
    <w:rsid w:val="499014F2"/>
    <w:rsid w:val="4F2D1E24"/>
    <w:rsid w:val="4F92076F"/>
    <w:rsid w:val="536D0097"/>
    <w:rsid w:val="53FF67D0"/>
    <w:rsid w:val="56913A46"/>
    <w:rsid w:val="58D07541"/>
    <w:rsid w:val="5DC83680"/>
    <w:rsid w:val="6024115F"/>
    <w:rsid w:val="61D6721C"/>
    <w:rsid w:val="70366EC6"/>
    <w:rsid w:val="773B7E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240" w:after="240" w:line="360" w:lineRule="auto"/>
      <w:jc w:val="center"/>
    </w:pPr>
    <w:rPr>
      <w:b/>
      <w:sz w:val="44"/>
    </w:rPr>
  </w:style>
  <w:style w:type="paragraph" w:styleId="5">
    <w:name w:val="annotation text"/>
    <w:basedOn w:val="1"/>
    <w:qFormat/>
    <w:uiPriority w:val="0"/>
    <w:pPr>
      <w:jc w:val="left"/>
    </w:pPr>
  </w:style>
  <w:style w:type="paragraph" w:styleId="6">
    <w:name w:val="footer"/>
    <w:basedOn w:val="1"/>
    <w:qFormat/>
    <w:uiPriority w:val="0"/>
    <w:pPr>
      <w:tabs>
        <w:tab w:val="center" w:pos="4153"/>
        <w:tab w:val="right" w:pos="8306"/>
      </w:tabs>
      <w:snapToGrid w:val="0"/>
      <w:jc w:val="left"/>
    </w:pPr>
    <w:rPr>
      <w:sz w:val="18"/>
    </w:rPr>
  </w:style>
  <w:style w:type="paragraph" w:styleId="7">
    <w:name w:val="toc 1"/>
    <w:basedOn w:val="1"/>
    <w:next w:val="1"/>
    <w:qFormat/>
    <w:uiPriority w:val="0"/>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9">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character" w:customStyle="1" w:styleId="12">
    <w:name w:val="font31"/>
    <w:basedOn w:val="11"/>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43</Pages>
  <Words>10959</Words>
  <Characters>11853</Characters>
  <Lines>0</Lines>
  <Paragraphs>0</Paragraphs>
  <TotalTime>1</TotalTime>
  <ScaleCrop>false</ScaleCrop>
  <LinksUpToDate>false</LinksUpToDate>
  <CharactersWithSpaces>11925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2025-05-08T10:19:00Z</dcterms:created>
  <dc:creator>武装部</dc:creator>
  <cp:lastModifiedBy>苞米</cp:lastModifiedBy>
  <dcterms:modified xsi:type="dcterms:W3CDTF">2025-10-23T10:10:17Z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1BF3AAD5F21A4185955B88B0D0511BCB_13</vt:lpwstr>
  </property>
  <property fmtid="{D5CDD505-2E9C-101B-9397-08002B2CF9AE}" pid="4" name="KSOTemplateDocerSaveRecord">
    <vt:lpwstr>eyJoZGlkIjoiNTY3MmI4ODZmMjljZWZhNGFkN2U2N2Y4ODgwYjM5ZGIiLCJ1c2VySWQiOiIzNjI1MzY3NzcifQ==</vt:lpwstr>
  </property>
</Properties>
</file>