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F26B3">
      <w:pPr>
        <w:pageBreakBefore w:val="0"/>
        <w:kinsoku/>
        <w:wordWrap/>
        <w:overflowPunct/>
        <w:topLinePunct w:val="0"/>
        <w:autoSpaceDE/>
        <w:autoSpaceDN/>
        <w:bidi w:val="0"/>
        <w:adjustRightInd/>
        <w:spacing w:line="560" w:lineRule="exact"/>
        <w:ind w:firstLine="1142" w:firstLineChars="316"/>
        <w:jc w:val="center"/>
        <w:textAlignment w:val="auto"/>
        <w:rPr>
          <w:rFonts w:hint="default" w:ascii="Times New Roman" w:hAnsi="Times New Roman" w:eastAsia="宋体" w:cs="Times New Roman"/>
          <w:b/>
          <w:bCs/>
          <w:color w:val="auto"/>
          <w:sz w:val="36"/>
          <w:szCs w:val="36"/>
          <w:highlight w:val="none"/>
          <w:shd w:val="clear" w:color="auto" w:fill="auto"/>
        </w:rPr>
      </w:pPr>
    </w:p>
    <w:p w14:paraId="0EB83477">
      <w:pPr>
        <w:pageBreakBefore w:val="0"/>
        <w:kinsoku/>
        <w:wordWrap/>
        <w:overflowPunct/>
        <w:topLinePunct w:val="0"/>
        <w:autoSpaceDE/>
        <w:autoSpaceDN/>
        <w:bidi w:val="0"/>
        <w:adjustRightIn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37DE979B">
      <w:pPr>
        <w:pageBreakBefore w:val="0"/>
        <w:kinsoku/>
        <w:wordWrap/>
        <w:overflowPunct/>
        <w:topLinePunct w:val="0"/>
        <w:autoSpaceDE/>
        <w:autoSpaceDN/>
        <w:bidi w:val="0"/>
        <w:adjustRightIn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711D58F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auto"/>
          <w:sz w:val="40"/>
          <w:szCs w:val="40"/>
          <w:highlight w:val="none"/>
          <w:shd w:val="clear" w:color="auto" w:fill="auto"/>
        </w:rPr>
      </w:pPr>
      <w:bookmarkStart w:id="0" w:name="_Toc25575"/>
      <w:bookmarkStart w:id="1" w:name="_Toc1949"/>
      <w:bookmarkStart w:id="2" w:name="_Toc15679"/>
      <w:bookmarkStart w:id="3" w:name="_Toc29123"/>
      <w:r>
        <w:rPr>
          <w:rFonts w:hint="default" w:ascii="Times New Roman" w:hAnsi="Times New Roman" w:eastAsia="宋体" w:cs="Times New Roman"/>
          <w:b/>
          <w:bCs/>
          <w:color w:val="auto"/>
          <w:sz w:val="40"/>
          <w:szCs w:val="40"/>
          <w:highlight w:val="none"/>
          <w:shd w:val="clear" w:color="auto" w:fill="auto"/>
          <w:lang w:val="en-US" w:eastAsia="zh-CN"/>
        </w:rPr>
        <w:t>水利局债务化解项目项目</w:t>
      </w:r>
      <w:r>
        <w:rPr>
          <w:rFonts w:hint="default" w:ascii="Times New Roman" w:hAnsi="Times New Roman" w:eastAsia="宋体" w:cs="Times New Roman"/>
          <w:b/>
          <w:bCs/>
          <w:color w:val="auto"/>
          <w:sz w:val="40"/>
          <w:szCs w:val="40"/>
          <w:highlight w:val="none"/>
          <w:shd w:val="clear" w:color="auto" w:fill="auto"/>
        </w:rPr>
        <w:t>支出绩效评价报告</w:t>
      </w:r>
      <w:bookmarkEnd w:id="0"/>
      <w:bookmarkEnd w:id="1"/>
      <w:bookmarkEnd w:id="2"/>
      <w:bookmarkEnd w:id="3"/>
    </w:p>
    <w:p w14:paraId="1C9FA8B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default" w:ascii="Times New Roman" w:hAnsi="Times New Roman" w:eastAsia="宋体" w:cs="Times New Roman"/>
          <w:b/>
          <w:bCs/>
          <w:color w:val="auto"/>
          <w:sz w:val="36"/>
          <w:szCs w:val="36"/>
          <w:highlight w:val="none"/>
          <w:shd w:val="clear" w:color="auto" w:fill="auto"/>
        </w:rPr>
      </w:pPr>
    </w:p>
    <w:p w14:paraId="0F5B91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0C6459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0E3BAA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3ED65F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3F76D8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auto"/>
          <w:sz w:val="36"/>
          <w:szCs w:val="36"/>
          <w:highlight w:val="none"/>
          <w:shd w:val="clear" w:color="auto" w:fill="auto"/>
        </w:rPr>
      </w:pPr>
    </w:p>
    <w:p w14:paraId="6894F776">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default" w:ascii="Times New Roman" w:hAnsi="Times New Roman" w:eastAsia="宋体" w:cs="Times New Roman"/>
          <w:b/>
          <w:bCs/>
          <w:color w:val="auto"/>
          <w:sz w:val="36"/>
          <w:szCs w:val="36"/>
          <w:highlight w:val="none"/>
          <w:shd w:val="clear" w:color="auto" w:fill="auto"/>
        </w:rPr>
      </w:pPr>
    </w:p>
    <w:p w14:paraId="3DE75C5F">
      <w:pPr>
        <w:spacing w:line="360" w:lineRule="auto"/>
        <w:ind w:firstLine="0" w:firstLineChars="0"/>
        <w:jc w:val="left"/>
        <w:rPr>
          <w:rFonts w:hint="default" w:ascii="Times New Roman" w:hAnsi="Times New Roman" w:eastAsia="黑体" w:cs="Times New Roman"/>
          <w:b w:val="0"/>
          <w:bCs/>
          <w:color w:val="auto"/>
          <w:sz w:val="30"/>
          <w:szCs w:val="30"/>
          <w:highlight w:val="none"/>
        </w:rPr>
      </w:pPr>
      <w:r>
        <w:rPr>
          <w:rFonts w:hint="default" w:ascii="Times New Roman" w:hAnsi="Times New Roman" w:eastAsia="黑体" w:cs="Times New Roman"/>
          <w:b w:val="0"/>
          <w:bCs/>
          <w:color w:val="auto"/>
          <w:sz w:val="30"/>
          <w:szCs w:val="30"/>
          <w:highlight w:val="none"/>
        </w:rPr>
        <w:t>项目名称：水利局债务化解项目</w:t>
      </w:r>
    </w:p>
    <w:p w14:paraId="07D1D2CB">
      <w:pPr>
        <w:spacing w:line="360" w:lineRule="auto"/>
        <w:ind w:firstLine="0" w:firstLineChars="0"/>
        <w:jc w:val="left"/>
        <w:rPr>
          <w:rFonts w:hint="default" w:ascii="Times New Roman" w:hAnsi="Times New Roman" w:eastAsia="黑体" w:cs="Times New Roman"/>
          <w:b w:val="0"/>
          <w:bCs/>
          <w:color w:val="auto"/>
          <w:sz w:val="30"/>
          <w:szCs w:val="30"/>
          <w:highlight w:val="none"/>
          <w:lang w:val="en-US" w:eastAsia="zh-CN"/>
        </w:rPr>
      </w:pPr>
      <w:r>
        <w:rPr>
          <w:rFonts w:hint="default" w:ascii="Times New Roman" w:hAnsi="Times New Roman" w:eastAsia="黑体" w:cs="Times New Roman"/>
          <w:b w:val="0"/>
          <w:bCs/>
          <w:color w:val="auto"/>
          <w:sz w:val="30"/>
          <w:szCs w:val="30"/>
          <w:highlight w:val="none"/>
        </w:rPr>
        <w:t>实施单位：</w:t>
      </w:r>
      <w:r>
        <w:rPr>
          <w:rFonts w:hint="default" w:ascii="Times New Roman" w:hAnsi="Times New Roman" w:eastAsia="黑体" w:cs="Times New Roman"/>
          <w:b w:val="0"/>
          <w:bCs/>
          <w:color w:val="auto"/>
          <w:sz w:val="30"/>
          <w:szCs w:val="30"/>
          <w:highlight w:val="none"/>
          <w:lang w:val="en-US" w:eastAsia="zh-CN"/>
        </w:rPr>
        <w:t>阜康市水利局</w:t>
      </w:r>
    </w:p>
    <w:p w14:paraId="45490227">
      <w:pPr>
        <w:spacing w:line="360" w:lineRule="auto"/>
        <w:ind w:firstLine="0" w:firstLineChars="0"/>
        <w:jc w:val="left"/>
        <w:rPr>
          <w:rFonts w:hint="default" w:ascii="Times New Roman" w:hAnsi="Times New Roman" w:eastAsia="黑体" w:cs="Times New Roman"/>
          <w:b w:val="0"/>
          <w:bCs/>
          <w:color w:val="auto"/>
          <w:sz w:val="30"/>
          <w:szCs w:val="30"/>
          <w:highlight w:val="none"/>
        </w:rPr>
      </w:pPr>
      <w:r>
        <w:rPr>
          <w:rFonts w:hint="default" w:ascii="Times New Roman" w:hAnsi="Times New Roman" w:eastAsia="黑体" w:cs="Times New Roman"/>
          <w:b w:val="0"/>
          <w:bCs/>
          <w:color w:val="auto"/>
          <w:sz w:val="30"/>
          <w:szCs w:val="30"/>
          <w:highlight w:val="none"/>
        </w:rPr>
        <w:t>主管部门：阜康市水利局</w:t>
      </w:r>
    </w:p>
    <w:p w14:paraId="27CF325F">
      <w:pPr>
        <w:spacing w:line="360" w:lineRule="auto"/>
        <w:ind w:firstLine="0" w:firstLineChars="0"/>
        <w:jc w:val="left"/>
        <w:rPr>
          <w:rFonts w:hint="default" w:ascii="Times New Roman" w:hAnsi="Times New Roman" w:eastAsia="黑体" w:cs="Times New Roman"/>
          <w:b w:val="0"/>
          <w:bCs/>
          <w:color w:val="auto"/>
          <w:sz w:val="30"/>
          <w:szCs w:val="30"/>
          <w:highlight w:val="none"/>
          <w:lang w:val="en-US" w:eastAsia="zh-CN"/>
        </w:rPr>
      </w:pPr>
      <w:r>
        <w:rPr>
          <w:rFonts w:hint="default" w:ascii="Times New Roman" w:hAnsi="Times New Roman" w:eastAsia="黑体" w:cs="Times New Roman"/>
          <w:b w:val="0"/>
          <w:bCs/>
          <w:color w:val="auto"/>
          <w:sz w:val="30"/>
          <w:szCs w:val="30"/>
          <w:highlight w:val="none"/>
          <w:lang w:eastAsia="zh-CN"/>
        </w:rPr>
        <w:t>项目负责人：</w:t>
      </w:r>
      <w:r>
        <w:rPr>
          <w:rFonts w:hint="default" w:ascii="Times New Roman" w:hAnsi="Times New Roman" w:eastAsia="黑体" w:cs="Times New Roman"/>
          <w:b w:val="0"/>
          <w:bCs/>
          <w:color w:val="auto"/>
          <w:sz w:val="30"/>
          <w:szCs w:val="30"/>
          <w:highlight w:val="none"/>
          <w:lang w:val="en-US" w:eastAsia="zh-CN"/>
        </w:rPr>
        <w:t>杨潮伟</w:t>
      </w:r>
    </w:p>
    <w:p w14:paraId="400830BF">
      <w:pPr>
        <w:spacing w:line="360" w:lineRule="auto"/>
        <w:ind w:firstLine="0" w:firstLineChars="0"/>
        <w:jc w:val="left"/>
        <w:rPr>
          <w:rFonts w:hint="default" w:ascii="Times New Roman" w:hAnsi="Times New Roman" w:cs="Times New Roman"/>
          <w:b w:val="0"/>
          <w:bCs/>
          <w:color w:val="auto"/>
          <w:highlight w:val="none"/>
          <w:lang w:val="en-US" w:eastAsia="zh-CN"/>
        </w:rPr>
      </w:pPr>
      <w:r>
        <w:rPr>
          <w:rFonts w:hint="default" w:ascii="Times New Roman" w:hAnsi="Times New Roman" w:eastAsia="黑体" w:cs="Times New Roman"/>
          <w:b w:val="0"/>
          <w:bCs/>
          <w:color w:val="auto"/>
          <w:sz w:val="30"/>
          <w:szCs w:val="30"/>
          <w:highlight w:val="none"/>
          <w:lang w:eastAsia="zh-CN"/>
        </w:rPr>
        <w:t>填报时间：</w:t>
      </w:r>
      <w:r>
        <w:rPr>
          <w:rFonts w:hint="default" w:ascii="Times New Roman" w:hAnsi="Times New Roman" w:eastAsia="黑体" w:cs="Times New Roman"/>
          <w:b w:val="0"/>
          <w:bCs/>
          <w:color w:val="auto"/>
          <w:sz w:val="30"/>
          <w:szCs w:val="30"/>
          <w:highlight w:val="none"/>
          <w:lang w:val="en-US" w:eastAsia="zh-CN"/>
        </w:rPr>
        <w:t>2025年3月31日</w:t>
      </w:r>
    </w:p>
    <w:p w14:paraId="0B9F77FA">
      <w:pPr>
        <w:pStyle w:val="14"/>
        <w:pageBreakBefore w:val="0"/>
        <w:kinsoku/>
        <w:wordWrap/>
        <w:overflowPunct/>
        <w:topLinePunct w:val="0"/>
        <w:autoSpaceDE/>
        <w:autoSpaceDN/>
        <w:bidi w:val="0"/>
        <w:spacing w:line="560" w:lineRule="exact"/>
        <w:textAlignment w:val="auto"/>
        <w:outlineLvl w:val="9"/>
        <w:rPr>
          <w:rFonts w:hint="default" w:ascii="Times New Roman" w:hAnsi="Times New Roman" w:eastAsia="宋体" w:cs="Times New Roman"/>
          <w:b/>
          <w:color w:val="auto"/>
          <w:kern w:val="2"/>
          <w:sz w:val="28"/>
          <w:szCs w:val="28"/>
          <w:highlight w:val="none"/>
          <w:shd w:val="clear" w:color="auto" w:fill="auto"/>
          <w:lang w:val="en-US" w:eastAsia="zh-CN"/>
        </w:rPr>
      </w:pPr>
    </w:p>
    <w:p w14:paraId="4D5053B4">
      <w:pPr>
        <w:pageBreakBefore w:val="0"/>
        <w:kinsoku/>
        <w:wordWrap/>
        <w:overflowPunct/>
        <w:topLinePunct w:val="0"/>
        <w:autoSpaceDE/>
        <w:autoSpaceDN/>
        <w:bidi w:val="0"/>
        <w:spacing w:line="560" w:lineRule="exact"/>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br w:type="page"/>
      </w:r>
    </w:p>
    <w:p w14:paraId="63F3D66E">
      <w:pPr>
        <w:pageBreakBefore w:val="0"/>
        <w:kinsoku/>
        <w:wordWrap/>
        <w:overflowPunct/>
        <w:topLinePunct w:val="0"/>
        <w:autoSpaceDE/>
        <w:autoSpaceDN/>
        <w:bidi w:val="0"/>
        <w:spacing w:line="560" w:lineRule="exact"/>
        <w:textAlignment w:val="auto"/>
        <w:rPr>
          <w:rFonts w:hint="default" w:ascii="Times New Roman" w:hAnsi="Times New Roman" w:cs="Times New Roman"/>
          <w:color w:val="auto"/>
          <w:highlight w:val="none"/>
          <w:lang w:val="en-US" w:eastAsia="zh-CN"/>
        </w:rPr>
      </w:pPr>
    </w:p>
    <w:sdt>
      <w:sdtPr>
        <w:rPr>
          <w:rFonts w:hint="default" w:ascii="Times New Roman" w:hAnsi="Times New Roman" w:eastAsia="宋体" w:cs="Times New Roman"/>
          <w:b/>
          <w:bCs/>
          <w:color w:val="auto"/>
          <w:kern w:val="2"/>
          <w:sz w:val="28"/>
          <w:szCs w:val="40"/>
          <w:highlight w:val="none"/>
          <w:lang w:val="en-US" w:eastAsia="zh-CN" w:bidi="ar-SA"/>
        </w:rPr>
        <w:id w:val="147474046"/>
        <w15:color w:val="DBDBDB"/>
        <w:docPartObj>
          <w:docPartGallery w:val="Table of Contents"/>
          <w:docPartUnique/>
        </w:docPartObj>
      </w:sdtPr>
      <w:sdtEndPr>
        <w:rPr>
          <w:rFonts w:hint="default" w:ascii="Times New Roman" w:hAnsi="Times New Roman" w:eastAsia="宋体" w:cs="Times New Roman"/>
          <w:b/>
          <w:bCs/>
          <w:color w:val="auto"/>
          <w:kern w:val="2"/>
          <w:sz w:val="28"/>
          <w:szCs w:val="28"/>
          <w:highlight w:val="none"/>
          <w:lang w:val="en-US" w:eastAsia="zh-CN" w:bidi="ar-SA"/>
        </w:rPr>
      </w:sdtEndPr>
      <w:sdtContent>
        <w:p w14:paraId="1EB6C089">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rFonts w:hint="default" w:ascii="Times New Roman" w:hAnsi="Times New Roman" w:cs="Times New Roman"/>
              <w:b/>
              <w:bCs/>
              <w:color w:val="auto"/>
              <w:sz w:val="40"/>
              <w:szCs w:val="40"/>
              <w:highlight w:val="none"/>
            </w:rPr>
          </w:pPr>
          <w:r>
            <w:rPr>
              <w:rFonts w:hint="default" w:ascii="Times New Roman" w:hAnsi="Times New Roman" w:eastAsia="宋体" w:cs="Times New Roman"/>
              <w:b/>
              <w:bCs/>
              <w:color w:val="auto"/>
              <w:sz w:val="40"/>
              <w:szCs w:val="40"/>
              <w:highlight w:val="none"/>
            </w:rPr>
            <w:t>目录</w:t>
          </w:r>
        </w:p>
        <w:p w14:paraId="1FD7C4AD">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 w:val="28"/>
              <w:szCs w:val="28"/>
              <w:highlight w:val="none"/>
              <w:lang w:val="en-US" w:eastAsia="zh-CN"/>
            </w:rPr>
            <w:fldChar w:fldCharType="begin"/>
          </w:r>
          <w:r>
            <w:rPr>
              <w:rFonts w:hint="default" w:ascii="Times New Roman" w:hAnsi="Times New Roman" w:cs="Times New Roman"/>
              <w:color w:val="auto"/>
              <w:sz w:val="28"/>
              <w:szCs w:val="28"/>
              <w:highlight w:val="none"/>
              <w:lang w:val="en-US" w:eastAsia="zh-CN"/>
            </w:rPr>
            <w:instrText xml:space="preserve">TOC \o "1-3" \h \u </w:instrText>
          </w:r>
          <w:r>
            <w:rPr>
              <w:rFonts w:hint="default" w:ascii="Times New Roman" w:hAnsi="Times New Roman" w:cs="Times New Roman"/>
              <w:color w:val="auto"/>
              <w:sz w:val="28"/>
              <w:szCs w:val="28"/>
              <w:highlight w:val="none"/>
              <w:lang w:val="en-US" w:eastAsia="zh-CN"/>
            </w:rPr>
            <w:fldChar w:fldCharType="separate"/>
          </w:r>
        </w:p>
        <w:p w14:paraId="6D3B4BCF">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_Toc18485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黑体" w:cs="Times New Roman"/>
              <w:bCs w:val="0"/>
              <w:color w:val="auto"/>
              <w:highlight w:val="none"/>
              <w:shd w:val="clear" w:color="auto" w:fill="auto"/>
            </w:rPr>
            <w:t>一、基本情况</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_Toc18485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4</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13FC9B60">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_Toc23184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（一）项目概况</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_Toc23184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4</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09F11CD9">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_Toc9109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（二）项目绩效目标</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_Toc9109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4</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0E1C7159">
          <w:pPr>
            <w:pStyle w:val="10"/>
            <w:tabs>
              <w:tab w:val="right" w:leader="dot" w:pos="8844"/>
            </w:tabs>
            <w:rPr>
              <w:rFonts w:hint="default" w:ascii="Times New Roman" w:hAnsi="Times New Roman" w:eastAsia="黑体" w:cs="Times New Roman"/>
              <w:color w:val="auto"/>
              <w:highlight w:val="none"/>
            </w:rPr>
          </w:pPr>
          <w:r>
            <w:rPr>
              <w:rFonts w:hint="default" w:ascii="Times New Roman" w:hAnsi="Times New Roman" w:eastAsia="黑体" w:cs="Times New Roman"/>
              <w:color w:val="auto"/>
              <w:szCs w:val="28"/>
              <w:highlight w:val="none"/>
              <w:lang w:val="en-US" w:eastAsia="zh-CN"/>
            </w:rPr>
            <w:fldChar w:fldCharType="begin"/>
          </w:r>
          <w:r>
            <w:rPr>
              <w:rFonts w:hint="default" w:ascii="Times New Roman" w:hAnsi="Times New Roman" w:eastAsia="黑体" w:cs="Times New Roman"/>
              <w:color w:val="auto"/>
              <w:szCs w:val="28"/>
              <w:highlight w:val="none"/>
              <w:lang w:val="en-US" w:eastAsia="zh-CN"/>
            </w:rPr>
            <w:instrText xml:space="preserve"> HYPERLINK \l _Toc26567 </w:instrText>
          </w:r>
          <w:r>
            <w:rPr>
              <w:rFonts w:hint="default" w:ascii="Times New Roman" w:hAnsi="Times New Roman" w:eastAsia="黑体" w:cs="Times New Roman"/>
              <w:color w:val="auto"/>
              <w:szCs w:val="28"/>
              <w:highlight w:val="none"/>
              <w:lang w:val="en-US" w:eastAsia="zh-CN"/>
            </w:rPr>
            <w:fldChar w:fldCharType="separate"/>
          </w:r>
          <w:r>
            <w:rPr>
              <w:rFonts w:hint="default" w:ascii="Times New Roman" w:hAnsi="Times New Roman" w:eastAsia="黑体" w:cs="Times New Roman"/>
              <w:bCs/>
              <w:color w:val="auto"/>
              <w:highlight w:val="none"/>
              <w:shd w:val="clear" w:color="auto" w:fill="auto"/>
            </w:rPr>
            <w:t>二、绩效评价工作开展情况</w:t>
          </w:r>
          <w:r>
            <w:rPr>
              <w:rFonts w:hint="default" w:ascii="Times New Roman" w:hAnsi="Times New Roman" w:eastAsia="黑体" w:cs="Times New Roman"/>
              <w:color w:val="auto"/>
              <w:highlight w:val="none"/>
            </w:rPr>
            <w:tab/>
          </w:r>
          <w:r>
            <w:rPr>
              <w:rFonts w:hint="default" w:ascii="Times New Roman" w:hAnsi="Times New Roman" w:eastAsia="黑体" w:cs="Times New Roman"/>
              <w:color w:val="auto"/>
              <w:highlight w:val="none"/>
            </w:rPr>
            <w:fldChar w:fldCharType="begin"/>
          </w:r>
          <w:r>
            <w:rPr>
              <w:rFonts w:hint="default" w:ascii="Times New Roman" w:hAnsi="Times New Roman" w:eastAsia="黑体" w:cs="Times New Roman"/>
              <w:color w:val="auto"/>
              <w:highlight w:val="none"/>
            </w:rPr>
            <w:instrText xml:space="preserve"> PAGEREF _Toc26567 \h </w:instrText>
          </w:r>
          <w:r>
            <w:rPr>
              <w:rFonts w:hint="default" w:ascii="Times New Roman" w:hAnsi="Times New Roman" w:eastAsia="黑体" w:cs="Times New Roman"/>
              <w:color w:val="auto"/>
              <w:highlight w:val="none"/>
            </w:rPr>
            <w:fldChar w:fldCharType="separate"/>
          </w:r>
          <w:r>
            <w:rPr>
              <w:rFonts w:hint="default" w:ascii="Times New Roman" w:hAnsi="Times New Roman" w:eastAsia="黑体" w:cs="Times New Roman"/>
              <w:color w:val="auto"/>
              <w:highlight w:val="none"/>
            </w:rPr>
            <w:t>6</w:t>
          </w:r>
          <w:r>
            <w:rPr>
              <w:rFonts w:hint="default" w:ascii="Times New Roman" w:hAnsi="Times New Roman" w:eastAsia="黑体" w:cs="Times New Roman"/>
              <w:color w:val="auto"/>
              <w:highlight w:val="none"/>
            </w:rPr>
            <w:fldChar w:fldCharType="end"/>
          </w:r>
          <w:r>
            <w:rPr>
              <w:rFonts w:hint="default" w:ascii="Times New Roman" w:hAnsi="Times New Roman" w:eastAsia="黑体" w:cs="Times New Roman"/>
              <w:color w:val="auto"/>
              <w:szCs w:val="28"/>
              <w:highlight w:val="none"/>
              <w:lang w:val="en-US" w:eastAsia="zh-CN"/>
            </w:rPr>
            <w:fldChar w:fldCharType="end"/>
          </w:r>
        </w:p>
        <w:p w14:paraId="4BDA9C0A">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_Toc22839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（一）绩效评价的目的、对象和范围</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_Toc22839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6</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4F44C0A3">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_Toc29785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（二）绩效评价原则、评价指标体系（详情见附件二）、评价方法、评价标准</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_Toc29785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10</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4B73EB72">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_Toc21435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（三）绩效评价工作过程</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_Toc21435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12</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0661154A">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_Toc19261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黑体" w:cs="Times New Roman"/>
              <w:bCs w:val="0"/>
              <w:color w:val="auto"/>
              <w:highlight w:val="none"/>
              <w:shd w:val="clear" w:color="auto" w:fill="auto"/>
              <w:lang w:val="en-US" w:eastAsia="zh-CN"/>
            </w:rPr>
            <w:t>三、</w:t>
          </w:r>
          <w:r>
            <w:rPr>
              <w:rFonts w:hint="default" w:ascii="Times New Roman" w:hAnsi="Times New Roman" w:eastAsia="黑体" w:cs="Times New Roman"/>
              <w:bCs w:val="0"/>
              <w:color w:val="auto"/>
              <w:highlight w:val="none"/>
              <w:shd w:val="clear" w:color="auto" w:fill="auto"/>
            </w:rPr>
            <w:t>综合评价情况及评价结论</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_Toc19261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14</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49F7D177">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_Toc23319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（一）综合评价情况及评价结论</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_Toc23319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14</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0AEAD779">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_Toc11863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（二）相关评分表</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_Toc11863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15</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78BA6067">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_Toc14941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黑体" w:cs="Times New Roman"/>
              <w:bCs w:val="0"/>
              <w:color w:val="auto"/>
              <w:highlight w:val="none"/>
              <w:shd w:val="clear" w:color="auto" w:fill="auto"/>
              <w:lang w:val="en-US" w:eastAsia="zh-CN"/>
            </w:rPr>
            <w:t>四、绩效评价指标分析</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_Toc14941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16</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35C52A8D">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_Toc6759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rPr>
            <w:t>（一）项目决策情况</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_Toc6759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16</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44A1B17D">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_Toc10564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 w:cs="Times New Roman"/>
              <w:color w:val="auto"/>
              <w:kern w:val="28"/>
              <w:highlight w:val="none"/>
              <w:lang w:eastAsia="zh-CN"/>
            </w:rPr>
            <w:t>（</w:t>
          </w:r>
          <w:r>
            <w:rPr>
              <w:rFonts w:hint="default" w:ascii="Times New Roman" w:hAnsi="Times New Roman" w:eastAsia="楷体" w:cs="Times New Roman"/>
              <w:color w:val="auto"/>
              <w:kern w:val="28"/>
              <w:highlight w:val="none"/>
              <w:lang w:val="en-US" w:eastAsia="zh-CN"/>
            </w:rPr>
            <w:t>二</w:t>
          </w:r>
          <w:r>
            <w:rPr>
              <w:rFonts w:hint="default" w:ascii="Times New Roman" w:hAnsi="Times New Roman" w:eastAsia="楷体" w:cs="Times New Roman"/>
              <w:color w:val="auto"/>
              <w:kern w:val="28"/>
              <w:highlight w:val="none"/>
              <w:lang w:eastAsia="zh-CN"/>
            </w:rPr>
            <w:t>）</w:t>
          </w:r>
          <w:r>
            <w:rPr>
              <w:rFonts w:hint="default" w:ascii="Times New Roman" w:hAnsi="Times New Roman" w:eastAsia="楷体" w:cs="Times New Roman"/>
              <w:color w:val="auto"/>
              <w:kern w:val="28"/>
              <w:highlight w:val="none"/>
            </w:rPr>
            <w:t>项目过程情况</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_Toc10564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19</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23A24B55">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_Toc2441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（三）项目产出情况</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_Toc2441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22</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2564441F">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_Toc19424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color w:val="auto"/>
              <w:kern w:val="28"/>
              <w:highlight w:val="none"/>
              <w:lang w:val="en-US" w:eastAsia="zh-CN"/>
            </w:rPr>
            <w:t>（四）项目效益情况</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_Toc19424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24</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0E0A9734">
          <w:pPr>
            <w:pStyle w:val="10"/>
            <w:tabs>
              <w:tab w:val="right" w:leader="dot" w:pos="8844"/>
            </w:tabs>
            <w:rPr>
              <w:rFonts w:hint="default" w:ascii="Times New Roman" w:hAnsi="Times New Roman" w:eastAsia="黑体" w:cs="Times New Roman"/>
              <w:color w:val="auto"/>
              <w:highlight w:val="none"/>
            </w:rPr>
          </w:pPr>
          <w:r>
            <w:rPr>
              <w:rFonts w:hint="default" w:ascii="Times New Roman" w:hAnsi="Times New Roman" w:eastAsia="黑体" w:cs="Times New Roman"/>
              <w:color w:val="auto"/>
              <w:szCs w:val="28"/>
              <w:highlight w:val="none"/>
              <w:lang w:val="en-US" w:eastAsia="zh-CN"/>
            </w:rPr>
            <w:fldChar w:fldCharType="begin"/>
          </w:r>
          <w:r>
            <w:rPr>
              <w:rFonts w:hint="default" w:ascii="Times New Roman" w:hAnsi="Times New Roman" w:eastAsia="黑体" w:cs="Times New Roman"/>
              <w:color w:val="auto"/>
              <w:szCs w:val="28"/>
              <w:highlight w:val="none"/>
              <w:lang w:val="en-US" w:eastAsia="zh-CN"/>
            </w:rPr>
            <w:instrText xml:space="preserve"> HYPERLINK \l _Toc6622 </w:instrText>
          </w:r>
          <w:r>
            <w:rPr>
              <w:rFonts w:hint="default" w:ascii="Times New Roman" w:hAnsi="Times New Roman" w:eastAsia="黑体" w:cs="Times New Roman"/>
              <w:color w:val="auto"/>
              <w:szCs w:val="28"/>
              <w:highlight w:val="none"/>
              <w:lang w:val="en-US" w:eastAsia="zh-CN"/>
            </w:rPr>
            <w:fldChar w:fldCharType="separate"/>
          </w:r>
          <w:r>
            <w:rPr>
              <w:rFonts w:hint="default" w:ascii="Times New Roman" w:hAnsi="Times New Roman" w:eastAsia="黑体" w:cs="Times New Roman"/>
              <w:bCs w:val="0"/>
              <w:color w:val="auto"/>
              <w:highlight w:val="none"/>
              <w:shd w:val="clear" w:color="auto" w:fill="auto"/>
              <w:lang w:val="en-US" w:eastAsia="zh-CN"/>
            </w:rPr>
            <w:t>五、主要经验及做法、存在的问题及原因分析</w:t>
          </w:r>
          <w:r>
            <w:rPr>
              <w:rFonts w:hint="default" w:ascii="Times New Roman" w:hAnsi="Times New Roman" w:eastAsia="黑体" w:cs="Times New Roman"/>
              <w:color w:val="auto"/>
              <w:highlight w:val="none"/>
            </w:rPr>
            <w:tab/>
          </w:r>
          <w:r>
            <w:rPr>
              <w:rFonts w:hint="default" w:ascii="Times New Roman" w:hAnsi="Times New Roman" w:eastAsia="黑体" w:cs="Times New Roman"/>
              <w:color w:val="auto"/>
              <w:highlight w:val="none"/>
            </w:rPr>
            <w:fldChar w:fldCharType="begin"/>
          </w:r>
          <w:r>
            <w:rPr>
              <w:rFonts w:hint="default" w:ascii="Times New Roman" w:hAnsi="Times New Roman" w:eastAsia="黑体" w:cs="Times New Roman"/>
              <w:color w:val="auto"/>
              <w:highlight w:val="none"/>
            </w:rPr>
            <w:instrText xml:space="preserve"> PAGEREF _Toc6622 \h </w:instrText>
          </w:r>
          <w:r>
            <w:rPr>
              <w:rFonts w:hint="default" w:ascii="Times New Roman" w:hAnsi="Times New Roman" w:eastAsia="黑体" w:cs="Times New Roman"/>
              <w:color w:val="auto"/>
              <w:highlight w:val="none"/>
            </w:rPr>
            <w:fldChar w:fldCharType="separate"/>
          </w:r>
          <w:r>
            <w:rPr>
              <w:rFonts w:hint="default" w:ascii="Times New Roman" w:hAnsi="Times New Roman" w:eastAsia="黑体" w:cs="Times New Roman"/>
              <w:color w:val="auto"/>
              <w:highlight w:val="none"/>
            </w:rPr>
            <w:t>25</w:t>
          </w:r>
          <w:r>
            <w:rPr>
              <w:rFonts w:hint="default" w:ascii="Times New Roman" w:hAnsi="Times New Roman" w:eastAsia="黑体" w:cs="Times New Roman"/>
              <w:color w:val="auto"/>
              <w:highlight w:val="none"/>
            </w:rPr>
            <w:fldChar w:fldCharType="end"/>
          </w:r>
          <w:r>
            <w:rPr>
              <w:rFonts w:hint="default" w:ascii="Times New Roman" w:hAnsi="Times New Roman" w:eastAsia="黑体" w:cs="Times New Roman"/>
              <w:color w:val="auto"/>
              <w:szCs w:val="28"/>
              <w:highlight w:val="none"/>
              <w:lang w:val="en-US" w:eastAsia="zh-CN"/>
            </w:rPr>
            <w:fldChar w:fldCharType="end"/>
          </w:r>
        </w:p>
        <w:p w14:paraId="3986BB86">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_Toc15449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bCs/>
              <w:color w:val="auto"/>
              <w:kern w:val="28"/>
              <w:highlight w:val="none"/>
              <w:lang w:val="en-US" w:eastAsia="zh-CN"/>
            </w:rPr>
            <w:t>（一）主要经验及做法</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_Toc15449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25</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4A273354">
          <w:pPr>
            <w:pStyle w:val="10"/>
            <w:tabs>
              <w:tab w:val="right" w:leader="dot" w:pos="8844"/>
            </w:tabs>
            <w:rPr>
              <w:rFonts w:hint="default" w:ascii="Times New Roman" w:hAnsi="Times New Roman" w:cs="Times New Roman"/>
              <w:color w:val="auto"/>
              <w:highlight w:val="none"/>
            </w:rPr>
          </w:pPr>
          <w:r>
            <w:rPr>
              <w:rFonts w:hint="default" w:ascii="Times New Roman" w:hAnsi="Times New Roman" w:cs="Times New Roman"/>
              <w:color w:val="auto"/>
              <w:szCs w:val="28"/>
              <w:highlight w:val="none"/>
              <w:lang w:val="en-US" w:eastAsia="zh-CN"/>
            </w:rPr>
            <w:fldChar w:fldCharType="begin"/>
          </w:r>
          <w:r>
            <w:rPr>
              <w:rFonts w:hint="default" w:ascii="Times New Roman" w:hAnsi="Times New Roman" w:cs="Times New Roman"/>
              <w:color w:val="auto"/>
              <w:szCs w:val="28"/>
              <w:highlight w:val="none"/>
              <w:lang w:val="en-US" w:eastAsia="zh-CN"/>
            </w:rPr>
            <w:instrText xml:space="preserve"> HYPERLINK \l _Toc29168 </w:instrText>
          </w:r>
          <w:r>
            <w:rPr>
              <w:rFonts w:hint="default" w:ascii="Times New Roman" w:hAnsi="Times New Roman" w:cs="Times New Roman"/>
              <w:color w:val="auto"/>
              <w:szCs w:val="28"/>
              <w:highlight w:val="none"/>
              <w:lang w:val="en-US" w:eastAsia="zh-CN"/>
            </w:rPr>
            <w:fldChar w:fldCharType="separate"/>
          </w:r>
          <w:r>
            <w:rPr>
              <w:rFonts w:hint="default" w:ascii="Times New Roman" w:hAnsi="Times New Roman" w:eastAsia="楷体_GB2312" w:cs="Times New Roman"/>
              <w:bCs/>
              <w:color w:val="auto"/>
              <w:kern w:val="28"/>
              <w:highlight w:val="none"/>
              <w:lang w:val="en-US" w:eastAsia="zh-CN"/>
            </w:rPr>
            <w:t>（二）存在的问题及原因分析</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PAGEREF _Toc29168 \h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25</w:t>
          </w:r>
          <w:r>
            <w:rPr>
              <w:rFonts w:hint="default" w:ascii="Times New Roman" w:hAnsi="Times New Roman" w:cs="Times New Roman"/>
              <w:color w:val="auto"/>
              <w:highlight w:val="none"/>
            </w:rPr>
            <w:fldChar w:fldCharType="end"/>
          </w:r>
          <w:r>
            <w:rPr>
              <w:rFonts w:hint="default" w:ascii="Times New Roman" w:hAnsi="Times New Roman" w:cs="Times New Roman"/>
              <w:color w:val="auto"/>
              <w:szCs w:val="28"/>
              <w:highlight w:val="none"/>
              <w:lang w:val="en-US" w:eastAsia="zh-CN"/>
            </w:rPr>
            <w:fldChar w:fldCharType="end"/>
          </w:r>
        </w:p>
        <w:p w14:paraId="575BC863">
          <w:pPr>
            <w:pStyle w:val="10"/>
            <w:tabs>
              <w:tab w:val="right" w:leader="dot" w:pos="8844"/>
            </w:tabs>
            <w:rPr>
              <w:rFonts w:hint="default" w:ascii="Times New Roman" w:hAnsi="Times New Roman" w:eastAsia="黑体" w:cs="Times New Roman"/>
              <w:color w:val="auto"/>
              <w:highlight w:val="none"/>
            </w:rPr>
          </w:pPr>
          <w:r>
            <w:rPr>
              <w:rFonts w:hint="default" w:ascii="Times New Roman" w:hAnsi="Times New Roman" w:eastAsia="黑体" w:cs="Times New Roman"/>
              <w:color w:val="auto"/>
              <w:szCs w:val="28"/>
              <w:highlight w:val="none"/>
              <w:lang w:val="en-US" w:eastAsia="zh-CN"/>
            </w:rPr>
            <w:fldChar w:fldCharType="begin"/>
          </w:r>
          <w:r>
            <w:rPr>
              <w:rFonts w:hint="default" w:ascii="Times New Roman" w:hAnsi="Times New Roman" w:eastAsia="黑体" w:cs="Times New Roman"/>
              <w:color w:val="auto"/>
              <w:szCs w:val="28"/>
              <w:highlight w:val="none"/>
              <w:lang w:val="en-US" w:eastAsia="zh-CN"/>
            </w:rPr>
            <w:instrText xml:space="preserve"> HYPERLINK \l _Toc3333 </w:instrText>
          </w:r>
          <w:r>
            <w:rPr>
              <w:rFonts w:hint="default" w:ascii="Times New Roman" w:hAnsi="Times New Roman" w:eastAsia="黑体" w:cs="Times New Roman"/>
              <w:color w:val="auto"/>
              <w:szCs w:val="28"/>
              <w:highlight w:val="none"/>
              <w:lang w:val="en-US" w:eastAsia="zh-CN"/>
            </w:rPr>
            <w:fldChar w:fldCharType="separate"/>
          </w:r>
          <w:r>
            <w:rPr>
              <w:rFonts w:hint="default" w:ascii="Times New Roman" w:hAnsi="Times New Roman" w:eastAsia="黑体" w:cs="Times New Roman"/>
              <w:bCs w:val="0"/>
              <w:color w:val="auto"/>
              <w:highlight w:val="none"/>
              <w:shd w:val="clear" w:color="auto" w:fill="auto"/>
              <w:lang w:val="en-US" w:eastAsia="zh-CN"/>
            </w:rPr>
            <w:t>六、有关建议</w:t>
          </w:r>
          <w:r>
            <w:rPr>
              <w:rFonts w:hint="default" w:ascii="Times New Roman" w:hAnsi="Times New Roman" w:eastAsia="黑体" w:cs="Times New Roman"/>
              <w:color w:val="auto"/>
              <w:highlight w:val="none"/>
            </w:rPr>
            <w:tab/>
          </w:r>
          <w:r>
            <w:rPr>
              <w:rFonts w:hint="default" w:ascii="Times New Roman" w:hAnsi="Times New Roman" w:eastAsia="黑体" w:cs="Times New Roman"/>
              <w:color w:val="auto"/>
              <w:highlight w:val="none"/>
            </w:rPr>
            <w:fldChar w:fldCharType="begin"/>
          </w:r>
          <w:r>
            <w:rPr>
              <w:rFonts w:hint="default" w:ascii="Times New Roman" w:hAnsi="Times New Roman" w:eastAsia="黑体" w:cs="Times New Roman"/>
              <w:color w:val="auto"/>
              <w:highlight w:val="none"/>
            </w:rPr>
            <w:instrText xml:space="preserve"> PAGEREF _Toc3333 \h </w:instrText>
          </w:r>
          <w:r>
            <w:rPr>
              <w:rFonts w:hint="default" w:ascii="Times New Roman" w:hAnsi="Times New Roman" w:eastAsia="黑体" w:cs="Times New Roman"/>
              <w:color w:val="auto"/>
              <w:highlight w:val="none"/>
            </w:rPr>
            <w:fldChar w:fldCharType="separate"/>
          </w:r>
          <w:r>
            <w:rPr>
              <w:rFonts w:hint="default" w:ascii="Times New Roman" w:hAnsi="Times New Roman" w:eastAsia="黑体" w:cs="Times New Roman"/>
              <w:color w:val="auto"/>
              <w:highlight w:val="none"/>
            </w:rPr>
            <w:t>26</w:t>
          </w:r>
          <w:r>
            <w:rPr>
              <w:rFonts w:hint="default" w:ascii="Times New Roman" w:hAnsi="Times New Roman" w:eastAsia="黑体" w:cs="Times New Roman"/>
              <w:color w:val="auto"/>
              <w:highlight w:val="none"/>
            </w:rPr>
            <w:fldChar w:fldCharType="end"/>
          </w:r>
          <w:r>
            <w:rPr>
              <w:rFonts w:hint="default" w:ascii="Times New Roman" w:hAnsi="Times New Roman" w:eastAsia="黑体" w:cs="Times New Roman"/>
              <w:color w:val="auto"/>
              <w:szCs w:val="28"/>
              <w:highlight w:val="none"/>
              <w:lang w:val="en-US" w:eastAsia="zh-CN"/>
            </w:rPr>
            <w:fldChar w:fldCharType="end"/>
          </w:r>
        </w:p>
        <w:p w14:paraId="6B3A9520">
          <w:pPr>
            <w:pStyle w:val="10"/>
            <w:tabs>
              <w:tab w:val="right" w:leader="dot" w:pos="8844"/>
            </w:tabs>
            <w:rPr>
              <w:rFonts w:hint="default" w:ascii="Times New Roman" w:hAnsi="Times New Roman" w:eastAsia="黑体" w:cs="Times New Roman"/>
              <w:color w:val="auto"/>
              <w:highlight w:val="none"/>
            </w:rPr>
          </w:pPr>
          <w:r>
            <w:rPr>
              <w:rFonts w:hint="default" w:ascii="Times New Roman" w:hAnsi="Times New Roman" w:eastAsia="黑体" w:cs="Times New Roman"/>
              <w:color w:val="auto"/>
              <w:szCs w:val="28"/>
              <w:highlight w:val="none"/>
              <w:lang w:val="en-US" w:eastAsia="zh-CN"/>
            </w:rPr>
            <w:fldChar w:fldCharType="begin"/>
          </w:r>
          <w:r>
            <w:rPr>
              <w:rFonts w:hint="default" w:ascii="Times New Roman" w:hAnsi="Times New Roman" w:eastAsia="黑体" w:cs="Times New Roman"/>
              <w:color w:val="auto"/>
              <w:szCs w:val="28"/>
              <w:highlight w:val="none"/>
              <w:lang w:val="en-US" w:eastAsia="zh-CN"/>
            </w:rPr>
            <w:instrText xml:space="preserve"> HYPERLINK \l _Toc14256 </w:instrText>
          </w:r>
          <w:r>
            <w:rPr>
              <w:rFonts w:hint="default" w:ascii="Times New Roman" w:hAnsi="Times New Roman" w:eastAsia="黑体" w:cs="Times New Roman"/>
              <w:color w:val="auto"/>
              <w:szCs w:val="28"/>
              <w:highlight w:val="none"/>
              <w:lang w:val="en-US" w:eastAsia="zh-CN"/>
            </w:rPr>
            <w:fldChar w:fldCharType="separate"/>
          </w:r>
          <w:r>
            <w:rPr>
              <w:rFonts w:hint="default" w:ascii="Times New Roman" w:hAnsi="Times New Roman" w:eastAsia="黑体" w:cs="Times New Roman"/>
              <w:bCs w:val="0"/>
              <w:color w:val="auto"/>
              <w:highlight w:val="none"/>
              <w:shd w:val="clear" w:color="auto" w:fill="auto"/>
              <w:lang w:val="en-US" w:eastAsia="zh-CN"/>
            </w:rPr>
            <w:t>七、其他需要说明的问题</w:t>
          </w:r>
          <w:r>
            <w:rPr>
              <w:rFonts w:hint="default" w:ascii="Times New Roman" w:hAnsi="Times New Roman" w:eastAsia="黑体" w:cs="Times New Roman"/>
              <w:color w:val="auto"/>
              <w:highlight w:val="none"/>
            </w:rPr>
            <w:tab/>
          </w:r>
          <w:r>
            <w:rPr>
              <w:rFonts w:hint="default" w:ascii="Times New Roman" w:hAnsi="Times New Roman" w:eastAsia="黑体" w:cs="Times New Roman"/>
              <w:color w:val="auto"/>
              <w:highlight w:val="none"/>
            </w:rPr>
            <w:fldChar w:fldCharType="begin"/>
          </w:r>
          <w:r>
            <w:rPr>
              <w:rFonts w:hint="default" w:ascii="Times New Roman" w:hAnsi="Times New Roman" w:eastAsia="黑体" w:cs="Times New Roman"/>
              <w:color w:val="auto"/>
              <w:highlight w:val="none"/>
            </w:rPr>
            <w:instrText xml:space="preserve"> PAGEREF _Toc14256 \h </w:instrText>
          </w:r>
          <w:r>
            <w:rPr>
              <w:rFonts w:hint="default" w:ascii="Times New Roman" w:hAnsi="Times New Roman" w:eastAsia="黑体" w:cs="Times New Roman"/>
              <w:color w:val="auto"/>
              <w:highlight w:val="none"/>
            </w:rPr>
            <w:fldChar w:fldCharType="separate"/>
          </w:r>
          <w:r>
            <w:rPr>
              <w:rFonts w:hint="default" w:ascii="Times New Roman" w:hAnsi="Times New Roman" w:eastAsia="黑体" w:cs="Times New Roman"/>
              <w:color w:val="auto"/>
              <w:highlight w:val="none"/>
            </w:rPr>
            <w:t>26</w:t>
          </w:r>
          <w:r>
            <w:rPr>
              <w:rFonts w:hint="default" w:ascii="Times New Roman" w:hAnsi="Times New Roman" w:eastAsia="黑体" w:cs="Times New Roman"/>
              <w:color w:val="auto"/>
              <w:highlight w:val="none"/>
            </w:rPr>
            <w:fldChar w:fldCharType="end"/>
          </w:r>
          <w:r>
            <w:rPr>
              <w:rFonts w:hint="default" w:ascii="Times New Roman" w:hAnsi="Times New Roman" w:eastAsia="黑体" w:cs="Times New Roman"/>
              <w:color w:val="auto"/>
              <w:szCs w:val="28"/>
              <w:highlight w:val="none"/>
              <w:lang w:val="en-US" w:eastAsia="zh-CN"/>
            </w:rPr>
            <w:fldChar w:fldCharType="end"/>
          </w:r>
        </w:p>
        <w:p w14:paraId="27806FDA">
          <w:pPr>
            <w:pStyle w:val="10"/>
            <w:tabs>
              <w:tab w:val="right" w:leader="dot" w:pos="8844"/>
            </w:tabs>
            <w:rPr>
              <w:rFonts w:hint="default" w:ascii="Times New Roman" w:hAnsi="Times New Roman" w:eastAsia="黑体" w:cs="Times New Roman"/>
              <w:color w:val="auto"/>
              <w:highlight w:val="none"/>
            </w:rPr>
          </w:pPr>
          <w:r>
            <w:rPr>
              <w:rFonts w:hint="default" w:ascii="Times New Roman" w:hAnsi="Times New Roman" w:eastAsia="黑体" w:cs="Times New Roman"/>
              <w:color w:val="auto"/>
              <w:szCs w:val="28"/>
              <w:highlight w:val="none"/>
              <w:lang w:val="en-US" w:eastAsia="zh-CN"/>
            </w:rPr>
            <w:fldChar w:fldCharType="begin"/>
          </w:r>
          <w:r>
            <w:rPr>
              <w:rFonts w:hint="default" w:ascii="Times New Roman" w:hAnsi="Times New Roman" w:eastAsia="黑体" w:cs="Times New Roman"/>
              <w:color w:val="auto"/>
              <w:szCs w:val="28"/>
              <w:highlight w:val="none"/>
              <w:lang w:val="en-US" w:eastAsia="zh-CN"/>
            </w:rPr>
            <w:instrText xml:space="preserve"> HYPERLINK \l _Toc28971 </w:instrText>
          </w:r>
          <w:r>
            <w:rPr>
              <w:rFonts w:hint="default" w:ascii="Times New Roman" w:hAnsi="Times New Roman" w:eastAsia="黑体" w:cs="Times New Roman"/>
              <w:color w:val="auto"/>
              <w:szCs w:val="28"/>
              <w:highlight w:val="none"/>
              <w:lang w:val="en-US" w:eastAsia="zh-CN"/>
            </w:rPr>
            <w:fldChar w:fldCharType="separate"/>
          </w:r>
          <w:r>
            <w:rPr>
              <w:rFonts w:hint="default" w:ascii="Times New Roman" w:hAnsi="Times New Roman" w:eastAsia="黑体" w:cs="Times New Roman"/>
              <w:bCs/>
              <w:color w:val="auto"/>
              <w:highlight w:val="none"/>
              <w:shd w:val="clear" w:color="auto" w:fill="auto"/>
              <w:lang w:val="en-US" w:eastAsia="zh-CN"/>
            </w:rPr>
            <w:t>附件一、项目支出绩效自评表</w:t>
          </w:r>
          <w:r>
            <w:rPr>
              <w:rFonts w:hint="default" w:ascii="Times New Roman" w:hAnsi="Times New Roman" w:eastAsia="黑体" w:cs="Times New Roman"/>
              <w:color w:val="auto"/>
              <w:highlight w:val="none"/>
            </w:rPr>
            <w:tab/>
          </w:r>
          <w:r>
            <w:rPr>
              <w:rFonts w:hint="default" w:ascii="Times New Roman" w:hAnsi="Times New Roman" w:eastAsia="黑体" w:cs="Times New Roman"/>
              <w:color w:val="auto"/>
              <w:highlight w:val="none"/>
            </w:rPr>
            <w:fldChar w:fldCharType="begin"/>
          </w:r>
          <w:r>
            <w:rPr>
              <w:rFonts w:hint="default" w:ascii="Times New Roman" w:hAnsi="Times New Roman" w:eastAsia="黑体" w:cs="Times New Roman"/>
              <w:color w:val="auto"/>
              <w:highlight w:val="none"/>
            </w:rPr>
            <w:instrText xml:space="preserve"> PAGEREF _Toc28971 \h </w:instrText>
          </w:r>
          <w:r>
            <w:rPr>
              <w:rFonts w:hint="default" w:ascii="Times New Roman" w:hAnsi="Times New Roman" w:eastAsia="黑体" w:cs="Times New Roman"/>
              <w:color w:val="auto"/>
              <w:highlight w:val="none"/>
            </w:rPr>
            <w:fldChar w:fldCharType="separate"/>
          </w:r>
          <w:r>
            <w:rPr>
              <w:rFonts w:hint="default" w:ascii="Times New Roman" w:hAnsi="Times New Roman" w:eastAsia="黑体" w:cs="Times New Roman"/>
              <w:color w:val="auto"/>
              <w:highlight w:val="none"/>
            </w:rPr>
            <w:t>27</w:t>
          </w:r>
          <w:r>
            <w:rPr>
              <w:rFonts w:hint="default" w:ascii="Times New Roman" w:hAnsi="Times New Roman" w:eastAsia="黑体" w:cs="Times New Roman"/>
              <w:color w:val="auto"/>
              <w:highlight w:val="none"/>
            </w:rPr>
            <w:fldChar w:fldCharType="end"/>
          </w:r>
          <w:r>
            <w:rPr>
              <w:rFonts w:hint="default" w:ascii="Times New Roman" w:hAnsi="Times New Roman" w:eastAsia="黑体" w:cs="Times New Roman"/>
              <w:color w:val="auto"/>
              <w:szCs w:val="28"/>
              <w:highlight w:val="none"/>
              <w:lang w:val="en-US" w:eastAsia="zh-CN"/>
            </w:rPr>
            <w:fldChar w:fldCharType="end"/>
          </w:r>
        </w:p>
        <w:p w14:paraId="1F8F1D7D">
          <w:pPr>
            <w:pStyle w:val="10"/>
            <w:tabs>
              <w:tab w:val="right" w:leader="dot" w:pos="8844"/>
            </w:tabs>
            <w:rPr>
              <w:rFonts w:hint="default" w:ascii="Times New Roman" w:hAnsi="Times New Roman" w:eastAsia="黑体" w:cs="Times New Roman"/>
              <w:color w:val="auto"/>
              <w:highlight w:val="none"/>
            </w:rPr>
          </w:pPr>
          <w:r>
            <w:rPr>
              <w:rFonts w:hint="default" w:ascii="Times New Roman" w:hAnsi="Times New Roman" w:eastAsia="黑体" w:cs="Times New Roman"/>
              <w:color w:val="auto"/>
              <w:szCs w:val="28"/>
              <w:highlight w:val="none"/>
              <w:lang w:val="en-US" w:eastAsia="zh-CN"/>
            </w:rPr>
            <w:fldChar w:fldCharType="begin"/>
          </w:r>
          <w:r>
            <w:rPr>
              <w:rFonts w:hint="default" w:ascii="Times New Roman" w:hAnsi="Times New Roman" w:eastAsia="黑体" w:cs="Times New Roman"/>
              <w:color w:val="auto"/>
              <w:szCs w:val="28"/>
              <w:highlight w:val="none"/>
              <w:lang w:val="en-US" w:eastAsia="zh-CN"/>
            </w:rPr>
            <w:instrText xml:space="preserve"> HYPERLINK \l _Toc11223 </w:instrText>
          </w:r>
          <w:r>
            <w:rPr>
              <w:rFonts w:hint="default" w:ascii="Times New Roman" w:hAnsi="Times New Roman" w:eastAsia="黑体" w:cs="Times New Roman"/>
              <w:color w:val="auto"/>
              <w:szCs w:val="28"/>
              <w:highlight w:val="none"/>
              <w:lang w:val="en-US" w:eastAsia="zh-CN"/>
            </w:rPr>
            <w:fldChar w:fldCharType="separate"/>
          </w:r>
          <w:r>
            <w:rPr>
              <w:rFonts w:hint="default" w:ascii="Times New Roman" w:hAnsi="Times New Roman" w:eastAsia="黑体" w:cs="Times New Roman"/>
              <w:bCs/>
              <w:color w:val="auto"/>
              <w:highlight w:val="none"/>
              <w:shd w:val="clear" w:color="auto" w:fill="auto"/>
              <w:lang w:val="en-US" w:eastAsia="zh-CN"/>
            </w:rPr>
            <w:t>附件二、项目支出绩效评价指标体系打分表</w:t>
          </w:r>
          <w:r>
            <w:rPr>
              <w:rFonts w:hint="default" w:ascii="Times New Roman" w:hAnsi="Times New Roman" w:eastAsia="黑体" w:cs="Times New Roman"/>
              <w:color w:val="auto"/>
              <w:highlight w:val="none"/>
            </w:rPr>
            <w:tab/>
          </w:r>
          <w:r>
            <w:rPr>
              <w:rFonts w:hint="default" w:ascii="Times New Roman" w:hAnsi="Times New Roman" w:eastAsia="黑体" w:cs="Times New Roman"/>
              <w:color w:val="auto"/>
              <w:highlight w:val="none"/>
            </w:rPr>
            <w:fldChar w:fldCharType="begin"/>
          </w:r>
          <w:r>
            <w:rPr>
              <w:rFonts w:hint="default" w:ascii="Times New Roman" w:hAnsi="Times New Roman" w:eastAsia="黑体" w:cs="Times New Roman"/>
              <w:color w:val="auto"/>
              <w:highlight w:val="none"/>
            </w:rPr>
            <w:instrText xml:space="preserve"> PAGEREF _Toc11223 \h </w:instrText>
          </w:r>
          <w:r>
            <w:rPr>
              <w:rFonts w:hint="default" w:ascii="Times New Roman" w:hAnsi="Times New Roman" w:eastAsia="黑体" w:cs="Times New Roman"/>
              <w:color w:val="auto"/>
              <w:highlight w:val="none"/>
            </w:rPr>
            <w:fldChar w:fldCharType="separate"/>
          </w:r>
          <w:r>
            <w:rPr>
              <w:rFonts w:hint="default" w:ascii="Times New Roman" w:hAnsi="Times New Roman" w:eastAsia="黑体" w:cs="Times New Roman"/>
              <w:color w:val="auto"/>
              <w:highlight w:val="none"/>
            </w:rPr>
            <w:t>33</w:t>
          </w:r>
          <w:r>
            <w:rPr>
              <w:rFonts w:hint="default" w:ascii="Times New Roman" w:hAnsi="Times New Roman" w:eastAsia="黑体" w:cs="Times New Roman"/>
              <w:color w:val="auto"/>
              <w:highlight w:val="none"/>
            </w:rPr>
            <w:fldChar w:fldCharType="end"/>
          </w:r>
          <w:r>
            <w:rPr>
              <w:rFonts w:hint="default" w:ascii="Times New Roman" w:hAnsi="Times New Roman" w:eastAsia="黑体" w:cs="Times New Roman"/>
              <w:color w:val="auto"/>
              <w:szCs w:val="28"/>
              <w:highlight w:val="none"/>
              <w:lang w:val="en-US" w:eastAsia="zh-CN"/>
            </w:rPr>
            <w:fldChar w:fldCharType="end"/>
          </w:r>
        </w:p>
        <w:p w14:paraId="092C0A7C">
          <w:pPr>
            <w:keepNext w:val="0"/>
            <w:keepLines w:val="0"/>
            <w:pageBreakBefore w:val="0"/>
            <w:shd w:val="clear"/>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cs="Times New Roman"/>
              <w:color w:val="auto"/>
              <w:szCs w:val="28"/>
              <w:highlight w:val="none"/>
              <w:lang w:val="en-US" w:eastAsia="zh-CN"/>
            </w:rPr>
            <w:fldChar w:fldCharType="end"/>
          </w:r>
        </w:p>
      </w:sdtContent>
    </w:sdt>
    <w:p w14:paraId="16D657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auto"/>
          <w:highlight w:val="none"/>
          <w:shd w:val="clear" w:color="auto" w:fill="auto"/>
        </w:rPr>
      </w:pPr>
      <w:bookmarkStart w:id="4" w:name="_Toc3663"/>
      <w:bookmarkStart w:id="5" w:name="_Toc22946"/>
      <w:bookmarkStart w:id="6" w:name="_Toc1194"/>
      <w:bookmarkStart w:id="7" w:name="_Toc20432"/>
      <w:r>
        <w:rPr>
          <w:rFonts w:hint="default" w:ascii="Times New Roman" w:hAnsi="Times New Roman" w:eastAsia="宋体" w:cs="Times New Roman"/>
          <w:b/>
          <w:bCs/>
          <w:color w:val="auto"/>
          <w:sz w:val="36"/>
          <w:szCs w:val="36"/>
          <w:highlight w:val="none"/>
          <w:shd w:val="clear" w:color="auto" w:fill="auto"/>
        </w:rPr>
        <w:t>水利局债务化解项目支出绩效评价报告</w:t>
      </w:r>
      <w:bookmarkEnd w:id="4"/>
      <w:bookmarkEnd w:id="5"/>
      <w:bookmarkEnd w:id="6"/>
      <w:bookmarkEnd w:id="7"/>
    </w:p>
    <w:p w14:paraId="696AE52C">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rPr>
      </w:pPr>
      <w:bookmarkStart w:id="8" w:name="_Toc18485"/>
      <w:r>
        <w:rPr>
          <w:rFonts w:hint="default" w:ascii="Times New Roman" w:hAnsi="Times New Roman" w:eastAsia="黑体" w:cs="Times New Roman"/>
          <w:b w:val="0"/>
          <w:bCs w:val="0"/>
          <w:color w:val="auto"/>
          <w:highlight w:val="none"/>
          <w:shd w:val="clear" w:color="auto" w:fill="auto"/>
        </w:rPr>
        <w:t>一、基本情况</w:t>
      </w:r>
      <w:bookmarkEnd w:id="8"/>
    </w:p>
    <w:p w14:paraId="1BE118C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9" w:name="_Toc23184"/>
      <w:r>
        <w:rPr>
          <w:rFonts w:hint="default" w:ascii="Times New Roman" w:hAnsi="Times New Roman" w:eastAsia="楷体_GB2312" w:cs="Times New Roman"/>
          <w:color w:val="auto"/>
          <w:kern w:val="28"/>
          <w:sz w:val="32"/>
          <w:highlight w:val="none"/>
          <w:lang w:val="en-US" w:eastAsia="zh-CN"/>
        </w:rPr>
        <w:t>（一）项目概况</w:t>
      </w:r>
      <w:bookmarkEnd w:id="9"/>
    </w:p>
    <w:p w14:paraId="67DDBD60">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rPr>
      </w:pPr>
      <w:bookmarkStart w:id="10" w:name="_Toc22346"/>
      <w:bookmarkStart w:id="11" w:name="_Toc10645"/>
      <w:bookmarkStart w:id="12" w:name="_Toc5043"/>
      <w:bookmarkStart w:id="13" w:name="_Toc29812"/>
      <w:r>
        <w:rPr>
          <w:rFonts w:hint="eastAsia" w:ascii="Times New Roman" w:hAnsi="Times New Roman" w:eastAsia="仿宋_GB2312" w:cs="Times New Roman"/>
          <w:b/>
          <w:bCs/>
          <w:color w:val="auto"/>
          <w:sz w:val="32"/>
          <w:szCs w:val="32"/>
          <w:highlight w:val="none"/>
          <w:shd w:val="clear" w:color="auto" w:fill="auto"/>
          <w:lang w:val="en-US" w:eastAsia="zh-CN"/>
        </w:rPr>
        <w:t>1.</w:t>
      </w:r>
      <w:r>
        <w:rPr>
          <w:rFonts w:hint="default" w:ascii="Times New Roman" w:hAnsi="Times New Roman" w:eastAsia="仿宋_GB2312" w:cs="Times New Roman"/>
          <w:b/>
          <w:bCs/>
          <w:color w:val="auto"/>
          <w:sz w:val="32"/>
          <w:szCs w:val="32"/>
          <w:highlight w:val="none"/>
          <w:shd w:val="clear" w:color="auto" w:fill="auto"/>
        </w:rPr>
        <w:t>项目背景</w:t>
      </w:r>
      <w:bookmarkEnd w:id="10"/>
      <w:bookmarkEnd w:id="11"/>
      <w:bookmarkEnd w:id="12"/>
      <w:bookmarkEnd w:id="13"/>
    </w:p>
    <w:p w14:paraId="44AAFB98">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按照阜康市整体债务化解工作与债务化解要求，为提升政府公信力，完善债务化解机制，水利局需清理历史债务，2024年化解52家企业的工程欠款2712.82万元。</w:t>
      </w:r>
    </w:p>
    <w:p w14:paraId="5318AAD7">
      <w:pPr>
        <w:pStyle w:val="5"/>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rPr>
      </w:pPr>
      <w:bookmarkStart w:id="14" w:name="_Toc27343"/>
      <w:bookmarkStart w:id="15" w:name="_Toc10730"/>
      <w:bookmarkStart w:id="16" w:name="_Toc17880"/>
      <w:bookmarkStart w:id="17" w:name="_Toc1630"/>
      <w:r>
        <w:rPr>
          <w:rFonts w:hint="default" w:ascii="Times New Roman" w:hAnsi="Times New Roman" w:eastAsia="仿宋_GB2312" w:cs="Times New Roman"/>
          <w:color w:val="auto"/>
          <w:sz w:val="32"/>
          <w:szCs w:val="32"/>
          <w:highlight w:val="none"/>
          <w:shd w:val="clear" w:color="auto" w:fill="auto"/>
          <w:lang w:val="en-US" w:eastAsia="zh-CN"/>
        </w:rPr>
        <w:t>2.</w:t>
      </w:r>
      <w:r>
        <w:rPr>
          <w:rFonts w:hint="default" w:ascii="Times New Roman" w:hAnsi="Times New Roman" w:eastAsia="仿宋_GB2312" w:cs="Times New Roman"/>
          <w:color w:val="auto"/>
          <w:sz w:val="32"/>
          <w:szCs w:val="32"/>
          <w:highlight w:val="none"/>
          <w:shd w:val="clear" w:color="auto" w:fill="auto"/>
        </w:rPr>
        <w:t>主要内容及实施情况</w:t>
      </w:r>
      <w:bookmarkEnd w:id="14"/>
      <w:bookmarkEnd w:id="15"/>
      <w:bookmarkEnd w:id="16"/>
      <w:bookmarkEnd w:id="17"/>
    </w:p>
    <w:p w14:paraId="0591CB53">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shd w:val="clear" w:color="auto" w:fill="auto"/>
          <w:lang w:eastAsia="zh-CN"/>
        </w:rPr>
      </w:pPr>
      <w:bookmarkStart w:id="18" w:name="_Toc27245"/>
      <w:bookmarkStart w:id="19" w:name="_Toc16592"/>
      <w:bookmarkStart w:id="20" w:name="_Toc27409"/>
      <w:bookmarkStart w:id="21" w:name="_Toc21898"/>
      <w:r>
        <w:rPr>
          <w:rFonts w:hint="default" w:ascii="Times New Roman" w:hAnsi="Times New Roman" w:eastAsia="仿宋_GB2312" w:cs="Times New Roman"/>
          <w:b/>
          <w:bCs/>
          <w:color w:val="auto"/>
          <w:sz w:val="32"/>
          <w:szCs w:val="32"/>
          <w:highlight w:val="none"/>
          <w:shd w:val="clear" w:color="auto" w:fill="auto"/>
          <w:lang w:val="en-US" w:eastAsia="zh-CN"/>
        </w:rPr>
        <w:t>项目主要内容：</w:t>
      </w:r>
      <w:bookmarkEnd w:id="18"/>
      <w:bookmarkEnd w:id="19"/>
      <w:bookmarkEnd w:id="20"/>
      <w:bookmarkEnd w:id="21"/>
      <w:r>
        <w:rPr>
          <w:rFonts w:hint="default" w:ascii="Times New Roman" w:hAnsi="Times New Roman" w:eastAsia="仿宋_GB2312" w:cs="Times New Roman"/>
          <w:color w:val="auto"/>
          <w:sz w:val="32"/>
          <w:szCs w:val="32"/>
          <w:highlight w:val="none"/>
          <w:shd w:val="clear" w:color="auto" w:fill="auto"/>
          <w:lang w:val="en-US" w:eastAsia="zh-CN"/>
        </w:rPr>
        <w:t>完成经责审计债务化解支付项目款企业数52家,资金支付2712.82万元，在2024年12月31日前完成支付，达成了化解单位债务，提升单位和政府形象，完善企业债务化解机制的效益。</w:t>
      </w:r>
    </w:p>
    <w:p w14:paraId="3EDCCB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2024年1月1日经阜康市债务化解先关文件批复，经市水利局财经会议，确定了项目领导小组，明确了责任分工：组长为苏生忠，副组长为丁智娟，项目负责人为王莉,组员为杨潮伟、文丽，其中：王莉负责监管工作，杨潮伟负责项目档案资料，文丽负责资金拨付工作。</w:t>
      </w:r>
    </w:p>
    <w:p w14:paraId="0CBC7437">
      <w:pPr>
        <w:pStyle w:val="5"/>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22" w:name="_Toc12348"/>
      <w:bookmarkStart w:id="23" w:name="_Toc10240"/>
      <w:bookmarkStart w:id="24" w:name="_Toc569"/>
      <w:bookmarkStart w:id="25" w:name="_Toc1858"/>
      <w:r>
        <w:rPr>
          <w:rFonts w:hint="default" w:ascii="Times New Roman" w:hAnsi="Times New Roman" w:eastAsia="仿宋_GB2312" w:cs="Times New Roman"/>
          <w:color w:val="auto"/>
          <w:sz w:val="32"/>
          <w:szCs w:val="32"/>
          <w:highlight w:val="none"/>
          <w:shd w:val="clear" w:color="auto" w:fill="auto"/>
          <w:lang w:val="en-US" w:eastAsia="zh-CN"/>
        </w:rPr>
        <w:t>3.资金投入和使用情况</w:t>
      </w:r>
      <w:bookmarkEnd w:id="22"/>
      <w:bookmarkEnd w:id="23"/>
      <w:bookmarkEnd w:id="24"/>
      <w:bookmarkEnd w:id="25"/>
    </w:p>
    <w:p w14:paraId="370CD40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26" w:name="_Toc23509"/>
      <w:bookmarkStart w:id="27" w:name="_Toc694"/>
      <w:bookmarkStart w:id="28" w:name="_Toc26369"/>
      <w:r>
        <w:rPr>
          <w:rFonts w:hint="default" w:ascii="Times New Roman" w:hAnsi="Times New Roman" w:eastAsia="仿宋_GB2312" w:cs="Times New Roman"/>
          <w:color w:val="auto"/>
          <w:sz w:val="32"/>
          <w:szCs w:val="32"/>
          <w:highlight w:val="none"/>
          <w:lang w:val="en-US" w:eastAsia="zh-CN"/>
        </w:rPr>
        <w:t>（1）资金投入情况</w:t>
      </w:r>
      <w:bookmarkEnd w:id="26"/>
      <w:bookmarkEnd w:id="27"/>
      <w:bookmarkEnd w:id="28"/>
    </w:p>
    <w:p w14:paraId="2580696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29" w:name="_Toc9464"/>
      <w:bookmarkStart w:id="30" w:name="_Toc5573"/>
      <w:bookmarkStart w:id="31" w:name="_Toc29190"/>
      <w:r>
        <w:rPr>
          <w:rFonts w:hint="default" w:ascii="Times New Roman" w:hAnsi="Times New Roman" w:eastAsia="仿宋_GB2312" w:cs="Times New Roman"/>
          <w:color w:val="auto"/>
          <w:sz w:val="32"/>
          <w:szCs w:val="32"/>
          <w:highlight w:val="none"/>
          <w:lang w:val="en-US" w:eastAsia="zh-CN"/>
        </w:rPr>
        <w:t>该项目年初预算数2712.82万元，全年预算数2712.82万元，该项目资金已全部落实到位，资金来源为财政拨款。</w:t>
      </w:r>
      <w:bookmarkEnd w:id="29"/>
      <w:bookmarkEnd w:id="30"/>
      <w:bookmarkEnd w:id="31"/>
    </w:p>
    <w:p w14:paraId="247900C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32" w:name="_Toc3409"/>
      <w:bookmarkStart w:id="33" w:name="_Toc28187"/>
      <w:bookmarkStart w:id="34" w:name="_Toc1166"/>
      <w:r>
        <w:rPr>
          <w:rFonts w:hint="default" w:ascii="Times New Roman" w:hAnsi="Times New Roman" w:eastAsia="仿宋_GB2312" w:cs="Times New Roman"/>
          <w:color w:val="auto"/>
          <w:sz w:val="32"/>
          <w:szCs w:val="32"/>
          <w:highlight w:val="none"/>
          <w:lang w:val="en-US" w:eastAsia="zh-CN"/>
        </w:rPr>
        <w:t>（2）资金使用情况</w:t>
      </w:r>
      <w:bookmarkEnd w:id="32"/>
      <w:bookmarkEnd w:id="33"/>
      <w:bookmarkEnd w:id="34"/>
    </w:p>
    <w:p w14:paraId="6A5AE9C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35" w:name="_Toc29121"/>
      <w:bookmarkStart w:id="36" w:name="_Toc11647"/>
      <w:bookmarkStart w:id="37" w:name="_Toc1430"/>
      <w:r>
        <w:rPr>
          <w:rFonts w:hint="default" w:ascii="Times New Roman" w:hAnsi="Times New Roman" w:eastAsia="仿宋_GB2312" w:cs="Times New Roman"/>
          <w:color w:val="auto"/>
          <w:sz w:val="32"/>
          <w:szCs w:val="32"/>
          <w:highlight w:val="none"/>
          <w:lang w:val="en-US" w:eastAsia="zh-CN"/>
        </w:rPr>
        <w:t>该项目年初预算数2712.82万元，全年预算数2712.82万元，</w:t>
      </w:r>
      <w:r>
        <w:rPr>
          <w:rFonts w:hint="default" w:ascii="Times New Roman" w:hAnsi="Times New Roman" w:eastAsia="仿宋_GB2312" w:cs="Times New Roman"/>
          <w:color w:val="auto"/>
          <w:sz w:val="32"/>
          <w:szCs w:val="32"/>
          <w:highlight w:val="none"/>
          <w:shd w:val="clear" w:color="auto" w:fill="auto"/>
          <w:lang w:val="en-US" w:eastAsia="zh-CN"/>
        </w:rPr>
        <w:t>截至2024年12月31日，</w:t>
      </w:r>
      <w:r>
        <w:rPr>
          <w:rFonts w:hint="default" w:ascii="Times New Roman" w:hAnsi="Times New Roman" w:eastAsia="仿宋_GB2312" w:cs="Times New Roman"/>
          <w:color w:val="auto"/>
          <w:sz w:val="32"/>
          <w:szCs w:val="32"/>
          <w:highlight w:val="none"/>
          <w:lang w:val="en-US" w:eastAsia="zh-CN"/>
        </w:rPr>
        <w:t>全年执行数2712.82万元，预算执行率为100%，主要用于：支付拖欠企业欠款。</w:t>
      </w:r>
      <w:bookmarkEnd w:id="35"/>
      <w:bookmarkEnd w:id="36"/>
      <w:bookmarkEnd w:id="37"/>
    </w:p>
    <w:p w14:paraId="4714937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38" w:name="_Toc9109"/>
      <w:r>
        <w:rPr>
          <w:rFonts w:hint="default" w:ascii="Times New Roman" w:hAnsi="Times New Roman" w:eastAsia="楷体_GB2312" w:cs="Times New Roman"/>
          <w:color w:val="auto"/>
          <w:kern w:val="28"/>
          <w:sz w:val="32"/>
          <w:highlight w:val="none"/>
          <w:lang w:val="en-US" w:eastAsia="zh-CN"/>
        </w:rPr>
        <w:t>（二）项目绩效目标</w:t>
      </w:r>
      <w:bookmarkEnd w:id="38"/>
    </w:p>
    <w:p w14:paraId="1DEB6EFD">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39" w:name="_Toc2547"/>
      <w:bookmarkStart w:id="40" w:name="_Toc8528"/>
      <w:bookmarkStart w:id="41" w:name="_Toc10047"/>
      <w:bookmarkStart w:id="42" w:name="_Toc14758"/>
      <w:r>
        <w:rPr>
          <w:rFonts w:hint="default" w:ascii="Times New Roman" w:hAnsi="Times New Roman" w:eastAsia="仿宋_GB2312" w:cs="Times New Roman"/>
          <w:color w:val="auto"/>
          <w:sz w:val="32"/>
          <w:szCs w:val="32"/>
          <w:highlight w:val="none"/>
          <w:shd w:val="clear" w:color="auto" w:fill="auto"/>
          <w:lang w:val="en-US" w:eastAsia="zh-CN"/>
        </w:rPr>
        <w:t>1.总体目标</w:t>
      </w:r>
      <w:bookmarkEnd w:id="39"/>
      <w:bookmarkEnd w:id="40"/>
      <w:bookmarkEnd w:id="41"/>
      <w:bookmarkEnd w:id="42"/>
    </w:p>
    <w:p w14:paraId="036D1301">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水利局债务化解项目绩效总体目标为：经责审计债务化解支付项目款企业数52家,资金支付2712.82万元，在2024年12月31日前完成支付，化解单位债务，提升单位和政府形象，完善企业债务化解机制。</w:t>
      </w:r>
    </w:p>
    <w:p w14:paraId="3514AF0A">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43" w:name="_Toc4487"/>
      <w:bookmarkStart w:id="44" w:name="_Toc3255"/>
      <w:bookmarkStart w:id="45" w:name="_Toc4007"/>
      <w:bookmarkStart w:id="46" w:name="_Toc8990"/>
      <w:r>
        <w:rPr>
          <w:rFonts w:hint="default" w:ascii="Times New Roman" w:hAnsi="Times New Roman" w:eastAsia="仿宋_GB2312" w:cs="Times New Roman"/>
          <w:color w:val="auto"/>
          <w:sz w:val="32"/>
          <w:szCs w:val="32"/>
          <w:highlight w:val="none"/>
          <w:shd w:val="clear" w:color="auto" w:fill="auto"/>
          <w:lang w:val="en-US" w:eastAsia="zh-CN"/>
        </w:rPr>
        <w:t>2.阶段性目标</w:t>
      </w:r>
      <w:bookmarkEnd w:id="43"/>
      <w:bookmarkEnd w:id="44"/>
      <w:bookmarkEnd w:id="45"/>
      <w:bookmarkEnd w:id="46"/>
    </w:p>
    <w:p w14:paraId="3547C3CF">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Cs/>
          <w:color w:val="auto"/>
          <w:sz w:val="32"/>
          <w:szCs w:val="32"/>
          <w:highlight w:val="none"/>
          <w:shd w:val="clear" w:color="auto" w:fill="auto"/>
          <w:lang w:eastAsia="zh-CN"/>
        </w:rPr>
      </w:pPr>
      <w:r>
        <w:rPr>
          <w:rFonts w:hint="default" w:ascii="Times New Roman" w:hAnsi="Times New Roman" w:eastAsia="仿宋_GB2312" w:cs="Times New Roman"/>
          <w:bCs/>
          <w:color w:val="auto"/>
          <w:sz w:val="32"/>
          <w:szCs w:val="32"/>
          <w:highlight w:val="none"/>
          <w:shd w:val="clear" w:color="auto" w:fill="auto"/>
          <w:lang w:eastAsia="zh-CN"/>
        </w:rPr>
        <w:t>根据《预算法》《财政支出绩效评价管理暂行办法》（财预〔20</w:t>
      </w:r>
      <w:r>
        <w:rPr>
          <w:rFonts w:hint="default" w:ascii="Times New Roman" w:hAnsi="Times New Roman" w:eastAsia="仿宋_GB2312" w:cs="Times New Roman"/>
          <w:bCs/>
          <w:color w:val="auto"/>
          <w:sz w:val="32"/>
          <w:szCs w:val="32"/>
          <w:highlight w:val="none"/>
          <w:shd w:val="clear" w:color="auto" w:fill="auto"/>
          <w:lang w:val="en-US" w:eastAsia="zh-CN"/>
        </w:rPr>
        <w:t>20</w:t>
      </w:r>
      <w:r>
        <w:rPr>
          <w:rFonts w:hint="default" w:ascii="Times New Roman" w:hAnsi="Times New Roman" w:eastAsia="仿宋_GB2312" w:cs="Times New Roman"/>
          <w:bCs/>
          <w:color w:val="auto"/>
          <w:sz w:val="32"/>
          <w:szCs w:val="32"/>
          <w:highlight w:val="none"/>
          <w:shd w:val="clear" w:color="auto" w:fill="auto"/>
          <w:lang w:eastAsia="zh-CN"/>
        </w:rPr>
        <w:t>〕</w:t>
      </w:r>
      <w:r>
        <w:rPr>
          <w:rFonts w:hint="default" w:ascii="Times New Roman" w:hAnsi="Times New Roman" w:eastAsia="仿宋_GB2312" w:cs="Times New Roman"/>
          <w:bCs/>
          <w:color w:val="auto"/>
          <w:sz w:val="32"/>
          <w:szCs w:val="32"/>
          <w:highlight w:val="none"/>
          <w:shd w:val="clear" w:color="auto" w:fill="auto"/>
          <w:lang w:val="en-US" w:eastAsia="zh-CN"/>
        </w:rPr>
        <w:t>10</w:t>
      </w:r>
      <w:r>
        <w:rPr>
          <w:rFonts w:hint="default" w:ascii="Times New Roman" w:hAnsi="Times New Roman" w:eastAsia="仿宋_GB2312" w:cs="Times New Roman"/>
          <w:bCs/>
          <w:color w:val="auto"/>
          <w:sz w:val="32"/>
          <w:szCs w:val="32"/>
          <w:highlight w:val="none"/>
          <w:shd w:val="clear" w:color="auto" w:fill="auto"/>
          <w:lang w:eastAsia="zh-CN"/>
        </w:rPr>
        <w:t>号）</w:t>
      </w:r>
      <w:r>
        <w:rPr>
          <w:rFonts w:hint="default" w:ascii="Times New Roman" w:hAnsi="Times New Roman" w:eastAsia="仿宋_GB2312" w:cs="Times New Roman"/>
          <w:color w:val="auto"/>
          <w:sz w:val="32"/>
          <w:szCs w:val="32"/>
          <w:highlight w:val="none"/>
          <w:shd w:val="clear" w:color="auto" w:fill="auto"/>
          <w:lang w:val="en-US" w:eastAsia="zh-CN"/>
        </w:rPr>
        <w:t>等文件</w:t>
      </w:r>
      <w:r>
        <w:rPr>
          <w:rFonts w:hint="default" w:ascii="Times New Roman" w:hAnsi="Times New Roman" w:eastAsia="仿宋_GB2312" w:cs="Times New Roman"/>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default" w:ascii="Times New Roman" w:hAnsi="Times New Roman" w:eastAsia="仿宋_GB2312" w:cs="Times New Roman"/>
          <w:bCs/>
          <w:color w:val="auto"/>
          <w:sz w:val="32"/>
          <w:szCs w:val="32"/>
          <w:highlight w:val="none"/>
          <w:shd w:val="clear" w:color="auto" w:fill="auto"/>
          <w:lang w:val="en-US" w:eastAsia="zh-CN"/>
        </w:rPr>
        <w:t>后</w:t>
      </w:r>
      <w:r>
        <w:rPr>
          <w:rFonts w:hint="default" w:ascii="Times New Roman" w:hAnsi="Times New Roman" w:eastAsia="仿宋_GB2312" w:cs="Times New Roman"/>
          <w:bCs/>
          <w:color w:val="auto"/>
          <w:sz w:val="32"/>
          <w:szCs w:val="32"/>
          <w:highlight w:val="none"/>
          <w:shd w:val="clear" w:color="auto" w:fill="auto"/>
          <w:lang w:eastAsia="zh-CN"/>
        </w:rPr>
        <w:t>绩效目标如下：</w:t>
      </w:r>
    </w:p>
    <w:p w14:paraId="6698E0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1</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rPr>
        <w:t>项目产出</w:t>
      </w:r>
      <w:r>
        <w:rPr>
          <w:rFonts w:hint="default" w:ascii="Times New Roman" w:hAnsi="Times New Roman" w:eastAsia="仿宋_GB2312" w:cs="Times New Roman"/>
          <w:color w:val="auto"/>
          <w:sz w:val="32"/>
          <w:szCs w:val="32"/>
          <w:highlight w:val="none"/>
          <w:shd w:val="clear" w:color="auto" w:fill="auto"/>
          <w:lang w:val="en-US" w:eastAsia="zh-CN"/>
        </w:rPr>
        <w:t>目标</w:t>
      </w:r>
    </w:p>
    <w:p w14:paraId="1DD4E2F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①数量指标</w:t>
      </w:r>
    </w:p>
    <w:p w14:paraId="0D99FA3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化解债务项目数量</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指标，预期目标值为≤3个；</w:t>
      </w:r>
    </w:p>
    <w:p w14:paraId="1334B23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支付项目款企业数</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指标，预期目标值为≤52个；</w:t>
      </w:r>
    </w:p>
    <w:p w14:paraId="24A75CF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②质量指标</w:t>
      </w:r>
    </w:p>
    <w:p w14:paraId="41A6729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资金使用合规率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18C011F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③时效指标</w:t>
      </w:r>
    </w:p>
    <w:p w14:paraId="0D829CC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资金支付时间</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指标，预期目标值为≤2024年12月31日前；</w:t>
      </w:r>
    </w:p>
    <w:p w14:paraId="02C4B10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偿还及时率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774D437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（2）成本指标</w:t>
      </w:r>
    </w:p>
    <w:p w14:paraId="58FB8B1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化解施工企业工程款欠款</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指标，预期目标值为；≤2632.93万元</w:t>
      </w:r>
    </w:p>
    <w:p w14:paraId="4EDB366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color w:val="auto"/>
          <w:kern w:val="2"/>
          <w:sz w:val="32"/>
          <w:szCs w:val="32"/>
          <w:highlight w:val="none"/>
          <w:shd w:val="clear" w:color="auto" w:fill="auto"/>
          <w:lang w:val="en-US" w:eastAsia="zh-CN" w:bidi="ar-SA"/>
        </w:rPr>
        <w:t>“化解项目审计单位欠款”指标，预期目标值为≤9.68万元；</w:t>
      </w:r>
    </w:p>
    <w:p w14:paraId="639A56E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color w:val="auto"/>
          <w:kern w:val="2"/>
          <w:sz w:val="32"/>
          <w:szCs w:val="32"/>
          <w:highlight w:val="none"/>
          <w:shd w:val="clear" w:color="auto" w:fill="auto"/>
          <w:lang w:val="en-US" w:eastAsia="zh-CN" w:bidi="ar-SA"/>
        </w:rPr>
        <w:t>“化解项目设计单位欠款”指标，预期目标值为≤61.57万元；</w:t>
      </w:r>
    </w:p>
    <w:p w14:paraId="1AB7AF5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color w:val="auto"/>
          <w:kern w:val="2"/>
          <w:sz w:val="32"/>
          <w:szCs w:val="32"/>
          <w:highlight w:val="none"/>
          <w:shd w:val="clear" w:color="auto" w:fill="auto"/>
          <w:lang w:val="en-US" w:eastAsia="zh-CN" w:bidi="ar-SA"/>
        </w:rPr>
        <w:t>“化解项目监理单位欠款”指标，预期目标值为≤8.64万元；</w:t>
      </w:r>
    </w:p>
    <w:p w14:paraId="158E3323">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eastAsia="zh-CN"/>
        </w:rPr>
      </w:pPr>
      <w:r>
        <w:rPr>
          <w:rFonts w:hint="default" w:ascii="Times New Roman" w:hAnsi="Times New Roman" w:eastAsia="仿宋_GB2312" w:cs="Times New Roman"/>
          <w:color w:val="auto"/>
          <w:sz w:val="32"/>
          <w:szCs w:val="32"/>
          <w:highlight w:val="none"/>
          <w:shd w:val="clear" w:color="auto" w:fill="auto"/>
        </w:rPr>
        <w:t>（</w:t>
      </w:r>
      <w:r>
        <w:rPr>
          <w:rFonts w:hint="default" w:ascii="Times New Roman" w:hAnsi="Times New Roman" w:eastAsia="仿宋_GB2312" w:cs="Times New Roman"/>
          <w:color w:val="auto"/>
          <w:sz w:val="32"/>
          <w:szCs w:val="32"/>
          <w:highlight w:val="none"/>
          <w:shd w:val="clear" w:color="auto" w:fill="auto"/>
          <w:lang w:val="en-US" w:eastAsia="zh-CN"/>
        </w:rPr>
        <w:t>3</w:t>
      </w:r>
      <w:r>
        <w:rPr>
          <w:rFonts w:hint="default" w:ascii="Times New Roman" w:hAnsi="Times New Roman" w:eastAsia="仿宋_GB2312" w:cs="Times New Roman"/>
          <w:color w:val="auto"/>
          <w:sz w:val="32"/>
          <w:szCs w:val="32"/>
          <w:highlight w:val="none"/>
          <w:shd w:val="clear" w:color="auto" w:fill="auto"/>
        </w:rPr>
        <w:t>）项目效益</w:t>
      </w:r>
      <w:r>
        <w:rPr>
          <w:rFonts w:hint="default" w:ascii="Times New Roman" w:hAnsi="Times New Roman" w:eastAsia="仿宋_GB2312" w:cs="Times New Roman"/>
          <w:color w:val="auto"/>
          <w:sz w:val="32"/>
          <w:szCs w:val="32"/>
          <w:highlight w:val="none"/>
          <w:shd w:val="clear" w:color="auto" w:fill="auto"/>
          <w:lang w:val="en-US" w:eastAsia="zh-CN"/>
        </w:rPr>
        <w:t>目标</w:t>
      </w:r>
    </w:p>
    <w:p w14:paraId="769FB605">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①经济效益指标</w:t>
      </w:r>
    </w:p>
    <w:p w14:paraId="13369531">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化解单位债务，提升单位和政府形象</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0957E383">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②社会效益指标</w:t>
      </w:r>
    </w:p>
    <w:p w14:paraId="3087DC69">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完善企业债务化解机制</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1211F945">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auto"/>
          <w:sz w:val="32"/>
          <w:szCs w:val="32"/>
          <w:highlight w:val="none"/>
          <w:shd w:val="clear" w:color="auto" w:fill="auto"/>
          <w:lang w:val="en-US" w:eastAsia="zh-CN"/>
        </w:rPr>
      </w:pPr>
      <w:r>
        <w:rPr>
          <w:rFonts w:hint="eastAsia" w:ascii="Times New Roman" w:hAnsi="Times New Roman" w:eastAsia="仿宋_GB2312" w:cs="Times New Roman"/>
          <w:color w:val="auto"/>
          <w:sz w:val="32"/>
          <w:szCs w:val="32"/>
          <w:highlight w:val="none"/>
          <w:shd w:val="clear" w:color="auto" w:fill="auto"/>
          <w:lang w:val="en-US" w:eastAsia="zh-CN"/>
        </w:rPr>
        <w:t>③满意度指标</w:t>
      </w:r>
    </w:p>
    <w:p w14:paraId="6E2C4494">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仿宋_GB2312" w:cs="Times New Roman"/>
          <w:color w:val="auto"/>
          <w:kern w:val="2"/>
          <w:sz w:val="32"/>
          <w:szCs w:val="32"/>
          <w:highlight w:val="none"/>
          <w:shd w:val="clear" w:color="auto" w:fill="auto"/>
          <w:lang w:val="en-US" w:eastAsia="zh-CN" w:bidi="ar-SA"/>
        </w:rPr>
      </w:pPr>
      <w:bookmarkStart w:id="47" w:name="_Toc26567"/>
      <w:r>
        <w:rPr>
          <w:rFonts w:hint="eastAsia" w:ascii="Times New Roman" w:hAnsi="Times New Roman" w:eastAsia="仿宋_GB2312" w:cs="Times New Roman"/>
          <w:color w:val="auto"/>
          <w:kern w:val="2"/>
          <w:sz w:val="32"/>
          <w:szCs w:val="32"/>
          <w:highlight w:val="none"/>
          <w:shd w:val="clear" w:color="auto" w:fill="auto"/>
          <w:lang w:val="en-US" w:eastAsia="zh-CN" w:bidi="ar-SA"/>
        </w:rPr>
        <w:t>本项目不涉及满意度指标</w:t>
      </w:r>
      <w:r>
        <w:rPr>
          <w:rFonts w:hint="eastAsia" w:eastAsia="仿宋_GB2312" w:cs="Times New Roman"/>
          <w:color w:val="auto"/>
          <w:kern w:val="2"/>
          <w:sz w:val="32"/>
          <w:szCs w:val="32"/>
          <w:highlight w:val="none"/>
          <w:shd w:val="clear" w:color="auto" w:fill="auto"/>
          <w:lang w:val="en-US" w:eastAsia="zh-CN" w:bidi="ar-SA"/>
        </w:rPr>
        <w:t>。</w:t>
      </w:r>
    </w:p>
    <w:p w14:paraId="519211A0">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宋体" w:cs="Times New Roman"/>
          <w:b/>
          <w:bCs/>
          <w:color w:val="auto"/>
          <w:highlight w:val="none"/>
          <w:shd w:val="clear" w:color="auto" w:fill="auto"/>
          <w:lang w:val="en-US" w:eastAsia="zh-CN"/>
        </w:rPr>
      </w:pPr>
      <w:r>
        <w:rPr>
          <w:rFonts w:hint="default" w:ascii="Times New Roman" w:hAnsi="Times New Roman" w:eastAsia="宋体" w:cs="Times New Roman"/>
          <w:b/>
          <w:bCs/>
          <w:color w:val="auto"/>
          <w:highlight w:val="none"/>
          <w:shd w:val="clear" w:color="auto" w:fill="auto"/>
        </w:rPr>
        <w:t>二、绩效评价工作开展情况</w:t>
      </w:r>
      <w:bookmarkEnd w:id="47"/>
    </w:p>
    <w:p w14:paraId="0B0669A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48" w:name="_Toc22169_WPSOffice_Level2"/>
      <w:bookmarkStart w:id="49" w:name="_Toc21664"/>
      <w:bookmarkStart w:id="50" w:name="_Toc480473081"/>
      <w:bookmarkStart w:id="51" w:name="_Toc26632"/>
      <w:bookmarkStart w:id="52" w:name="_Toc5462343"/>
      <w:bookmarkStart w:id="53" w:name="_Toc22922"/>
      <w:bookmarkStart w:id="54" w:name="_Toc5258"/>
      <w:bookmarkStart w:id="55" w:name="_Toc12868"/>
      <w:bookmarkStart w:id="56" w:name="_Toc22839"/>
      <w:r>
        <w:rPr>
          <w:rFonts w:hint="default"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default" w:ascii="Times New Roman" w:hAnsi="Times New Roman" w:eastAsia="楷体_GB2312" w:cs="Times New Roman"/>
          <w:color w:val="auto"/>
          <w:kern w:val="28"/>
          <w:sz w:val="32"/>
          <w:highlight w:val="none"/>
          <w:lang w:val="en-US" w:eastAsia="zh-CN"/>
        </w:rPr>
        <w:t>、对象和范围</w:t>
      </w:r>
      <w:bookmarkEnd w:id="56"/>
    </w:p>
    <w:p w14:paraId="60DA866D">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6DAF618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35EC64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65140A37">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B215D3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DDEDEE6">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B87F0C3">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58" w:name="_Toc417"/>
      <w:bookmarkStart w:id="59" w:name="_Toc21770"/>
      <w:r>
        <w:rPr>
          <w:rFonts w:hint="default" w:ascii="Times New Roman" w:hAnsi="Times New Roman" w:cs="Times New Roman"/>
          <w:color w:val="auto"/>
          <w:sz w:val="32"/>
          <w:szCs w:val="32"/>
          <w:highlight w:val="none"/>
          <w:shd w:val="clear" w:color="auto" w:fill="auto"/>
          <w:lang w:val="en-US" w:eastAsia="zh-CN"/>
        </w:rPr>
        <w:t>2</w:t>
      </w:r>
      <w:r>
        <w:rPr>
          <w:rFonts w:hint="default" w:ascii="Times New Roman" w:hAnsi="Times New Roman" w:eastAsia="仿宋_GB2312" w:cs="Times New Roman"/>
          <w:color w:val="auto"/>
          <w:sz w:val="32"/>
          <w:szCs w:val="32"/>
          <w:highlight w:val="none"/>
          <w:shd w:val="clear" w:color="auto" w:fill="auto"/>
          <w:lang w:val="en-US" w:eastAsia="zh-CN"/>
        </w:rPr>
        <w:t>.</w:t>
      </w:r>
      <w:r>
        <w:rPr>
          <w:rFonts w:hint="default" w:ascii="Times New Roman" w:hAnsi="Times New Roman" w:eastAsia="仿宋_GB2312" w:cs="Times New Roman"/>
          <w:color w:val="auto"/>
          <w:sz w:val="32"/>
          <w:szCs w:val="32"/>
          <w:highlight w:val="none"/>
          <w:shd w:val="clear" w:color="auto" w:fill="auto"/>
          <w:lang w:eastAsia="zh-CN"/>
        </w:rPr>
        <w:t>绩效评价的目的</w:t>
      </w:r>
      <w:bookmarkEnd w:id="57"/>
      <w:bookmarkEnd w:id="58"/>
      <w:bookmarkEnd w:id="59"/>
    </w:p>
    <w:p w14:paraId="7B1F189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lang w:eastAsia="zh-CN"/>
        </w:rPr>
      </w:pPr>
      <w:r>
        <w:rPr>
          <w:rFonts w:hint="default" w:ascii="Times New Roman" w:hAnsi="Times New Roman" w:eastAsia="仿宋_GB2312" w:cs="Times New Roman"/>
          <w:color w:val="auto"/>
          <w:sz w:val="32"/>
          <w:szCs w:val="32"/>
          <w:highlight w:val="none"/>
          <w:shd w:val="clear" w:color="auto" w:fill="auto"/>
          <w:lang w:eastAsia="zh-CN"/>
        </w:rPr>
        <w:t>为全面了解</w:t>
      </w:r>
      <w:r>
        <w:rPr>
          <w:rFonts w:hint="default" w:ascii="Times New Roman" w:hAnsi="Times New Roman" w:eastAsia="仿宋_GB2312" w:cs="Times New Roman"/>
          <w:color w:val="auto"/>
          <w:sz w:val="32"/>
          <w:szCs w:val="32"/>
          <w:highlight w:val="none"/>
          <w:shd w:val="clear" w:color="auto" w:fill="auto"/>
          <w:lang w:val="en-US" w:eastAsia="zh-CN"/>
        </w:rPr>
        <w:t>该</w:t>
      </w:r>
      <w:r>
        <w:rPr>
          <w:rFonts w:hint="default" w:ascii="Times New Roman" w:hAnsi="Times New Roman" w:eastAsia="仿宋_GB2312" w:cs="Times New Roman"/>
          <w:color w:val="auto"/>
          <w:sz w:val="32"/>
          <w:szCs w:val="32"/>
          <w:highlight w:val="none"/>
          <w:shd w:val="clear" w:color="auto" w:fill="auto"/>
          <w:lang w:eastAsia="zh-CN"/>
        </w:rPr>
        <w:t>项目预算编制合理性、资金使用合规性、项目管理的规范性、</w:t>
      </w:r>
      <w:r>
        <w:rPr>
          <w:rFonts w:hint="default" w:ascii="Times New Roman" w:hAnsi="Times New Roman" w:eastAsia="仿宋_GB2312" w:cs="Times New Roman"/>
          <w:color w:val="auto"/>
          <w:sz w:val="32"/>
          <w:szCs w:val="32"/>
          <w:highlight w:val="none"/>
          <w:shd w:val="clear" w:color="auto" w:fill="auto"/>
          <w:lang w:val="en-US" w:eastAsia="zh-CN"/>
        </w:rPr>
        <w:t>绩效</w:t>
      </w:r>
      <w:r>
        <w:rPr>
          <w:rFonts w:hint="default" w:ascii="Times New Roman" w:hAnsi="Times New Roman" w:eastAsia="仿宋_GB2312" w:cs="Times New Roman"/>
          <w:color w:val="auto"/>
          <w:sz w:val="32"/>
          <w:szCs w:val="32"/>
          <w:highlight w:val="none"/>
          <w:shd w:val="clear" w:color="auto" w:fill="auto"/>
          <w:lang w:eastAsia="zh-CN"/>
        </w:rPr>
        <w:t>目标的实现情况、服务对象的满意度等，通过本次</w:t>
      </w:r>
      <w:r>
        <w:rPr>
          <w:rFonts w:hint="default" w:ascii="Times New Roman" w:hAnsi="Times New Roman" w:eastAsia="仿宋_GB2312" w:cs="Times New Roman"/>
          <w:color w:val="auto"/>
          <w:sz w:val="32"/>
          <w:szCs w:val="32"/>
          <w:highlight w:val="none"/>
          <w:shd w:val="clear" w:color="auto" w:fill="auto"/>
          <w:lang w:val="en-US" w:eastAsia="zh-CN"/>
        </w:rPr>
        <w:t>部门</w:t>
      </w:r>
      <w:r>
        <w:rPr>
          <w:rFonts w:hint="default" w:ascii="Times New Roman" w:hAnsi="Times New Roman" w:eastAsia="仿宋_GB2312" w:cs="Times New Roman"/>
          <w:color w:val="auto"/>
          <w:sz w:val="32"/>
          <w:szCs w:val="32"/>
          <w:highlight w:val="none"/>
          <w:shd w:val="clear" w:color="auto" w:fill="auto"/>
          <w:lang w:eastAsia="zh-CN"/>
        </w:rPr>
        <w:t>绩效评价来总结经验和教训，促进项目成果转化和应用，为今后类似项目的长效管理，提供可行性参考建议。</w:t>
      </w:r>
    </w:p>
    <w:p w14:paraId="00DA99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5CDF4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77D917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2F7F7D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04ECA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7F01F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023C7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1EACD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7967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035F9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A0FA4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352E3BF">
      <w:pPr>
        <w:pStyle w:val="5"/>
        <w:pageBreakBefore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61" w:name="_Toc16346"/>
      <w:bookmarkStart w:id="62" w:name="_Toc31970"/>
      <w:r>
        <w:rPr>
          <w:rFonts w:hint="default" w:ascii="Times New Roman" w:hAnsi="Times New Roman" w:cs="Times New Roman"/>
          <w:color w:val="auto"/>
          <w:sz w:val="32"/>
          <w:szCs w:val="32"/>
          <w:highlight w:val="none"/>
          <w:shd w:val="clear" w:color="auto" w:fill="auto"/>
          <w:lang w:val="en-US" w:eastAsia="zh-CN"/>
        </w:rPr>
        <w:t>3</w:t>
      </w:r>
      <w:r>
        <w:rPr>
          <w:rFonts w:hint="default" w:ascii="Times New Roman" w:hAnsi="Times New Roman" w:eastAsia="仿宋_GB2312" w:cs="Times New Roman"/>
          <w:color w:val="auto"/>
          <w:sz w:val="32"/>
          <w:szCs w:val="32"/>
          <w:highlight w:val="none"/>
          <w:shd w:val="clear" w:color="auto" w:fill="auto"/>
          <w:lang w:val="en-US" w:eastAsia="zh-CN"/>
        </w:rPr>
        <w:t>.绩效评价的对象</w:t>
      </w:r>
      <w:bookmarkEnd w:id="60"/>
      <w:bookmarkEnd w:id="61"/>
      <w:bookmarkEnd w:id="62"/>
    </w:p>
    <w:p w14:paraId="2EB58CA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此次我单位根据</w:t>
      </w:r>
      <w:r>
        <w:rPr>
          <w:rFonts w:hint="default" w:ascii="Times New Roman" w:hAnsi="Times New Roman" w:eastAsia="仿宋_GB2312" w:cs="Times New Roman"/>
          <w:color w:val="auto"/>
          <w:sz w:val="32"/>
          <w:szCs w:val="32"/>
          <w:highlight w:val="none"/>
          <w:shd w:val="clear" w:color="auto" w:fill="auto"/>
        </w:rPr>
        <w:t>《财政支出绩效评价管理暂行办法》（</w:t>
      </w:r>
      <w:r>
        <w:rPr>
          <w:rFonts w:hint="default" w:ascii="Times New Roman" w:hAnsi="Times New Roman" w:eastAsia="仿宋_GB2312" w:cs="Times New Roman"/>
          <w:color w:val="auto"/>
          <w:sz w:val="32"/>
          <w:szCs w:val="32"/>
          <w:highlight w:val="none"/>
          <w:shd w:val="clear" w:color="auto" w:fill="auto"/>
          <w:lang w:eastAsia="zh-CN"/>
        </w:rPr>
        <w:t>财预〔2020〕10号</w:t>
      </w:r>
      <w:r>
        <w:rPr>
          <w:rFonts w:hint="default" w:ascii="Times New Roman" w:hAnsi="Times New Roman" w:eastAsia="仿宋_GB2312" w:cs="Times New Roman"/>
          <w:color w:val="auto"/>
          <w:sz w:val="32"/>
          <w:szCs w:val="32"/>
          <w:highlight w:val="none"/>
          <w:shd w:val="clear" w:color="auto" w:fill="auto"/>
        </w:rPr>
        <w:t>）</w:t>
      </w:r>
      <w:r>
        <w:rPr>
          <w:rFonts w:hint="default" w:ascii="Times New Roman" w:hAnsi="Times New Roman" w:eastAsia="仿宋_GB2312" w:cs="Times New Roman"/>
          <w:color w:val="auto"/>
          <w:sz w:val="32"/>
          <w:szCs w:val="32"/>
          <w:highlight w:val="none"/>
          <w:shd w:val="clear" w:color="auto" w:fill="auto"/>
          <w:lang w:val="en-US" w:eastAsia="zh-CN"/>
        </w:rPr>
        <w:t>文件要求对2024年度我单位实施的水利局债务化解项目</w:t>
      </w:r>
      <w:r>
        <w:rPr>
          <w:rFonts w:hint="default" w:ascii="Times New Roman" w:hAnsi="Times New Roman" w:eastAsia="仿宋_GB2312" w:cs="Times New Roman"/>
          <w:color w:val="auto"/>
          <w:sz w:val="32"/>
          <w:szCs w:val="32"/>
          <w:highlight w:val="none"/>
          <w:shd w:val="clear" w:color="auto" w:fill="auto"/>
        </w:rPr>
        <w:t>及其预算执行情况</w:t>
      </w:r>
      <w:r>
        <w:rPr>
          <w:rFonts w:hint="default" w:ascii="Times New Roman" w:hAnsi="Times New Roman" w:eastAsia="仿宋_GB2312" w:cs="Times New Roman"/>
          <w:color w:val="auto"/>
          <w:sz w:val="32"/>
          <w:szCs w:val="32"/>
          <w:highlight w:val="none"/>
          <w:shd w:val="clear" w:color="auto" w:fill="auto"/>
          <w:lang w:val="en-US" w:eastAsia="zh-CN"/>
        </w:rPr>
        <w:t>开展部门绩效评价。</w:t>
      </w:r>
    </w:p>
    <w:p w14:paraId="4AC8AA8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该项目由阜康市水利局单位负责实施，旨在（简述项目目标或预期成果）。项目预算涵盖从2024年1月1日至2024年12月31日的全部资金投入与支出，涉及资金总额为2712.82万元。</w:t>
      </w:r>
    </w:p>
    <w:p w14:paraId="2342722B">
      <w:pPr>
        <w:pStyle w:val="5"/>
        <w:pageBreakBefore w:val="0"/>
        <w:kinsoku/>
        <w:wordWrap/>
        <w:overflowPunct/>
        <w:topLinePunct w:val="0"/>
        <w:autoSpaceDE/>
        <w:autoSpaceDN/>
        <w:bidi w:val="0"/>
        <w:adjustRightInd/>
        <w:spacing w:line="560" w:lineRule="exact"/>
        <w:textAlignment w:val="auto"/>
        <w:rPr>
          <w:rFonts w:hint="default" w:ascii="Times New Roman" w:hAnsi="Times New Roman" w:cs="Times New Roman"/>
          <w:color w:val="auto"/>
          <w:sz w:val="32"/>
          <w:szCs w:val="32"/>
          <w:highlight w:val="none"/>
          <w:shd w:val="clear" w:color="auto" w:fill="auto"/>
          <w:lang w:val="en-US" w:eastAsia="zh-CN"/>
        </w:rPr>
      </w:pPr>
      <w:bookmarkStart w:id="63" w:name="_Toc11666"/>
      <w:bookmarkStart w:id="64" w:name="_Toc21311"/>
      <w:r>
        <w:rPr>
          <w:rFonts w:hint="default" w:ascii="Times New Roman" w:hAnsi="Times New Roman" w:cs="Times New Roman"/>
          <w:color w:val="auto"/>
          <w:sz w:val="32"/>
          <w:szCs w:val="32"/>
          <w:highlight w:val="none"/>
          <w:shd w:val="clear" w:color="auto" w:fill="auto"/>
          <w:lang w:val="en-US" w:eastAsia="zh-CN"/>
        </w:rPr>
        <w:t>4.绩效评价的范围</w:t>
      </w:r>
      <w:bookmarkEnd w:id="63"/>
      <w:bookmarkEnd w:id="64"/>
    </w:p>
    <w:p w14:paraId="6F3B0A7B">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8FF5A5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项目预算编制与执行：全面审视项目预算的编制依据、合理性、科学性以及实际执行情况，包括预算调整的原因和效果。</w:t>
      </w:r>
    </w:p>
    <w:p w14:paraId="1741E097">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资金管理：深入分析项目资金的分配、使用和监管情况，确保资金使用的合规性、高效性和透明度。</w:t>
      </w:r>
    </w:p>
    <w:p w14:paraId="49BE3AA7">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项目实施进度与产出：评估项目是否按照既定计划顺利推进，各项任务是否按时完成，以及项目产出的数量、质量和时效性是否符合预期。</w:t>
      </w:r>
    </w:p>
    <w:p w14:paraId="7BE10B0C">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4</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社会</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经济</w:t>
      </w:r>
      <w:r>
        <w:rPr>
          <w:rFonts w:hint="default" w:ascii="Times New Roman" w:hAnsi="Times New Roman" w:eastAsia="仿宋_GB2312" w:cs="Times New Roman"/>
          <w:b w:val="0"/>
          <w:bCs w:val="0"/>
          <w:color w:val="auto"/>
          <w:sz w:val="32"/>
          <w:szCs w:val="32"/>
          <w:highlight w:val="none"/>
          <w:lang w:val="en-US" w:eastAsia="zh-CN"/>
        </w:rPr>
        <w:t>等</w:t>
      </w:r>
      <w:r>
        <w:rPr>
          <w:rFonts w:hint="default" w:ascii="Times New Roman" w:hAnsi="Times New Roman" w:eastAsia="仿宋_GB2312" w:cs="Times New Roman"/>
          <w:b w:val="0"/>
          <w:bCs w:val="0"/>
          <w:color w:val="auto"/>
          <w:sz w:val="32"/>
          <w:szCs w:val="32"/>
          <w:highlight w:val="none"/>
        </w:rPr>
        <w:t>影响：考察项目对社会、经济等方面的综合影响。</w:t>
      </w:r>
    </w:p>
    <w:p w14:paraId="54C851E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65" w:name="_Toc29785"/>
      <w:bookmarkStart w:id="66" w:name="_Toc1286"/>
      <w:r>
        <w:rPr>
          <w:rFonts w:hint="default" w:ascii="Times New Roman" w:hAnsi="Times New Roman" w:eastAsia="楷体_GB2312" w:cs="Times New Roman"/>
          <w:color w:val="auto"/>
          <w:kern w:val="28"/>
          <w:sz w:val="32"/>
          <w:highlight w:val="none"/>
          <w:lang w:val="en-US" w:eastAsia="zh-CN"/>
        </w:rPr>
        <w:t>（二）绩效评价原则、评价指标体系（详情见附件二）、评价方法、评价标准</w:t>
      </w:r>
      <w:bookmarkEnd w:id="65"/>
      <w:bookmarkEnd w:id="66"/>
    </w:p>
    <w:p w14:paraId="2E53C072">
      <w:pPr>
        <w:pStyle w:val="5"/>
        <w:pageBreakBefore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color w:val="auto"/>
          <w:kern w:val="2"/>
          <w:sz w:val="32"/>
          <w:szCs w:val="32"/>
          <w:highlight w:val="none"/>
          <w:lang w:val="en-US" w:eastAsia="zh-CN" w:bidi="ar-SA"/>
        </w:rPr>
      </w:pPr>
      <w:bookmarkStart w:id="67" w:name="_Toc5354"/>
      <w:bookmarkStart w:id="68" w:name="_Toc24506"/>
      <w:bookmarkStart w:id="69" w:name="_Toc13694"/>
      <w:r>
        <w:rPr>
          <w:rFonts w:hint="default"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72777A06">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依据《财政支出绩效评价管理暂行办法》（财预〔20</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default" w:ascii="Times New Roman" w:hAnsi="Times New Roman" w:eastAsia="仿宋_GB2312" w:cs="Times New Roman"/>
          <w:color w:val="auto"/>
          <w:sz w:val="32"/>
          <w:szCs w:val="32"/>
          <w:highlight w:val="none"/>
          <w:lang w:val="en-US" w:eastAsia="zh-CN"/>
        </w:rPr>
        <w:t>水利局债务化解项目</w:t>
      </w:r>
      <w:r>
        <w:rPr>
          <w:rFonts w:hint="default"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2E04756C">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根据以上原则，绩效评价应遵循如下要求：</w:t>
      </w:r>
    </w:p>
    <w:p w14:paraId="252445F0">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17BE483">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6A04A4F1">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0D69B368">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）公开透明。绩效评价结果应依法依规公开，并自觉接受社会监督。</w:t>
      </w:r>
    </w:p>
    <w:p w14:paraId="0A1845BB">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bookmarkStart w:id="70" w:name="_Toc26131"/>
      <w:bookmarkStart w:id="71" w:name="_Toc24396"/>
      <w:bookmarkStart w:id="72" w:name="_Toc419984722"/>
      <w:bookmarkStart w:id="73" w:name="_Toc1913"/>
      <w:bookmarkStart w:id="74" w:name="_Toc428278230"/>
      <w:r>
        <w:rPr>
          <w:rFonts w:hint="default" w:ascii="Times New Roman" w:hAnsi="Times New Roman" w:eastAsia="仿宋_GB2312" w:cs="Times New Roman"/>
          <w:b/>
          <w:bCs/>
          <w:color w:val="auto"/>
          <w:sz w:val="32"/>
          <w:szCs w:val="32"/>
          <w:highlight w:val="none"/>
          <w:lang w:val="en-US" w:eastAsia="zh-CN"/>
        </w:rPr>
        <w:t>2.</w:t>
      </w:r>
      <w:r>
        <w:rPr>
          <w:rFonts w:hint="default" w:ascii="Times New Roman" w:hAnsi="Times New Roman" w:eastAsia="仿宋_GB2312" w:cs="Times New Roman"/>
          <w:b/>
          <w:bCs/>
          <w:color w:val="auto"/>
          <w:sz w:val="32"/>
          <w:szCs w:val="32"/>
          <w:highlight w:val="none"/>
          <w:lang w:eastAsia="zh-CN"/>
        </w:rPr>
        <w:t>绩效评价指标体系</w:t>
      </w:r>
      <w:bookmarkEnd w:id="70"/>
      <w:bookmarkEnd w:id="71"/>
      <w:bookmarkEnd w:id="72"/>
      <w:bookmarkEnd w:id="73"/>
      <w:bookmarkEnd w:id="74"/>
    </w:p>
    <w:p w14:paraId="4B4796F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bookmarkStart w:id="75" w:name="_Toc9941"/>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483CF50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55D3A3E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2ED202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576AA0C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12A1B9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300EEE9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140AEA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绩效评价总分值100分，根据综合评分结果，90（含）-100分为优、80（含）-90分为良、60（含）-80分为中、60分以下为差。</w:t>
      </w:r>
    </w:p>
    <w:p w14:paraId="19C023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我单位</w:t>
      </w:r>
      <w:r>
        <w:rPr>
          <w:rFonts w:hint="default" w:ascii="Times New Roman" w:hAnsi="Times New Roman" w:eastAsia="仿宋_GB2312" w:cs="Times New Roman"/>
          <w:color w:val="auto"/>
          <w:sz w:val="32"/>
          <w:szCs w:val="32"/>
          <w:highlight w:val="none"/>
          <w:lang w:val="zh-TW" w:eastAsia="zh-TW"/>
        </w:rPr>
        <w:t>根据项目的</w:t>
      </w:r>
      <w:r>
        <w:rPr>
          <w:rFonts w:hint="default" w:ascii="Times New Roman" w:hAnsi="Times New Roman" w:eastAsia="仿宋_GB2312" w:cs="Times New Roman"/>
          <w:color w:val="auto"/>
          <w:sz w:val="32"/>
          <w:szCs w:val="32"/>
          <w:highlight w:val="none"/>
          <w:lang w:val="en-US" w:eastAsia="zh-CN"/>
        </w:rPr>
        <w:t>实施</w:t>
      </w:r>
      <w:r>
        <w:rPr>
          <w:rFonts w:hint="default" w:ascii="Times New Roman" w:hAnsi="Times New Roman" w:eastAsia="仿宋_GB2312" w:cs="Times New Roman"/>
          <w:color w:val="auto"/>
          <w:sz w:val="32"/>
          <w:szCs w:val="32"/>
          <w:highlight w:val="none"/>
          <w:lang w:val="zh-TW" w:eastAsia="zh-TW"/>
        </w:rPr>
        <w:t>资料研读及前期调研，结合项目的实际开展情况，最终形成了项目绩效评价指标体系</w:t>
      </w:r>
      <w:r>
        <w:rPr>
          <w:rFonts w:hint="default" w:ascii="Times New Roman" w:hAnsi="Times New Roman" w:eastAsia="仿宋_GB2312" w:cs="Times New Roman"/>
          <w:color w:val="auto"/>
          <w:sz w:val="32"/>
          <w:szCs w:val="32"/>
          <w:highlight w:val="none"/>
          <w:lang w:val="zh-TW" w:eastAsia="zh-CN"/>
        </w:rPr>
        <w:t>，</w:t>
      </w:r>
      <w:r>
        <w:rPr>
          <w:rFonts w:hint="default" w:ascii="Times New Roman" w:hAnsi="Times New Roman" w:eastAsia="仿宋_GB2312" w:cs="Times New Roman"/>
          <w:color w:val="auto"/>
          <w:sz w:val="32"/>
          <w:szCs w:val="32"/>
          <w:highlight w:val="none"/>
          <w:lang w:val="en-US" w:eastAsia="zh-CN"/>
        </w:rPr>
        <w:t>详见上传的附件二。</w:t>
      </w:r>
    </w:p>
    <w:p w14:paraId="7E87C797">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76" w:name="_Toc30114"/>
      <w:bookmarkStart w:id="77" w:name="_Toc5690"/>
      <w:r>
        <w:rPr>
          <w:rFonts w:hint="default" w:ascii="Times New Roman" w:hAnsi="Times New Roman" w:eastAsia="仿宋_GB2312" w:cs="Times New Roman"/>
          <w:color w:val="auto"/>
          <w:sz w:val="32"/>
          <w:szCs w:val="32"/>
          <w:highlight w:val="none"/>
          <w:shd w:val="clear" w:color="auto" w:fill="auto"/>
          <w:lang w:val="en-US" w:eastAsia="zh-CN"/>
        </w:rPr>
        <w:t>3.</w:t>
      </w:r>
      <w:r>
        <w:rPr>
          <w:rFonts w:hint="default" w:ascii="Times New Roman" w:hAnsi="Times New Roman" w:eastAsia="仿宋_GB2312" w:cs="Times New Roman"/>
          <w:color w:val="auto"/>
          <w:sz w:val="32"/>
          <w:szCs w:val="32"/>
          <w:highlight w:val="none"/>
          <w:shd w:val="clear" w:color="auto" w:fill="auto"/>
        </w:rPr>
        <w:t>评价</w:t>
      </w:r>
      <w:r>
        <w:rPr>
          <w:rFonts w:hint="default" w:ascii="Times New Roman" w:hAnsi="Times New Roman" w:eastAsia="仿宋_GB2312" w:cs="Times New Roman"/>
          <w:color w:val="auto"/>
          <w:sz w:val="32"/>
          <w:szCs w:val="32"/>
          <w:highlight w:val="none"/>
          <w:shd w:val="clear" w:color="auto" w:fill="auto"/>
          <w:lang w:val="en-US" w:eastAsia="zh-CN"/>
        </w:rPr>
        <w:t>方法</w:t>
      </w:r>
      <w:bookmarkEnd w:id="75"/>
      <w:bookmarkEnd w:id="76"/>
      <w:bookmarkEnd w:id="77"/>
    </w:p>
    <w:p w14:paraId="4001828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bookmarkStart w:id="78" w:name="_Toc25391"/>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评价核心为资金的支出完成情况和项目的产出效益。</w:t>
      </w:r>
    </w:p>
    <w:p w14:paraId="280B3B73">
      <w:pPr>
        <w:pStyle w:val="6"/>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DD86185">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default" w:ascii="Times New Roman" w:hAnsi="Times New Roman" w:eastAsia="仿宋_GB2312" w:cs="Times New Roman"/>
          <w:color w:val="auto"/>
          <w:spacing w:val="17"/>
          <w:sz w:val="32"/>
          <w:szCs w:val="32"/>
          <w:highlight w:val="none"/>
          <w:lang w:val="en-US" w:eastAsia="zh-CN"/>
        </w:rPr>
        <w:t>在评价过程中严格按照支付金额与化解债务数量，企业家数进行关联分析得到评价结论</w:t>
      </w:r>
    </w:p>
    <w:p w14:paraId="3C7902DE">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79" w:name="_Toc6081"/>
      <w:bookmarkStart w:id="80" w:name="_Toc25651"/>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在评价过程中按照项目实施效果进行因素分析进行评价。</w:t>
      </w:r>
    </w:p>
    <w:p w14:paraId="21EBB8EA">
      <w:pPr>
        <w:pStyle w:val="5"/>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4.评价标准</w:t>
      </w:r>
      <w:bookmarkEnd w:id="78"/>
      <w:bookmarkEnd w:id="79"/>
      <w:bookmarkEnd w:id="80"/>
    </w:p>
    <w:p w14:paraId="7F60B3E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330F689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2E8F2EAC">
      <w:pPr>
        <w:spacing w:line="560" w:lineRule="exact"/>
        <w:ind w:firstLine="708" w:firstLineChars="200"/>
        <w:rPr>
          <w:rFonts w:hint="default"/>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财政部门和预算部门确认或认可的其他标准。</w:t>
      </w:r>
    </w:p>
    <w:p w14:paraId="1F08D48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81" w:name="_Toc21435"/>
      <w:r>
        <w:rPr>
          <w:rFonts w:hint="default" w:ascii="Times New Roman" w:hAnsi="Times New Roman" w:eastAsia="楷体_GB2312" w:cs="Times New Roman"/>
          <w:color w:val="auto"/>
          <w:kern w:val="28"/>
          <w:sz w:val="32"/>
          <w:highlight w:val="none"/>
          <w:lang w:val="en-US" w:eastAsia="zh-CN"/>
        </w:rPr>
        <w:t>（三）绩效评价工作过程</w:t>
      </w:r>
      <w:bookmarkEnd w:id="81"/>
    </w:p>
    <w:p w14:paraId="4DA3A8FE">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82" w:name="_Toc12862"/>
      <w:r>
        <w:rPr>
          <w:rFonts w:hint="default" w:ascii="Times New Roman" w:hAnsi="Times New Roman" w:eastAsia="仿宋_GB2312" w:cs="Times New Roman"/>
          <w:b/>
          <w:bCs/>
          <w:color w:val="auto"/>
          <w:spacing w:val="17"/>
          <w:sz w:val="32"/>
          <w:szCs w:val="32"/>
          <w:highlight w:val="none"/>
          <w:lang w:val="en-US" w:eastAsia="zh-CN"/>
        </w:rPr>
        <w:t>1.前期准备</w:t>
      </w:r>
      <w:bookmarkEnd w:id="82"/>
    </w:p>
    <w:p w14:paraId="4B19E418">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lang w:val="en-US" w:eastAsia="zh-CN"/>
        </w:rPr>
        <w:t>（1）成立绩效评价项目小组</w:t>
      </w:r>
    </w:p>
    <w:p w14:paraId="4E435B2A">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6647876">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83" w:name="_Toc31571"/>
      <w:r>
        <w:rPr>
          <w:rFonts w:hint="default" w:ascii="Times New Roman" w:hAnsi="Times New Roman" w:eastAsia="仿宋_GB2312" w:cs="Times New Roman"/>
          <w:color w:val="auto"/>
          <w:spacing w:val="17"/>
          <w:sz w:val="32"/>
          <w:szCs w:val="32"/>
          <w:highlight w:val="none"/>
          <w:lang w:val="en-US" w:eastAsia="zh-CN"/>
        </w:rPr>
        <w:t>（2）开展前期调研</w:t>
      </w:r>
      <w:bookmarkEnd w:id="83"/>
    </w:p>
    <w:p w14:paraId="4C3A5156">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84" w:name="_Toc21240"/>
      <w:r>
        <w:rPr>
          <w:rFonts w:hint="default"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水利局债务化解项目实施内容、目标信息、预算信息以及其他的一些项目基本信息，有了初步了解，为制定绩效评价工作方案做好准备。</w:t>
      </w:r>
      <w:bookmarkEnd w:id="84"/>
    </w:p>
    <w:p w14:paraId="411CDF59">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85" w:name="_Toc27977"/>
      <w:r>
        <w:rPr>
          <w:rFonts w:hint="default" w:ascii="Times New Roman" w:hAnsi="Times New Roman" w:eastAsia="仿宋_GB2312" w:cs="Times New Roman"/>
          <w:color w:val="auto"/>
          <w:spacing w:val="17"/>
          <w:sz w:val="32"/>
          <w:szCs w:val="32"/>
          <w:highlight w:val="none"/>
          <w:lang w:val="en-US" w:eastAsia="zh-CN"/>
        </w:rPr>
        <w:t>（3）制订绩效评价工作方案</w:t>
      </w:r>
      <w:bookmarkEnd w:id="85"/>
    </w:p>
    <w:p w14:paraId="6EC0C514">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86" w:name="_Toc19659"/>
      <w:r>
        <w:rPr>
          <w:rFonts w:hint="default"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2A8A83DF">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87" w:name="_Toc11353"/>
      <w:r>
        <w:rPr>
          <w:rFonts w:hint="default" w:ascii="Times New Roman" w:hAnsi="Times New Roman" w:eastAsia="仿宋_GB2312" w:cs="Times New Roman"/>
          <w:b/>
          <w:bCs/>
          <w:color w:val="auto"/>
          <w:spacing w:val="17"/>
          <w:sz w:val="32"/>
          <w:szCs w:val="32"/>
          <w:highlight w:val="none"/>
          <w:lang w:val="en-US" w:eastAsia="zh-CN"/>
        </w:rPr>
        <w:t>2.具体实施</w:t>
      </w:r>
      <w:bookmarkEnd w:id="87"/>
    </w:p>
    <w:p w14:paraId="44E8BD42">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88" w:name="_Toc14111"/>
      <w:r>
        <w:rPr>
          <w:rFonts w:hint="default" w:ascii="Times New Roman" w:hAnsi="Times New Roman" w:eastAsia="仿宋_GB2312" w:cs="Times New Roman"/>
          <w:color w:val="auto"/>
          <w:spacing w:val="17"/>
          <w:sz w:val="32"/>
          <w:szCs w:val="32"/>
          <w:highlight w:val="none"/>
          <w:lang w:val="en-US" w:eastAsia="zh-CN"/>
        </w:rPr>
        <w:t>（1）收集基础资料</w:t>
      </w:r>
      <w:bookmarkEnd w:id="88"/>
    </w:p>
    <w:p w14:paraId="5A26D118">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89" w:name="_Toc28524"/>
      <w:r>
        <w:rPr>
          <w:rFonts w:hint="default"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0D85C936">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0" w:name="_Toc32216"/>
      <w:r>
        <w:rPr>
          <w:rFonts w:hint="default"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5686E2BA">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1" w:name="_Toc10505"/>
      <w:r>
        <w:rPr>
          <w:rFonts w:hint="default"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42F3639E">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2" w:name="_Toc28365"/>
      <w:r>
        <w:rPr>
          <w:rFonts w:hint="default" w:ascii="Times New Roman" w:hAnsi="Times New Roman" w:eastAsia="仿宋_GB2312" w:cs="Times New Roman"/>
          <w:color w:val="auto"/>
          <w:spacing w:val="17"/>
          <w:sz w:val="32"/>
          <w:szCs w:val="32"/>
          <w:highlight w:val="none"/>
          <w:lang w:val="en-US" w:eastAsia="zh-CN"/>
        </w:rPr>
        <w:t>③管理措施及组织实施情况；</w:t>
      </w:r>
      <w:bookmarkEnd w:id="92"/>
    </w:p>
    <w:p w14:paraId="65FA784B">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3" w:name="_Toc10091"/>
      <w:r>
        <w:rPr>
          <w:rFonts w:hint="default"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2AEF543E">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4" w:name="_Toc1"/>
      <w:r>
        <w:rPr>
          <w:rFonts w:hint="default"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53EF7D00">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5" w:name="_Toc20059"/>
      <w:r>
        <w:rPr>
          <w:rFonts w:hint="default" w:ascii="Times New Roman" w:hAnsi="Times New Roman" w:eastAsia="仿宋_GB2312" w:cs="Times New Roman"/>
          <w:color w:val="auto"/>
          <w:spacing w:val="17"/>
          <w:sz w:val="32"/>
          <w:szCs w:val="32"/>
          <w:highlight w:val="none"/>
          <w:lang w:val="en-US" w:eastAsia="zh-CN"/>
        </w:rPr>
        <w:t>⑥其他必要的相关资料等。</w:t>
      </w:r>
      <w:bookmarkEnd w:id="95"/>
    </w:p>
    <w:p w14:paraId="3C381A50">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6" w:name="_Toc31911"/>
      <w:r>
        <w:rPr>
          <w:rFonts w:hint="default" w:ascii="Times New Roman" w:hAnsi="Times New Roman" w:eastAsia="仿宋_GB2312" w:cs="Times New Roman"/>
          <w:color w:val="auto"/>
          <w:spacing w:val="17"/>
          <w:sz w:val="32"/>
          <w:szCs w:val="32"/>
          <w:highlight w:val="none"/>
          <w:lang w:val="en-US" w:eastAsia="zh-CN"/>
        </w:rPr>
        <w:t>（2）整理、研读基础资料</w:t>
      </w:r>
      <w:bookmarkEnd w:id="96"/>
    </w:p>
    <w:p w14:paraId="4573E2CC">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7" w:name="_Toc167"/>
      <w:r>
        <w:rPr>
          <w:rFonts w:hint="default"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247096ED">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default" w:ascii="Times New Roman" w:hAnsi="Times New Roman" w:eastAsia="仿宋_GB2312" w:cs="Times New Roman"/>
          <w:b/>
          <w:bCs/>
          <w:color w:val="auto"/>
          <w:spacing w:val="17"/>
          <w:sz w:val="32"/>
          <w:szCs w:val="32"/>
          <w:highlight w:val="none"/>
          <w:lang w:val="en-US" w:eastAsia="zh-CN"/>
        </w:rPr>
        <w:t>3.分析评价和撰写报告</w:t>
      </w:r>
      <w:bookmarkEnd w:id="98"/>
    </w:p>
    <w:p w14:paraId="1D2560F5">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99" w:name="_Toc15974"/>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1）综合分析评价</w:t>
      </w:r>
      <w:bookmarkEnd w:id="99"/>
    </w:p>
    <w:p w14:paraId="034F6332">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100" w:name="_Toc4352"/>
      <w:r>
        <w:rPr>
          <w:rFonts w:hint="default"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7AFBA0D2">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101" w:name="_Toc26231"/>
      <w:r>
        <w:rPr>
          <w:rFonts w:hint="default"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41CBCC4D">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102" w:name="_Toc27759"/>
      <w:r>
        <w:rPr>
          <w:rFonts w:hint="default" w:ascii="Times New Roman" w:hAnsi="Times New Roman" w:eastAsia="仿宋_GB2312" w:cs="Times New Roman"/>
          <w:color w:val="auto"/>
          <w:spacing w:val="17"/>
          <w:sz w:val="32"/>
          <w:szCs w:val="32"/>
          <w:highlight w:val="none"/>
          <w:lang w:val="en-US" w:eastAsia="zh-CN"/>
        </w:rPr>
        <w:t>（2）撰写报告</w:t>
      </w:r>
      <w:bookmarkEnd w:id="102"/>
    </w:p>
    <w:p w14:paraId="316114A6">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bookmarkStart w:id="103" w:name="_Toc15579"/>
      <w:r>
        <w:rPr>
          <w:rFonts w:hint="default"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09235CE1">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rPr>
      </w:pPr>
      <w:bookmarkStart w:id="104" w:name="_Toc19261"/>
      <w:r>
        <w:rPr>
          <w:rFonts w:hint="default" w:ascii="Times New Roman" w:hAnsi="Times New Roman" w:eastAsia="黑体" w:cs="Times New Roman"/>
          <w:b w:val="0"/>
          <w:bCs w:val="0"/>
          <w:color w:val="auto"/>
          <w:highlight w:val="none"/>
          <w:shd w:val="clear" w:color="auto" w:fill="auto"/>
          <w:lang w:val="en-US" w:eastAsia="zh-CN"/>
        </w:rPr>
        <w:t>三、</w:t>
      </w:r>
      <w:r>
        <w:rPr>
          <w:rFonts w:hint="default" w:ascii="Times New Roman" w:hAnsi="Times New Roman" w:eastAsia="黑体" w:cs="Times New Roman"/>
          <w:b w:val="0"/>
          <w:bCs w:val="0"/>
          <w:color w:val="auto"/>
          <w:highlight w:val="none"/>
          <w:shd w:val="clear" w:color="auto" w:fill="auto"/>
        </w:rPr>
        <w:t>综合评价情况及评价结论</w:t>
      </w:r>
      <w:bookmarkEnd w:id="104"/>
    </w:p>
    <w:p w14:paraId="597BD52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105" w:name="_Toc23319"/>
      <w:r>
        <w:rPr>
          <w:rFonts w:hint="default" w:ascii="Times New Roman" w:hAnsi="Times New Roman" w:eastAsia="楷体_GB2312" w:cs="Times New Roman"/>
          <w:color w:val="auto"/>
          <w:kern w:val="28"/>
          <w:sz w:val="32"/>
          <w:highlight w:val="none"/>
          <w:lang w:val="en-US" w:eastAsia="zh-CN"/>
        </w:rPr>
        <w:t>（一）综合评价情况及评价结论</w:t>
      </w:r>
      <w:bookmarkEnd w:id="105"/>
    </w:p>
    <w:p w14:paraId="6BA1158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lang w:val="en-US" w:eastAsia="zh-CN"/>
        </w:rPr>
        <w:t>水利局债务化解项目</w:t>
      </w:r>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2FB17F3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9D764D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w:t>
      </w:r>
      <w:r>
        <w:rPr>
          <w:rFonts w:hint="default" w:ascii="Times New Roman" w:hAnsi="Times New Roman" w:eastAsia="仿宋_GB2312" w:cs="Times New Roman"/>
          <w:color w:val="auto"/>
          <w:sz w:val="32"/>
          <w:szCs w:val="32"/>
          <w:highlight w:val="none"/>
          <w:lang w:val="en-US" w:eastAsia="zh-CN"/>
        </w:rPr>
        <w:t>化解单位债务，提升单位和政府形象、完善企业债务化解机制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29257A5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color w:val="auto"/>
          <w:sz w:val="32"/>
          <w:szCs w:val="32"/>
          <w:highlight w:val="none"/>
          <w:lang w:val="en-US" w:eastAsia="zh-CN"/>
        </w:rPr>
        <w:t>水利局债务化解项目</w:t>
      </w:r>
      <w:r>
        <w:rPr>
          <w:rFonts w:hint="default" w:ascii="Times New Roman" w:hAnsi="Times New Roman" w:eastAsia="仿宋_GB2312" w:cs="Times New Roman"/>
          <w:color w:val="auto"/>
          <w:sz w:val="32"/>
          <w:szCs w:val="32"/>
          <w:highlight w:val="none"/>
        </w:rPr>
        <w:t>在绩效评价中表现出色，达到了项目的化解单位债务，提升单位和政府形象，完善企业债务化解机制的效益</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并在多个方面取得了显著的成效</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52B2597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106" w:name="_Toc11863"/>
      <w:r>
        <w:rPr>
          <w:rFonts w:hint="default" w:ascii="Times New Roman" w:hAnsi="Times New Roman" w:eastAsia="楷体_GB2312" w:cs="Times New Roman"/>
          <w:color w:val="auto"/>
          <w:kern w:val="28"/>
          <w:sz w:val="32"/>
          <w:highlight w:val="none"/>
          <w:lang w:val="en-US" w:eastAsia="zh-CN"/>
        </w:rPr>
        <w:t>（二）相关评分表</w:t>
      </w:r>
      <w:bookmarkEnd w:id="106"/>
    </w:p>
    <w:p w14:paraId="562B71E5">
      <w:pPr>
        <w:spacing w:line="560" w:lineRule="exact"/>
        <w:ind w:firstLine="708" w:firstLineChars="200"/>
        <w:rPr>
          <w:rFonts w:hint="default" w:ascii="Times New Roman" w:hAnsi="Times New Roman" w:eastAsia="仿宋_GB2312" w:cs="Times New Roman"/>
          <w:color w:val="auto"/>
          <w:spacing w:val="17"/>
          <w:sz w:val="32"/>
          <w:szCs w:val="32"/>
          <w:highlight w:val="none"/>
          <w:lang w:val="zh-TW" w:eastAsia="zh-TW"/>
        </w:rPr>
      </w:pPr>
      <w:r>
        <w:rPr>
          <w:rFonts w:hint="default" w:ascii="Times New Roman" w:hAnsi="Times New Roman" w:eastAsia="仿宋_GB2312" w:cs="Times New Roman"/>
          <w:color w:val="auto"/>
          <w:spacing w:val="17"/>
          <w:sz w:val="32"/>
          <w:szCs w:val="32"/>
          <w:highlight w:val="none"/>
          <w:lang w:val="en-US" w:eastAsia="zh-CN"/>
        </w:rPr>
        <w:t>此次绩效评价</w:t>
      </w:r>
      <w:r>
        <w:rPr>
          <w:rFonts w:hint="default" w:ascii="Times New Roman" w:hAnsi="Times New Roman" w:eastAsia="仿宋_GB2312" w:cs="Times New Roman"/>
          <w:color w:val="auto"/>
          <w:spacing w:val="17"/>
          <w:sz w:val="32"/>
          <w:szCs w:val="32"/>
          <w:highlight w:val="none"/>
          <w:lang w:val="zh-TW" w:eastAsia="zh-TW"/>
        </w:rPr>
        <w:t>通过组论证的评价指标体系及评分标准，</w:t>
      </w:r>
      <w:r>
        <w:rPr>
          <w:rFonts w:hint="default"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default" w:ascii="Times New Roman" w:hAnsi="Times New Roman" w:eastAsia="仿宋_GB2312" w:cs="Times New Roman"/>
          <w:color w:val="auto"/>
          <w:spacing w:val="17"/>
          <w:sz w:val="32"/>
          <w:szCs w:val="32"/>
          <w:highlight w:val="none"/>
          <w:lang w:val="zh-TW" w:eastAsia="zh-TW"/>
        </w:rPr>
        <w:t>对</w:t>
      </w:r>
      <w:r>
        <w:rPr>
          <w:rFonts w:hint="default" w:ascii="Times New Roman" w:hAnsi="Times New Roman" w:eastAsia="仿宋_GB2312" w:cs="Times New Roman"/>
          <w:color w:val="auto"/>
          <w:spacing w:val="17"/>
          <w:sz w:val="32"/>
          <w:szCs w:val="32"/>
          <w:highlight w:val="none"/>
          <w:lang w:val="en-US" w:eastAsia="zh-CN"/>
        </w:rPr>
        <w:t>水利局债务化解项目</w:t>
      </w:r>
      <w:r>
        <w:rPr>
          <w:rFonts w:hint="default"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%。项目过程类指标权重为20分，得分为20分，得分率为100%。项目产出类指标权重为40分，得分为40分，得分率为100%。项目效益类指标权重为20分，得分为</w:t>
      </w:r>
      <w:r>
        <w:rPr>
          <w:rFonts w:hint="default" w:ascii="Times New Roman" w:hAnsi="Times New Roman" w:eastAsia="仿宋_GB2312" w:cs="Times New Roman"/>
          <w:color w:val="auto"/>
          <w:spacing w:val="17"/>
          <w:sz w:val="32"/>
          <w:szCs w:val="32"/>
          <w:highlight w:val="none"/>
          <w:shd w:val="clear"/>
          <w:lang w:val="en-US" w:eastAsia="zh-CN"/>
        </w:rPr>
        <w:t>20分，</w:t>
      </w:r>
      <w:r>
        <w:rPr>
          <w:rFonts w:hint="default" w:ascii="Times New Roman" w:hAnsi="Times New Roman" w:eastAsia="仿宋_GB2312" w:cs="Times New Roman"/>
          <w:color w:val="auto"/>
          <w:spacing w:val="17"/>
          <w:sz w:val="32"/>
          <w:szCs w:val="32"/>
          <w:highlight w:val="none"/>
          <w:lang w:val="en-US" w:eastAsia="zh-CN"/>
        </w:rPr>
        <w:t>得分率为100%。</w:t>
      </w:r>
      <w:r>
        <w:rPr>
          <w:rFonts w:hint="default" w:ascii="Times New Roman" w:hAnsi="Times New Roman" w:eastAsia="仿宋_GB2312" w:cs="Times New Roman"/>
          <w:color w:val="auto"/>
          <w:spacing w:val="17"/>
          <w:sz w:val="32"/>
          <w:szCs w:val="32"/>
          <w:highlight w:val="none"/>
          <w:lang w:val="zh-TW" w:eastAsia="zh-TW"/>
        </w:rPr>
        <w:t>各部分权重和绩效</w:t>
      </w:r>
      <w:r>
        <w:rPr>
          <w:rFonts w:hint="default" w:ascii="Times New Roman" w:hAnsi="Times New Roman" w:eastAsia="仿宋_GB2312" w:cs="Times New Roman"/>
          <w:color w:val="auto"/>
          <w:spacing w:val="17"/>
          <w:sz w:val="32"/>
          <w:szCs w:val="32"/>
          <w:highlight w:val="none"/>
          <w:lang w:val="en-US" w:eastAsia="zh-CN"/>
        </w:rPr>
        <w:t>汇总</w:t>
      </w:r>
      <w:r>
        <w:rPr>
          <w:rFonts w:hint="default" w:ascii="Times New Roman" w:hAnsi="Times New Roman" w:eastAsia="仿宋_GB2312" w:cs="Times New Roman"/>
          <w:color w:val="auto"/>
          <w:spacing w:val="17"/>
          <w:sz w:val="32"/>
          <w:szCs w:val="32"/>
          <w:highlight w:val="none"/>
          <w:lang w:val="zh-TW" w:eastAsia="zh-TW"/>
        </w:rPr>
        <w:t>分值如下表</w:t>
      </w:r>
      <w:r>
        <w:rPr>
          <w:rFonts w:hint="default" w:ascii="Times New Roman" w:hAnsi="Times New Roman" w:eastAsia="仿宋_GB2312" w:cs="Times New Roman"/>
          <w:color w:val="auto"/>
          <w:spacing w:val="17"/>
          <w:sz w:val="32"/>
          <w:szCs w:val="32"/>
          <w:highlight w:val="none"/>
          <w:lang w:val="en-US" w:eastAsia="zh-CN"/>
        </w:rPr>
        <w:t>3-1</w:t>
      </w:r>
      <w:r>
        <w:rPr>
          <w:rFonts w:hint="default" w:ascii="Times New Roman" w:hAnsi="Times New Roman" w:eastAsia="仿宋_GB2312" w:cs="Times New Roman"/>
          <w:color w:val="auto"/>
          <w:spacing w:val="17"/>
          <w:sz w:val="32"/>
          <w:szCs w:val="32"/>
          <w:highlight w:val="none"/>
          <w:lang w:val="zh-TW" w:eastAsia="zh-TW"/>
        </w:rPr>
        <w:t>所示</w:t>
      </w:r>
      <w:r>
        <w:rPr>
          <w:rFonts w:hint="default"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auto"/>
          <w:spacing w:val="17"/>
          <w:sz w:val="32"/>
          <w:szCs w:val="32"/>
          <w:highlight w:val="none"/>
          <w:lang w:val="en-US" w:eastAsia="zh-CN"/>
        </w:rPr>
        <w:t>详见上传的附件</w:t>
      </w:r>
      <w:r>
        <w:rPr>
          <w:rFonts w:hint="default"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ECAE28E">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A377C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4"/>
                <w:szCs w:val="24"/>
                <w:highlight w:val="none"/>
                <w:shd w:val="clear" w:color="auto" w:fill="auto"/>
              </w:rPr>
            </w:pPr>
            <w:r>
              <w:rPr>
                <w:rFonts w:hint="default" w:ascii="Times New Roman" w:hAnsi="Times New Roman" w:eastAsia="宋体" w:cs="Times New Roman"/>
                <w:b/>
                <w:bCs/>
                <w:color w:val="auto"/>
                <w:kern w:val="0"/>
                <w:sz w:val="28"/>
                <w:szCs w:val="28"/>
                <w:highlight w:val="none"/>
                <w:shd w:val="clear" w:color="auto" w:fill="auto"/>
                <w:lang w:val="en-US" w:eastAsia="zh-CN"/>
              </w:rPr>
              <w:t>表3-1：</w:t>
            </w:r>
            <w:r>
              <w:rPr>
                <w:rFonts w:hint="default" w:ascii="Times New Roman" w:hAnsi="Times New Roman" w:eastAsia="仿宋_GB2312" w:cs="Times New Roman"/>
                <w:color w:val="auto"/>
                <w:sz w:val="32"/>
                <w:szCs w:val="32"/>
                <w:highlight w:val="none"/>
                <w:lang w:val="en-US" w:eastAsia="zh-CN"/>
              </w:rPr>
              <w:t>水利局债务化解项目</w:t>
            </w:r>
            <w:r>
              <w:rPr>
                <w:rFonts w:hint="default" w:ascii="Times New Roman" w:hAnsi="Times New Roman" w:eastAsia="宋体" w:cs="Times New Roman"/>
                <w:b/>
                <w:bCs/>
                <w:color w:val="auto"/>
                <w:kern w:val="0"/>
                <w:sz w:val="28"/>
                <w:szCs w:val="28"/>
                <w:highlight w:val="none"/>
                <w:shd w:val="clear" w:color="auto" w:fill="auto"/>
                <w:lang w:val="en-US" w:eastAsia="zh-CN"/>
              </w:rPr>
              <w:t>得分表</w:t>
            </w:r>
          </w:p>
        </w:tc>
      </w:tr>
      <w:tr w14:paraId="0556C3E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B95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E77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34E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173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DD7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63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合计</w:t>
            </w:r>
          </w:p>
        </w:tc>
      </w:tr>
      <w:tr w14:paraId="79E6A81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B69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auto"/>
                <w:kern w:val="0"/>
                <w:sz w:val="21"/>
                <w:szCs w:val="21"/>
                <w:highlight w:val="none"/>
                <w:shd w:val="clear" w:color="auto" w:fill="auto"/>
                <w:lang w:val="en-US" w:eastAsia="zh-CN"/>
              </w:rPr>
            </w:pPr>
            <w:r>
              <w:rPr>
                <w:rFonts w:hint="default" w:ascii="Times New Roman" w:hAnsi="Times New Roman" w:eastAsia="宋体" w:cs="Times New Roman"/>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BCB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eastAsia="宋体"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410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eastAsia="宋体"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479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2F3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24C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eastAsia="宋体" w:cs="Times New Roman"/>
                <w:color w:val="auto"/>
                <w:kern w:val="0"/>
                <w:sz w:val="21"/>
                <w:szCs w:val="21"/>
                <w:highlight w:val="none"/>
                <w:shd w:val="clear" w:color="auto" w:fill="auto"/>
                <w:lang w:val="en-US" w:eastAsia="zh-CN"/>
              </w:rPr>
              <w:t>100</w:t>
            </w:r>
          </w:p>
        </w:tc>
      </w:tr>
      <w:tr w14:paraId="63142FE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932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auto"/>
                <w:kern w:val="0"/>
                <w:sz w:val="21"/>
                <w:szCs w:val="21"/>
                <w:highlight w:val="none"/>
                <w:shd w:val="clear" w:color="auto" w:fill="auto"/>
                <w:lang w:val="en-US" w:eastAsia="zh-CN"/>
              </w:rPr>
            </w:pPr>
            <w:r>
              <w:rPr>
                <w:rFonts w:hint="default" w:ascii="Times New Roman" w:hAnsi="Times New Roman" w:eastAsia="宋体" w:cs="Times New Roman"/>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9D9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02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879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7FD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DEA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99</w:t>
            </w:r>
          </w:p>
        </w:tc>
      </w:tr>
      <w:tr w14:paraId="11A72F0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537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auto"/>
                <w:kern w:val="0"/>
                <w:sz w:val="21"/>
                <w:szCs w:val="21"/>
                <w:highlight w:val="none"/>
                <w:shd w:val="clear" w:color="auto" w:fill="auto"/>
                <w:lang w:val="en-US" w:eastAsia="zh-CN"/>
              </w:rPr>
            </w:pPr>
            <w:r>
              <w:rPr>
                <w:rFonts w:hint="default" w:ascii="Times New Roman" w:hAnsi="Times New Roman" w:eastAsia="宋体" w:cs="Times New Roman"/>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41A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95</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0A4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CA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9F9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A92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99</w:t>
            </w:r>
            <w:r>
              <w:rPr>
                <w:rFonts w:hint="default" w:ascii="Times New Roman" w:hAnsi="Times New Roman" w:eastAsia="宋体" w:cs="Times New Roman"/>
                <w:color w:val="auto"/>
                <w:kern w:val="0"/>
                <w:sz w:val="21"/>
                <w:szCs w:val="21"/>
                <w:highlight w:val="none"/>
                <w:shd w:val="clear" w:color="auto" w:fill="auto"/>
                <w:lang w:val="en-US" w:eastAsia="zh-CN"/>
              </w:rPr>
              <w:t>%</w:t>
            </w:r>
          </w:p>
        </w:tc>
      </w:tr>
    </w:tbl>
    <w:p w14:paraId="341BA4A8">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lang w:val="en-US" w:eastAsia="zh-CN"/>
        </w:rPr>
      </w:pPr>
      <w:bookmarkStart w:id="107" w:name="_Toc14941"/>
      <w:r>
        <w:rPr>
          <w:rFonts w:hint="default" w:ascii="Times New Roman" w:hAnsi="Times New Roman" w:eastAsia="黑体" w:cs="Times New Roman"/>
          <w:b w:val="0"/>
          <w:bCs w:val="0"/>
          <w:color w:val="auto"/>
          <w:highlight w:val="none"/>
          <w:shd w:val="clear" w:color="auto" w:fill="auto"/>
          <w:lang w:val="en-US" w:eastAsia="zh-CN"/>
        </w:rPr>
        <w:t>四、绩效评价指标分析</w:t>
      </w:r>
      <w:bookmarkEnd w:id="107"/>
    </w:p>
    <w:p w14:paraId="5742D644">
      <w:pPr>
        <w:pStyle w:val="14"/>
        <w:widowControl/>
        <w:spacing w:before="0" w:beforeLines="-2147483648" w:after="0" w:afterLines="-2147483648" w:line="560" w:lineRule="exact"/>
        <w:ind w:firstLine="643" w:firstLineChars="200"/>
        <w:jc w:val="both"/>
        <w:rPr>
          <w:rFonts w:hint="default" w:ascii="Times New Roman" w:hAnsi="Times New Roman" w:eastAsia="楷体_GB2312" w:cs="Times New Roman"/>
          <w:color w:val="auto"/>
          <w:kern w:val="28"/>
          <w:sz w:val="32"/>
          <w:highlight w:val="none"/>
        </w:rPr>
      </w:pPr>
      <w:bookmarkStart w:id="108" w:name="_Toc6759"/>
      <w:r>
        <w:rPr>
          <w:rFonts w:hint="default" w:ascii="Times New Roman" w:hAnsi="Times New Roman" w:eastAsia="楷体_GB2312" w:cs="Times New Roman"/>
          <w:color w:val="auto"/>
          <w:kern w:val="28"/>
          <w:sz w:val="32"/>
          <w:highlight w:val="none"/>
        </w:rPr>
        <w:t>（一）项目决策情况</w:t>
      </w:r>
      <w:bookmarkEnd w:id="108"/>
    </w:p>
    <w:p w14:paraId="16EFA1C9">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项目决策由3个二级指标和6个三级指标构成，权重分20分，实际得分</w:t>
      </w:r>
      <w:r>
        <w:rPr>
          <w:rFonts w:hint="eastAsia" w:ascii="Times New Roman" w:hAnsi="Times New Roman" w:eastAsia="仿宋_GB2312" w:cs="Times New Roman"/>
          <w:color w:val="auto"/>
          <w:sz w:val="32"/>
          <w:szCs w:val="32"/>
          <w:highlight w:val="none"/>
          <w:shd w:val="clear" w:color="auto" w:fill="auto"/>
          <w:lang w:val="en-US" w:eastAsia="zh-CN"/>
        </w:rPr>
        <w:t>19</w:t>
      </w:r>
      <w:r>
        <w:rPr>
          <w:rFonts w:hint="default" w:ascii="Times New Roman" w:hAnsi="Times New Roman" w:eastAsia="仿宋_GB2312" w:cs="Times New Roman"/>
          <w:color w:val="auto"/>
          <w:sz w:val="32"/>
          <w:szCs w:val="32"/>
          <w:highlight w:val="none"/>
          <w:shd w:val="clear" w:color="auto" w:fill="auto"/>
          <w:lang w:val="en-US" w:eastAsia="zh-CN"/>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b/>
          <w:bCs/>
          <w:color w:val="auto"/>
          <w:kern w:val="2"/>
          <w:sz w:val="32"/>
          <w:szCs w:val="32"/>
          <w:highlight w:val="none"/>
          <w:u w:color="000000"/>
          <w:shd w:val="clear" w:color="auto" w:fill="auto"/>
          <w:lang w:eastAsia="zh-CN"/>
        </w:rPr>
        <w:t>-1</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b/>
          <w:bCs/>
          <w:color w:val="auto"/>
          <w:sz w:val="32"/>
          <w:szCs w:val="32"/>
          <w:highlight w:val="none"/>
          <w:shd w:val="clear" w:color="auto" w:fill="auto"/>
          <w:lang w:val="en-US" w:eastAsia="zh-CN"/>
        </w:rPr>
        <w:t>详见上传的附件二</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color w:val="auto"/>
          <w:sz w:val="32"/>
          <w:szCs w:val="32"/>
          <w:highlight w:val="none"/>
          <w:shd w:val="clear" w:color="auto" w:fill="auto"/>
          <w:lang w:val="en-US" w:eastAsia="zh-CN"/>
        </w:rPr>
        <w:t>：</w:t>
      </w:r>
    </w:p>
    <w:p w14:paraId="4763B3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b/>
          <w:bCs/>
          <w:color w:val="auto"/>
          <w:kern w:val="0"/>
          <w:sz w:val="32"/>
          <w:szCs w:val="32"/>
          <w:highlight w:val="none"/>
          <w:shd w:val="clear" w:color="auto" w:fill="auto"/>
          <w:lang w:val="en-US" w:eastAsia="zh-CN"/>
        </w:rPr>
      </w:pPr>
      <w:r>
        <w:rPr>
          <w:rFonts w:hint="default" w:ascii="Times New Roman" w:hAnsi="Times New Roman" w:eastAsia="仿宋_GB2312" w:cs="Times New Roman"/>
          <w:b/>
          <w:bCs/>
          <w:color w:val="auto"/>
          <w:kern w:val="0"/>
          <w:sz w:val="32"/>
          <w:szCs w:val="32"/>
          <w:highlight w:val="none"/>
          <w:shd w:val="clear" w:color="auto" w:fill="auto"/>
          <w:lang w:val="zh-TW" w:eastAsia="zh-TW"/>
        </w:rPr>
        <w:t>表</w:t>
      </w:r>
      <w:r>
        <w:rPr>
          <w:rFonts w:hint="default" w:ascii="Times New Roman" w:hAnsi="Times New Roman" w:eastAsia="仿宋_GB2312" w:cs="Times New Roman"/>
          <w:b/>
          <w:bCs/>
          <w:color w:val="auto"/>
          <w:kern w:val="0"/>
          <w:sz w:val="32"/>
          <w:szCs w:val="32"/>
          <w:highlight w:val="none"/>
          <w:shd w:val="clear" w:color="auto" w:fill="auto"/>
          <w:lang w:val="en-US" w:eastAsia="zh-CN"/>
        </w:rPr>
        <w:t>4-1</w:t>
      </w:r>
      <w:r>
        <w:rPr>
          <w:rFonts w:hint="default" w:ascii="Times New Roman" w:hAnsi="Times New Roman" w:eastAsia="仿宋_GB2312" w:cs="Times New Roman"/>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7244C584">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DEB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3198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C29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EA1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5FE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036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796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得分</w:t>
            </w:r>
          </w:p>
        </w:tc>
      </w:tr>
      <w:tr w14:paraId="744F0C3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144D5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3223C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42D0F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42FA7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718A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94C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B6B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7FEE981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D59A5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D69AC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F901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9565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5610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DFB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85FC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2</w:t>
            </w:r>
          </w:p>
        </w:tc>
      </w:tr>
      <w:tr w14:paraId="3DFA74E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33B00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FCBBA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044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70B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4F1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A83B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B0C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2ECC745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AE453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B68BB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6B35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823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1A8F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B9E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8B1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3C3AD56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38806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8DB22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CD097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B45B8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22B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7A55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6DF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4BF683A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763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458C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EC0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11E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82D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3F0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603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3</w:t>
            </w:r>
          </w:p>
        </w:tc>
      </w:tr>
      <w:tr w14:paraId="78C08F18">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395B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EE4A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1C3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517E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C65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19</w:t>
            </w:r>
          </w:p>
        </w:tc>
      </w:tr>
    </w:tbl>
    <w:p w14:paraId="4A54CC02">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09" w:name="_Toc28069"/>
      <w:bookmarkStart w:id="110" w:name="_Toc13522"/>
      <w:r>
        <w:rPr>
          <w:rFonts w:hint="default" w:ascii="Times New Roman" w:hAnsi="Times New Roman" w:eastAsia="仿宋_GB2312" w:cs="Times New Roman"/>
          <w:b/>
          <w:bCs/>
          <w:color w:val="auto"/>
          <w:sz w:val="32"/>
          <w:szCs w:val="32"/>
          <w:highlight w:val="none"/>
          <w:lang w:val="en-US" w:eastAsia="zh-CN"/>
        </w:rPr>
        <w:t>1.立项依据充分性</w:t>
      </w:r>
      <w:bookmarkEnd w:id="109"/>
      <w:bookmarkEnd w:id="110"/>
    </w:p>
    <w:p w14:paraId="5DE9172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①项目立项符合《阜康市人大常委会关于加强政府债务审查监督办法》</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《阜康市项目工作领导小组会议议事规则》</w:t>
      </w:r>
      <w:r>
        <w:rPr>
          <w:rFonts w:hint="default" w:ascii="Times New Roman" w:hAnsi="Times New Roman" w:eastAsia="仿宋_GB2312" w:cs="Times New Roman"/>
          <w:color w:val="auto"/>
          <w:sz w:val="32"/>
          <w:szCs w:val="32"/>
          <w:highlight w:val="none"/>
          <w:lang w:val="en-US" w:eastAsia="zh-CN"/>
        </w:rPr>
        <w:t>相关政策</w:t>
      </w:r>
      <w:r>
        <w:rPr>
          <w:rFonts w:hint="default" w:ascii="Times New Roman" w:hAnsi="Times New Roman" w:eastAsia="仿宋_GB2312" w:cs="Times New Roman"/>
          <w:color w:val="auto"/>
          <w:sz w:val="32"/>
          <w:szCs w:val="32"/>
          <w:highlight w:val="none"/>
          <w:lang w:eastAsia="zh-CN"/>
        </w:rPr>
        <w:t>；</w:t>
      </w:r>
    </w:p>
    <w:p w14:paraId="2E6A424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②项目立项符合行业关于印发《关于加强地方国有企业债务风险管控工作的指导意见》的通知</w:t>
      </w:r>
      <w:r>
        <w:rPr>
          <w:rFonts w:hint="eastAsia" w:ascii="Times New Roman" w:hAnsi="Times New Roman" w:eastAsia="仿宋_GB2312" w:cs="Times New Roman"/>
          <w:color w:val="auto"/>
          <w:sz w:val="32"/>
          <w:szCs w:val="32"/>
          <w:highlight w:val="none"/>
          <w:lang w:eastAsia="zh-CN"/>
        </w:rPr>
        <w:t>（国资发财评规〔2021〕18号）</w:t>
      </w:r>
      <w:r>
        <w:rPr>
          <w:rFonts w:hint="default" w:ascii="Times New Roman" w:hAnsi="Times New Roman" w:eastAsia="仿宋_GB2312" w:cs="Times New Roman"/>
          <w:color w:val="auto"/>
          <w:sz w:val="32"/>
          <w:szCs w:val="32"/>
          <w:highlight w:val="none"/>
          <w:lang w:eastAsia="zh-CN"/>
        </w:rPr>
        <w:t>政策要求；</w:t>
      </w:r>
    </w:p>
    <w:p w14:paraId="02C34D3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③项目立项与</w:t>
      </w:r>
      <w:r>
        <w:rPr>
          <w:rFonts w:hint="default" w:ascii="Times New Roman" w:hAnsi="Times New Roman" w:eastAsia="仿宋_GB2312" w:cs="Times New Roman"/>
          <w:color w:val="auto"/>
          <w:sz w:val="32"/>
          <w:szCs w:val="32"/>
          <w:highlight w:val="none"/>
          <w:lang w:val="en-US" w:eastAsia="zh-CN"/>
        </w:rPr>
        <w:t>水利局水利局作为负责水资源管理、水利工程建设与维护的政府部门，在化解债务方面主要通过以下职能和措施实现债务风险防控与化解职能</w:t>
      </w:r>
      <w:r>
        <w:rPr>
          <w:rFonts w:hint="default" w:ascii="Times New Roman" w:hAnsi="Times New Roman" w:eastAsia="仿宋_GB2312" w:cs="Times New Roman"/>
          <w:color w:val="auto"/>
          <w:sz w:val="32"/>
          <w:szCs w:val="32"/>
          <w:highlight w:val="none"/>
          <w:lang w:eastAsia="zh-CN"/>
        </w:rPr>
        <w:t>相符，属于部门履职所需；</w:t>
      </w:r>
    </w:p>
    <w:p w14:paraId="56FFBC3D">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④项目属于公共财政支持范围，符合中央、地方事权支出责任划分原则；</w:t>
      </w:r>
    </w:p>
    <w:p w14:paraId="7109659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⑤项目与相关部门同类项目、部门内部相关项目</w:t>
      </w:r>
      <w:r>
        <w:rPr>
          <w:rFonts w:hint="default" w:ascii="Times New Roman" w:hAnsi="Times New Roman" w:eastAsia="仿宋_GB2312" w:cs="Times New Roman"/>
          <w:color w:val="auto"/>
          <w:sz w:val="32"/>
          <w:szCs w:val="32"/>
          <w:highlight w:val="none"/>
          <w:lang w:val="en-US" w:eastAsia="zh-CN"/>
        </w:rPr>
        <w:t>不</w:t>
      </w:r>
      <w:r>
        <w:rPr>
          <w:rFonts w:hint="default" w:ascii="Times New Roman" w:hAnsi="Times New Roman" w:eastAsia="仿宋_GB2312" w:cs="Times New Roman"/>
          <w:color w:val="auto"/>
          <w:sz w:val="32"/>
          <w:szCs w:val="32"/>
          <w:highlight w:val="none"/>
          <w:lang w:eastAsia="zh-CN"/>
        </w:rPr>
        <w:t>重复。</w:t>
      </w:r>
    </w:p>
    <w:p w14:paraId="73655F7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综上，该项指标满分2分，得分2分。</w:t>
      </w:r>
    </w:p>
    <w:p w14:paraId="7030B834">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11" w:name="_Toc21976"/>
      <w:bookmarkStart w:id="112" w:name="_Toc23240"/>
      <w:r>
        <w:rPr>
          <w:rFonts w:hint="default" w:ascii="Times New Roman" w:hAnsi="Times New Roman" w:eastAsia="仿宋_GB2312" w:cs="Times New Roman"/>
          <w:b/>
          <w:bCs/>
          <w:color w:val="auto"/>
          <w:sz w:val="32"/>
          <w:szCs w:val="32"/>
          <w:highlight w:val="none"/>
          <w:lang w:val="en-US" w:eastAsia="zh-CN"/>
        </w:rPr>
        <w:t>2.立项程序规范性</w:t>
      </w:r>
      <w:bookmarkEnd w:id="111"/>
      <w:bookmarkEnd w:id="112"/>
    </w:p>
    <w:p w14:paraId="4E6ED5E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①项目按照规定的程序申请设立；</w:t>
      </w:r>
    </w:p>
    <w:p w14:paraId="73E1218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②审批文件、材料符合相关要求；</w:t>
      </w:r>
    </w:p>
    <w:p w14:paraId="3670EFB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③事前</w:t>
      </w:r>
      <w:r>
        <w:rPr>
          <w:rFonts w:hint="eastAsia" w:ascii="Times New Roman" w:hAnsi="Times New Roman" w:eastAsia="仿宋_GB2312" w:cs="Times New Roman"/>
          <w:color w:val="auto"/>
          <w:sz w:val="32"/>
          <w:szCs w:val="32"/>
          <w:highlight w:val="none"/>
          <w:lang w:val="en-US" w:eastAsia="zh-CN"/>
        </w:rPr>
        <w:t>未</w:t>
      </w:r>
      <w:r>
        <w:rPr>
          <w:rFonts w:hint="default" w:ascii="Times New Roman" w:hAnsi="Times New Roman" w:eastAsia="仿宋_GB2312" w:cs="Times New Roman"/>
          <w:color w:val="auto"/>
          <w:sz w:val="32"/>
          <w:szCs w:val="32"/>
          <w:highlight w:val="none"/>
          <w:lang w:eastAsia="zh-CN"/>
        </w:rPr>
        <w:t>经过必要的可行性研究、专家论证、风险评估、绩效评估、集体决策。</w:t>
      </w:r>
    </w:p>
    <w:p w14:paraId="58B8AC8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综上，该项指标满分3分，得分</w:t>
      </w:r>
      <w:r>
        <w:rPr>
          <w:rFonts w:hint="eastAsia" w:ascii="Times New Roman" w:hAnsi="Times New Roman" w:eastAsia="仿宋_GB2312" w:cs="Times New Roman"/>
          <w:b/>
          <w:bCs/>
          <w:color w:val="auto"/>
          <w:sz w:val="32"/>
          <w:szCs w:val="32"/>
          <w:highlight w:val="none"/>
          <w:lang w:val="en-US" w:eastAsia="zh-CN"/>
        </w:rPr>
        <w:t>2</w:t>
      </w:r>
      <w:r>
        <w:rPr>
          <w:rFonts w:hint="default" w:ascii="Times New Roman" w:hAnsi="Times New Roman" w:eastAsia="仿宋_GB2312" w:cs="Times New Roman"/>
          <w:b/>
          <w:bCs/>
          <w:color w:val="auto"/>
          <w:sz w:val="32"/>
          <w:szCs w:val="32"/>
          <w:highlight w:val="none"/>
          <w:lang w:val="en-US" w:eastAsia="zh-CN"/>
        </w:rPr>
        <w:t>分。</w:t>
      </w:r>
    </w:p>
    <w:p w14:paraId="3AC1CA3D">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13" w:name="_Toc15382"/>
      <w:bookmarkStart w:id="114" w:name="_Toc23542"/>
      <w:r>
        <w:rPr>
          <w:rFonts w:hint="default" w:ascii="Times New Roman" w:hAnsi="Times New Roman" w:eastAsia="仿宋_GB2312" w:cs="Times New Roman"/>
          <w:b/>
          <w:bCs/>
          <w:color w:val="auto"/>
          <w:sz w:val="32"/>
          <w:szCs w:val="32"/>
          <w:highlight w:val="none"/>
          <w:lang w:val="en-US" w:eastAsia="zh-CN"/>
        </w:rPr>
        <w:t>3.绩效目标合理性</w:t>
      </w:r>
      <w:bookmarkEnd w:id="113"/>
      <w:bookmarkEnd w:id="114"/>
    </w:p>
    <w:p w14:paraId="6ACF58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①该项目已设置年度绩效目标。</w:t>
      </w:r>
    </w:p>
    <w:p w14:paraId="0CC20D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该项目实际工作内容为：完成经责审计债务化解支付项目款企业数52家,资金支付2712.82万元，在2024年12月31日前完成支付，达成了化解单位债务，提升单位和政府形象，完善企业债务化解机制的效益。绩效目标与实际工作内容一致，两者具有相关性。</w:t>
      </w:r>
    </w:p>
    <w:p w14:paraId="00C975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③该项目按照绩效目标完成数量指标、质量指标、时效指标、成本指标，完成了经责审计债务化解支付项目款企业数52家,资金支付2712.82万元，在2024年12月31日前完成支付，达到提升单位和政府形象，完善企业债务化解机制的效益，预期产出效益和效果是否符合正常的业绩水平。</w:t>
      </w:r>
    </w:p>
    <w:p w14:paraId="4497C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④《项目支出绩效目标表》中预算金额为2712.82万元，预算确定的项目资金与预算确定的项目投资额相匹配。</w:t>
      </w:r>
    </w:p>
    <w:p w14:paraId="7DEFEA4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综上，该项指标满分5分，得分5分。</w:t>
      </w:r>
    </w:p>
    <w:p w14:paraId="34EC2030">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15" w:name="_Toc18198"/>
      <w:bookmarkStart w:id="116" w:name="_Toc10650"/>
      <w:r>
        <w:rPr>
          <w:rFonts w:hint="default" w:ascii="Times New Roman" w:hAnsi="Times New Roman" w:eastAsia="仿宋_GB2312" w:cs="Times New Roman"/>
          <w:b/>
          <w:bCs/>
          <w:color w:val="auto"/>
          <w:sz w:val="32"/>
          <w:szCs w:val="32"/>
          <w:highlight w:val="none"/>
          <w:lang w:val="en-US" w:eastAsia="zh-CN"/>
        </w:rPr>
        <w:t>4.绩效指标明确性</w:t>
      </w:r>
      <w:bookmarkEnd w:id="115"/>
      <w:bookmarkEnd w:id="116"/>
    </w:p>
    <w:p w14:paraId="1F9EC64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①将项目绩效目标细化分解为具体的绩效指标，</w:t>
      </w:r>
      <w:r>
        <w:rPr>
          <w:rFonts w:hint="default" w:ascii="Times New Roman" w:hAnsi="Times New Roman" w:eastAsia="仿宋_GB2312" w:cs="Times New Roman"/>
          <w:color w:val="auto"/>
          <w:sz w:val="32"/>
          <w:szCs w:val="32"/>
          <w:highlight w:val="none"/>
          <w:lang w:val="en-US" w:eastAsia="zh-CN"/>
        </w:rPr>
        <w:t>其中三级指标共计11个</w:t>
      </w:r>
      <w:r>
        <w:rPr>
          <w:rFonts w:hint="default" w:ascii="Times New Roman" w:hAnsi="Times New Roman" w:eastAsia="仿宋_GB2312" w:cs="Times New Roman"/>
          <w:color w:val="auto"/>
          <w:sz w:val="32"/>
          <w:szCs w:val="32"/>
          <w:highlight w:val="none"/>
          <w:lang w:eastAsia="zh-CN"/>
        </w:rPr>
        <w:t>；</w:t>
      </w:r>
    </w:p>
    <w:p w14:paraId="5FF044E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②通过清晰、可衡量的指标值予以体现，</w:t>
      </w:r>
      <w:r>
        <w:rPr>
          <w:rFonts w:hint="default" w:ascii="Times New Roman" w:hAnsi="Times New Roman" w:eastAsia="仿宋_GB2312" w:cs="Times New Roman"/>
          <w:color w:val="auto"/>
          <w:sz w:val="32"/>
          <w:szCs w:val="32"/>
          <w:highlight w:val="none"/>
          <w:lang w:val="en-US" w:eastAsia="zh-CN"/>
        </w:rPr>
        <w:t>量化率达到</w:t>
      </w:r>
      <w:r>
        <w:rPr>
          <w:rFonts w:hint="eastAsia" w:ascii="Times New Roman" w:hAnsi="Times New Roman" w:eastAsia="仿宋_GB2312" w:cs="Times New Roman"/>
          <w:color w:val="auto"/>
          <w:sz w:val="32"/>
          <w:szCs w:val="32"/>
          <w:highlight w:val="none"/>
          <w:lang w:val="en-US" w:eastAsia="zh-CN"/>
        </w:rPr>
        <w:t>90.9</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w:t>
      </w:r>
    </w:p>
    <w:p w14:paraId="73A3C5D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③《项目绩效目标申报表》中，三级指标的年度指标值与年度绩效目标中任务数一致。</w:t>
      </w:r>
    </w:p>
    <w:p w14:paraId="76881B4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已设置的绩效目标具备明确性、可衡量性、可实现性、相关性、时限性。</w:t>
      </w:r>
    </w:p>
    <w:p w14:paraId="2F28FAB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综上，该项指标满分5分，得分5分。</w:t>
      </w:r>
    </w:p>
    <w:p w14:paraId="4BF471B6">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17" w:name="_Toc19401"/>
      <w:bookmarkStart w:id="118" w:name="_Toc8296"/>
      <w:r>
        <w:rPr>
          <w:rFonts w:hint="default" w:ascii="Times New Roman" w:hAnsi="Times New Roman" w:eastAsia="仿宋_GB2312" w:cs="Times New Roman"/>
          <w:b/>
          <w:bCs/>
          <w:color w:val="auto"/>
          <w:sz w:val="32"/>
          <w:szCs w:val="32"/>
          <w:highlight w:val="none"/>
          <w:lang w:val="en-US" w:eastAsia="zh-CN"/>
        </w:rPr>
        <w:t>5.预算编制科学性</w:t>
      </w:r>
      <w:bookmarkEnd w:id="117"/>
      <w:bookmarkEnd w:id="118"/>
    </w:p>
    <w:p w14:paraId="07E44AD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w:t>
      </w:r>
      <w:r>
        <w:rPr>
          <w:rFonts w:hint="default" w:ascii="Times New Roman" w:hAnsi="Times New Roman" w:eastAsia="仿宋_GB2312" w:cs="Times New Roman"/>
          <w:color w:val="auto"/>
          <w:sz w:val="32"/>
          <w:szCs w:val="32"/>
          <w:highlight w:val="none"/>
          <w:lang w:val="en-US" w:eastAsia="zh-CN"/>
        </w:rPr>
        <w:t>根据项目预算批复，项目的</w:t>
      </w:r>
      <w:r>
        <w:rPr>
          <w:rFonts w:hint="default" w:ascii="Times New Roman" w:hAnsi="Times New Roman" w:eastAsia="仿宋_GB2312" w:cs="Times New Roman"/>
          <w:color w:val="auto"/>
          <w:sz w:val="32"/>
          <w:szCs w:val="32"/>
          <w:highlight w:val="none"/>
          <w:lang w:eastAsia="zh-CN"/>
        </w:rPr>
        <w:t>预算编制经过科学论证；</w:t>
      </w:r>
    </w:p>
    <w:p w14:paraId="2CFEC27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②</w:t>
      </w:r>
      <w:r>
        <w:rPr>
          <w:rFonts w:hint="default" w:ascii="Times New Roman" w:hAnsi="Times New Roman" w:eastAsia="仿宋_GB2312" w:cs="Times New Roman"/>
          <w:color w:val="auto"/>
          <w:sz w:val="32"/>
          <w:szCs w:val="32"/>
          <w:highlight w:val="none"/>
          <w:lang w:eastAsia="zh-CN"/>
        </w:rPr>
        <w:t>预算申请内容为化解支付项目款企业数52家，项目实际内容为化解支付项目款企业数52家，预算申请与项目内容匹配；</w:t>
      </w:r>
    </w:p>
    <w:p w14:paraId="08EADCA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③</w:t>
      </w:r>
      <w:r>
        <w:rPr>
          <w:rFonts w:hint="default" w:ascii="Times New Roman" w:hAnsi="Times New Roman" w:eastAsia="仿宋_GB2312" w:cs="Times New Roman"/>
          <w:color w:val="auto"/>
          <w:sz w:val="32"/>
          <w:szCs w:val="32"/>
          <w:highlight w:val="none"/>
          <w:lang w:eastAsia="zh-CN"/>
        </w:rPr>
        <w:t>项目预算申请资金2712.82</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lang w:eastAsia="zh-CN"/>
        </w:rPr>
        <w:t>元，我单位在预算申请中严格按照项目实施内容及测算标准进行核算，</w:t>
      </w:r>
      <w:r>
        <w:rPr>
          <w:rFonts w:hint="default" w:ascii="Times New Roman" w:hAnsi="Times New Roman" w:eastAsia="仿宋_GB2312" w:cs="Times New Roman"/>
          <w:color w:val="auto"/>
          <w:sz w:val="32"/>
          <w:szCs w:val="32"/>
          <w:highlight w:val="none"/>
          <w:lang w:val="en-US" w:eastAsia="zh-CN"/>
        </w:rPr>
        <w:t>支付债务化解</w:t>
      </w:r>
      <w:r>
        <w:rPr>
          <w:rFonts w:hint="default" w:ascii="Times New Roman" w:hAnsi="Times New Roman" w:eastAsia="仿宋_GB2312" w:cs="Times New Roman"/>
          <w:color w:val="auto"/>
          <w:sz w:val="32"/>
          <w:szCs w:val="32"/>
          <w:highlight w:val="none"/>
          <w:lang w:eastAsia="zh-CN"/>
        </w:rPr>
        <w:t>费用2712.82万元。</w:t>
      </w:r>
    </w:p>
    <w:p w14:paraId="7EE148F0">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④</w:t>
      </w:r>
      <w:r>
        <w:rPr>
          <w:rFonts w:hint="default" w:ascii="Times New Roman" w:hAnsi="Times New Roman" w:eastAsia="仿宋_GB2312" w:cs="Times New Roman"/>
          <w:color w:val="auto"/>
          <w:sz w:val="32"/>
          <w:szCs w:val="32"/>
          <w:highlight w:val="none"/>
          <w:lang w:eastAsia="zh-CN"/>
        </w:rPr>
        <w:t>预算确定资金量与实际工作任务相匹配。项目预算额度测算依据充分，严格按照标准编制，项目资金量与</w:t>
      </w:r>
      <w:r>
        <w:rPr>
          <w:rFonts w:hint="default" w:ascii="Times New Roman" w:hAnsi="Times New Roman" w:eastAsia="仿宋_GB2312" w:cs="Times New Roman"/>
          <w:color w:val="auto"/>
          <w:sz w:val="32"/>
          <w:szCs w:val="32"/>
          <w:highlight w:val="none"/>
          <w:lang w:val="en-US" w:eastAsia="zh-CN"/>
        </w:rPr>
        <w:t>项目实施内容</w:t>
      </w:r>
      <w:r>
        <w:rPr>
          <w:rFonts w:hint="default" w:ascii="Times New Roman" w:hAnsi="Times New Roman" w:eastAsia="仿宋_GB2312" w:cs="Times New Roman"/>
          <w:color w:val="auto"/>
          <w:sz w:val="32"/>
          <w:szCs w:val="32"/>
          <w:highlight w:val="none"/>
          <w:lang w:eastAsia="zh-CN"/>
        </w:rPr>
        <w:t>相匹配。</w:t>
      </w:r>
    </w:p>
    <w:p w14:paraId="0E1D700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综上，该项指标满分2分，得分2分。</w:t>
      </w:r>
    </w:p>
    <w:p w14:paraId="4CA988DD">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19" w:name="_Toc697"/>
      <w:bookmarkStart w:id="120" w:name="_Toc20556"/>
      <w:r>
        <w:rPr>
          <w:rFonts w:hint="default" w:ascii="Times New Roman" w:hAnsi="Times New Roman" w:eastAsia="仿宋_GB2312" w:cs="Times New Roman"/>
          <w:b/>
          <w:bCs/>
          <w:color w:val="auto"/>
          <w:sz w:val="32"/>
          <w:szCs w:val="32"/>
          <w:highlight w:val="none"/>
          <w:lang w:val="en-US" w:eastAsia="zh-CN"/>
        </w:rPr>
        <w:t>6.资金分配合理性</w:t>
      </w:r>
      <w:bookmarkEnd w:id="119"/>
      <w:bookmarkEnd w:id="120"/>
    </w:p>
    <w:p w14:paraId="444F86B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①项目实际分配资金以</w:t>
      </w:r>
      <w:r>
        <w:rPr>
          <w:rFonts w:hint="default" w:ascii="Times New Roman" w:hAnsi="Times New Roman" w:eastAsia="仿宋_GB2312" w:cs="Times New Roman"/>
          <w:color w:val="auto"/>
          <w:sz w:val="32"/>
          <w:szCs w:val="32"/>
          <w:highlight w:val="none"/>
          <w:lang w:val="en-US" w:eastAsia="zh-CN"/>
        </w:rPr>
        <w:t>项目本年因化解债务数</w:t>
      </w:r>
      <w:r>
        <w:rPr>
          <w:rFonts w:hint="default" w:ascii="Times New Roman" w:hAnsi="Times New Roman" w:eastAsia="仿宋_GB2312" w:cs="Times New Roman"/>
          <w:color w:val="auto"/>
          <w:sz w:val="32"/>
          <w:szCs w:val="32"/>
          <w:highlight w:val="none"/>
          <w:lang w:eastAsia="zh-Hans"/>
        </w:rPr>
        <w:t>为依据进行资金分配，预算资金分配依据充分</w:t>
      </w:r>
      <w:r>
        <w:rPr>
          <w:rFonts w:hint="default" w:ascii="Times New Roman" w:hAnsi="Times New Roman" w:eastAsia="仿宋_GB2312" w:cs="Times New Roman"/>
          <w:color w:val="auto"/>
          <w:sz w:val="32"/>
          <w:szCs w:val="32"/>
          <w:highlight w:val="none"/>
          <w:lang w:eastAsia="zh-CN"/>
        </w:rPr>
        <w:t>。</w:t>
      </w:r>
    </w:p>
    <w:p w14:paraId="33E9CBB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②项目实际到位资金2712.82万元，资金分配额度合理，与项目单位</w:t>
      </w:r>
      <w:r>
        <w:rPr>
          <w:rFonts w:hint="default" w:ascii="Times New Roman" w:hAnsi="Times New Roman" w:eastAsia="仿宋_GB2312" w:cs="Times New Roman"/>
          <w:color w:val="auto"/>
          <w:sz w:val="32"/>
          <w:szCs w:val="32"/>
          <w:highlight w:val="none"/>
          <w:lang w:val="en-US" w:eastAsia="zh-CN"/>
        </w:rPr>
        <w:t>及项目实际实施情况相</w:t>
      </w:r>
      <w:r>
        <w:rPr>
          <w:rFonts w:hint="default" w:ascii="Times New Roman" w:hAnsi="Times New Roman" w:eastAsia="仿宋_GB2312" w:cs="Times New Roman"/>
          <w:color w:val="auto"/>
          <w:sz w:val="32"/>
          <w:szCs w:val="32"/>
          <w:highlight w:val="none"/>
          <w:lang w:eastAsia="zh-CN"/>
        </w:rPr>
        <w:t>适应。</w:t>
      </w:r>
    </w:p>
    <w:p w14:paraId="4D25C13B">
      <w:pPr>
        <w:pageBreakBefore w:val="0"/>
        <w:kinsoku/>
        <w:wordWrap/>
        <w:overflowPunct/>
        <w:topLinePunct w:val="0"/>
        <w:autoSpaceDE/>
        <w:autoSpaceDN/>
        <w:bidi w:val="0"/>
        <w:spacing w:line="560" w:lineRule="exact"/>
        <w:textAlignment w:val="auto"/>
        <w:rPr>
          <w:rFonts w:hint="default" w:ascii="Times New Roman" w:hAnsi="Times New Roman" w:cs="Times New Roman"/>
          <w:color w:val="auto"/>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综上，该项指标满分3分，得分3分。</w:t>
      </w:r>
    </w:p>
    <w:p w14:paraId="390A49F4">
      <w:pPr>
        <w:pStyle w:val="14"/>
        <w:widowControl/>
        <w:numPr>
          <w:ilvl w:val="0"/>
          <w:numId w:val="0"/>
        </w:numPr>
        <w:spacing w:before="0" w:beforeLines="-2147483648" w:after="0" w:afterLines="-2147483648" w:line="560" w:lineRule="exact"/>
        <w:ind w:firstLine="643" w:firstLineChars="200"/>
        <w:jc w:val="both"/>
        <w:rPr>
          <w:rFonts w:hint="default" w:ascii="Times New Roman" w:hAnsi="Times New Roman" w:eastAsia="楷体" w:cs="Times New Roman"/>
          <w:color w:val="auto"/>
          <w:kern w:val="28"/>
          <w:sz w:val="32"/>
          <w:highlight w:val="none"/>
        </w:rPr>
      </w:pPr>
      <w:bookmarkStart w:id="121" w:name="_Toc10564"/>
      <w:r>
        <w:rPr>
          <w:rFonts w:hint="default" w:ascii="Times New Roman" w:hAnsi="Times New Roman" w:eastAsia="楷体" w:cs="Times New Roman"/>
          <w:color w:val="auto"/>
          <w:kern w:val="28"/>
          <w:sz w:val="32"/>
          <w:highlight w:val="none"/>
          <w:lang w:eastAsia="zh-CN"/>
        </w:rPr>
        <w:t>（</w:t>
      </w:r>
      <w:r>
        <w:rPr>
          <w:rFonts w:hint="default" w:ascii="Times New Roman" w:hAnsi="Times New Roman" w:eastAsia="楷体" w:cs="Times New Roman"/>
          <w:color w:val="auto"/>
          <w:kern w:val="28"/>
          <w:sz w:val="32"/>
          <w:highlight w:val="none"/>
          <w:lang w:val="en-US" w:eastAsia="zh-CN"/>
        </w:rPr>
        <w:t>二</w:t>
      </w:r>
      <w:r>
        <w:rPr>
          <w:rFonts w:hint="default" w:ascii="Times New Roman" w:hAnsi="Times New Roman" w:eastAsia="楷体" w:cs="Times New Roman"/>
          <w:color w:val="auto"/>
          <w:kern w:val="28"/>
          <w:sz w:val="32"/>
          <w:highlight w:val="none"/>
          <w:lang w:eastAsia="zh-CN"/>
        </w:rPr>
        <w:t>）</w:t>
      </w:r>
      <w:r>
        <w:rPr>
          <w:rFonts w:hint="default" w:ascii="Times New Roman" w:hAnsi="Times New Roman" w:eastAsia="楷体" w:cs="Times New Roman"/>
          <w:color w:val="auto"/>
          <w:kern w:val="28"/>
          <w:sz w:val="32"/>
          <w:highlight w:val="none"/>
        </w:rPr>
        <w:t>项目过程情况</w:t>
      </w:r>
      <w:bookmarkEnd w:id="121"/>
    </w:p>
    <w:p w14:paraId="5B6B943C">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rPr>
        <w:t>过程</w:t>
      </w:r>
      <w:r>
        <w:rPr>
          <w:rFonts w:hint="default" w:ascii="Times New Roman" w:hAnsi="Times New Roman" w:eastAsia="仿宋_GB2312" w:cs="Times New Roman"/>
          <w:color w:val="auto"/>
          <w:kern w:val="2"/>
          <w:sz w:val="32"/>
          <w:szCs w:val="32"/>
          <w:highlight w:val="none"/>
          <w:u w:color="000000"/>
          <w:shd w:val="clear" w:color="auto" w:fill="auto"/>
          <w:lang w:eastAsia="zh-CN"/>
        </w:rPr>
        <w:t>管理</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类指标由</w:t>
      </w:r>
      <w:r>
        <w:rPr>
          <w:rFonts w:hint="default" w:ascii="Times New Roman" w:hAnsi="Times New Roman" w:eastAsia="仿宋_GB2312" w:cs="Times New Roman"/>
          <w:color w:val="auto"/>
          <w:kern w:val="2"/>
          <w:sz w:val="32"/>
          <w:szCs w:val="32"/>
          <w:highlight w:val="none"/>
          <w:u w:color="000000"/>
          <w:shd w:val="clear" w:color="auto" w:fill="auto"/>
          <w:lang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5</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详见上传的附件二</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050B1C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8"/>
          <w:szCs w:val="28"/>
          <w:highlight w:val="none"/>
          <w:shd w:val="clear" w:color="auto" w:fill="auto"/>
          <w:lang w:val="en-US" w:eastAsia="zh-CN"/>
        </w:rPr>
      </w:pPr>
      <w:r>
        <w:rPr>
          <w:rFonts w:hint="default" w:ascii="Times New Roman" w:hAnsi="Times New Roman" w:eastAsia="宋体" w:cs="Times New Roman"/>
          <w:b/>
          <w:bCs/>
          <w:color w:val="auto"/>
          <w:kern w:val="0"/>
          <w:sz w:val="28"/>
          <w:szCs w:val="28"/>
          <w:highlight w:val="none"/>
          <w:shd w:val="clear" w:color="auto" w:fill="auto"/>
          <w:lang w:val="zh-TW" w:eastAsia="zh-TW"/>
        </w:rPr>
        <w:t>表</w:t>
      </w:r>
      <w:r>
        <w:rPr>
          <w:rFonts w:hint="default" w:ascii="Times New Roman" w:hAnsi="Times New Roman" w:eastAsia="宋体" w:cs="Times New Roman"/>
          <w:b/>
          <w:bCs/>
          <w:color w:val="auto"/>
          <w:kern w:val="0"/>
          <w:sz w:val="28"/>
          <w:szCs w:val="28"/>
          <w:highlight w:val="none"/>
          <w:shd w:val="clear" w:color="auto" w:fill="auto"/>
          <w:lang w:val="en-US" w:eastAsia="zh-CN"/>
        </w:rPr>
        <w:t>4-2</w:t>
      </w:r>
      <w:r>
        <w:rPr>
          <w:rFonts w:hint="default" w:ascii="Times New Roman" w:hAnsi="Times New Roman" w:eastAsia="宋体" w:cs="Times New Roman"/>
          <w:b/>
          <w:bCs/>
          <w:color w:val="auto"/>
          <w:kern w:val="0"/>
          <w:sz w:val="28"/>
          <w:szCs w:val="28"/>
          <w:highlight w:val="none"/>
          <w:shd w:val="clear" w:color="auto" w:fill="auto"/>
          <w:lang w:val="zh-TW" w:eastAsia="zh-TW"/>
        </w:rPr>
        <w:t>项目</w:t>
      </w:r>
      <w:r>
        <w:rPr>
          <w:rFonts w:hint="default" w:ascii="Times New Roman" w:hAnsi="Times New Roman" w:cs="Times New Roman"/>
          <w:b/>
          <w:bCs/>
          <w:color w:val="auto"/>
          <w:kern w:val="0"/>
          <w:sz w:val="28"/>
          <w:szCs w:val="28"/>
          <w:highlight w:val="none"/>
          <w:shd w:val="clear" w:color="auto" w:fill="auto"/>
          <w:lang w:val="en-US" w:eastAsia="zh-CN"/>
        </w:rPr>
        <w:t>过程</w:t>
      </w:r>
      <w:r>
        <w:rPr>
          <w:rFonts w:hint="default" w:ascii="Times New Roman" w:hAnsi="Times New Roman" w:eastAsia="宋体" w:cs="Times New Roman"/>
          <w:b/>
          <w:bCs/>
          <w:color w:val="auto"/>
          <w:kern w:val="0"/>
          <w:sz w:val="28"/>
          <w:szCs w:val="28"/>
          <w:highlight w:val="none"/>
          <w:shd w:val="clear" w:color="auto" w:fill="auto"/>
          <w:lang w:val="zh-TW" w:eastAsia="zh-TW"/>
        </w:rPr>
        <w:t>指标及分值</w:t>
      </w:r>
      <w:r>
        <w:rPr>
          <w:rFonts w:hint="default" w:ascii="Times New Roman" w:hAnsi="Times New Roman" w:eastAsia="宋体" w:cs="Times New Roman"/>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62D7A21">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EC2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1EF3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6CE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372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ED16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E24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FA59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得分</w:t>
            </w:r>
          </w:p>
        </w:tc>
      </w:tr>
      <w:tr w14:paraId="79907B38">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B561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75F8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F236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D47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9E1F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74B5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98C6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3104389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BA8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F1D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F6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B38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765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94E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529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1BEBCFE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552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B04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90D7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28BF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63C9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C0AB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D15E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4CB2F11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E09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1763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870F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93FC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9472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4EC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95C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1CE886A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CB0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39A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250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8AFD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2E5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9E6E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CA35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01A57FA0">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86F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92EA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542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B30D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EAF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20</w:t>
            </w:r>
          </w:p>
        </w:tc>
      </w:tr>
    </w:tbl>
    <w:p w14:paraId="6077212C">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22" w:name="_Toc3886"/>
      <w:bookmarkStart w:id="123" w:name="_Toc20449"/>
      <w:r>
        <w:rPr>
          <w:rFonts w:hint="default" w:ascii="Times New Roman" w:hAnsi="Times New Roman" w:eastAsia="仿宋_GB2312" w:cs="Times New Roman"/>
          <w:b/>
          <w:bCs/>
          <w:color w:val="auto"/>
          <w:sz w:val="32"/>
          <w:szCs w:val="32"/>
          <w:highlight w:val="none"/>
          <w:lang w:val="en-US" w:eastAsia="zh-CN"/>
        </w:rPr>
        <w:t>1.资金到位率</w:t>
      </w:r>
      <w:bookmarkEnd w:id="122"/>
      <w:bookmarkEnd w:id="123"/>
    </w:p>
    <w:p w14:paraId="19A83E4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项目预算资金为2712.82元，其中：财政安排资金2712.82万元</w:t>
      </w:r>
      <w:r>
        <w:rPr>
          <w:rFonts w:hint="default" w:ascii="Times New Roman" w:hAnsi="Times New Roman" w:eastAsia="仿宋_GB2312" w:cs="Times New Roman"/>
          <w:b w:val="0"/>
          <w:bCs w:val="0"/>
          <w:color w:val="auto"/>
          <w:sz w:val="32"/>
          <w:szCs w:val="32"/>
          <w:highlight w:val="none"/>
          <w:lang w:eastAsia="zh-CN"/>
        </w:rPr>
        <w:t>。</w:t>
      </w:r>
    </w:p>
    <w:p w14:paraId="6FC65760">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资金到位率=（</w:t>
      </w:r>
      <w:r>
        <w:rPr>
          <w:rFonts w:hint="default" w:ascii="Times New Roman" w:hAnsi="Times New Roman" w:eastAsia="仿宋_GB2312" w:cs="Times New Roman"/>
          <w:b w:val="0"/>
          <w:bCs w:val="0"/>
          <w:color w:val="auto"/>
          <w:sz w:val="32"/>
          <w:szCs w:val="32"/>
          <w:highlight w:val="none"/>
        </w:rPr>
        <w:t>2712.82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2712.82</w:t>
      </w:r>
      <w:r>
        <w:rPr>
          <w:rFonts w:hint="default" w:ascii="Times New Roman" w:hAnsi="Times New Roman" w:eastAsia="仿宋_GB2312" w:cs="Times New Roman"/>
          <w:color w:val="auto"/>
          <w:sz w:val="32"/>
          <w:szCs w:val="32"/>
          <w:highlight w:val="none"/>
          <w:lang w:eastAsia="zh-CN"/>
        </w:rPr>
        <w:t>）×100</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lang w:val="en-US" w:eastAsia="zh-CN"/>
        </w:rPr>
        <w:t>.</w:t>
      </w:r>
    </w:p>
    <w:p w14:paraId="0F76B82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综上，该项指标满分4分，得分4分。</w:t>
      </w:r>
    </w:p>
    <w:p w14:paraId="2A69D775">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24" w:name="_Toc9705"/>
      <w:bookmarkStart w:id="125" w:name="_Toc17709"/>
      <w:r>
        <w:rPr>
          <w:rFonts w:hint="default" w:ascii="Times New Roman" w:hAnsi="Times New Roman" w:eastAsia="仿宋_GB2312" w:cs="Times New Roman"/>
          <w:b/>
          <w:bCs/>
          <w:color w:val="auto"/>
          <w:sz w:val="32"/>
          <w:szCs w:val="32"/>
          <w:highlight w:val="none"/>
          <w:lang w:val="en-US" w:eastAsia="zh-CN"/>
        </w:rPr>
        <w:t>2.预算执行率</w:t>
      </w:r>
      <w:bookmarkEnd w:id="124"/>
      <w:bookmarkEnd w:id="125"/>
    </w:p>
    <w:p w14:paraId="45DE2A6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截至2024年12月31日，项目实际支出</w:t>
      </w:r>
      <w:r>
        <w:rPr>
          <w:rFonts w:hint="default" w:ascii="Times New Roman" w:hAnsi="Times New Roman" w:eastAsia="仿宋_GB2312" w:cs="Times New Roman"/>
          <w:b w:val="0"/>
          <w:bCs w:val="0"/>
          <w:color w:val="auto"/>
          <w:sz w:val="32"/>
          <w:szCs w:val="32"/>
          <w:highlight w:val="none"/>
        </w:rPr>
        <w:t>2712.82</w:t>
      </w:r>
      <w:r>
        <w:rPr>
          <w:rFonts w:hint="default" w:ascii="Times New Roman" w:hAnsi="Times New Roman" w:eastAsia="仿宋_GB2312" w:cs="Times New Roman"/>
          <w:color w:val="auto"/>
          <w:sz w:val="32"/>
          <w:szCs w:val="32"/>
          <w:highlight w:val="none"/>
          <w:lang w:val="en-US" w:eastAsia="zh-CN"/>
        </w:rPr>
        <w:t>万元。</w:t>
      </w:r>
    </w:p>
    <w:p w14:paraId="361B497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预算执行率=（</w:t>
      </w:r>
      <w:r>
        <w:rPr>
          <w:rFonts w:hint="default" w:ascii="Times New Roman" w:hAnsi="Times New Roman" w:eastAsia="仿宋_GB2312" w:cs="Times New Roman"/>
          <w:b w:val="0"/>
          <w:bCs w:val="0"/>
          <w:color w:val="auto"/>
          <w:sz w:val="32"/>
          <w:szCs w:val="32"/>
          <w:highlight w:val="none"/>
        </w:rPr>
        <w:t>2712.82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2712.82</w:t>
      </w:r>
      <w:r>
        <w:rPr>
          <w:rFonts w:hint="default" w:ascii="Times New Roman" w:hAnsi="Times New Roman" w:eastAsia="仿宋_GB2312" w:cs="Times New Roman"/>
          <w:color w:val="auto"/>
          <w:sz w:val="32"/>
          <w:szCs w:val="32"/>
          <w:highlight w:val="none"/>
          <w:lang w:eastAsia="zh-CN"/>
        </w:rPr>
        <w:t>）×100%</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lang w:val="en-US" w:eastAsia="zh-CN"/>
        </w:rPr>
        <w:t>。</w:t>
      </w:r>
    </w:p>
    <w:p w14:paraId="50FB6F2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综上，该项指标满分4分，得分4分。</w:t>
      </w:r>
    </w:p>
    <w:p w14:paraId="19337040">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26" w:name="_Toc18691"/>
      <w:bookmarkStart w:id="127" w:name="_Toc28875"/>
      <w:r>
        <w:rPr>
          <w:rFonts w:hint="default" w:ascii="Times New Roman" w:hAnsi="Times New Roman" w:eastAsia="仿宋_GB2312" w:cs="Times New Roman"/>
          <w:b/>
          <w:bCs/>
          <w:color w:val="auto"/>
          <w:sz w:val="32"/>
          <w:szCs w:val="32"/>
          <w:highlight w:val="none"/>
          <w:lang w:val="en-US" w:eastAsia="zh-CN"/>
        </w:rPr>
        <w:t>3.资金使用合规性</w:t>
      </w:r>
      <w:bookmarkEnd w:id="126"/>
      <w:bookmarkEnd w:id="127"/>
    </w:p>
    <w:p w14:paraId="4E990FFF">
      <w:pPr>
        <w:pageBreakBefore w:val="0"/>
        <w:kinsoku/>
        <w:wordWrap/>
        <w:overflowPunct/>
        <w:topLinePunct w:val="0"/>
        <w:autoSpaceDE/>
        <w:autoSpaceDN/>
        <w:bidi w:val="0"/>
        <w:spacing w:line="560" w:lineRule="exact"/>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①本项目资金支出符合国家财经法规、《政府会计制度》《</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单位资金管理办法》《</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专项资金管理办法》；</w:t>
      </w:r>
    </w:p>
    <w:p w14:paraId="26328FA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②资金的拨付有完整的审批程序和手续；</w:t>
      </w:r>
    </w:p>
    <w:p w14:paraId="62079C4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③符合项目预算批复或合同规定的用途；</w:t>
      </w:r>
    </w:p>
    <w:p w14:paraId="65AC8B4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④</w:t>
      </w:r>
      <w:r>
        <w:rPr>
          <w:rFonts w:hint="default" w:ascii="Times New Roman" w:hAnsi="Times New Roman" w:eastAsia="仿宋_GB2312" w:cs="Times New Roman"/>
          <w:color w:val="auto"/>
          <w:sz w:val="32"/>
          <w:szCs w:val="32"/>
          <w:highlight w:val="none"/>
          <w:lang w:val="en-US" w:eastAsia="zh-CN"/>
        </w:rPr>
        <w:t>不</w:t>
      </w:r>
      <w:r>
        <w:rPr>
          <w:rFonts w:hint="default" w:ascii="Times New Roman" w:hAnsi="Times New Roman" w:eastAsia="仿宋_GB2312" w:cs="Times New Roman"/>
          <w:color w:val="auto"/>
          <w:sz w:val="32"/>
          <w:szCs w:val="32"/>
          <w:highlight w:val="none"/>
          <w:lang w:eastAsia="zh-CN"/>
        </w:rPr>
        <w:t>存在截留、挤占、挪用、虚列支出等情况。</w:t>
      </w:r>
    </w:p>
    <w:p w14:paraId="72165C7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default" w:ascii="Times New Roman" w:hAnsi="Times New Roman" w:eastAsia="仿宋_GB2312" w:cs="Times New Roman"/>
          <w:color w:val="auto"/>
          <w:sz w:val="32"/>
          <w:szCs w:val="32"/>
          <w:highlight w:val="none"/>
          <w:lang w:val="en-US" w:eastAsia="zh-CN"/>
        </w:rPr>
        <w:t xml:space="preserve"> </w:t>
      </w:r>
    </w:p>
    <w:p w14:paraId="228271C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综上，该项指标满分4分，得分4分。</w:t>
      </w:r>
    </w:p>
    <w:p w14:paraId="2B3272BA">
      <w:pPr>
        <w:pageBreakBefore w:val="0"/>
        <w:numPr>
          <w:ilvl w:val="0"/>
          <w:numId w:val="0"/>
        </w:numPr>
        <w:kinsoku/>
        <w:wordWrap/>
        <w:overflowPunct/>
        <w:topLinePunct w:val="0"/>
        <w:autoSpaceDE/>
        <w:autoSpaceDN/>
        <w:bidi w:val="0"/>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kern w:val="2"/>
          <w:sz w:val="32"/>
          <w:szCs w:val="32"/>
          <w:highlight w:val="none"/>
          <w:lang w:val="en-US" w:eastAsia="zh-CN" w:bidi="ar-SA"/>
        </w:rPr>
        <w:t>4.</w:t>
      </w:r>
      <w:r>
        <w:rPr>
          <w:rFonts w:hint="default" w:ascii="Times New Roman" w:hAnsi="Times New Roman" w:eastAsia="仿宋_GB2312" w:cs="Times New Roman"/>
          <w:b/>
          <w:bCs/>
          <w:color w:val="auto"/>
          <w:sz w:val="32"/>
          <w:szCs w:val="32"/>
          <w:highlight w:val="none"/>
          <w:lang w:val="en-US" w:eastAsia="zh-CN"/>
        </w:rPr>
        <w:t>管理制度健全性</w:t>
      </w:r>
    </w:p>
    <w:p w14:paraId="21E3D4F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lang w:eastAsia="zh-CN"/>
        </w:rPr>
        <w:t>我单位已制定《</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资金管理办法》《</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收支业务管理制度》《</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政府采购业务管理制度》《</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合同管理制度》，</w:t>
      </w:r>
      <w:r>
        <w:rPr>
          <w:rFonts w:hint="default" w:ascii="Times New Roman" w:hAnsi="Times New Roman" w:eastAsia="仿宋_GB2312" w:cs="Times New Roman"/>
          <w:color w:val="auto"/>
          <w:sz w:val="32"/>
          <w:szCs w:val="32"/>
          <w:highlight w:val="none"/>
          <w:lang w:val="en-US" w:eastAsia="zh-CN"/>
        </w:rPr>
        <w:t>相关</w:t>
      </w:r>
      <w:r>
        <w:rPr>
          <w:rFonts w:hint="default" w:ascii="Times New Roman" w:hAnsi="Times New Roman" w:eastAsia="仿宋_GB2312" w:cs="Times New Roman"/>
          <w:color w:val="auto"/>
          <w:sz w:val="32"/>
          <w:szCs w:val="32"/>
          <w:highlight w:val="none"/>
          <w:lang w:eastAsia="zh-CN"/>
        </w:rPr>
        <w:t>制度均符合行政事业单位内控管理要求；</w:t>
      </w:r>
    </w:p>
    <w:p w14:paraId="740BB02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②已制定的</w:t>
      </w:r>
      <w:r>
        <w:rPr>
          <w:rFonts w:hint="default" w:ascii="Times New Roman" w:hAnsi="Times New Roman" w:eastAsia="仿宋_GB2312" w:cs="Times New Roman"/>
          <w:color w:val="auto"/>
          <w:sz w:val="32"/>
          <w:szCs w:val="32"/>
          <w:highlight w:val="none"/>
          <w:lang w:eastAsia="zh-CN"/>
        </w:rPr>
        <w:t>财务和业务管理制度合法、合规、完整，本项目执行符合上述制度规定。</w:t>
      </w:r>
    </w:p>
    <w:p w14:paraId="718CCF5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综上，该项指标满分4分，得分4分。</w:t>
      </w:r>
    </w:p>
    <w:p w14:paraId="7FF91917">
      <w:pPr>
        <w:pageBreakBefore w:val="0"/>
        <w:kinsoku/>
        <w:wordWrap/>
        <w:overflowPunct/>
        <w:topLinePunct w:val="0"/>
        <w:autoSpaceDE/>
        <w:autoSpaceDN/>
        <w:bidi w:val="0"/>
        <w:spacing w:line="560" w:lineRule="exact"/>
        <w:ind w:left="1524" w:leftChars="200" w:hanging="964" w:hangingChars="300"/>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28" w:name="_Toc13984"/>
      <w:bookmarkStart w:id="129" w:name="_Toc31684"/>
      <w:r>
        <w:rPr>
          <w:rFonts w:hint="default" w:ascii="Times New Roman" w:hAnsi="Times New Roman" w:eastAsia="仿宋_GB2312" w:cs="Times New Roman"/>
          <w:b/>
          <w:bCs/>
          <w:color w:val="auto"/>
          <w:sz w:val="32"/>
          <w:szCs w:val="32"/>
          <w:highlight w:val="none"/>
          <w:lang w:val="en-US" w:eastAsia="zh-CN"/>
        </w:rPr>
        <w:t>5.制度执行有效性</w:t>
      </w:r>
      <w:bookmarkEnd w:id="128"/>
      <w:bookmarkEnd w:id="129"/>
    </w:p>
    <w:p w14:paraId="677B889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①水利局债务化解</w:t>
      </w:r>
      <w:r>
        <w:rPr>
          <w:rFonts w:hint="default" w:ascii="Times New Roman" w:hAnsi="Times New Roman" w:eastAsia="仿宋_GB2312" w:cs="Times New Roman"/>
          <w:color w:val="auto"/>
          <w:sz w:val="32"/>
          <w:szCs w:val="32"/>
          <w:highlight w:val="none"/>
        </w:rPr>
        <w:t>项目的实施</w:t>
      </w:r>
      <w:r>
        <w:rPr>
          <w:rFonts w:hint="default" w:ascii="Times New Roman" w:hAnsi="Times New Roman" w:eastAsia="仿宋_GB2312" w:cs="Times New Roman"/>
          <w:color w:val="auto"/>
          <w:sz w:val="32"/>
          <w:szCs w:val="32"/>
          <w:highlight w:val="none"/>
          <w:lang w:eastAsia="zh-CN"/>
        </w:rPr>
        <w:t>遵守相关法律法规</w:t>
      </w:r>
      <w:r>
        <w:rPr>
          <w:rFonts w:hint="default" w:ascii="Times New Roman" w:hAnsi="Times New Roman" w:eastAsia="仿宋_GB2312" w:cs="Times New Roman"/>
          <w:color w:val="auto"/>
          <w:sz w:val="32"/>
          <w:szCs w:val="32"/>
          <w:highlight w:val="none"/>
          <w:lang w:val="en-US" w:eastAsia="zh-CN"/>
        </w:rPr>
        <w:t>及</w:t>
      </w:r>
      <w:r>
        <w:rPr>
          <w:rFonts w:hint="default" w:ascii="Times New Roman" w:hAnsi="Times New Roman" w:eastAsia="仿宋_GB2312" w:cs="Times New Roman"/>
          <w:color w:val="auto"/>
          <w:sz w:val="32"/>
          <w:szCs w:val="32"/>
          <w:highlight w:val="none"/>
          <w:lang w:eastAsia="zh-CN"/>
        </w:rPr>
        <w:t>相关管理规定，</w:t>
      </w:r>
      <w:r>
        <w:rPr>
          <w:rFonts w:hint="default" w:ascii="Times New Roman" w:hAnsi="Times New Roman" w:eastAsia="仿宋_GB2312" w:cs="Times New Roman"/>
          <w:color w:val="auto"/>
          <w:sz w:val="32"/>
          <w:szCs w:val="32"/>
          <w:highlight w:val="none"/>
        </w:rPr>
        <w:t>符合《</w:t>
      </w:r>
      <w:r>
        <w:rPr>
          <w:rFonts w:hint="default" w:ascii="Times New Roman" w:hAnsi="Times New Roman" w:eastAsia="仿宋_GB2312" w:cs="Times New Roman"/>
          <w:color w:val="auto"/>
          <w:sz w:val="32"/>
          <w:szCs w:val="32"/>
          <w:highlight w:val="none"/>
          <w:lang w:val="en-US" w:eastAsia="zh-CN"/>
        </w:rPr>
        <w:t>阜康市水利局项目实施</w:t>
      </w:r>
      <w:r>
        <w:rPr>
          <w:rFonts w:hint="default" w:ascii="Times New Roman" w:hAnsi="Times New Roman" w:eastAsia="仿宋_GB2312" w:cs="Times New Roman"/>
          <w:color w:val="auto"/>
          <w:sz w:val="32"/>
          <w:szCs w:val="32"/>
          <w:highlight w:val="none"/>
        </w:rPr>
        <w:t>办法》《</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rPr>
        <w:t>管理制度》《</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rPr>
        <w:t>采购业务管理制度》《</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rPr>
        <w:t>合同管理制度》等管理规定，</w:t>
      </w:r>
      <w:r>
        <w:rPr>
          <w:rFonts w:hint="default" w:ascii="Times New Roman" w:hAnsi="Times New Roman" w:eastAsia="仿宋_GB2312" w:cs="Times New Roman"/>
          <w:color w:val="auto"/>
          <w:sz w:val="32"/>
          <w:szCs w:val="32"/>
          <w:highlight w:val="none"/>
          <w:lang w:eastAsia="zh-CN"/>
        </w:rPr>
        <w:t>；</w:t>
      </w:r>
    </w:p>
    <w:p w14:paraId="15081D8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②</w:t>
      </w:r>
      <w:r>
        <w:rPr>
          <w:rFonts w:hint="default" w:ascii="Times New Roman" w:hAnsi="Times New Roman" w:eastAsia="仿宋_GB2312" w:cs="Times New Roman"/>
          <w:color w:val="auto"/>
          <w:sz w:val="32"/>
          <w:szCs w:val="32"/>
          <w:highlight w:val="none"/>
        </w:rPr>
        <w:t>该项目实施过程中不存在调整事项</w:t>
      </w:r>
      <w:r>
        <w:rPr>
          <w:rFonts w:hint="default" w:ascii="Times New Roman" w:hAnsi="Times New Roman" w:eastAsia="仿宋_GB2312" w:cs="Times New Roman"/>
          <w:color w:val="auto"/>
          <w:sz w:val="32"/>
          <w:szCs w:val="32"/>
          <w:highlight w:val="none"/>
          <w:lang w:eastAsia="zh-CN"/>
        </w:rPr>
        <w:t>。</w:t>
      </w:r>
    </w:p>
    <w:p w14:paraId="404322D6">
      <w:pPr>
        <w:pageBreakBefore w:val="0"/>
        <w:widowControl w:val="0"/>
        <w:kinsoku/>
        <w:wordWrap/>
        <w:topLinePunct w:val="0"/>
        <w:autoSpaceDE/>
        <w:autoSpaceDN/>
        <w:bidi w:val="0"/>
        <w:spacing w:line="560" w:lineRule="exact"/>
        <w:ind w:left="0" w:leftChars="0" w:firstLine="643"/>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③</w:t>
      </w:r>
      <w:r>
        <w:rPr>
          <w:rFonts w:hint="default" w:ascii="Times New Roman" w:hAnsi="Times New Roman" w:eastAsia="仿宋_GB2312" w:cs="Times New Roman"/>
          <w:color w:val="auto"/>
          <w:sz w:val="32"/>
          <w:szCs w:val="32"/>
          <w:highlight w:val="none"/>
        </w:rPr>
        <w:t>项目合同书、验收评审表、财务支付凭证等资料齐全并及时归档。</w:t>
      </w:r>
    </w:p>
    <w:p w14:paraId="0BE7DAF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项目工作领导小组，由</w:t>
      </w:r>
      <w:r>
        <w:rPr>
          <w:rFonts w:hint="default" w:ascii="Times New Roman" w:hAnsi="Times New Roman" w:eastAsia="仿宋_GB2312" w:cs="Times New Roman"/>
          <w:color w:val="auto"/>
          <w:sz w:val="32"/>
          <w:szCs w:val="32"/>
          <w:highlight w:val="none"/>
          <w:lang w:val="en-US" w:eastAsia="zh-CN"/>
        </w:rPr>
        <w:t>苏生忠</w:t>
      </w:r>
      <w:r>
        <w:rPr>
          <w:rFonts w:hint="default" w:ascii="Times New Roman" w:hAnsi="Times New Roman" w:eastAsia="仿宋_GB2312" w:cs="Times New Roman"/>
          <w:color w:val="auto"/>
          <w:sz w:val="32"/>
          <w:szCs w:val="32"/>
          <w:highlight w:val="none"/>
          <w:lang w:eastAsia="zh-CN"/>
        </w:rPr>
        <w:t>任组长，负责项目的组织工作；</w:t>
      </w:r>
      <w:r>
        <w:rPr>
          <w:rFonts w:hint="default" w:ascii="Times New Roman" w:hAnsi="Times New Roman" w:eastAsia="仿宋_GB2312" w:cs="Times New Roman"/>
          <w:color w:val="auto"/>
          <w:sz w:val="32"/>
          <w:szCs w:val="32"/>
          <w:highlight w:val="none"/>
          <w:lang w:val="en-US" w:eastAsia="zh-CN"/>
        </w:rPr>
        <w:t>丁智娟</w:t>
      </w:r>
      <w:r>
        <w:rPr>
          <w:rFonts w:hint="default" w:ascii="Times New Roman" w:hAnsi="Times New Roman" w:eastAsia="仿宋_GB2312" w:cs="Times New Roman"/>
          <w:color w:val="auto"/>
          <w:sz w:val="32"/>
          <w:szCs w:val="32"/>
          <w:highlight w:val="none"/>
          <w:lang w:eastAsia="zh-CN"/>
        </w:rPr>
        <w:t>任副组长，</w:t>
      </w:r>
      <w:r>
        <w:rPr>
          <w:rFonts w:hint="default" w:ascii="Times New Roman" w:hAnsi="Times New Roman" w:eastAsia="仿宋_GB2312" w:cs="Times New Roman"/>
          <w:color w:val="auto"/>
          <w:sz w:val="32"/>
          <w:szCs w:val="32"/>
          <w:highlight w:val="none"/>
          <w:lang w:val="en-US" w:eastAsia="zh-CN"/>
        </w:rPr>
        <w:t>王莉</w:t>
      </w:r>
      <w:r>
        <w:rPr>
          <w:rFonts w:hint="default" w:ascii="Times New Roman" w:hAnsi="Times New Roman" w:eastAsia="仿宋_GB2312" w:cs="Times New Roman"/>
          <w:color w:val="auto"/>
          <w:sz w:val="32"/>
          <w:szCs w:val="32"/>
          <w:highlight w:val="none"/>
          <w:lang w:eastAsia="zh-CN"/>
        </w:rPr>
        <w:t>负责项目的实施工作；组员包括：</w:t>
      </w:r>
      <w:r>
        <w:rPr>
          <w:rFonts w:hint="eastAsia" w:ascii="Times New Roman" w:hAnsi="Times New Roman" w:eastAsia="仿宋_GB2312" w:cs="Times New Roman"/>
          <w:color w:val="auto"/>
          <w:sz w:val="32"/>
          <w:szCs w:val="32"/>
          <w:highlight w:val="none"/>
          <w:lang w:val="en-US" w:eastAsia="zh-CN"/>
        </w:rPr>
        <w:t>文丽</w:t>
      </w:r>
      <w:r>
        <w:rPr>
          <w:rFonts w:hint="default" w:ascii="Times New Roman" w:hAnsi="Times New Roman" w:eastAsia="仿宋_GB2312" w:cs="Times New Roman"/>
          <w:color w:val="auto"/>
          <w:sz w:val="32"/>
          <w:szCs w:val="32"/>
          <w:highlight w:val="none"/>
          <w:lang w:eastAsia="zh-CN"/>
        </w:rPr>
        <w:t>和</w:t>
      </w:r>
      <w:r>
        <w:rPr>
          <w:rFonts w:hint="default" w:ascii="Times New Roman" w:hAnsi="Times New Roman" w:eastAsia="仿宋_GB2312" w:cs="Times New Roman"/>
          <w:color w:val="auto"/>
          <w:sz w:val="32"/>
          <w:szCs w:val="32"/>
          <w:highlight w:val="none"/>
          <w:lang w:val="en-US" w:eastAsia="zh-CN"/>
        </w:rPr>
        <w:t>杨潮伟</w:t>
      </w:r>
      <w:r>
        <w:rPr>
          <w:rFonts w:hint="default" w:ascii="Times New Roman" w:hAnsi="Times New Roman" w:eastAsia="仿宋_GB2312" w:cs="Times New Roman"/>
          <w:color w:val="auto"/>
          <w:sz w:val="32"/>
          <w:szCs w:val="32"/>
          <w:highlight w:val="none"/>
          <w:lang w:eastAsia="zh-CN"/>
        </w:rPr>
        <w:t>，主要负责项目监督管理、验收以及资金核拨等工作。</w:t>
      </w:r>
    </w:p>
    <w:p w14:paraId="7334D1F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综上，该项指标满分4分，得分4分。</w:t>
      </w:r>
    </w:p>
    <w:p w14:paraId="5EF6A8D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130" w:name="_Toc2441"/>
      <w:r>
        <w:rPr>
          <w:rFonts w:hint="default" w:ascii="Times New Roman" w:hAnsi="Times New Roman" w:eastAsia="楷体_GB2312" w:cs="Times New Roman"/>
          <w:color w:val="auto"/>
          <w:kern w:val="28"/>
          <w:sz w:val="32"/>
          <w:highlight w:val="none"/>
          <w:lang w:val="en-US" w:eastAsia="zh-CN"/>
        </w:rPr>
        <w:t>（三）项目产出情况</w:t>
      </w:r>
      <w:bookmarkEnd w:id="130"/>
    </w:p>
    <w:p w14:paraId="4F89F6EB">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lang w:val="en-US" w:eastAsia="zh-CN"/>
        </w:rPr>
        <w:t>产出</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包括产出数量、产出质量、产出时效、产出成本四方面的内容，共</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9</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10DBC0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8"/>
          <w:szCs w:val="28"/>
          <w:highlight w:val="none"/>
          <w:shd w:val="clear" w:color="auto" w:fill="auto"/>
          <w:lang w:val="en-US" w:eastAsia="zh-CN"/>
        </w:rPr>
      </w:pPr>
      <w:r>
        <w:rPr>
          <w:rFonts w:hint="default" w:ascii="Times New Roman" w:hAnsi="Times New Roman" w:eastAsia="宋体" w:cs="Times New Roman"/>
          <w:b/>
          <w:bCs/>
          <w:color w:val="auto"/>
          <w:kern w:val="0"/>
          <w:sz w:val="28"/>
          <w:szCs w:val="28"/>
          <w:highlight w:val="none"/>
          <w:shd w:val="clear" w:color="auto" w:fill="auto"/>
          <w:lang w:val="zh-TW" w:eastAsia="zh-TW"/>
        </w:rPr>
        <w:t>表</w:t>
      </w:r>
      <w:r>
        <w:rPr>
          <w:rFonts w:hint="default" w:ascii="Times New Roman" w:hAnsi="Times New Roman" w:eastAsia="宋体" w:cs="Times New Roman"/>
          <w:b/>
          <w:bCs/>
          <w:color w:val="auto"/>
          <w:kern w:val="0"/>
          <w:sz w:val="28"/>
          <w:szCs w:val="28"/>
          <w:highlight w:val="none"/>
          <w:shd w:val="clear" w:color="auto" w:fill="auto"/>
          <w:lang w:val="en-US" w:eastAsia="zh-CN"/>
        </w:rPr>
        <w:t>4-3项目产出</w:t>
      </w:r>
      <w:r>
        <w:rPr>
          <w:rFonts w:hint="default" w:ascii="Times New Roman" w:hAnsi="Times New Roman" w:eastAsia="宋体" w:cs="Times New Roman"/>
          <w:b/>
          <w:bCs/>
          <w:color w:val="auto"/>
          <w:kern w:val="0"/>
          <w:sz w:val="28"/>
          <w:szCs w:val="28"/>
          <w:highlight w:val="none"/>
          <w:shd w:val="clear" w:color="auto" w:fill="auto"/>
          <w:lang w:val="zh-TW" w:eastAsia="zh-TW"/>
        </w:rPr>
        <w:t>指标及分值</w:t>
      </w:r>
      <w:r>
        <w:rPr>
          <w:rFonts w:hint="default" w:ascii="Times New Roman" w:hAnsi="Times New Roman" w:eastAsia="宋体" w:cs="Times New Roman"/>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5B244255">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F69EF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CA611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70253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433AAA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5B135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8E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BB8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指标得分</w:t>
            </w:r>
          </w:p>
        </w:tc>
      </w:tr>
      <w:tr w14:paraId="6F7A1A5F">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9D36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AE4A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A62A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化解债务项目数量</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9CEB82">
            <w:pPr>
              <w:keepNext w:val="0"/>
              <w:keepLines w:val="0"/>
              <w:widowControl/>
              <w:suppressLineNumbers w:val="0"/>
              <w:ind w:firstLine="400" w:firstLineChars="20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≤3个</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D990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c>
          <w:tcPr>
            <w:tcW w:w="136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7E8DC39">
            <w:pPr>
              <w:keepNext w:val="0"/>
              <w:keepLines w:val="0"/>
              <w:widowControl/>
              <w:suppressLineNumbers w:val="0"/>
              <w:ind w:firstLine="400" w:firstLineChars="20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3个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11E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00BD969D">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8EBA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D997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D02F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支付项目款企业数</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CAF452">
            <w:pPr>
              <w:keepNext w:val="0"/>
              <w:keepLines w:val="0"/>
              <w:widowControl/>
              <w:suppressLineNumbers w:val="0"/>
              <w:ind w:firstLine="400" w:firstLineChars="20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≤52个</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7C8A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3</w:t>
            </w:r>
          </w:p>
        </w:tc>
        <w:tc>
          <w:tcPr>
            <w:tcW w:w="136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BD0D9F7">
            <w:pPr>
              <w:keepNext w:val="0"/>
              <w:keepLines w:val="0"/>
              <w:widowControl/>
              <w:suppressLineNumbers w:val="0"/>
              <w:ind w:firstLine="400" w:firstLineChars="20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52个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80B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3</w:t>
            </w:r>
          </w:p>
        </w:tc>
      </w:tr>
      <w:tr w14:paraId="601138C3">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B65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82C6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6F61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资金使用合规律</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3BAB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8D60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FF9FC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BD1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4F93CB13">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97F2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847D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71EB5C">
            <w:pPr>
              <w:keepNext w:val="0"/>
              <w:keepLines w:val="0"/>
              <w:widowControl/>
              <w:suppressLineNumbers w:val="0"/>
              <w:ind w:firstLine="400" w:firstLineChars="200"/>
              <w:jc w:val="left"/>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资金支付时间</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D082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≤2024年12月31日前</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8C82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4642E60">
            <w:pPr>
              <w:keepNext w:val="0"/>
              <w:keepLines w:val="0"/>
              <w:widowControl/>
              <w:suppressLineNumbers w:val="0"/>
              <w:ind w:left="0" w:leftChars="0" w:firstLine="0" w:firstLineChars="0"/>
              <w:jc w:val="both"/>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2024年12月31日前</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9DC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47DC47EA">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6A8788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5F5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EFE12">
            <w:pPr>
              <w:keepNext w:val="0"/>
              <w:keepLines w:val="0"/>
              <w:widowControl/>
              <w:suppressLineNumbers w:val="0"/>
              <w:ind w:firstLine="400" w:firstLineChars="200"/>
              <w:jc w:val="left"/>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偿还及时率</w:t>
            </w:r>
          </w:p>
        </w:tc>
        <w:tc>
          <w:tcPr>
            <w:tcW w:w="14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7D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BC8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8B1CB">
            <w:pPr>
              <w:keepNext w:val="0"/>
              <w:keepLines w:val="0"/>
              <w:widowControl/>
              <w:suppressLineNumbers w:val="0"/>
              <w:ind w:firstLine="400" w:firstLineChars="20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iCs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882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043F95C2">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2E30B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47405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66D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化解施工企业工程款欠款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94F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≤2632.93万元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59D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33A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p w14:paraId="461136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2632.93万元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5A1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5DCBC4C9">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E3509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5F420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FB9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化解项目审计单位欠款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3B4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≤9.68万元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B5D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66C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9.68万元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948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62410883">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0B5598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B3F1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1C8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化解项目设计单位欠款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A34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≤61.57万元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745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880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61.57万元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48F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0487E405">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882EF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071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871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化解项目监理单位欠款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641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≤8.64万元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604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438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8.64万元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7AE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71603B0D">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995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E9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r>
              <w:rPr>
                <w:rFonts w:hint="default" w:ascii="Times New Roman" w:hAnsi="Times New Roman" w:eastAsia="宋体" w:cs="Times New Roman"/>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345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FD1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40</w:t>
            </w:r>
          </w:p>
        </w:tc>
      </w:tr>
    </w:tbl>
    <w:p w14:paraId="2AC20520">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highlight w:val="none"/>
          <w:lang w:val="en-US" w:eastAsia="zh-CN"/>
        </w:rPr>
      </w:pPr>
      <w:bookmarkStart w:id="131" w:name="_Toc11067"/>
      <w:bookmarkStart w:id="132" w:name="_Toc26689"/>
      <w:r>
        <w:rPr>
          <w:rFonts w:hint="default" w:ascii="Times New Roman" w:hAnsi="Times New Roman" w:eastAsia="仿宋_GB2312" w:cs="Times New Roman"/>
          <w:b/>
          <w:bCs/>
          <w:color w:val="auto"/>
          <w:sz w:val="32"/>
          <w:szCs w:val="32"/>
          <w:highlight w:val="none"/>
          <w:lang w:val="en-US" w:eastAsia="zh-CN"/>
        </w:rPr>
        <w:t>1.数量指标完成情况</w:t>
      </w:r>
      <w:bookmarkEnd w:id="131"/>
      <w:bookmarkEnd w:id="132"/>
    </w:p>
    <w:p w14:paraId="2CBA51B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化解债务项目数量</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指标，预期目标值为3个，实际完成为3个。实际完成率=（3个/3个）×100%=100%，</w:t>
      </w:r>
    </w:p>
    <w:p w14:paraId="4B66726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支付项目款企业数</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指标，预期目标值为52个，实际完成为52个。实际完成率=（52个/52个）×100%=100%，</w:t>
      </w:r>
    </w:p>
    <w:p w14:paraId="3BBB36F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综上，该项指标满分5分，得分5分。</w:t>
      </w:r>
    </w:p>
    <w:p w14:paraId="4EDCA457">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33" w:name="_Toc31739"/>
      <w:bookmarkStart w:id="134" w:name="_Toc14255"/>
      <w:r>
        <w:rPr>
          <w:rFonts w:hint="default" w:ascii="Times New Roman" w:hAnsi="Times New Roman" w:eastAsia="仿宋_GB2312" w:cs="Times New Roman"/>
          <w:b/>
          <w:bCs/>
          <w:color w:val="auto"/>
          <w:sz w:val="32"/>
          <w:szCs w:val="32"/>
          <w:highlight w:val="none"/>
          <w:lang w:val="en-US" w:eastAsia="zh-CN"/>
        </w:rPr>
        <w:t>2.</w:t>
      </w:r>
      <w:bookmarkEnd w:id="133"/>
      <w:r>
        <w:rPr>
          <w:rFonts w:hint="default" w:ascii="Times New Roman" w:hAnsi="Times New Roman" w:eastAsia="仿宋_GB2312" w:cs="Times New Roman"/>
          <w:b/>
          <w:bCs/>
          <w:color w:val="auto"/>
          <w:sz w:val="32"/>
          <w:szCs w:val="32"/>
          <w:highlight w:val="none"/>
          <w:lang w:val="en-US" w:eastAsia="zh-CN"/>
        </w:rPr>
        <w:t>质量指标完成情况</w:t>
      </w:r>
      <w:bookmarkEnd w:id="134"/>
    </w:p>
    <w:p w14:paraId="3E97F9C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资金使用合规</w:t>
      </w:r>
      <w:r>
        <w:rPr>
          <w:rFonts w:hint="eastAsia" w:ascii="Times New Roman" w:hAnsi="Times New Roman" w:eastAsia="仿宋_GB2312" w:cs="Times New Roman"/>
          <w:color w:val="auto"/>
          <w:sz w:val="32"/>
          <w:szCs w:val="32"/>
          <w:highlight w:val="none"/>
          <w:lang w:val="en-US" w:eastAsia="zh-CN"/>
        </w:rPr>
        <w:t>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指标，预期目标值为100%，实际完成为100%。实际完成率100%。</w:t>
      </w:r>
    </w:p>
    <w:p w14:paraId="654F231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综上，该项指标满分5分，得分5分。</w:t>
      </w:r>
    </w:p>
    <w:p w14:paraId="261360B7">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35" w:name="_Toc18307"/>
      <w:bookmarkStart w:id="136" w:name="_Toc28885"/>
      <w:r>
        <w:rPr>
          <w:rFonts w:hint="default" w:ascii="Times New Roman" w:hAnsi="Times New Roman" w:eastAsia="仿宋_GB2312" w:cs="Times New Roman"/>
          <w:b/>
          <w:bCs/>
          <w:color w:val="auto"/>
          <w:sz w:val="32"/>
          <w:szCs w:val="32"/>
          <w:highlight w:val="none"/>
          <w:lang w:val="en-US" w:eastAsia="zh-CN"/>
        </w:rPr>
        <w:t>3.</w:t>
      </w:r>
      <w:bookmarkEnd w:id="135"/>
      <w:r>
        <w:rPr>
          <w:rFonts w:hint="default" w:ascii="Times New Roman" w:hAnsi="Times New Roman" w:eastAsia="仿宋_GB2312" w:cs="Times New Roman"/>
          <w:b/>
          <w:bCs/>
          <w:color w:val="auto"/>
          <w:sz w:val="32"/>
          <w:szCs w:val="32"/>
          <w:highlight w:val="none"/>
          <w:lang w:val="en-US" w:eastAsia="zh-CN"/>
        </w:rPr>
        <w:t>时效指标完成情况</w:t>
      </w:r>
      <w:bookmarkEnd w:id="136"/>
    </w:p>
    <w:p w14:paraId="0DE4C90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资金支付时间</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指标，预期目标值为≤2024年12月31日前，实际完成为2024年12月31日前。实际完成率100%。</w:t>
      </w:r>
    </w:p>
    <w:p w14:paraId="7E9D260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偿还及时率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指标，预期目标值为100%，实际完成为100%。实际完成率100%。</w:t>
      </w:r>
    </w:p>
    <w:p w14:paraId="211F331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综上，该项指标满分10分，得分10分。</w:t>
      </w:r>
    </w:p>
    <w:p w14:paraId="30F3D7DF">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37" w:name="_Toc32765"/>
      <w:bookmarkStart w:id="138" w:name="_Toc20607"/>
      <w:r>
        <w:rPr>
          <w:rFonts w:hint="default" w:ascii="Times New Roman" w:hAnsi="Times New Roman" w:eastAsia="仿宋_GB2312" w:cs="Times New Roman"/>
          <w:b/>
          <w:bCs/>
          <w:color w:val="auto"/>
          <w:sz w:val="32"/>
          <w:szCs w:val="32"/>
          <w:highlight w:val="none"/>
          <w:lang w:val="en-US" w:eastAsia="zh-CN"/>
        </w:rPr>
        <w:t>4.项目</w:t>
      </w:r>
      <w:bookmarkEnd w:id="137"/>
      <w:r>
        <w:rPr>
          <w:rFonts w:hint="default" w:ascii="Times New Roman" w:hAnsi="Times New Roman" w:eastAsia="仿宋_GB2312" w:cs="Times New Roman"/>
          <w:b/>
          <w:bCs/>
          <w:color w:val="auto"/>
          <w:sz w:val="32"/>
          <w:szCs w:val="32"/>
          <w:highlight w:val="none"/>
          <w:lang w:val="en-US" w:eastAsia="zh-CN"/>
        </w:rPr>
        <w:t>成本情况</w:t>
      </w:r>
      <w:bookmarkEnd w:id="138"/>
    </w:p>
    <w:p w14:paraId="57FA7C3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经济</w:t>
      </w:r>
      <w:r>
        <w:rPr>
          <w:rFonts w:hint="default" w:ascii="Times New Roman" w:hAnsi="Times New Roman" w:eastAsia="仿宋_GB2312" w:cs="Times New Roman"/>
          <w:b/>
          <w:bCs/>
          <w:color w:val="auto"/>
          <w:sz w:val="32"/>
          <w:szCs w:val="32"/>
          <w:highlight w:val="none"/>
          <w:lang w:eastAsia="zh-CN"/>
        </w:rPr>
        <w:t>成本指标完成情况</w:t>
      </w:r>
    </w:p>
    <w:p w14:paraId="71F6D05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化解施工企业工程款欠款</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指标，预期目标值为≤，实际完成为2632.93万元。实际完成率=（2632.93万元/2632.93万元）×100%=100%。</w:t>
      </w:r>
    </w:p>
    <w:p w14:paraId="0E9B0D9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化解项目审计单位欠款</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指标，预期目标值为≤9.68万元，实际完成为9.68万元。实际完成率=（9.68万元/9.68万元）×100%=100%。</w:t>
      </w:r>
    </w:p>
    <w:p w14:paraId="1005F77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化解项目设计单位欠款</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指标，预期目标值为≤61.57万元，实际完成为61.57万元。实际完成率=（61.57万元/61.57万元）×100%=100%。</w:t>
      </w:r>
    </w:p>
    <w:p w14:paraId="53F5FD9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化解项目监理单位欠款</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指标，预期目标值为≤8.64万元，实际完成为8.64万元。实际完成率=（8.64万元/8.64万元）×100%=100%。</w:t>
      </w:r>
    </w:p>
    <w:p w14:paraId="4C893AB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综上，该项指标满分20分，得分20分。</w:t>
      </w:r>
    </w:p>
    <w:p w14:paraId="4B39934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highlight w:val="none"/>
          <w:lang w:val="en-US" w:eastAsia="zh-CN"/>
        </w:rPr>
      </w:pPr>
      <w:bookmarkStart w:id="139" w:name="_Toc19424"/>
      <w:r>
        <w:rPr>
          <w:rFonts w:hint="default" w:ascii="Times New Roman" w:hAnsi="Times New Roman" w:eastAsia="楷体_GB2312" w:cs="Times New Roman"/>
          <w:color w:val="auto"/>
          <w:kern w:val="28"/>
          <w:sz w:val="32"/>
          <w:highlight w:val="none"/>
          <w:lang w:val="en-US" w:eastAsia="zh-CN"/>
        </w:rPr>
        <w:t>（四）项目效益情况</w:t>
      </w:r>
      <w:bookmarkEnd w:id="139"/>
    </w:p>
    <w:p w14:paraId="4D75AC39">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lang w:val="en-US" w:eastAsia="zh-CN"/>
        </w:rPr>
        <w:t>效益</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由</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1</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eastAsia"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14025F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cs="Times New Roman"/>
          <w:b/>
          <w:bCs/>
          <w:color w:val="auto"/>
          <w:kern w:val="0"/>
          <w:sz w:val="28"/>
          <w:szCs w:val="28"/>
          <w:highlight w:val="none"/>
          <w:shd w:val="clear" w:color="auto" w:fill="auto"/>
          <w:lang w:val="zh-TW" w:eastAsia="zh-CN"/>
        </w:rPr>
      </w:pPr>
    </w:p>
    <w:p w14:paraId="70947FE1">
      <w:pPr>
        <w:pageBreakBefore w:val="0"/>
        <w:widowControl w:val="0"/>
        <w:kinsoku/>
        <w:wordWrap/>
        <w:overflowPunct/>
        <w:topLinePunct w:val="0"/>
        <w:autoSpaceDE/>
        <w:autoSpaceDN/>
        <w:bidi w:val="0"/>
        <w:adjustRightInd/>
        <w:spacing w:line="560" w:lineRule="exact"/>
        <w:ind w:firstLine="560"/>
        <w:jc w:val="center"/>
        <w:textAlignment w:val="auto"/>
        <w:rPr>
          <w:rFonts w:hint="default" w:ascii="Times New Roman" w:hAnsi="Times New Roman" w:eastAsia="宋体" w:cs="Times New Roman"/>
          <w:b/>
          <w:bCs/>
          <w:color w:val="auto"/>
          <w:kern w:val="0"/>
          <w:sz w:val="28"/>
          <w:szCs w:val="28"/>
          <w:highlight w:val="none"/>
          <w:shd w:val="clear" w:color="auto" w:fill="auto"/>
          <w:lang w:val="en-US" w:eastAsia="zh-CN"/>
        </w:rPr>
      </w:pPr>
      <w:r>
        <w:rPr>
          <w:rFonts w:hint="default" w:ascii="Times New Roman" w:hAnsi="Times New Roman" w:eastAsia="宋体" w:cs="Times New Roman"/>
          <w:b/>
          <w:bCs/>
          <w:color w:val="auto"/>
          <w:kern w:val="0"/>
          <w:sz w:val="28"/>
          <w:szCs w:val="28"/>
          <w:highlight w:val="none"/>
          <w:shd w:val="clear" w:color="auto" w:fill="auto"/>
          <w:lang w:val="zh-TW" w:eastAsia="zh-TW"/>
        </w:rPr>
        <w:t>表</w:t>
      </w:r>
      <w:r>
        <w:rPr>
          <w:rFonts w:hint="default" w:ascii="Times New Roman" w:hAnsi="Times New Roman" w:eastAsia="宋体" w:cs="Times New Roman"/>
          <w:b/>
          <w:bCs/>
          <w:color w:val="auto"/>
          <w:kern w:val="0"/>
          <w:sz w:val="28"/>
          <w:szCs w:val="28"/>
          <w:highlight w:val="none"/>
          <w:shd w:val="clear" w:color="auto" w:fill="auto"/>
          <w:lang w:val="en-US" w:eastAsia="zh-CN"/>
        </w:rPr>
        <w:t>4-4项目效益</w:t>
      </w:r>
      <w:r>
        <w:rPr>
          <w:rFonts w:hint="default" w:ascii="Times New Roman" w:hAnsi="Times New Roman" w:eastAsia="宋体" w:cs="Times New Roman"/>
          <w:b/>
          <w:bCs/>
          <w:color w:val="auto"/>
          <w:kern w:val="0"/>
          <w:sz w:val="28"/>
          <w:szCs w:val="28"/>
          <w:highlight w:val="none"/>
          <w:shd w:val="clear" w:color="auto" w:fill="auto"/>
          <w:lang w:val="zh-TW" w:eastAsia="zh-TW"/>
        </w:rPr>
        <w:t>指标及分值</w:t>
      </w:r>
      <w:r>
        <w:rPr>
          <w:rFonts w:hint="default" w:ascii="Times New Roman" w:hAnsi="Times New Roman" w:eastAsia="宋体" w:cs="Times New Roman"/>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A38E41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0C6F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一级</w:t>
            </w:r>
          </w:p>
          <w:p w14:paraId="32C28D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指标</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BC5F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二级指标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1C4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三级指标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66A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年度指</w:t>
            </w:r>
          </w:p>
          <w:p w14:paraId="652E78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标值</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1679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标杆</w:t>
            </w:r>
          </w:p>
          <w:p w14:paraId="54A26E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2237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全年实</w:t>
            </w:r>
          </w:p>
          <w:p w14:paraId="3F7047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际完成值</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66FD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指标</w:t>
            </w:r>
          </w:p>
          <w:p w14:paraId="2B8A0A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得分</w:t>
            </w:r>
          </w:p>
        </w:tc>
      </w:tr>
      <w:tr w14:paraId="086EB093">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D305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效益</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D915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经济效益指标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BB9B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化解单位债务，提升单位和政府形象</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8170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831D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5</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12C7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2D8B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5</w:t>
            </w:r>
          </w:p>
        </w:tc>
      </w:tr>
      <w:tr w14:paraId="3F7CFA69">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67C360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99CE9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社会效益指标</w:t>
            </w:r>
          </w:p>
        </w:tc>
        <w:tc>
          <w:tcPr>
            <w:tcW w:w="27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8AEC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完善企业债务化解机制</w:t>
            </w:r>
          </w:p>
        </w:tc>
        <w:tc>
          <w:tcPr>
            <w:tcW w:w="8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481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4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A6B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5</w:t>
            </w:r>
          </w:p>
        </w:tc>
        <w:tc>
          <w:tcPr>
            <w:tcW w:w="105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555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5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47E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5</w:t>
            </w:r>
          </w:p>
        </w:tc>
      </w:tr>
      <w:tr w14:paraId="560B1C6A">
        <w:tblPrEx>
          <w:shd w:val="clear" w:color="auto" w:fill="auto"/>
          <w:tblCellMar>
            <w:top w:w="0" w:type="dxa"/>
            <w:left w:w="0" w:type="dxa"/>
            <w:bottom w:w="0" w:type="dxa"/>
            <w:right w:w="0" w:type="dxa"/>
          </w:tblCellMar>
        </w:tblPrEx>
        <w:trPr>
          <w:trHeight w:val="436" w:hRule="atLeast"/>
          <w:jc w:val="center"/>
        </w:trPr>
        <w:tc>
          <w:tcPr>
            <w:tcW w:w="685" w:type="dxa"/>
            <w:tcBorders>
              <w:left w:val="single" w:color="auto" w:sz="4" w:space="0"/>
              <w:right w:val="single" w:color="000000" w:sz="4" w:space="0"/>
            </w:tcBorders>
            <w:shd w:val="clear" w:color="auto" w:fill="auto"/>
            <w:tcMar>
              <w:top w:w="15" w:type="dxa"/>
              <w:left w:w="15" w:type="dxa"/>
              <w:right w:w="15" w:type="dxa"/>
            </w:tcMar>
            <w:vAlign w:val="center"/>
          </w:tcPr>
          <w:p w14:paraId="7E096B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A7D3C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72DE4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7AC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9B0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320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E59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10</w:t>
            </w:r>
          </w:p>
        </w:tc>
      </w:tr>
      <w:tr w14:paraId="2BC29B80">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C58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00D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r>
              <w:rPr>
                <w:rFonts w:hint="default" w:ascii="Times New Roman" w:hAnsi="Times New Roman" w:eastAsia="宋体" w:cs="Times New Roman"/>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880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8C9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20</w:t>
            </w:r>
          </w:p>
        </w:tc>
      </w:tr>
    </w:tbl>
    <w:p w14:paraId="00CE0B42">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40" w:name="_Toc8010"/>
      <w:bookmarkStart w:id="141" w:name="_Toc5170"/>
      <w:r>
        <w:rPr>
          <w:rFonts w:hint="default" w:ascii="Times New Roman" w:hAnsi="Times New Roman" w:eastAsia="仿宋_GB2312" w:cs="Times New Roman"/>
          <w:b/>
          <w:bCs/>
          <w:color w:val="auto"/>
          <w:sz w:val="32"/>
          <w:szCs w:val="32"/>
          <w:highlight w:val="none"/>
          <w:lang w:val="en-US" w:eastAsia="zh-CN"/>
        </w:rPr>
        <w:t>1.经济效益指标</w:t>
      </w:r>
      <w:bookmarkEnd w:id="140"/>
      <w:r>
        <w:rPr>
          <w:rFonts w:hint="default" w:ascii="Times New Roman" w:hAnsi="Times New Roman" w:eastAsia="仿宋_GB2312" w:cs="Times New Roman"/>
          <w:b/>
          <w:bCs/>
          <w:color w:val="auto"/>
          <w:sz w:val="32"/>
          <w:szCs w:val="32"/>
          <w:highlight w:val="none"/>
          <w:lang w:val="en-US" w:eastAsia="zh-CN"/>
        </w:rPr>
        <w:t>完成情况</w:t>
      </w:r>
      <w:bookmarkEnd w:id="141"/>
    </w:p>
    <w:p w14:paraId="7CB1DB7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化解单位债务，提升单位和政府形象</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指标，预期目标值为100%，实际完成为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通过项目的实施达到</w:t>
      </w:r>
      <w:r>
        <w:rPr>
          <w:rFonts w:hint="default" w:ascii="Times New Roman" w:hAnsi="Times New Roman" w:eastAsia="仿宋_GB2312" w:cs="Times New Roman"/>
          <w:color w:val="auto"/>
          <w:sz w:val="32"/>
          <w:szCs w:val="32"/>
          <w:highlight w:val="none"/>
          <w:lang w:val="en-US" w:eastAsia="zh-CN"/>
        </w:rPr>
        <w:t>化解单位债务，提升单位和政府形象</w:t>
      </w:r>
      <w:r>
        <w:rPr>
          <w:rFonts w:hint="eastAsia" w:ascii="Times New Roman" w:hAnsi="Times New Roman" w:eastAsia="仿宋_GB2312" w:cs="Times New Roman"/>
          <w:color w:val="auto"/>
          <w:sz w:val="32"/>
          <w:szCs w:val="32"/>
          <w:highlight w:val="none"/>
          <w:lang w:val="en-US" w:eastAsia="zh-CN"/>
        </w:rPr>
        <w:t>的效益。</w:t>
      </w:r>
    </w:p>
    <w:p w14:paraId="3DBFFB6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w:t>
      </w:r>
      <w:r>
        <w:rPr>
          <w:rFonts w:hint="eastAsia" w:ascii="Times New Roman" w:hAnsi="Times New Roman" w:eastAsia="仿宋_GB2312" w:cs="Times New Roman"/>
          <w:b/>
          <w:bCs/>
          <w:color w:val="auto"/>
          <w:sz w:val="32"/>
          <w:szCs w:val="32"/>
          <w:highlight w:val="none"/>
          <w:lang w:val="en-US" w:eastAsia="zh-CN"/>
        </w:rPr>
        <w:t>5</w:t>
      </w:r>
      <w:r>
        <w:rPr>
          <w:rFonts w:hint="default" w:ascii="Times New Roman" w:hAnsi="Times New Roman" w:eastAsia="仿宋_GB2312" w:cs="Times New Roman"/>
          <w:b/>
          <w:bCs/>
          <w:color w:val="auto"/>
          <w:sz w:val="32"/>
          <w:szCs w:val="32"/>
          <w:highlight w:val="none"/>
          <w:lang w:val="en-US" w:eastAsia="zh-CN"/>
        </w:rPr>
        <w:t>分，得分</w:t>
      </w:r>
      <w:r>
        <w:rPr>
          <w:rFonts w:hint="eastAsia" w:ascii="Times New Roman" w:hAnsi="Times New Roman" w:eastAsia="仿宋_GB2312" w:cs="Times New Roman"/>
          <w:b/>
          <w:bCs/>
          <w:color w:val="auto"/>
          <w:sz w:val="32"/>
          <w:szCs w:val="32"/>
          <w:highlight w:val="none"/>
          <w:lang w:val="en-US" w:eastAsia="zh-CN"/>
        </w:rPr>
        <w:t>5</w:t>
      </w:r>
      <w:r>
        <w:rPr>
          <w:rFonts w:hint="default" w:ascii="Times New Roman" w:hAnsi="Times New Roman" w:eastAsia="仿宋_GB2312" w:cs="Times New Roman"/>
          <w:b/>
          <w:bCs/>
          <w:color w:val="auto"/>
          <w:sz w:val="32"/>
          <w:szCs w:val="32"/>
          <w:highlight w:val="none"/>
          <w:lang w:val="en-US" w:eastAsia="zh-CN"/>
        </w:rPr>
        <w:t>分。</w:t>
      </w:r>
    </w:p>
    <w:p w14:paraId="3AE8208D">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highlight w:val="none"/>
          <w:lang w:val="en-US" w:eastAsia="zh-CN"/>
        </w:rPr>
      </w:pPr>
      <w:bookmarkStart w:id="142" w:name="_Toc27006"/>
      <w:bookmarkStart w:id="143" w:name="_Toc29606"/>
      <w:r>
        <w:rPr>
          <w:rFonts w:hint="default" w:ascii="Times New Roman" w:hAnsi="Times New Roman" w:eastAsia="仿宋_GB2312" w:cs="Times New Roman"/>
          <w:b/>
          <w:bCs/>
          <w:color w:val="auto"/>
          <w:sz w:val="32"/>
          <w:szCs w:val="32"/>
          <w:highlight w:val="none"/>
          <w:lang w:val="en-US" w:eastAsia="zh-CN"/>
        </w:rPr>
        <w:t>2.社会效益指标</w:t>
      </w:r>
      <w:bookmarkEnd w:id="142"/>
      <w:r>
        <w:rPr>
          <w:rFonts w:hint="default" w:ascii="Times New Roman" w:hAnsi="Times New Roman" w:eastAsia="仿宋_GB2312" w:cs="Times New Roman"/>
          <w:b/>
          <w:bCs/>
          <w:color w:val="auto"/>
          <w:sz w:val="32"/>
          <w:szCs w:val="32"/>
          <w:highlight w:val="none"/>
          <w:lang w:val="en-US" w:eastAsia="zh-CN"/>
        </w:rPr>
        <w:t>完成情况</w:t>
      </w:r>
      <w:bookmarkEnd w:id="143"/>
    </w:p>
    <w:p w14:paraId="2C74950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完善企业债务化解机制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指标，预期目标值为100%，实际完成为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通过项目的实施达到完善企业债务化解机制</w:t>
      </w:r>
      <w:r>
        <w:rPr>
          <w:rFonts w:hint="eastAsia" w:ascii="Times New Roman" w:hAnsi="Times New Roman" w:eastAsia="仿宋_GB2312" w:cs="Times New Roman"/>
          <w:b w:val="0"/>
          <w:bCs w:val="0"/>
          <w:color w:val="auto"/>
          <w:sz w:val="32"/>
          <w:szCs w:val="32"/>
          <w:highlight w:val="none"/>
          <w:lang w:val="en-US" w:eastAsia="zh-CN"/>
        </w:rPr>
        <w:t>的效益。</w:t>
      </w:r>
    </w:p>
    <w:p w14:paraId="79AF747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w:t>
      </w:r>
      <w:r>
        <w:rPr>
          <w:rFonts w:hint="eastAsia" w:ascii="Times New Roman" w:hAnsi="Times New Roman" w:eastAsia="仿宋_GB2312" w:cs="Times New Roman"/>
          <w:b/>
          <w:bCs/>
          <w:color w:val="auto"/>
          <w:sz w:val="32"/>
          <w:szCs w:val="32"/>
          <w:highlight w:val="none"/>
          <w:lang w:val="en-US" w:eastAsia="zh-CN"/>
        </w:rPr>
        <w:t>5</w:t>
      </w:r>
      <w:r>
        <w:rPr>
          <w:rFonts w:hint="default" w:ascii="Times New Roman" w:hAnsi="Times New Roman" w:eastAsia="仿宋_GB2312" w:cs="Times New Roman"/>
          <w:b/>
          <w:bCs/>
          <w:color w:val="auto"/>
          <w:sz w:val="32"/>
          <w:szCs w:val="32"/>
          <w:highlight w:val="none"/>
          <w:lang w:val="en-US" w:eastAsia="zh-CN"/>
        </w:rPr>
        <w:t>分，得分</w:t>
      </w:r>
      <w:r>
        <w:rPr>
          <w:rFonts w:hint="eastAsia" w:ascii="Times New Roman" w:hAnsi="Times New Roman" w:eastAsia="仿宋_GB2312" w:cs="Times New Roman"/>
          <w:b/>
          <w:bCs/>
          <w:color w:val="auto"/>
          <w:sz w:val="32"/>
          <w:szCs w:val="32"/>
          <w:highlight w:val="none"/>
          <w:lang w:val="en-US" w:eastAsia="zh-CN"/>
        </w:rPr>
        <w:t>5</w:t>
      </w:r>
      <w:r>
        <w:rPr>
          <w:rFonts w:hint="default" w:ascii="Times New Roman" w:hAnsi="Times New Roman" w:eastAsia="仿宋_GB2312" w:cs="Times New Roman"/>
          <w:b/>
          <w:bCs/>
          <w:color w:val="auto"/>
          <w:sz w:val="32"/>
          <w:szCs w:val="32"/>
          <w:highlight w:val="none"/>
          <w:lang w:val="en-US" w:eastAsia="zh-CN"/>
        </w:rPr>
        <w:t>分。</w:t>
      </w:r>
      <w:bookmarkStart w:id="144" w:name="_Toc23313"/>
    </w:p>
    <w:p w14:paraId="53F3041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14825D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“企业满意度”指标，预期目标值为90%，实际完成为100%。</w:t>
      </w:r>
    </w:p>
    <w:p w14:paraId="72C2C53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13B1F2A">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lang w:val="en-US" w:eastAsia="zh-CN"/>
        </w:rPr>
      </w:pPr>
      <w:bookmarkStart w:id="145" w:name="_Toc6622"/>
      <w:r>
        <w:rPr>
          <w:rFonts w:hint="default" w:ascii="Times New Roman" w:hAnsi="Times New Roman" w:cs="Times New Roman"/>
          <w:b w:val="0"/>
          <w:bCs w:val="0"/>
          <w:color w:val="auto"/>
          <w:highlight w:val="none"/>
          <w:shd w:val="clear" w:color="auto" w:fill="auto"/>
          <w:lang w:val="en-US" w:eastAsia="zh-CN"/>
        </w:rPr>
        <w:t>五</w:t>
      </w:r>
      <w:r>
        <w:rPr>
          <w:rFonts w:hint="default" w:ascii="Times New Roman" w:hAnsi="Times New Roman" w:eastAsia="黑体" w:cs="Times New Roman"/>
          <w:b w:val="0"/>
          <w:bCs w:val="0"/>
          <w:color w:val="auto"/>
          <w:highlight w:val="none"/>
          <w:shd w:val="clear" w:color="auto" w:fill="auto"/>
          <w:lang w:val="en-US" w:eastAsia="zh-CN"/>
        </w:rPr>
        <w:t>、主要经验及做法、存在的问题及原因分析</w:t>
      </w:r>
      <w:bookmarkEnd w:id="145"/>
    </w:p>
    <w:p w14:paraId="5741665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15449"/>
      <w:bookmarkStart w:id="147" w:name="_Toc28290"/>
      <w:bookmarkStart w:id="148" w:name="_Toc1921"/>
      <w:r>
        <w:rPr>
          <w:rFonts w:hint="default" w:ascii="Times New Roman" w:hAnsi="Times New Roman" w:eastAsia="楷体_GB2312" w:cs="Times New Roman"/>
          <w:b/>
          <w:bCs/>
          <w:color w:val="auto"/>
          <w:kern w:val="28"/>
          <w:sz w:val="32"/>
          <w:highlight w:val="none"/>
          <w:lang w:val="en-US" w:eastAsia="zh-CN"/>
        </w:rPr>
        <w:t>（一）主要经验及做法</w:t>
      </w:r>
      <w:bookmarkEnd w:id="146"/>
    </w:p>
    <w:p w14:paraId="4022772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水利局债务化解项目</w:t>
      </w:r>
      <w:r>
        <w:rPr>
          <w:rFonts w:hint="default" w:ascii="Times New Roman" w:hAnsi="Times New Roman" w:eastAsia="仿宋_GB2312" w:cs="Times New Roman"/>
          <w:color w:val="auto"/>
          <w:sz w:val="32"/>
          <w:szCs w:val="32"/>
          <w:highlight w:val="none"/>
          <w:lang w:eastAsia="zh-CN"/>
        </w:rPr>
        <w:t>20</w:t>
      </w:r>
      <w:r>
        <w:rPr>
          <w:rFonts w:hint="default" w:ascii="Times New Roman" w:hAnsi="Times New Roman"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lang w:eastAsia="zh-CN"/>
        </w:rPr>
        <w:t>年预算</w:t>
      </w:r>
      <w:r>
        <w:rPr>
          <w:rFonts w:hint="default" w:ascii="Times New Roman" w:hAnsi="Times New Roman" w:eastAsia="仿宋_GB2312" w:cs="Times New Roman"/>
          <w:color w:val="auto"/>
          <w:sz w:val="32"/>
          <w:szCs w:val="32"/>
          <w:highlight w:val="none"/>
          <w:lang w:val="en-US" w:eastAsia="zh-CN"/>
        </w:rPr>
        <w:t>数</w:t>
      </w:r>
      <w:r>
        <w:rPr>
          <w:rFonts w:hint="default" w:ascii="Times New Roman" w:hAnsi="Times New Roman" w:eastAsia="仿宋_GB2312" w:cs="Times New Roman"/>
          <w:color w:val="auto"/>
          <w:sz w:val="32"/>
          <w:szCs w:val="32"/>
          <w:highlight w:val="none"/>
          <w:lang w:eastAsia="zh-CN"/>
        </w:rPr>
        <w:t>为</w:t>
      </w:r>
      <w:r>
        <w:rPr>
          <w:rFonts w:hint="default" w:ascii="Times New Roman" w:hAnsi="Times New Roman" w:eastAsia="仿宋_GB2312" w:cs="Times New Roman"/>
          <w:color w:val="auto"/>
          <w:sz w:val="32"/>
          <w:szCs w:val="32"/>
          <w:highlight w:val="none"/>
          <w:lang w:val="en-US" w:eastAsia="zh-CN"/>
        </w:rPr>
        <w:t>2712.82</w:t>
      </w:r>
      <w:r>
        <w:rPr>
          <w:rFonts w:hint="default" w:ascii="Times New Roman" w:hAnsi="Times New Roman" w:eastAsia="仿宋_GB2312" w:cs="Times New Roman"/>
          <w:color w:val="auto"/>
          <w:sz w:val="32"/>
          <w:szCs w:val="32"/>
          <w:highlight w:val="none"/>
          <w:lang w:eastAsia="zh-CN"/>
        </w:rPr>
        <w:t>万元，</w:t>
      </w:r>
      <w:r>
        <w:rPr>
          <w:rFonts w:hint="default" w:ascii="Times New Roman" w:hAnsi="Times New Roman" w:eastAsia="仿宋_GB2312" w:cs="Times New Roman"/>
          <w:color w:val="auto"/>
          <w:sz w:val="32"/>
          <w:szCs w:val="32"/>
          <w:highlight w:val="none"/>
          <w:lang w:val="en-US" w:eastAsia="zh-CN"/>
        </w:rPr>
        <w:t>截至2024年12月31日共</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lang w:val="en-US" w:eastAsia="zh-CN"/>
        </w:rPr>
        <w:t>2712.82</w:t>
      </w:r>
      <w:r>
        <w:rPr>
          <w:rFonts w:hint="default" w:ascii="Times New Roman" w:hAnsi="Times New Roman" w:eastAsia="仿宋_GB2312" w:cs="Times New Roman"/>
          <w:color w:val="auto"/>
          <w:sz w:val="32"/>
          <w:szCs w:val="32"/>
          <w:highlight w:val="none"/>
          <w:lang w:eastAsia="zh-CN"/>
        </w:rPr>
        <w:t>万元，预算</w:t>
      </w:r>
      <w:r>
        <w:rPr>
          <w:rFonts w:hint="default" w:ascii="Times New Roman" w:hAnsi="Times New Roman" w:eastAsia="仿宋_GB2312" w:cs="Times New Roman"/>
          <w:color w:val="auto"/>
          <w:sz w:val="32"/>
          <w:szCs w:val="32"/>
          <w:highlight w:val="none"/>
          <w:lang w:val="en-US" w:eastAsia="zh-CN"/>
        </w:rPr>
        <w:t>执行</w:t>
      </w:r>
      <w:r>
        <w:rPr>
          <w:rFonts w:hint="default" w:ascii="Times New Roman" w:hAnsi="Times New Roman" w:eastAsia="仿宋_GB2312" w:cs="Times New Roman"/>
          <w:color w:val="auto"/>
          <w:sz w:val="32"/>
          <w:szCs w:val="32"/>
          <w:highlight w:val="none"/>
          <w:lang w:eastAsia="zh-CN"/>
        </w:rPr>
        <w:t>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eastAsia="zh-CN"/>
        </w:rPr>
        <w:t>%。</w:t>
      </w:r>
    </w:p>
    <w:p w14:paraId="642E65F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default" w:ascii="Times New Roman" w:hAnsi="Times New Roman" w:eastAsia="仿宋_GB2312" w:cs="Times New Roman"/>
          <w:color w:val="auto"/>
          <w:sz w:val="32"/>
          <w:szCs w:val="32"/>
          <w:highlight w:val="none"/>
          <w:lang w:val="en-US" w:eastAsia="zh-CN"/>
        </w:rPr>
        <w:t>阜康市水利局</w:t>
      </w:r>
      <w:r>
        <w:rPr>
          <w:rFonts w:hint="default" w:ascii="Times New Roman" w:hAnsi="Times New Roman" w:eastAsia="仿宋_GB2312" w:cs="Times New Roman"/>
          <w:color w:val="auto"/>
          <w:sz w:val="32"/>
          <w:szCs w:val="32"/>
          <w:highlight w:val="none"/>
          <w:lang w:eastAsia="zh-CN"/>
        </w:rPr>
        <w:t>事业发展中关系民生与稳定的项目，切实优化资源配置，提高了资金使用的效率和效果。</w:t>
      </w:r>
    </w:p>
    <w:bookmarkEnd w:id="147"/>
    <w:bookmarkEnd w:id="148"/>
    <w:p w14:paraId="45FD04B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9" w:name="_Toc29168"/>
      <w:r>
        <w:rPr>
          <w:rFonts w:hint="default" w:ascii="Times New Roman" w:hAnsi="Times New Roman" w:eastAsia="楷体_GB2312" w:cs="Times New Roman"/>
          <w:b/>
          <w:bCs/>
          <w:color w:val="auto"/>
          <w:kern w:val="28"/>
          <w:sz w:val="32"/>
          <w:highlight w:val="none"/>
          <w:lang w:val="en-US" w:eastAsia="zh-CN"/>
        </w:rPr>
        <w:t>（二）存在的问题及原因分析</w:t>
      </w:r>
      <w:bookmarkEnd w:id="149"/>
    </w:p>
    <w:p w14:paraId="4F57497A">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仿宋_GB2312" w:cs="Times New Roman"/>
          <w:color w:val="auto"/>
          <w:kern w:val="2"/>
          <w:sz w:val="32"/>
          <w:szCs w:val="32"/>
          <w:highlight w:val="none"/>
          <w:lang w:val="en-US" w:eastAsia="zh-CN" w:bidi="ar-SA"/>
        </w:rPr>
      </w:pPr>
      <w:bookmarkStart w:id="150" w:name="_Toc3333"/>
      <w:r>
        <w:rPr>
          <w:rFonts w:hint="default" w:ascii="Times New Roman" w:hAnsi="Times New Roman" w:eastAsia="仿宋_GB2312" w:cs="Times New Roman"/>
          <w:color w:val="auto"/>
          <w:kern w:val="2"/>
          <w:sz w:val="32"/>
          <w:szCs w:val="32"/>
          <w:highlight w:val="none"/>
          <w:lang w:val="en-US" w:eastAsia="zh-CN" w:bidi="ar-SA"/>
        </w:rPr>
        <w:t>1.水利项目普遍缺乏前期经费，导致手续滞后，影响专项债申报；建设用地因税费无预算、占补平衡难落实而难以办理手续。</w:t>
      </w:r>
    </w:p>
    <w:p w14:paraId="22CB3BE3">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2.八个一批化债方式中以房屋抵债方式的资产移交较慢，部分企业拍到房屋后，房屋资产未及时完成移交，导致化债工作整体进程缓慢，未能及时产生效益</w:t>
      </w:r>
    </w:p>
    <w:p w14:paraId="3266D8F2">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lang w:val="en-US" w:eastAsia="zh-CN"/>
        </w:rPr>
      </w:pPr>
      <w:r>
        <w:rPr>
          <w:rFonts w:hint="default" w:ascii="Times New Roman" w:hAnsi="Times New Roman" w:cs="Times New Roman"/>
          <w:b w:val="0"/>
          <w:bCs w:val="0"/>
          <w:color w:val="auto"/>
          <w:highlight w:val="none"/>
          <w:shd w:val="clear" w:color="auto" w:fill="auto"/>
          <w:lang w:val="en-US" w:eastAsia="zh-CN"/>
        </w:rPr>
        <w:t>六</w:t>
      </w:r>
      <w:r>
        <w:rPr>
          <w:rFonts w:hint="default" w:ascii="Times New Roman" w:hAnsi="Times New Roman" w:eastAsia="黑体" w:cs="Times New Roman"/>
          <w:b w:val="0"/>
          <w:bCs w:val="0"/>
          <w:color w:val="auto"/>
          <w:highlight w:val="none"/>
          <w:shd w:val="clear" w:color="auto" w:fill="auto"/>
          <w:lang w:val="en-US" w:eastAsia="zh-CN"/>
        </w:rPr>
        <w:t>、有关建议</w:t>
      </w:r>
      <w:bookmarkEnd w:id="150"/>
    </w:p>
    <w:p w14:paraId="5C400E51">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仿宋_GB2312" w:cs="Times New Roman"/>
          <w:color w:val="auto"/>
          <w:kern w:val="2"/>
          <w:sz w:val="32"/>
          <w:szCs w:val="32"/>
          <w:highlight w:val="none"/>
          <w:lang w:val="en-US" w:eastAsia="zh-CN" w:bidi="ar-SA"/>
        </w:rPr>
      </w:pPr>
      <w:bookmarkStart w:id="151" w:name="_Toc14256"/>
      <w:r>
        <w:rPr>
          <w:rFonts w:hint="default" w:ascii="Times New Roman" w:hAnsi="Times New Roman" w:eastAsia="仿宋_GB2312" w:cs="Times New Roman"/>
          <w:color w:val="auto"/>
          <w:kern w:val="2"/>
          <w:sz w:val="32"/>
          <w:szCs w:val="32"/>
          <w:highlight w:val="none"/>
          <w:lang w:val="en-US" w:eastAsia="zh-CN" w:bidi="ar-SA"/>
        </w:rPr>
        <w:t>1.实行“资金跟着进度走”机制，对滞后项目暂停拨款；将预算执行率纳入绩效考核，倒逼责任落实。</w:t>
      </w:r>
    </w:p>
    <w:p w14:paraId="3D5FDEEA">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2.完善建后管护机制：明确工程产权归属，通过收取水费、财政补贴、引入社会资本等方式建立长效运维资金池，避免“重建轻管”。</w:t>
      </w:r>
    </w:p>
    <w:p w14:paraId="37EDEF61">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lang w:val="en-US" w:eastAsia="zh-CN"/>
        </w:rPr>
      </w:pPr>
      <w:r>
        <w:rPr>
          <w:rFonts w:hint="default" w:ascii="Times New Roman" w:hAnsi="Times New Roman" w:cs="Times New Roman"/>
          <w:b w:val="0"/>
          <w:bCs w:val="0"/>
          <w:color w:val="auto"/>
          <w:highlight w:val="none"/>
          <w:shd w:val="clear" w:color="auto" w:fill="auto"/>
          <w:lang w:val="en-US" w:eastAsia="zh-CN"/>
        </w:rPr>
        <w:t>七</w:t>
      </w:r>
      <w:r>
        <w:rPr>
          <w:rFonts w:hint="default" w:ascii="Times New Roman" w:hAnsi="Times New Roman" w:eastAsia="黑体" w:cs="Times New Roman"/>
          <w:b w:val="0"/>
          <w:bCs w:val="0"/>
          <w:color w:val="auto"/>
          <w:highlight w:val="none"/>
          <w:shd w:val="clear" w:color="auto" w:fill="auto"/>
          <w:lang w:val="en-US" w:eastAsia="zh-CN"/>
        </w:rPr>
        <w:t>、其他需要说明的问题</w:t>
      </w:r>
      <w:bookmarkEnd w:id="151"/>
    </w:p>
    <w:p w14:paraId="03C784E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无其他需要说明的问题。</w:t>
      </w:r>
    </w:p>
    <w:p w14:paraId="5950EB0A">
      <w:pPr>
        <w:pageBreakBefore w:val="0"/>
        <w:kinsoku/>
        <w:wordWrap/>
        <w:overflowPunct/>
        <w:topLinePunct w:val="0"/>
        <w:autoSpaceDE/>
        <w:autoSpaceDN/>
        <w:bidi w:val="0"/>
        <w:adjustRightInd/>
        <w:spacing w:line="560" w:lineRule="exact"/>
        <w:textAlignment w:val="auto"/>
        <w:rPr>
          <w:rFonts w:hint="default" w:ascii="Times New Roman" w:hAnsi="Times New Roman" w:cs="Times New Roman"/>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3B8D264C">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color w:val="auto"/>
          <w:highlight w:val="none"/>
        </w:rPr>
      </w:pPr>
      <w:bookmarkStart w:id="152" w:name="_Toc11349"/>
      <w:bookmarkStart w:id="153" w:name="_Toc28971"/>
      <w:r>
        <w:rPr>
          <w:rFonts w:hint="default" w:ascii="Times New Roman" w:hAnsi="Times New Roman" w:eastAsia="宋体" w:cs="Times New Roman"/>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1"/>
        <w:gridCol w:w="861"/>
        <w:gridCol w:w="861"/>
        <w:gridCol w:w="861"/>
        <w:gridCol w:w="1253"/>
        <w:gridCol w:w="1410"/>
        <w:gridCol w:w="1331"/>
        <w:gridCol w:w="1018"/>
        <w:gridCol w:w="1174"/>
        <w:gridCol w:w="862"/>
        <w:gridCol w:w="862"/>
        <w:gridCol w:w="862"/>
        <w:gridCol w:w="862"/>
        <w:gridCol w:w="1096"/>
      </w:tblGrid>
      <w:tr w14:paraId="4359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D70AC3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FC3D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5836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2EA3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5EF46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6966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水利局债务化解项目</w:t>
            </w:r>
          </w:p>
        </w:tc>
      </w:tr>
      <w:tr w14:paraId="57701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B4A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464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阜康市水利局</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1D2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86E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阜康市水利局</w:t>
            </w:r>
          </w:p>
        </w:tc>
      </w:tr>
      <w:tr w14:paraId="5F661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36C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3DECD1">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5CD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C94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C6E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0C9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31A4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919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28E2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EAEBA">
            <w:pPr>
              <w:jc w:val="center"/>
              <w:rPr>
                <w:rFonts w:hint="eastAsia" w:ascii="宋体" w:hAnsi="宋体" w:eastAsia="宋体" w:cs="宋体"/>
                <w:b/>
                <w:bCs/>
                <w:i w:val="0"/>
                <w:iCs w:val="0"/>
                <w:color w:val="000000"/>
                <w:sz w:val="18"/>
                <w:szCs w:val="18"/>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16A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981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2712.82</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E0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2712.82</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001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2712.82</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75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53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D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F1FF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50C7A">
            <w:pPr>
              <w:jc w:val="center"/>
              <w:rPr>
                <w:rFonts w:hint="eastAsia" w:ascii="宋体" w:hAnsi="宋体" w:eastAsia="宋体" w:cs="宋体"/>
                <w:b/>
                <w:bCs/>
                <w:i w:val="0"/>
                <w:iCs w:val="0"/>
                <w:color w:val="000000"/>
                <w:sz w:val="18"/>
                <w:szCs w:val="18"/>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E91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C0B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2712.82</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92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2712.82</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F14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2712.82</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3AF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522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C5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E067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D2C7B">
            <w:pPr>
              <w:jc w:val="center"/>
              <w:rPr>
                <w:rFonts w:hint="eastAsia" w:ascii="宋体" w:hAnsi="宋体" w:eastAsia="宋体" w:cs="宋体"/>
                <w:b/>
                <w:bCs/>
                <w:i w:val="0"/>
                <w:iCs w:val="0"/>
                <w:color w:val="000000"/>
                <w:sz w:val="18"/>
                <w:szCs w:val="18"/>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0D9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AA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FB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FD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07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F1E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E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E2CC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DB2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0A26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AEAB6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E1E5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1A357">
            <w:pPr>
              <w:jc w:val="center"/>
              <w:rPr>
                <w:rFonts w:hint="eastAsia" w:ascii="宋体" w:hAnsi="宋体" w:eastAsia="宋体" w:cs="宋体"/>
                <w:b/>
                <w:bCs/>
                <w:i w:val="0"/>
                <w:iCs w:val="0"/>
                <w:color w:val="000000"/>
                <w:sz w:val="18"/>
                <w:szCs w:val="18"/>
                <w:u w:val="none"/>
              </w:rPr>
            </w:pPr>
          </w:p>
        </w:tc>
        <w:tc>
          <w:tcPr>
            <w:tcW w:w="19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7A1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经责审计债务化解支付项目款企业数52家，资金支付2712.82万元，在2024年12月31日前完成支付，化解单位债务，提升单位和政府形象，完善企业债务化解机制。</w:t>
            </w:r>
          </w:p>
        </w:tc>
        <w:tc>
          <w:tcPr>
            <w:tcW w:w="286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4D50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截至2024年12月31日，本项目完成经责审计债务化解支付项目款企业数52家，资金支付2712.82万元，在2024年12月31日前完成支付，达成了化解单位债务，提升单位和政府形象，完善企业债务化解机制的效益。</w:t>
            </w:r>
          </w:p>
        </w:tc>
      </w:tr>
      <w:tr w14:paraId="18805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35401">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9E3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2A7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263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2A4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580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CE9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1C2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B9A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AFA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AFF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676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845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00F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0535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F109E">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C500F">
            <w:pPr>
              <w:jc w:val="center"/>
              <w:rPr>
                <w:rFonts w:hint="eastAsia" w:ascii="宋体" w:hAnsi="宋体" w:eastAsia="宋体" w:cs="宋体"/>
                <w:b/>
                <w:bCs/>
                <w:i w:val="0"/>
                <w:iCs w:val="0"/>
                <w:color w:val="000000"/>
                <w:sz w:val="18"/>
                <w:szCs w:val="18"/>
                <w:u w:val="none"/>
              </w:rPr>
            </w:pPr>
          </w:p>
        </w:tc>
        <w:tc>
          <w:tcPr>
            <w:tcW w:w="2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FEDF1">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14640">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C03AD">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333A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2DEE4">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5C35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7D4D4">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28B3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B00C6">
            <w:pPr>
              <w:jc w:val="center"/>
              <w:rPr>
                <w:rFonts w:hint="eastAsia" w:ascii="宋体" w:hAnsi="宋体" w:eastAsia="宋体" w:cs="宋体"/>
                <w:b/>
                <w:bCs/>
                <w:i w:val="0"/>
                <w:iCs w:val="0"/>
                <w:color w:val="000000"/>
                <w:sz w:val="18"/>
                <w:szCs w:val="18"/>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25069">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DFDF9">
            <w:pPr>
              <w:jc w:val="center"/>
              <w:rPr>
                <w:rFonts w:hint="eastAsia" w:ascii="宋体" w:hAnsi="宋体" w:eastAsia="宋体" w:cs="宋体"/>
                <w:b/>
                <w:bCs/>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C2DB6">
            <w:pPr>
              <w:jc w:val="center"/>
              <w:rPr>
                <w:rFonts w:hint="eastAsia" w:ascii="宋体" w:hAnsi="宋体" w:eastAsia="宋体" w:cs="宋体"/>
                <w:b/>
                <w:bCs/>
                <w:i w:val="0"/>
                <w:iCs w:val="0"/>
                <w:color w:val="000000"/>
                <w:sz w:val="18"/>
                <w:szCs w:val="18"/>
                <w:u w:val="none"/>
              </w:rPr>
            </w:pPr>
          </w:p>
        </w:tc>
      </w:tr>
      <w:tr w14:paraId="4A008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6B50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6"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46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9B7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4BE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F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A78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BF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D4C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E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82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627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B3E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D78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E05C5">
            <w:pPr>
              <w:jc w:val="center"/>
              <w:rPr>
                <w:rFonts w:hint="eastAsia" w:ascii="宋体" w:hAnsi="宋体" w:eastAsia="宋体" w:cs="宋体"/>
                <w:i w:val="0"/>
                <w:iCs w:val="0"/>
                <w:color w:val="000000"/>
                <w:sz w:val="18"/>
                <w:szCs w:val="18"/>
                <w:u w:val="none"/>
              </w:rPr>
            </w:pPr>
          </w:p>
        </w:tc>
      </w:tr>
      <w:tr w14:paraId="743A8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9AEF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6B828">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B40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48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支付项目款企业数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71F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F7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&lt;=52个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F4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=52个</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ED1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44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02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86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FD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2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758E2">
            <w:pPr>
              <w:jc w:val="center"/>
              <w:rPr>
                <w:rFonts w:hint="eastAsia" w:ascii="宋体" w:hAnsi="宋体" w:eastAsia="宋体" w:cs="宋体"/>
                <w:i w:val="0"/>
                <w:iCs w:val="0"/>
                <w:color w:val="000000"/>
                <w:sz w:val="18"/>
                <w:szCs w:val="18"/>
                <w:u w:val="none"/>
              </w:rPr>
            </w:pPr>
          </w:p>
        </w:tc>
      </w:tr>
      <w:tr w14:paraId="0CC99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9A93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87FA0">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00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76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资金使用合规律</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3C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65B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1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2F6E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12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C2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FB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7C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4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D683C">
            <w:pPr>
              <w:jc w:val="center"/>
              <w:rPr>
                <w:rFonts w:hint="eastAsia" w:ascii="宋体" w:hAnsi="宋体" w:eastAsia="宋体" w:cs="宋体"/>
                <w:i w:val="0"/>
                <w:iCs w:val="0"/>
                <w:color w:val="000000"/>
                <w:sz w:val="18"/>
                <w:szCs w:val="18"/>
                <w:u w:val="none"/>
              </w:rPr>
            </w:pPr>
          </w:p>
        </w:tc>
      </w:tr>
      <w:tr w14:paraId="69544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61DB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A90B1">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78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C2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88B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0E6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&lt;=2024年12月31日前</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DF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=2024年12月31日前</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97A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E4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31C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41C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BF0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C9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FF52B">
            <w:pPr>
              <w:jc w:val="center"/>
              <w:rPr>
                <w:rFonts w:hint="eastAsia" w:ascii="宋体" w:hAnsi="宋体" w:eastAsia="宋体" w:cs="宋体"/>
                <w:i w:val="0"/>
                <w:iCs w:val="0"/>
                <w:color w:val="000000"/>
                <w:sz w:val="18"/>
                <w:szCs w:val="18"/>
                <w:u w:val="none"/>
              </w:rPr>
            </w:pPr>
          </w:p>
        </w:tc>
      </w:tr>
      <w:tr w14:paraId="30C8B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CAC6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25791">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0A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67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偿还及时率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71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19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03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CE1E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02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96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64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9F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36A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813D">
            <w:pPr>
              <w:jc w:val="center"/>
              <w:rPr>
                <w:rFonts w:hint="eastAsia" w:ascii="宋体" w:hAnsi="宋体" w:eastAsia="宋体" w:cs="宋体"/>
                <w:i w:val="0"/>
                <w:iCs w:val="0"/>
                <w:color w:val="000000"/>
                <w:sz w:val="18"/>
                <w:szCs w:val="18"/>
                <w:u w:val="none"/>
              </w:rPr>
            </w:pPr>
          </w:p>
        </w:tc>
      </w:tr>
      <w:tr w14:paraId="739FE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59FA1">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5E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BC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7A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化解施工企业工程款欠款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D4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19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&lt;=2632.93万元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26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=2632.93万元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BB3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3E9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19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FE4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E2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F2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306C">
            <w:pPr>
              <w:jc w:val="center"/>
              <w:rPr>
                <w:rFonts w:hint="eastAsia" w:ascii="宋体" w:hAnsi="宋体" w:eastAsia="宋体" w:cs="宋体"/>
                <w:i w:val="0"/>
                <w:iCs w:val="0"/>
                <w:color w:val="000000"/>
                <w:sz w:val="18"/>
                <w:szCs w:val="18"/>
                <w:u w:val="none"/>
              </w:rPr>
            </w:pPr>
          </w:p>
        </w:tc>
      </w:tr>
      <w:tr w14:paraId="3EFB5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AAF2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DB92E">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AD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CB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化解项目审计单位欠款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48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E1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&lt;=9.68万元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B2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=9.68万元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B076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59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B52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0A5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E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68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301F9">
            <w:pPr>
              <w:jc w:val="center"/>
              <w:rPr>
                <w:rFonts w:hint="eastAsia" w:ascii="宋体" w:hAnsi="宋体" w:eastAsia="宋体" w:cs="宋体"/>
                <w:i w:val="0"/>
                <w:iCs w:val="0"/>
                <w:color w:val="000000"/>
                <w:sz w:val="18"/>
                <w:szCs w:val="18"/>
                <w:u w:val="none"/>
              </w:rPr>
            </w:pPr>
          </w:p>
        </w:tc>
      </w:tr>
      <w:tr w14:paraId="7D916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2134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D6157">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C2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39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化解项目设计单位欠款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6F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49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&lt;=61.57万元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C53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=61.57万元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D58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4E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FF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9E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06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87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30BD1">
            <w:pPr>
              <w:jc w:val="center"/>
              <w:rPr>
                <w:rFonts w:hint="eastAsia" w:ascii="宋体" w:hAnsi="宋体" w:eastAsia="宋体" w:cs="宋体"/>
                <w:i w:val="0"/>
                <w:iCs w:val="0"/>
                <w:color w:val="000000"/>
                <w:sz w:val="18"/>
                <w:szCs w:val="18"/>
                <w:u w:val="none"/>
              </w:rPr>
            </w:pPr>
          </w:p>
        </w:tc>
      </w:tr>
      <w:tr w14:paraId="6F108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3CAC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2F1C7">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E8C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E1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化解项目监理单位欠款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0C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793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&lt;=8.64万元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806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=8.64万元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709D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A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77B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C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4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B91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D4B15">
            <w:pPr>
              <w:jc w:val="center"/>
              <w:rPr>
                <w:rFonts w:hint="eastAsia" w:ascii="宋体" w:hAnsi="宋体" w:eastAsia="宋体" w:cs="宋体"/>
                <w:i w:val="0"/>
                <w:iCs w:val="0"/>
                <w:color w:val="000000"/>
                <w:sz w:val="18"/>
                <w:szCs w:val="18"/>
                <w:u w:val="none"/>
              </w:rPr>
            </w:pPr>
          </w:p>
        </w:tc>
      </w:tr>
      <w:tr w14:paraId="4A81C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4379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9F6FB">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C3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179E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CE04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AADD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9A29A">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CD14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D131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70B5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41394">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CB75C">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76460">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2998">
            <w:pPr>
              <w:jc w:val="center"/>
              <w:rPr>
                <w:rFonts w:hint="eastAsia" w:ascii="宋体" w:hAnsi="宋体" w:eastAsia="宋体" w:cs="宋体"/>
                <w:i w:val="0"/>
                <w:iCs w:val="0"/>
                <w:color w:val="000000"/>
                <w:sz w:val="18"/>
                <w:szCs w:val="18"/>
                <w:u w:val="none"/>
              </w:rPr>
            </w:pPr>
          </w:p>
        </w:tc>
      </w:tr>
      <w:tr w14:paraId="281BC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4F6F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06E71">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A2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534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2010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3DA0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B06C4">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E67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01BF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56F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CEF0">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FDCE0">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3135C">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F0A09">
            <w:pPr>
              <w:jc w:val="center"/>
              <w:rPr>
                <w:rFonts w:hint="eastAsia" w:ascii="宋体" w:hAnsi="宋体" w:eastAsia="宋体" w:cs="宋体"/>
                <w:i w:val="0"/>
                <w:iCs w:val="0"/>
                <w:color w:val="000000"/>
                <w:sz w:val="18"/>
                <w:szCs w:val="18"/>
                <w:u w:val="none"/>
              </w:rPr>
            </w:pPr>
          </w:p>
        </w:tc>
      </w:tr>
      <w:tr w14:paraId="199D6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9D557">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2D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CD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00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C6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780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90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6D6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86B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48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3BC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6CE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75E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761E2">
            <w:pPr>
              <w:jc w:val="center"/>
              <w:rPr>
                <w:rFonts w:hint="eastAsia" w:ascii="宋体" w:hAnsi="宋体" w:eastAsia="宋体" w:cs="宋体"/>
                <w:i w:val="0"/>
                <w:iCs w:val="0"/>
                <w:color w:val="000000"/>
                <w:sz w:val="18"/>
                <w:szCs w:val="18"/>
                <w:u w:val="none"/>
              </w:rPr>
            </w:pPr>
          </w:p>
        </w:tc>
      </w:tr>
      <w:tr w14:paraId="1FFE7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7691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AD2FD">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46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0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完善企业债务化解机制</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ED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E2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25A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E164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0C3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A88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96F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157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ED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9AB02">
            <w:pPr>
              <w:jc w:val="center"/>
              <w:rPr>
                <w:rFonts w:hint="eastAsia" w:ascii="宋体" w:hAnsi="宋体" w:eastAsia="宋体" w:cs="宋体"/>
                <w:i w:val="0"/>
                <w:iCs w:val="0"/>
                <w:color w:val="000000"/>
                <w:sz w:val="18"/>
                <w:szCs w:val="18"/>
                <w:u w:val="none"/>
              </w:rPr>
            </w:pPr>
          </w:p>
        </w:tc>
      </w:tr>
      <w:tr w14:paraId="6C939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A891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9180F">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5BA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1D67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12D6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5BB9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36F40">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141A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A830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9D4C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E47F">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A5764">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847DA">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4A3B3">
            <w:pPr>
              <w:jc w:val="center"/>
              <w:rPr>
                <w:rFonts w:hint="eastAsia" w:ascii="宋体" w:hAnsi="宋体" w:eastAsia="宋体" w:cs="宋体"/>
                <w:i w:val="0"/>
                <w:iCs w:val="0"/>
                <w:color w:val="000000"/>
                <w:sz w:val="18"/>
                <w:szCs w:val="18"/>
                <w:u w:val="none"/>
              </w:rPr>
            </w:pPr>
          </w:p>
        </w:tc>
      </w:tr>
      <w:tr w14:paraId="2DC1D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2459E">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A2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42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5335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D370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22D6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F4E08">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151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892B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3BB2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62740">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7EFC5">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813FD">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8B13B">
            <w:pPr>
              <w:jc w:val="center"/>
              <w:rPr>
                <w:rFonts w:hint="eastAsia" w:ascii="宋体" w:hAnsi="宋体" w:eastAsia="宋体" w:cs="宋体"/>
                <w:i w:val="0"/>
                <w:iCs w:val="0"/>
                <w:color w:val="000000"/>
                <w:sz w:val="18"/>
                <w:szCs w:val="18"/>
                <w:u w:val="none"/>
              </w:rPr>
            </w:pPr>
          </w:p>
        </w:tc>
      </w:tr>
      <w:bookmarkEnd w:id="156"/>
      <w:tr w14:paraId="2D821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54" w:type="pct"/>
            <w:gridSpan w:val="4"/>
            <w:tcBorders>
              <w:top w:val="single" w:color="000000" w:sz="4" w:space="0"/>
              <w:left w:val="single" w:color="000000" w:sz="4" w:space="0"/>
              <w:bottom w:val="single" w:color="000000" w:sz="4" w:space="0"/>
              <w:right w:val="nil"/>
            </w:tcBorders>
            <w:shd w:val="clear" w:color="auto" w:fill="auto"/>
            <w:vAlign w:val="center"/>
          </w:tcPr>
          <w:p w14:paraId="7D3A14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86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3C7FA669">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C19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DBCC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61A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C4096">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57BC4">
            <w:pP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7A1DB">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E576">
            <w:pP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070E">
            <w:pPr>
              <w:rPr>
                <w:rFonts w:hint="eastAsia" w:ascii="宋体" w:hAnsi="宋体" w:eastAsia="宋体" w:cs="宋体"/>
                <w:i w:val="0"/>
                <w:iCs w:val="0"/>
                <w:color w:val="000000"/>
                <w:sz w:val="18"/>
                <w:szCs w:val="18"/>
                <w:u w:val="none"/>
              </w:rPr>
            </w:pPr>
          </w:p>
        </w:tc>
      </w:tr>
    </w:tbl>
    <w:p w14:paraId="30B1C900">
      <w:pPr>
        <w:ind w:left="0" w:leftChars="0" w:firstLine="0" w:firstLineChars="0"/>
        <w:rPr>
          <w:rFonts w:hint="default" w:ascii="Times New Roman" w:hAnsi="Times New Roman" w:cs="Times New Roman"/>
          <w:color w:val="auto"/>
          <w:highlight w:val="none"/>
        </w:rPr>
      </w:pPr>
      <w:r>
        <w:rPr>
          <w:rFonts w:hint="default" w:ascii="Times New Roman" w:hAnsi="Times New Roman" w:cs="Times New Roman"/>
          <w:color w:val="auto"/>
          <w:highlight w:val="none"/>
        </w:rPr>
        <w:br w:type="page"/>
      </w:r>
    </w:p>
    <w:p w14:paraId="33AE6D5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eastAsia="宋体" w:cs="Times New Roman"/>
          <w:b/>
          <w:bCs/>
          <w:color w:val="auto"/>
          <w:highlight w:val="none"/>
          <w:shd w:val="clear" w:color="auto" w:fill="auto"/>
          <w:lang w:val="en-US" w:eastAsia="zh-CN"/>
        </w:rPr>
      </w:pPr>
      <w:bookmarkStart w:id="154" w:name="_Toc15067"/>
      <w:bookmarkStart w:id="155" w:name="_Toc11223"/>
      <w:r>
        <w:rPr>
          <w:rFonts w:hint="default" w:ascii="Times New Roman" w:hAnsi="Times New Roman" w:eastAsia="宋体" w:cs="Times New Roman"/>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556C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5D0627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一级指标</w:t>
            </w:r>
          </w:p>
        </w:tc>
        <w:tc>
          <w:tcPr>
            <w:tcW w:w="727" w:type="dxa"/>
            <w:shd w:val="clear" w:color="auto" w:fill="auto"/>
            <w:noWrap w:val="0"/>
            <w:vAlign w:val="center"/>
          </w:tcPr>
          <w:p w14:paraId="05C4D13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二级指标</w:t>
            </w:r>
          </w:p>
        </w:tc>
        <w:tc>
          <w:tcPr>
            <w:tcW w:w="820" w:type="dxa"/>
            <w:shd w:val="clear" w:color="auto" w:fill="auto"/>
            <w:noWrap w:val="0"/>
            <w:vAlign w:val="center"/>
          </w:tcPr>
          <w:p w14:paraId="3FF10B4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三级指标</w:t>
            </w:r>
          </w:p>
        </w:tc>
        <w:tc>
          <w:tcPr>
            <w:tcW w:w="2141" w:type="dxa"/>
            <w:shd w:val="clear" w:color="auto" w:fill="auto"/>
            <w:noWrap w:val="0"/>
            <w:vAlign w:val="center"/>
          </w:tcPr>
          <w:p w14:paraId="3EDC129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指标解释</w:t>
            </w:r>
          </w:p>
        </w:tc>
        <w:tc>
          <w:tcPr>
            <w:tcW w:w="7821" w:type="dxa"/>
            <w:shd w:val="clear" w:color="auto" w:fill="auto"/>
            <w:noWrap w:val="0"/>
            <w:vAlign w:val="center"/>
          </w:tcPr>
          <w:p w14:paraId="7F06E69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指标说明</w:t>
            </w:r>
          </w:p>
        </w:tc>
        <w:tc>
          <w:tcPr>
            <w:tcW w:w="785" w:type="dxa"/>
            <w:shd w:val="clear" w:color="auto" w:fill="auto"/>
            <w:noWrap w:val="0"/>
            <w:vAlign w:val="center"/>
          </w:tcPr>
          <w:p w14:paraId="2A2E801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eastAsia="宋体" w:cs="Times New Roman"/>
                <w:b/>
                <w:bCs/>
                <w:color w:val="auto"/>
                <w:kern w:val="0"/>
                <w:sz w:val="22"/>
                <w:szCs w:val="22"/>
                <w:highlight w:val="none"/>
                <w:lang w:val="en-US" w:eastAsia="zh-CN"/>
              </w:rPr>
              <w:t>分值</w:t>
            </w:r>
          </w:p>
        </w:tc>
        <w:tc>
          <w:tcPr>
            <w:tcW w:w="769" w:type="dxa"/>
            <w:shd w:val="clear" w:color="auto" w:fill="auto"/>
            <w:noWrap w:val="0"/>
            <w:vAlign w:val="center"/>
          </w:tcPr>
          <w:p w14:paraId="5FB0C01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eastAsia="宋体" w:cs="Times New Roman"/>
                <w:b/>
                <w:bCs/>
                <w:color w:val="auto"/>
                <w:kern w:val="0"/>
                <w:sz w:val="22"/>
                <w:szCs w:val="22"/>
                <w:highlight w:val="none"/>
                <w:lang w:val="en-US" w:eastAsia="zh-CN"/>
              </w:rPr>
              <w:t>得分</w:t>
            </w:r>
          </w:p>
        </w:tc>
      </w:tr>
      <w:tr w14:paraId="2E1AB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19CF6A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决策　</w:t>
            </w:r>
          </w:p>
          <w:p w14:paraId="5A1FCBF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p w14:paraId="1374B40E">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tc>
        <w:tc>
          <w:tcPr>
            <w:tcW w:w="727" w:type="dxa"/>
            <w:vMerge w:val="restart"/>
            <w:shd w:val="clear" w:color="auto" w:fill="auto"/>
            <w:noWrap w:val="0"/>
            <w:vAlign w:val="center"/>
          </w:tcPr>
          <w:p w14:paraId="5F90158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项目立项　</w:t>
            </w:r>
          </w:p>
        </w:tc>
        <w:tc>
          <w:tcPr>
            <w:tcW w:w="820" w:type="dxa"/>
            <w:shd w:val="clear" w:color="auto" w:fill="auto"/>
            <w:noWrap w:val="0"/>
            <w:vAlign w:val="center"/>
          </w:tcPr>
          <w:p w14:paraId="24BFF46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立项依据</w:t>
            </w:r>
          </w:p>
          <w:p w14:paraId="160259B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充分性</w:t>
            </w:r>
          </w:p>
        </w:tc>
        <w:tc>
          <w:tcPr>
            <w:tcW w:w="2141" w:type="dxa"/>
            <w:shd w:val="clear" w:color="auto" w:fill="auto"/>
            <w:noWrap w:val="0"/>
            <w:vAlign w:val="center"/>
          </w:tcPr>
          <w:p w14:paraId="35D2755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4CECBCF8">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7CACB82E">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①项目立项是否符合国家法律法规、国民经济发展规划和相关政策；</w:t>
            </w:r>
          </w:p>
          <w:p w14:paraId="4C5550D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②项目立项是否符合行业发展规划和政策要求；</w:t>
            </w:r>
          </w:p>
          <w:p w14:paraId="182FA2C6">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③项目立项是否与部门职责范围相符，属于部门履职所需；</w:t>
            </w:r>
          </w:p>
          <w:p w14:paraId="0EE555C9">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④项目是否属于公共财政支持范围，是否符合中央、地方事权支出责任划分原则；</w:t>
            </w:r>
          </w:p>
          <w:p w14:paraId="2C672DE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5A0823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769" w:type="dxa"/>
            <w:shd w:val="clear" w:color="auto" w:fill="auto"/>
            <w:noWrap w:val="0"/>
            <w:vAlign w:val="center"/>
          </w:tcPr>
          <w:p w14:paraId="351CF80E">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w:t>
            </w:r>
          </w:p>
        </w:tc>
      </w:tr>
      <w:tr w14:paraId="7A3C1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3236389">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387107D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356B3D9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立项程序</w:t>
            </w:r>
          </w:p>
          <w:p w14:paraId="0A81512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规范性</w:t>
            </w:r>
          </w:p>
        </w:tc>
        <w:tc>
          <w:tcPr>
            <w:tcW w:w="2141" w:type="dxa"/>
            <w:shd w:val="clear" w:color="auto" w:fill="auto"/>
            <w:noWrap w:val="0"/>
            <w:vAlign w:val="center"/>
          </w:tcPr>
          <w:p w14:paraId="57CB60E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68F21A26">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5E25A74F">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①项目是否按照规定的程序申请设立；</w:t>
            </w:r>
          </w:p>
          <w:p w14:paraId="704B035C">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②审批文件、材料是否符合相关要求；</w:t>
            </w:r>
          </w:p>
          <w:p w14:paraId="0A042A05">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38E256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769" w:type="dxa"/>
            <w:shd w:val="clear" w:color="auto" w:fill="auto"/>
            <w:noWrap w:val="0"/>
            <w:vAlign w:val="center"/>
          </w:tcPr>
          <w:p w14:paraId="3C3D801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2</w:t>
            </w:r>
          </w:p>
        </w:tc>
      </w:tr>
      <w:tr w14:paraId="3963D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50DF692E">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2459EA0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绩效目标　</w:t>
            </w:r>
          </w:p>
        </w:tc>
        <w:tc>
          <w:tcPr>
            <w:tcW w:w="820" w:type="dxa"/>
            <w:shd w:val="clear" w:color="auto" w:fill="auto"/>
            <w:noWrap w:val="0"/>
            <w:vAlign w:val="center"/>
          </w:tcPr>
          <w:p w14:paraId="41BA8E9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绩效目标</w:t>
            </w:r>
          </w:p>
          <w:p w14:paraId="4F205F5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合理性</w:t>
            </w:r>
          </w:p>
        </w:tc>
        <w:tc>
          <w:tcPr>
            <w:tcW w:w="2141" w:type="dxa"/>
            <w:shd w:val="clear" w:color="auto" w:fill="auto"/>
            <w:noWrap w:val="0"/>
            <w:vAlign w:val="center"/>
          </w:tcPr>
          <w:p w14:paraId="5380E23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B2A4C0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2A0F5C4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（如未设定预算绩效目标，也可考核其他工作任务目标）</w:t>
            </w:r>
          </w:p>
          <w:p w14:paraId="51DC12F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①项目是否有绩效目标；</w:t>
            </w:r>
          </w:p>
          <w:p w14:paraId="685FB272">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②项目绩效目标与实际工作内容是否具有相关性；</w:t>
            </w:r>
          </w:p>
          <w:p w14:paraId="6C7C6C85">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③项目预期产出效益和效果是否符合正常的业绩水平；</w:t>
            </w:r>
          </w:p>
          <w:p w14:paraId="5740CC88">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④是否与预算确定的项目投资额或资金量相匹配。</w:t>
            </w:r>
          </w:p>
        </w:tc>
        <w:tc>
          <w:tcPr>
            <w:tcW w:w="785" w:type="dxa"/>
            <w:shd w:val="clear" w:color="auto" w:fill="auto"/>
            <w:noWrap w:val="0"/>
            <w:vAlign w:val="center"/>
          </w:tcPr>
          <w:p w14:paraId="767A58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769" w:type="dxa"/>
            <w:shd w:val="clear" w:color="auto" w:fill="auto"/>
            <w:noWrap w:val="0"/>
            <w:vAlign w:val="center"/>
          </w:tcPr>
          <w:p w14:paraId="329D18CC">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26E12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AE94B4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决策　</w:t>
            </w:r>
          </w:p>
        </w:tc>
        <w:tc>
          <w:tcPr>
            <w:tcW w:w="727" w:type="dxa"/>
            <w:shd w:val="clear" w:color="auto" w:fill="auto"/>
            <w:noWrap w:val="0"/>
            <w:vAlign w:val="center"/>
          </w:tcPr>
          <w:p w14:paraId="6D18830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绩效目标</w:t>
            </w:r>
          </w:p>
        </w:tc>
        <w:tc>
          <w:tcPr>
            <w:tcW w:w="820" w:type="dxa"/>
            <w:shd w:val="clear" w:color="auto" w:fill="auto"/>
            <w:noWrap w:val="0"/>
            <w:vAlign w:val="center"/>
          </w:tcPr>
          <w:p w14:paraId="402953C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绩效指标</w:t>
            </w:r>
          </w:p>
          <w:p w14:paraId="4B6F17C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明确性</w:t>
            </w:r>
          </w:p>
        </w:tc>
        <w:tc>
          <w:tcPr>
            <w:tcW w:w="2141" w:type="dxa"/>
            <w:shd w:val="clear" w:color="auto" w:fill="auto"/>
            <w:noWrap w:val="0"/>
            <w:vAlign w:val="center"/>
          </w:tcPr>
          <w:p w14:paraId="34E9300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44827EE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2F8C2A4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①是否将项目绩效目标细化分解为具体的绩效指标；</w:t>
            </w:r>
          </w:p>
          <w:p w14:paraId="13103A6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②是否通过清晰、可衡量的指标值予以体现；</w:t>
            </w:r>
          </w:p>
          <w:p w14:paraId="0E64251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③是否与项目目标任务数或计划数相对应。</w:t>
            </w:r>
          </w:p>
          <w:p w14:paraId="1354AA8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tc>
        <w:tc>
          <w:tcPr>
            <w:tcW w:w="785" w:type="dxa"/>
            <w:shd w:val="clear" w:color="auto" w:fill="auto"/>
            <w:noWrap w:val="0"/>
            <w:vAlign w:val="center"/>
          </w:tcPr>
          <w:p w14:paraId="726068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769" w:type="dxa"/>
            <w:shd w:val="clear" w:color="auto" w:fill="auto"/>
            <w:noWrap w:val="0"/>
            <w:vAlign w:val="center"/>
          </w:tcPr>
          <w:p w14:paraId="12BCAAD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59BA0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A92A6E3">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restart"/>
            <w:shd w:val="clear" w:color="auto" w:fill="auto"/>
            <w:noWrap w:val="0"/>
            <w:vAlign w:val="center"/>
          </w:tcPr>
          <w:p w14:paraId="5923A5D1">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资金投入</w:t>
            </w:r>
          </w:p>
          <w:p w14:paraId="09BD8519">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tc>
        <w:tc>
          <w:tcPr>
            <w:tcW w:w="820" w:type="dxa"/>
            <w:shd w:val="clear" w:color="auto" w:fill="auto"/>
            <w:noWrap w:val="0"/>
            <w:vAlign w:val="center"/>
          </w:tcPr>
          <w:p w14:paraId="4C9EA6D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预算编制</w:t>
            </w:r>
          </w:p>
          <w:p w14:paraId="37E0B44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科学性</w:t>
            </w:r>
          </w:p>
        </w:tc>
        <w:tc>
          <w:tcPr>
            <w:tcW w:w="2141" w:type="dxa"/>
            <w:shd w:val="clear" w:color="auto" w:fill="auto"/>
            <w:noWrap w:val="0"/>
            <w:vAlign w:val="center"/>
          </w:tcPr>
          <w:p w14:paraId="5F57C28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71018F3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3F863CF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①预算编制是否经过科学论证；</w:t>
            </w:r>
          </w:p>
          <w:p w14:paraId="11CC72A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②预算内容与项目内容是否匹配；</w:t>
            </w:r>
          </w:p>
          <w:p w14:paraId="21D9129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③预算额度测算依据是否充分，是否按照标准编制；</w:t>
            </w:r>
          </w:p>
          <w:p w14:paraId="5764D44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5A57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769" w:type="dxa"/>
            <w:shd w:val="clear" w:color="auto" w:fill="auto"/>
            <w:noWrap w:val="0"/>
            <w:vAlign w:val="center"/>
          </w:tcPr>
          <w:p w14:paraId="2FE6AE9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w:t>
            </w:r>
          </w:p>
        </w:tc>
      </w:tr>
      <w:tr w14:paraId="3BA11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06AF4E1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33A025E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798CAC2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资金分配</w:t>
            </w:r>
          </w:p>
          <w:p w14:paraId="6337F13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合理性</w:t>
            </w:r>
          </w:p>
        </w:tc>
        <w:tc>
          <w:tcPr>
            <w:tcW w:w="2141" w:type="dxa"/>
            <w:shd w:val="clear" w:color="auto" w:fill="auto"/>
            <w:noWrap w:val="0"/>
            <w:vAlign w:val="center"/>
          </w:tcPr>
          <w:p w14:paraId="526FACE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3B4E10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712E39C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①预算资金分配依据是否充分；</w:t>
            </w:r>
          </w:p>
          <w:p w14:paraId="721E68C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4CA701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769" w:type="dxa"/>
            <w:shd w:val="clear" w:color="auto" w:fill="auto"/>
            <w:noWrap w:val="0"/>
            <w:vAlign w:val="center"/>
          </w:tcPr>
          <w:p w14:paraId="13F0F83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3</w:t>
            </w:r>
          </w:p>
        </w:tc>
      </w:tr>
      <w:tr w14:paraId="56B2C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7F944E43">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过程</w:t>
            </w:r>
          </w:p>
        </w:tc>
        <w:tc>
          <w:tcPr>
            <w:tcW w:w="727" w:type="dxa"/>
            <w:vMerge w:val="restart"/>
            <w:shd w:val="clear" w:color="auto" w:fill="auto"/>
            <w:noWrap w:val="0"/>
            <w:vAlign w:val="center"/>
          </w:tcPr>
          <w:p w14:paraId="7AEE0EC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资金管理</w:t>
            </w:r>
          </w:p>
        </w:tc>
        <w:tc>
          <w:tcPr>
            <w:tcW w:w="820" w:type="dxa"/>
            <w:shd w:val="clear" w:color="auto" w:fill="auto"/>
            <w:noWrap w:val="0"/>
            <w:vAlign w:val="center"/>
          </w:tcPr>
          <w:p w14:paraId="0538F1C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资金到位率</w:t>
            </w:r>
          </w:p>
        </w:tc>
        <w:tc>
          <w:tcPr>
            <w:tcW w:w="2141" w:type="dxa"/>
            <w:shd w:val="clear" w:color="auto" w:fill="auto"/>
            <w:noWrap w:val="0"/>
            <w:vAlign w:val="center"/>
          </w:tcPr>
          <w:p w14:paraId="1675199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FF145F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资金到位率=（</w:t>
            </w:r>
          </w:p>
          <w:p w14:paraId="6D8DE68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实际到位资金/预算资金）×100%。</w:t>
            </w:r>
          </w:p>
          <w:p w14:paraId="7849D02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实际到位资金：一定时期（本年度或项目期）内落实到具体项目的资金。</w:t>
            </w:r>
          </w:p>
          <w:p w14:paraId="708EFDA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727759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5500C0F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04CEF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4BCC7069">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78CE389F">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4BFA54C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预算执行率</w:t>
            </w:r>
          </w:p>
        </w:tc>
        <w:tc>
          <w:tcPr>
            <w:tcW w:w="2141" w:type="dxa"/>
            <w:shd w:val="clear" w:color="auto" w:fill="auto"/>
            <w:noWrap w:val="0"/>
            <w:vAlign w:val="center"/>
          </w:tcPr>
          <w:p w14:paraId="6788AC8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241AC2B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预算执行率=（实际支出资金/实际到位资金）×100%。</w:t>
            </w:r>
          </w:p>
          <w:p w14:paraId="66EF711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51D6F3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2AB738C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3A5FE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53B1C5E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p w14:paraId="24EB4796">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过程　</w:t>
            </w:r>
          </w:p>
        </w:tc>
        <w:tc>
          <w:tcPr>
            <w:tcW w:w="727" w:type="dxa"/>
            <w:shd w:val="clear" w:color="auto" w:fill="auto"/>
            <w:noWrap w:val="0"/>
            <w:vAlign w:val="center"/>
          </w:tcPr>
          <w:p w14:paraId="28D659C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资金管理</w:t>
            </w:r>
          </w:p>
        </w:tc>
        <w:tc>
          <w:tcPr>
            <w:tcW w:w="820" w:type="dxa"/>
            <w:shd w:val="clear" w:color="auto" w:fill="auto"/>
            <w:noWrap w:val="0"/>
            <w:vAlign w:val="center"/>
          </w:tcPr>
          <w:p w14:paraId="0F52B28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资金使用</w:t>
            </w:r>
          </w:p>
          <w:p w14:paraId="5643168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合规性</w:t>
            </w:r>
          </w:p>
        </w:tc>
        <w:tc>
          <w:tcPr>
            <w:tcW w:w="2141" w:type="dxa"/>
            <w:shd w:val="clear" w:color="auto" w:fill="auto"/>
            <w:noWrap w:val="0"/>
            <w:vAlign w:val="center"/>
          </w:tcPr>
          <w:p w14:paraId="60AF7F4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07A302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7AA28CD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①是否符合国家财经法规和财务管理制度以及有关专项资金管理办法的规定；</w:t>
            </w:r>
          </w:p>
          <w:p w14:paraId="253BCA4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②资金的拨付是否有完整的审批程序和手续；</w:t>
            </w:r>
          </w:p>
          <w:p w14:paraId="124E3F6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③是否符合项目预算批复或合同规定的用途；</w:t>
            </w:r>
          </w:p>
          <w:p w14:paraId="323A5B1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④是否存在截留、挤占、挪用、虚列支出等情况。</w:t>
            </w:r>
          </w:p>
        </w:tc>
        <w:tc>
          <w:tcPr>
            <w:tcW w:w="785" w:type="dxa"/>
            <w:shd w:val="clear" w:color="auto" w:fill="auto"/>
            <w:noWrap w:val="0"/>
            <w:vAlign w:val="center"/>
          </w:tcPr>
          <w:p w14:paraId="421E66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3B61C58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6A715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5AEDA12">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restart"/>
            <w:shd w:val="clear" w:color="auto" w:fill="auto"/>
            <w:noWrap w:val="0"/>
            <w:vAlign w:val="center"/>
          </w:tcPr>
          <w:p w14:paraId="132B8A0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组织实施</w:t>
            </w:r>
          </w:p>
          <w:p w14:paraId="00B4C7F8">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tc>
        <w:tc>
          <w:tcPr>
            <w:tcW w:w="820" w:type="dxa"/>
            <w:shd w:val="clear" w:color="auto" w:fill="auto"/>
            <w:noWrap w:val="0"/>
            <w:vAlign w:val="center"/>
          </w:tcPr>
          <w:p w14:paraId="411BD89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管理制度</w:t>
            </w:r>
          </w:p>
          <w:p w14:paraId="444F160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健全性</w:t>
            </w:r>
          </w:p>
        </w:tc>
        <w:tc>
          <w:tcPr>
            <w:tcW w:w="2141" w:type="dxa"/>
            <w:shd w:val="clear" w:color="auto" w:fill="auto"/>
            <w:noWrap w:val="0"/>
            <w:vAlign w:val="center"/>
          </w:tcPr>
          <w:p w14:paraId="44654D3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DA7B0A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26330AA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①是否已制定或具有相应的财务和业务管理制度；</w:t>
            </w:r>
          </w:p>
          <w:p w14:paraId="6C9460D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②财务和业务管理制度是否合法、合规、完整。</w:t>
            </w:r>
          </w:p>
        </w:tc>
        <w:tc>
          <w:tcPr>
            <w:tcW w:w="785" w:type="dxa"/>
            <w:shd w:val="clear" w:color="auto" w:fill="auto"/>
            <w:noWrap w:val="0"/>
            <w:vAlign w:val="center"/>
          </w:tcPr>
          <w:p w14:paraId="73E255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264063E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729C2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03A723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392BD4D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1881523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制度执行</w:t>
            </w:r>
          </w:p>
          <w:p w14:paraId="62012E5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有效性</w:t>
            </w:r>
          </w:p>
        </w:tc>
        <w:tc>
          <w:tcPr>
            <w:tcW w:w="2141" w:type="dxa"/>
            <w:shd w:val="clear" w:color="auto" w:fill="auto"/>
            <w:noWrap w:val="0"/>
            <w:vAlign w:val="center"/>
          </w:tcPr>
          <w:p w14:paraId="70D026E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07B0D68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1C11BC6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①是否遵守相关法律法规和相关管理规定；</w:t>
            </w:r>
          </w:p>
          <w:p w14:paraId="7350903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②项目调整及支出调整手续是否完备；</w:t>
            </w:r>
          </w:p>
          <w:p w14:paraId="675B19D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③项目合同书、验收报告、技术鉴定等资料是否齐全并及时归档；</w:t>
            </w:r>
          </w:p>
          <w:p w14:paraId="304E8C4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4E85E2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3C1765E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297B2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A682A0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w:t>
            </w:r>
          </w:p>
        </w:tc>
        <w:tc>
          <w:tcPr>
            <w:tcW w:w="727" w:type="dxa"/>
            <w:shd w:val="clear" w:color="auto" w:fill="auto"/>
            <w:noWrap w:val="0"/>
            <w:vAlign w:val="center"/>
          </w:tcPr>
          <w:p w14:paraId="129260E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产出数量</w:t>
            </w:r>
          </w:p>
        </w:tc>
        <w:tc>
          <w:tcPr>
            <w:tcW w:w="820" w:type="dxa"/>
            <w:shd w:val="clear" w:color="auto" w:fill="auto"/>
            <w:noWrap w:val="0"/>
            <w:vAlign w:val="center"/>
          </w:tcPr>
          <w:p w14:paraId="38E6912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化解债务项目数量</w:t>
            </w:r>
          </w:p>
        </w:tc>
        <w:tc>
          <w:tcPr>
            <w:tcW w:w="2141" w:type="dxa"/>
            <w:shd w:val="clear" w:color="auto" w:fill="auto"/>
            <w:noWrap w:val="0"/>
            <w:vAlign w:val="center"/>
          </w:tcPr>
          <w:p w14:paraId="7DFC40E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4747FD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实际完成率=（实际产出数/计划产出数）×100%。</w:t>
            </w:r>
          </w:p>
          <w:p w14:paraId="1D094E5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实际产出数：一定时期（本年度或项目期）内项目实际产出的产品或提供的服务数量。</w:t>
            </w:r>
          </w:p>
          <w:p w14:paraId="7C01E1D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AD9D3C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w:t>
            </w:r>
          </w:p>
        </w:tc>
        <w:tc>
          <w:tcPr>
            <w:tcW w:w="769" w:type="dxa"/>
            <w:shd w:val="clear" w:color="auto" w:fill="auto"/>
            <w:noWrap w:val="0"/>
            <w:vAlign w:val="center"/>
          </w:tcPr>
          <w:p w14:paraId="461AFE0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w:t>
            </w:r>
          </w:p>
        </w:tc>
      </w:tr>
      <w:tr w14:paraId="53013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DF0B89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34E0080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769D4D7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支付项目款企业数</w:t>
            </w:r>
          </w:p>
        </w:tc>
        <w:tc>
          <w:tcPr>
            <w:tcW w:w="2141" w:type="dxa"/>
            <w:shd w:val="clear" w:color="auto" w:fill="auto"/>
            <w:noWrap w:val="0"/>
            <w:vAlign w:val="center"/>
          </w:tcPr>
          <w:p w14:paraId="1BF70C0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27C5724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实际完成率=（实际产出数/计划产出数）×100%。</w:t>
            </w:r>
          </w:p>
          <w:p w14:paraId="21806DA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实际产出数：一定时期（本年度或项目期）内项目实际产出的产品或提供的服务数量。</w:t>
            </w:r>
          </w:p>
          <w:p w14:paraId="6D56EFA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E51A5D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3</w:t>
            </w:r>
          </w:p>
        </w:tc>
        <w:tc>
          <w:tcPr>
            <w:tcW w:w="769" w:type="dxa"/>
            <w:shd w:val="clear" w:color="auto" w:fill="auto"/>
            <w:noWrap w:val="0"/>
            <w:vAlign w:val="center"/>
          </w:tcPr>
          <w:p w14:paraId="6783404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3</w:t>
            </w:r>
          </w:p>
        </w:tc>
      </w:tr>
      <w:tr w14:paraId="16F6C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3401ACC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w:t>
            </w:r>
          </w:p>
        </w:tc>
        <w:tc>
          <w:tcPr>
            <w:tcW w:w="727" w:type="dxa"/>
            <w:shd w:val="clear" w:color="auto" w:fill="auto"/>
            <w:noWrap w:val="0"/>
            <w:vAlign w:val="center"/>
          </w:tcPr>
          <w:p w14:paraId="303E1B8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产出质量</w:t>
            </w:r>
          </w:p>
        </w:tc>
        <w:tc>
          <w:tcPr>
            <w:tcW w:w="820" w:type="dxa"/>
            <w:shd w:val="clear" w:color="auto" w:fill="auto"/>
            <w:noWrap w:val="0"/>
            <w:vAlign w:val="center"/>
          </w:tcPr>
          <w:p w14:paraId="63E1DC1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资金使用合规律</w:t>
            </w:r>
          </w:p>
        </w:tc>
        <w:tc>
          <w:tcPr>
            <w:tcW w:w="2141" w:type="dxa"/>
            <w:shd w:val="clear" w:color="auto" w:fill="auto"/>
            <w:noWrap w:val="0"/>
            <w:vAlign w:val="center"/>
          </w:tcPr>
          <w:p w14:paraId="588D671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CF4BD5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质量达标率=（质量达标产出数/实际产出数）×100%。</w:t>
            </w:r>
          </w:p>
          <w:p w14:paraId="4C6C134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CE94EA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273E6C9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7648D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487D783">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3925C8B9">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产出时效</w:t>
            </w:r>
          </w:p>
        </w:tc>
        <w:tc>
          <w:tcPr>
            <w:tcW w:w="820" w:type="dxa"/>
            <w:shd w:val="clear" w:color="auto" w:fill="auto"/>
            <w:noWrap w:val="0"/>
            <w:vAlign w:val="center"/>
          </w:tcPr>
          <w:p w14:paraId="55E94E71">
            <w:pPr>
              <w:pageBreakBefore w:val="0"/>
              <w:widowControl/>
              <w:kinsoku/>
              <w:wordWrap/>
              <w:overflowPunct/>
              <w:topLinePunct w:val="0"/>
              <w:autoSpaceDE/>
              <w:autoSpaceDN/>
              <w:bidi w:val="0"/>
              <w:spacing w:line="240" w:lineRule="auto"/>
              <w:ind w:firstLine="0" w:firstLineChars="0"/>
              <w:jc w:val="both"/>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i w:val="0"/>
                <w:iCs w:val="0"/>
                <w:color w:val="auto"/>
                <w:kern w:val="0"/>
                <w:sz w:val="20"/>
                <w:szCs w:val="20"/>
                <w:highlight w:val="none"/>
                <w:u w:val="none"/>
                <w:lang w:val="en-US" w:eastAsia="zh-CN" w:bidi="ar"/>
              </w:rPr>
              <w:t>资金支付时间</w:t>
            </w:r>
          </w:p>
        </w:tc>
        <w:tc>
          <w:tcPr>
            <w:tcW w:w="2141" w:type="dxa"/>
            <w:shd w:val="clear" w:color="auto" w:fill="auto"/>
            <w:noWrap w:val="0"/>
            <w:vAlign w:val="center"/>
          </w:tcPr>
          <w:p w14:paraId="5F77D9A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F2028E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实际完成时间：项目实施单位完成该项目实际所耗用的时间。</w:t>
            </w:r>
          </w:p>
          <w:p w14:paraId="344A457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0C1518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189B97E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04963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1D45D32">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416373C7">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4BCA0CD9">
            <w:pPr>
              <w:pageBreakBefore w:val="0"/>
              <w:widowControl/>
              <w:kinsoku/>
              <w:wordWrap/>
              <w:overflowPunct/>
              <w:topLinePunct w:val="0"/>
              <w:autoSpaceDE/>
              <w:autoSpaceDN/>
              <w:bidi w:val="0"/>
              <w:spacing w:line="240" w:lineRule="auto"/>
              <w:ind w:firstLine="221" w:firstLineChars="0"/>
              <w:jc w:val="both"/>
              <w:textAlignment w:val="auto"/>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偿还及时率</w:t>
            </w:r>
          </w:p>
        </w:tc>
        <w:tc>
          <w:tcPr>
            <w:tcW w:w="2141" w:type="dxa"/>
            <w:shd w:val="clear" w:color="auto" w:fill="auto"/>
            <w:noWrap w:val="0"/>
            <w:vAlign w:val="center"/>
          </w:tcPr>
          <w:p w14:paraId="3AC52ED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44A725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实际完成时间：项目实施单位完成该项目实际所耗用的时间。</w:t>
            </w:r>
          </w:p>
          <w:p w14:paraId="4D1BBEB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C88D5D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4B9D05B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2AC4E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06F5181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3228EB9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产出成本</w:t>
            </w:r>
          </w:p>
        </w:tc>
        <w:tc>
          <w:tcPr>
            <w:tcW w:w="820" w:type="dxa"/>
            <w:shd w:val="clear" w:color="auto" w:fill="auto"/>
            <w:noWrap w:val="0"/>
            <w:vAlign w:val="center"/>
          </w:tcPr>
          <w:p w14:paraId="2C8EA7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化解施工企业工程款欠款</w:t>
            </w:r>
          </w:p>
        </w:tc>
        <w:tc>
          <w:tcPr>
            <w:tcW w:w="2141" w:type="dxa"/>
            <w:shd w:val="clear" w:color="auto" w:fill="auto"/>
            <w:noWrap w:val="0"/>
            <w:vAlign w:val="center"/>
          </w:tcPr>
          <w:p w14:paraId="4796E51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F0F14C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p w14:paraId="19BDD2C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成本节约率=[（计划成本-实际成本）/计划成本]×100%。</w:t>
            </w:r>
          </w:p>
          <w:p w14:paraId="4017370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实际成本：项目实施单位如期、保质、保量完成既定工作目标实际所耗费的支出。</w:t>
            </w:r>
          </w:p>
          <w:p w14:paraId="377577B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D0DB4B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0223793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7CDFB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5404AD5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1892C80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4C97F0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化解项目审计单位欠款</w:t>
            </w:r>
          </w:p>
        </w:tc>
        <w:tc>
          <w:tcPr>
            <w:tcW w:w="2141" w:type="dxa"/>
            <w:shd w:val="clear" w:color="auto" w:fill="auto"/>
            <w:noWrap w:val="0"/>
            <w:vAlign w:val="center"/>
          </w:tcPr>
          <w:p w14:paraId="7281FBD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4D05978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p w14:paraId="161E1DD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成本节约率=[（计划成本-实际成本）/计划成本]×100%。</w:t>
            </w:r>
          </w:p>
          <w:p w14:paraId="041FA25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实际成本：项目实施单位如期、保质、保量完成既定工作目标实际所耗费的支出。</w:t>
            </w:r>
          </w:p>
          <w:p w14:paraId="3B1AD5E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2A9196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3A67D36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28BC1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036E7704">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0E226EC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11BC2E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化解项目设计单位欠款</w:t>
            </w:r>
          </w:p>
        </w:tc>
        <w:tc>
          <w:tcPr>
            <w:tcW w:w="2141" w:type="dxa"/>
            <w:shd w:val="clear" w:color="auto" w:fill="auto"/>
            <w:noWrap w:val="0"/>
            <w:vAlign w:val="center"/>
          </w:tcPr>
          <w:p w14:paraId="015B638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7AAC59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p w14:paraId="64363C6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成本节约率=[（计划成本-实际成本）/计划成本]×100%。</w:t>
            </w:r>
          </w:p>
          <w:p w14:paraId="70C6F6E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实际成本：项目实施单位如期、保质、保量完成既定工作目标实际所耗费的支出。</w:t>
            </w:r>
          </w:p>
          <w:p w14:paraId="2605D84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ACCCD0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67A286B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13575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56F6FAD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4E4356C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12677E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化解项目监理单位欠款</w:t>
            </w:r>
          </w:p>
        </w:tc>
        <w:tc>
          <w:tcPr>
            <w:tcW w:w="2141" w:type="dxa"/>
            <w:shd w:val="clear" w:color="auto" w:fill="auto"/>
            <w:noWrap w:val="0"/>
            <w:vAlign w:val="center"/>
          </w:tcPr>
          <w:p w14:paraId="768D5F1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4AFB01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p w14:paraId="7DEBD5C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成本节约率=[（计划成本-实际成本）/计划成本]×100%。</w:t>
            </w:r>
          </w:p>
          <w:p w14:paraId="3416171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实际成本：项目实施单位如期、保质、保量完成既定工作目标实际所耗费的支出。</w:t>
            </w:r>
          </w:p>
          <w:p w14:paraId="7F03DFE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886B82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59C5077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1406B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49990601">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效益　</w:t>
            </w:r>
          </w:p>
        </w:tc>
        <w:tc>
          <w:tcPr>
            <w:tcW w:w="727" w:type="dxa"/>
            <w:vMerge w:val="restart"/>
            <w:shd w:val="clear" w:color="auto" w:fill="auto"/>
            <w:noWrap w:val="0"/>
            <w:vAlign w:val="center"/>
          </w:tcPr>
          <w:p w14:paraId="38B834C4">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项目效益　</w:t>
            </w:r>
          </w:p>
        </w:tc>
        <w:tc>
          <w:tcPr>
            <w:tcW w:w="820" w:type="dxa"/>
            <w:shd w:val="clear" w:color="auto" w:fill="auto"/>
            <w:noWrap w:val="0"/>
            <w:vAlign w:val="center"/>
          </w:tcPr>
          <w:p w14:paraId="6311EDC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0"/>
                <w:szCs w:val="20"/>
                <w:highlight w:val="none"/>
                <w:shd w:val="clear" w:color="auto" w:fill="auto"/>
                <w:lang w:val="en-US" w:eastAsia="zh-CN"/>
              </w:rPr>
              <w:t>化解单位债务，提升单位和政府形象</w:t>
            </w:r>
          </w:p>
        </w:tc>
        <w:tc>
          <w:tcPr>
            <w:tcW w:w="2141" w:type="dxa"/>
            <w:shd w:val="clear" w:color="auto" w:fill="auto"/>
            <w:noWrap w:val="0"/>
            <w:vAlign w:val="center"/>
          </w:tcPr>
          <w:p w14:paraId="2910171E">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项目实施所产生的效益。</w:t>
            </w:r>
          </w:p>
        </w:tc>
        <w:tc>
          <w:tcPr>
            <w:tcW w:w="7821" w:type="dxa"/>
            <w:shd w:val="clear" w:color="auto" w:fill="auto"/>
            <w:noWrap w:val="0"/>
            <w:vAlign w:val="center"/>
          </w:tcPr>
          <w:p w14:paraId="0BDA0FD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0282D30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286610E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5</w:t>
            </w:r>
          </w:p>
        </w:tc>
      </w:tr>
      <w:tr w14:paraId="36FAE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4F7132A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26CDCD9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39EF8EAC">
            <w:pPr>
              <w:pageBreakBefore w:val="0"/>
              <w:widowControl/>
              <w:tabs>
                <w:tab w:val="left" w:pos="249"/>
              </w:tabs>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完善企业债务化解机制</w:t>
            </w:r>
          </w:p>
        </w:tc>
        <w:tc>
          <w:tcPr>
            <w:tcW w:w="2141" w:type="dxa"/>
            <w:shd w:val="clear" w:color="auto" w:fill="auto"/>
            <w:noWrap w:val="0"/>
            <w:vAlign w:val="center"/>
          </w:tcPr>
          <w:p w14:paraId="5583012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项目实施所产生的效益。</w:t>
            </w:r>
          </w:p>
        </w:tc>
        <w:tc>
          <w:tcPr>
            <w:tcW w:w="7821" w:type="dxa"/>
            <w:shd w:val="clear" w:color="auto" w:fill="auto"/>
            <w:noWrap w:val="0"/>
            <w:vAlign w:val="center"/>
          </w:tcPr>
          <w:p w14:paraId="021DAC6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6F89B2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59697B8F">
            <w:pPr>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5</w:t>
            </w:r>
          </w:p>
          <w:p w14:paraId="18C5F86F">
            <w:pPr>
              <w:pStyle w:val="2"/>
              <w:jc w:val="center"/>
              <w:rPr>
                <w:rFonts w:hint="default"/>
                <w:color w:val="auto"/>
                <w:highlight w:val="none"/>
                <w:lang w:val="en-US" w:eastAsia="zh-CN"/>
              </w:rPr>
            </w:pPr>
          </w:p>
        </w:tc>
      </w:tr>
      <w:tr w14:paraId="3FB4D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shd w:val="clear" w:color="auto" w:fill="auto"/>
            <w:noWrap w:val="0"/>
            <w:vAlign w:val="center"/>
          </w:tcPr>
          <w:p w14:paraId="4557E7A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2D919EC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68269B9D">
            <w:pPr>
              <w:pageBreakBefore w:val="0"/>
              <w:widowControl/>
              <w:tabs>
                <w:tab w:val="left" w:pos="249"/>
              </w:tabs>
              <w:kinsoku/>
              <w:wordWrap/>
              <w:overflowPunct/>
              <w:topLinePunct w:val="0"/>
              <w:autoSpaceDE/>
              <w:autoSpaceDN/>
              <w:bidi w:val="0"/>
              <w:spacing w:line="240" w:lineRule="auto"/>
              <w:ind w:firstLine="0" w:firstLineChars="0"/>
              <w:jc w:val="left"/>
              <w:textAlignment w:val="auto"/>
              <w:rPr>
                <w:rFonts w:hint="default" w:ascii="Times New Roman" w:hAnsi="Times New Roman" w:cs="Times New Roman"/>
                <w:color w:val="auto"/>
                <w:kern w:val="0"/>
                <w:sz w:val="20"/>
                <w:szCs w:val="20"/>
                <w:highlight w:val="none"/>
                <w:shd w:val="clear" w:color="auto" w:fill="auto"/>
                <w:lang w:val="en-US" w:eastAsia="zh-CN"/>
              </w:rPr>
            </w:pPr>
            <w:r>
              <w:rPr>
                <w:rFonts w:hint="eastAsia" w:cs="宋体"/>
                <w:color w:val="auto"/>
                <w:kern w:val="0"/>
                <w:sz w:val="22"/>
                <w:szCs w:val="22"/>
                <w:highlight w:val="none"/>
                <w:lang w:val="en-US" w:eastAsia="zh-CN"/>
              </w:rPr>
              <w:t>企业满意度的满意度</w:t>
            </w:r>
          </w:p>
        </w:tc>
        <w:tc>
          <w:tcPr>
            <w:tcW w:w="2141" w:type="dxa"/>
            <w:shd w:val="clear" w:color="auto" w:fill="auto"/>
            <w:noWrap w:val="0"/>
            <w:vAlign w:val="center"/>
          </w:tcPr>
          <w:p w14:paraId="2D25521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0CC621C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70DCB4F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10</w:t>
            </w:r>
          </w:p>
        </w:tc>
        <w:tc>
          <w:tcPr>
            <w:tcW w:w="769" w:type="dxa"/>
            <w:shd w:val="clear" w:color="auto" w:fill="auto"/>
            <w:noWrap w:val="0"/>
            <w:vAlign w:val="center"/>
          </w:tcPr>
          <w:p w14:paraId="3544F2B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10</w:t>
            </w:r>
          </w:p>
        </w:tc>
      </w:tr>
      <w:tr w14:paraId="75823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6D6C5EB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eastAsia="宋体" w:cs="Times New Roman"/>
                <w:color w:val="auto"/>
                <w:kern w:val="0"/>
                <w:sz w:val="22"/>
                <w:szCs w:val="22"/>
                <w:highlight w:val="none"/>
                <w:lang w:val="en-US" w:eastAsia="zh-CN"/>
              </w:rPr>
              <w:t>合计</w:t>
            </w:r>
          </w:p>
        </w:tc>
        <w:tc>
          <w:tcPr>
            <w:tcW w:w="7821" w:type="dxa"/>
            <w:shd w:val="clear" w:color="auto" w:fill="auto"/>
            <w:noWrap w:val="0"/>
            <w:vAlign w:val="center"/>
          </w:tcPr>
          <w:p w14:paraId="60D5BB8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p>
        </w:tc>
        <w:tc>
          <w:tcPr>
            <w:tcW w:w="785" w:type="dxa"/>
            <w:shd w:val="clear" w:color="auto" w:fill="auto"/>
            <w:noWrap w:val="0"/>
            <w:vAlign w:val="center"/>
          </w:tcPr>
          <w:p w14:paraId="46CAF56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100</w:t>
            </w:r>
          </w:p>
        </w:tc>
        <w:tc>
          <w:tcPr>
            <w:tcW w:w="769" w:type="dxa"/>
            <w:shd w:val="clear" w:color="auto" w:fill="auto"/>
            <w:noWrap w:val="0"/>
            <w:vAlign w:val="center"/>
          </w:tcPr>
          <w:p w14:paraId="13B7183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eastAsia" w:ascii="Times New Roman" w:hAnsi="Times New Roman" w:cs="Times New Roman"/>
                <w:color w:val="auto"/>
                <w:kern w:val="0"/>
                <w:sz w:val="22"/>
                <w:szCs w:val="22"/>
                <w:highlight w:val="none"/>
                <w:lang w:val="en-US" w:eastAsia="zh-CN"/>
              </w:rPr>
              <w:t>99</w:t>
            </w:r>
          </w:p>
        </w:tc>
      </w:tr>
    </w:tbl>
    <w:p w14:paraId="5FA0E6C4">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color w:val="auto"/>
          <w:sz w:val="30"/>
          <w:szCs w:val="24"/>
          <w:highlight w:val="none"/>
        </w:rPr>
      </w:pPr>
    </w:p>
    <w:p w14:paraId="36733836">
      <w:pPr>
        <w:pageBreakBefore w:val="0"/>
        <w:kinsoku/>
        <w:wordWrap/>
        <w:overflowPunct/>
        <w:topLinePunct w:val="0"/>
        <w:autoSpaceDE/>
        <w:autoSpaceDN/>
        <w:bidi w:val="0"/>
        <w:spacing w:line="560" w:lineRule="exact"/>
        <w:textAlignment w:val="auto"/>
        <w:rPr>
          <w:rFonts w:hint="default" w:ascii="Times New Roman" w:hAnsi="Times New Roman" w:cs="Times New Roman"/>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1E55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9AFE19">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9AFE19">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CC44A1"/>
    <w:rsid w:val="02DC08FA"/>
    <w:rsid w:val="033B569D"/>
    <w:rsid w:val="039C3BA0"/>
    <w:rsid w:val="03A845BB"/>
    <w:rsid w:val="03B45AD1"/>
    <w:rsid w:val="04D12EE4"/>
    <w:rsid w:val="04D63993"/>
    <w:rsid w:val="07890F4F"/>
    <w:rsid w:val="07DC2DF1"/>
    <w:rsid w:val="08892439"/>
    <w:rsid w:val="08EB30F3"/>
    <w:rsid w:val="09237408"/>
    <w:rsid w:val="09781BD6"/>
    <w:rsid w:val="09F359DF"/>
    <w:rsid w:val="0A411361"/>
    <w:rsid w:val="0A575E65"/>
    <w:rsid w:val="0ACA0AB6"/>
    <w:rsid w:val="0C032502"/>
    <w:rsid w:val="0C27698C"/>
    <w:rsid w:val="0D4452F3"/>
    <w:rsid w:val="0F5E5042"/>
    <w:rsid w:val="0F6C7CDA"/>
    <w:rsid w:val="0FE95707"/>
    <w:rsid w:val="10510571"/>
    <w:rsid w:val="10787A20"/>
    <w:rsid w:val="108672DE"/>
    <w:rsid w:val="10EC685A"/>
    <w:rsid w:val="11FA6155"/>
    <w:rsid w:val="12CF0947"/>
    <w:rsid w:val="12F1313F"/>
    <w:rsid w:val="136C678E"/>
    <w:rsid w:val="13EB2FF5"/>
    <w:rsid w:val="14ED4CAC"/>
    <w:rsid w:val="15A46B04"/>
    <w:rsid w:val="165825BC"/>
    <w:rsid w:val="16BC5D73"/>
    <w:rsid w:val="17111A75"/>
    <w:rsid w:val="176F36D7"/>
    <w:rsid w:val="1795226D"/>
    <w:rsid w:val="17D614CA"/>
    <w:rsid w:val="18456B1E"/>
    <w:rsid w:val="1C1171C5"/>
    <w:rsid w:val="1D265138"/>
    <w:rsid w:val="1D7B6BCA"/>
    <w:rsid w:val="1DA41A79"/>
    <w:rsid w:val="1DF53469"/>
    <w:rsid w:val="1E2F24F2"/>
    <w:rsid w:val="1E58492F"/>
    <w:rsid w:val="1E5B6757"/>
    <w:rsid w:val="1ED10AC6"/>
    <w:rsid w:val="1F89225F"/>
    <w:rsid w:val="1F900A1F"/>
    <w:rsid w:val="1FC0575D"/>
    <w:rsid w:val="201E47C1"/>
    <w:rsid w:val="206132C7"/>
    <w:rsid w:val="20920EFC"/>
    <w:rsid w:val="211561F9"/>
    <w:rsid w:val="215E734B"/>
    <w:rsid w:val="21B00C1D"/>
    <w:rsid w:val="23031BEB"/>
    <w:rsid w:val="23917691"/>
    <w:rsid w:val="244D65B8"/>
    <w:rsid w:val="245E1E24"/>
    <w:rsid w:val="25AD5E5D"/>
    <w:rsid w:val="264E2939"/>
    <w:rsid w:val="2732478D"/>
    <w:rsid w:val="27661469"/>
    <w:rsid w:val="27900EAD"/>
    <w:rsid w:val="279B538A"/>
    <w:rsid w:val="286F545C"/>
    <w:rsid w:val="29314FBC"/>
    <w:rsid w:val="2AA2081A"/>
    <w:rsid w:val="2BBB564C"/>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5956BF6"/>
    <w:rsid w:val="36BD137C"/>
    <w:rsid w:val="38053EDF"/>
    <w:rsid w:val="380812A4"/>
    <w:rsid w:val="385D37E7"/>
    <w:rsid w:val="38782EDD"/>
    <w:rsid w:val="3B42664A"/>
    <w:rsid w:val="3CAD1E92"/>
    <w:rsid w:val="3D836A4E"/>
    <w:rsid w:val="3EA37E97"/>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A213E"/>
    <w:rsid w:val="4B9F6E02"/>
    <w:rsid w:val="4C89637B"/>
    <w:rsid w:val="4E6E48A8"/>
    <w:rsid w:val="4E6F61BB"/>
    <w:rsid w:val="4ED43961"/>
    <w:rsid w:val="4EEC036B"/>
    <w:rsid w:val="4F714FA1"/>
    <w:rsid w:val="501D2673"/>
    <w:rsid w:val="50C80BF1"/>
    <w:rsid w:val="51852833"/>
    <w:rsid w:val="52F11AC8"/>
    <w:rsid w:val="534F49D9"/>
    <w:rsid w:val="53555F0F"/>
    <w:rsid w:val="535D23D5"/>
    <w:rsid w:val="55644F29"/>
    <w:rsid w:val="56F4341A"/>
    <w:rsid w:val="575A7321"/>
    <w:rsid w:val="580C3AB9"/>
    <w:rsid w:val="583C7AE0"/>
    <w:rsid w:val="586C1E9A"/>
    <w:rsid w:val="586E0800"/>
    <w:rsid w:val="59216F96"/>
    <w:rsid w:val="598C4145"/>
    <w:rsid w:val="59957D1B"/>
    <w:rsid w:val="59D4294E"/>
    <w:rsid w:val="5B634312"/>
    <w:rsid w:val="5B9D2CCD"/>
    <w:rsid w:val="5B9E71EA"/>
    <w:rsid w:val="5D207CD9"/>
    <w:rsid w:val="5DBE1701"/>
    <w:rsid w:val="5E226FBC"/>
    <w:rsid w:val="5E75492F"/>
    <w:rsid w:val="5FE72BD2"/>
    <w:rsid w:val="60120613"/>
    <w:rsid w:val="60607DAB"/>
    <w:rsid w:val="612C0778"/>
    <w:rsid w:val="618D5292"/>
    <w:rsid w:val="622E78FA"/>
    <w:rsid w:val="63343F70"/>
    <w:rsid w:val="64296E1C"/>
    <w:rsid w:val="64386FCC"/>
    <w:rsid w:val="649E64A2"/>
    <w:rsid w:val="650A2CD2"/>
    <w:rsid w:val="65E5270A"/>
    <w:rsid w:val="66360241"/>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D131E03"/>
    <w:rsid w:val="6E10212C"/>
    <w:rsid w:val="6E43561A"/>
    <w:rsid w:val="6E557973"/>
    <w:rsid w:val="6E9568DB"/>
    <w:rsid w:val="6F0D6C22"/>
    <w:rsid w:val="6F47657F"/>
    <w:rsid w:val="6FAF23D9"/>
    <w:rsid w:val="70635CF6"/>
    <w:rsid w:val="70670707"/>
    <w:rsid w:val="71EB6773"/>
    <w:rsid w:val="720E3691"/>
    <w:rsid w:val="7249173A"/>
    <w:rsid w:val="724E244C"/>
    <w:rsid w:val="72DA6946"/>
    <w:rsid w:val="732764B3"/>
    <w:rsid w:val="74026044"/>
    <w:rsid w:val="74325A77"/>
    <w:rsid w:val="74746410"/>
    <w:rsid w:val="75C8506C"/>
    <w:rsid w:val="75E5007C"/>
    <w:rsid w:val="77636B63"/>
    <w:rsid w:val="77813724"/>
    <w:rsid w:val="77861774"/>
    <w:rsid w:val="78483FA2"/>
    <w:rsid w:val="78F31435"/>
    <w:rsid w:val="79300B45"/>
    <w:rsid w:val="794D3E18"/>
    <w:rsid w:val="79F3729A"/>
    <w:rsid w:val="7A880722"/>
    <w:rsid w:val="7ABE6120"/>
    <w:rsid w:val="7ACB0498"/>
    <w:rsid w:val="7AED0B4D"/>
    <w:rsid w:val="7C1E4487"/>
    <w:rsid w:val="7C215E02"/>
    <w:rsid w:val="7CF23764"/>
    <w:rsid w:val="7D851A94"/>
    <w:rsid w:val="7E797F74"/>
    <w:rsid w:val="7F78012E"/>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9442</Words>
  <Characters>10117</Characters>
  <Lines>0</Lines>
  <Paragraphs>0</Paragraphs>
  <TotalTime>0</TotalTime>
  <ScaleCrop>false</ScaleCrop>
  <LinksUpToDate>false</LinksUpToDate>
  <CharactersWithSpaces>10184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