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3FF308">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2D321C2">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2D50D7C">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3BB4D9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cs="宋体"/>
          <w:b/>
          <w:bCs/>
          <w:color w:val="000000" w:themeColor="text1"/>
          <w:sz w:val="40"/>
          <w:szCs w:val="40"/>
          <w:highlight w:val="none"/>
          <w:shd w:val="clear" w:color="auto" w:fill="auto"/>
          <w:lang w:val="en-US" w:eastAsia="zh-CN"/>
          <w14:textFill>
            <w14:solidFill>
              <w14:schemeClr w14:val="tx1"/>
            </w14:solidFill>
          </w14:textFill>
        </w:rPr>
      </w:pPr>
      <w:bookmarkStart w:id="0" w:name="_Toc25575"/>
      <w:bookmarkStart w:id="1" w:name="_Toc29123"/>
      <w:bookmarkStart w:id="2" w:name="_Toc15679"/>
      <w:bookmarkStart w:id="3" w:name="_Toc1949"/>
      <w:r>
        <w:rPr>
          <w:rFonts w:hint="eastAsia" w:cs="宋体"/>
          <w:b/>
          <w:bCs/>
          <w:color w:val="000000" w:themeColor="text1"/>
          <w:sz w:val="40"/>
          <w:szCs w:val="40"/>
          <w:highlight w:val="none"/>
          <w:shd w:val="clear" w:color="auto" w:fill="auto"/>
          <w:lang w:val="en-US" w:eastAsia="zh-CN"/>
          <w14:textFill>
            <w14:solidFill>
              <w14:schemeClr w14:val="tx1"/>
            </w14:solidFill>
          </w14:textFill>
        </w:rPr>
        <w:t>新疆阜康市四工河水库工程（前期费）</w:t>
      </w:r>
    </w:p>
    <w:p w14:paraId="6AE4127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r>
        <w:rPr>
          <w:rFonts w:hint="eastAsia" w:cs="宋体"/>
          <w:b/>
          <w:bCs/>
          <w:color w:val="000000" w:themeColor="text1"/>
          <w:sz w:val="40"/>
          <w:szCs w:val="40"/>
          <w:highlight w:val="none"/>
          <w:shd w:val="clear" w:color="auto" w:fill="auto"/>
          <w:lang w:val="en-US" w:eastAsia="zh-CN"/>
          <w14:textFill>
            <w14:solidFill>
              <w14:schemeClr w14:val="tx1"/>
            </w14:solidFill>
          </w14:textFill>
        </w:rPr>
        <w:t>项目</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支出绩效评价报告</w:t>
      </w:r>
      <w:bookmarkEnd w:id="0"/>
      <w:bookmarkEnd w:id="1"/>
      <w:bookmarkEnd w:id="2"/>
      <w:bookmarkEnd w:id="3"/>
    </w:p>
    <w:p w14:paraId="2FB09774">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9424BC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8E5ABF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4DA0304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BFE6E2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F56AF6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D3A9EAE">
      <w:pPr>
        <w:pStyle w:val="2"/>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44AAFE4D">
      <w:pPr>
        <w:pStyle w:val="2"/>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49B9B1DA">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439C9D9F">
      <w:pPr>
        <w:spacing w:line="360" w:lineRule="auto"/>
        <w:ind w:firstLine="2100" w:firstLineChars="700"/>
        <w:jc w:val="left"/>
        <w:rPr>
          <w:rFonts w:hint="eastAsia" w:ascii="黑体" w:hAnsi="Times New Roman" w:eastAsia="黑体" w:cs="宋体"/>
          <w:b w:val="0"/>
          <w:bCs/>
          <w:color w:val="000000"/>
          <w:sz w:val="30"/>
          <w:szCs w:val="30"/>
          <w:lang w:val="en-US" w:eastAsia="zh-CN"/>
        </w:rPr>
      </w:pPr>
      <w:r>
        <w:rPr>
          <w:rFonts w:hint="eastAsia" w:ascii="黑体" w:hAnsi="Times New Roman" w:eastAsia="黑体"/>
          <w:b w:val="0"/>
          <w:bCs/>
          <w:color w:val="000000"/>
          <w:sz w:val="30"/>
          <w:szCs w:val="30"/>
        </w:rPr>
        <w:t>项目名称：</w:t>
      </w:r>
      <w:r>
        <w:rPr>
          <w:rFonts w:hint="eastAsia" w:ascii="黑体" w:hAnsi="Times New Roman" w:eastAsia="黑体" w:cs="宋体"/>
          <w:b w:val="0"/>
          <w:bCs/>
          <w:color w:val="000000"/>
          <w:sz w:val="30"/>
          <w:szCs w:val="30"/>
          <w:lang w:val="en-US" w:eastAsia="zh-CN"/>
        </w:rPr>
        <w:t>新疆阜康市四工河水库工程（前期费）</w:t>
      </w:r>
    </w:p>
    <w:p w14:paraId="0756DD82">
      <w:pPr>
        <w:spacing w:line="360" w:lineRule="auto"/>
        <w:ind w:firstLine="2100" w:firstLineChars="700"/>
        <w:jc w:val="left"/>
        <w:rPr>
          <w:rFonts w:hint="default"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rPr>
        <w:t>实施单位：</w:t>
      </w:r>
      <w:r>
        <w:rPr>
          <w:rFonts w:hint="eastAsia" w:ascii="黑体" w:hAnsi="Times New Roman" w:eastAsia="黑体"/>
          <w:b w:val="0"/>
          <w:bCs/>
          <w:color w:val="000000"/>
          <w:sz w:val="30"/>
          <w:szCs w:val="30"/>
          <w:lang w:val="en-US" w:eastAsia="zh-CN"/>
        </w:rPr>
        <w:t>阜康市水利管理站</w:t>
      </w:r>
    </w:p>
    <w:p w14:paraId="31C11FEB">
      <w:pPr>
        <w:spacing w:line="360" w:lineRule="auto"/>
        <w:ind w:firstLine="2100" w:firstLineChars="700"/>
        <w:jc w:val="left"/>
        <w:rPr>
          <w:rFonts w:hint="default"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rPr>
        <w:t>主管部门：</w:t>
      </w:r>
      <w:r>
        <w:rPr>
          <w:rFonts w:hint="eastAsia" w:ascii="黑体" w:hAnsi="Times New Roman" w:eastAsia="黑体"/>
          <w:b w:val="0"/>
          <w:bCs/>
          <w:color w:val="000000"/>
          <w:sz w:val="30"/>
          <w:szCs w:val="30"/>
          <w:lang w:val="en-US" w:eastAsia="zh-CN"/>
        </w:rPr>
        <w:t>阜康市水利局</w:t>
      </w:r>
    </w:p>
    <w:p w14:paraId="40B9270B">
      <w:pPr>
        <w:spacing w:line="360" w:lineRule="auto"/>
        <w:ind w:firstLine="2100" w:firstLineChars="700"/>
        <w:jc w:val="left"/>
        <w:rPr>
          <w:rFonts w:hint="eastAsia" w:ascii="黑体" w:hAnsi="Times New Roman" w:eastAsia="黑体" w:cs="宋体"/>
          <w:b w:val="0"/>
          <w:bCs/>
          <w:color w:val="000000"/>
          <w:sz w:val="30"/>
          <w:szCs w:val="30"/>
          <w:lang w:val="en-US" w:eastAsia="zh-CN"/>
        </w:rPr>
      </w:pPr>
      <w:r>
        <w:rPr>
          <w:rFonts w:hint="eastAsia" w:ascii="黑体" w:hAnsi="Times New Roman" w:eastAsia="黑体" w:cs="宋体"/>
          <w:b w:val="0"/>
          <w:bCs/>
          <w:color w:val="000000"/>
          <w:sz w:val="30"/>
          <w:szCs w:val="30"/>
          <w:lang w:val="en-US" w:eastAsia="zh-CN"/>
        </w:rPr>
        <w:t>项目负责人：赵刚</w:t>
      </w:r>
    </w:p>
    <w:p w14:paraId="3C9D940B">
      <w:pPr>
        <w:spacing w:line="360" w:lineRule="auto"/>
        <w:ind w:firstLine="2100" w:firstLineChars="700"/>
        <w:jc w:val="left"/>
        <w:rPr>
          <w:rFonts w:hint="default" w:ascii="黑体" w:hAnsi="Times New Roman" w:eastAsia="黑体" w:cs="宋体"/>
          <w:b w:val="0"/>
          <w:bCs/>
          <w:color w:val="000000"/>
          <w:sz w:val="30"/>
          <w:szCs w:val="30"/>
          <w:lang w:val="en-US" w:eastAsia="zh-CN"/>
        </w:rPr>
      </w:pPr>
      <w:r>
        <w:rPr>
          <w:rFonts w:hint="eastAsia" w:ascii="黑体" w:hAnsi="Times New Roman" w:eastAsia="黑体" w:cs="宋体"/>
          <w:b w:val="0"/>
          <w:bCs/>
          <w:color w:val="000000"/>
          <w:sz w:val="30"/>
          <w:szCs w:val="30"/>
          <w:lang w:val="en-US" w:eastAsia="zh-CN"/>
        </w:rPr>
        <w:t>填报时间：2025年3月31日</w:t>
      </w:r>
    </w:p>
    <w:p w14:paraId="2D60617B">
      <w:pPr>
        <w:pageBreakBefore w:val="0"/>
        <w:kinsoku/>
        <w:wordWrap/>
        <w:overflowPunct/>
        <w:topLinePunct w:val="0"/>
        <w:autoSpaceDE/>
        <w:autoSpaceDN/>
        <w:bidi w:val="0"/>
        <w:spacing w:line="560" w:lineRule="exact"/>
        <w:ind w:left="0" w:leftChars="0" w:firstLine="0" w:firstLineChars="0"/>
        <w:textAlignment w:val="auto"/>
        <w:rPr>
          <w:rFonts w:hint="eastAsia"/>
          <w:lang w:val="en-US" w:eastAsia="zh-CN"/>
        </w:rPr>
      </w:pPr>
    </w:p>
    <w:sdt>
      <w:sdtPr>
        <w:rPr>
          <w:rFonts w:ascii="宋体" w:hAnsi="宋体" w:eastAsia="宋体" w:cs="宋体"/>
          <w:b/>
          <w:bCs/>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kern w:val="2"/>
          <w:sz w:val="28"/>
          <w:szCs w:val="28"/>
          <w:lang w:val="en-US" w:eastAsia="zh-CN" w:bidi="ar-SA"/>
        </w:rPr>
      </w:sdtEndPr>
      <w:sdtContent>
        <w:p w14:paraId="52381835">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sz w:val="40"/>
              <w:szCs w:val="40"/>
              <w:highlight w:val="none"/>
            </w:rPr>
          </w:pPr>
          <w:r>
            <w:rPr>
              <w:rFonts w:ascii="宋体" w:hAnsi="宋体" w:eastAsia="宋体"/>
              <w:b/>
              <w:bCs/>
              <w:sz w:val="40"/>
              <w:szCs w:val="40"/>
              <w:highlight w:val="none"/>
            </w:rPr>
            <w:t>目录</w:t>
          </w:r>
        </w:p>
        <w:p w14:paraId="6E2159C3">
          <w:pPr>
            <w:pStyle w:val="10"/>
            <w:tabs>
              <w:tab w:val="right" w:leader="dot" w:pos="8844"/>
            </w:tabs>
            <w:rPr>
              <w:highlight w:val="none"/>
            </w:rPr>
          </w:pPr>
          <w:r>
            <w:rPr>
              <w:rFonts w:hint="eastAsia"/>
              <w:sz w:val="28"/>
              <w:szCs w:val="28"/>
              <w:highlight w:val="none"/>
              <w:lang w:val="en-US" w:eastAsia="zh-CN"/>
            </w:rPr>
            <w:fldChar w:fldCharType="begin"/>
          </w:r>
          <w:r>
            <w:rPr>
              <w:rFonts w:hint="eastAsia"/>
              <w:sz w:val="28"/>
              <w:szCs w:val="28"/>
              <w:highlight w:val="none"/>
              <w:lang w:val="en-US" w:eastAsia="zh-CN"/>
            </w:rPr>
            <w:instrText xml:space="preserve">TOC \o "1-3" \h \u </w:instrText>
          </w:r>
          <w:r>
            <w:rPr>
              <w:rFonts w:hint="eastAsia"/>
              <w:sz w:val="28"/>
              <w:szCs w:val="28"/>
              <w:highlight w:val="none"/>
              <w:lang w:val="en-US" w:eastAsia="zh-CN"/>
            </w:rPr>
            <w:fldChar w:fldCharType="separate"/>
          </w:r>
        </w:p>
        <w:p w14:paraId="66EAE8E9">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_Toc18485 </w:instrText>
          </w:r>
          <w:r>
            <w:rPr>
              <w:rFonts w:hint="eastAsia"/>
              <w:szCs w:val="28"/>
              <w:highlight w:val="none"/>
              <w:lang w:val="en-US" w:eastAsia="zh-CN"/>
            </w:rPr>
            <w:fldChar w:fldCharType="separate"/>
          </w:r>
          <w:r>
            <w:rPr>
              <w:rFonts w:hint="eastAsia" w:ascii="黑体" w:hAnsi="黑体" w:eastAsia="黑体" w:cs="黑体"/>
              <w:bCs w:val="0"/>
              <w:highlight w:val="none"/>
              <w:shd w:val="clear" w:color="auto" w:fill="auto"/>
            </w:rPr>
            <w:t>一、基本情况</w:t>
          </w:r>
          <w:r>
            <w:rPr>
              <w:highlight w:val="none"/>
            </w:rPr>
            <w:tab/>
          </w:r>
          <w:r>
            <w:rPr>
              <w:highlight w:val="none"/>
            </w:rPr>
            <w:fldChar w:fldCharType="begin"/>
          </w:r>
          <w:r>
            <w:rPr>
              <w:highlight w:val="none"/>
            </w:rPr>
            <w:instrText xml:space="preserve"> PAGEREF _Toc18485 \h </w:instrText>
          </w:r>
          <w:r>
            <w:rPr>
              <w:highlight w:val="none"/>
            </w:rPr>
            <w:fldChar w:fldCharType="separate"/>
          </w:r>
          <w:r>
            <w:rPr>
              <w:highlight w:val="none"/>
            </w:rPr>
            <w:t>4</w:t>
          </w:r>
          <w:r>
            <w:rPr>
              <w:highlight w:val="none"/>
            </w:rPr>
            <w:fldChar w:fldCharType="end"/>
          </w:r>
          <w:r>
            <w:rPr>
              <w:rFonts w:hint="eastAsia"/>
              <w:szCs w:val="28"/>
              <w:highlight w:val="none"/>
              <w:lang w:val="en-US" w:eastAsia="zh-CN"/>
            </w:rPr>
            <w:fldChar w:fldCharType="end"/>
          </w:r>
        </w:p>
        <w:p w14:paraId="6253E0F2">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_Toc23184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（一）项目概况</w:t>
          </w:r>
          <w:r>
            <w:rPr>
              <w:highlight w:val="none"/>
            </w:rPr>
            <w:tab/>
          </w:r>
          <w:r>
            <w:rPr>
              <w:highlight w:val="none"/>
            </w:rPr>
            <w:fldChar w:fldCharType="begin"/>
          </w:r>
          <w:r>
            <w:rPr>
              <w:highlight w:val="none"/>
            </w:rPr>
            <w:instrText xml:space="preserve"> PAGEREF _Toc23184 \h </w:instrText>
          </w:r>
          <w:r>
            <w:rPr>
              <w:highlight w:val="none"/>
            </w:rPr>
            <w:fldChar w:fldCharType="separate"/>
          </w:r>
          <w:r>
            <w:rPr>
              <w:highlight w:val="none"/>
            </w:rPr>
            <w:t>4</w:t>
          </w:r>
          <w:r>
            <w:rPr>
              <w:highlight w:val="none"/>
            </w:rPr>
            <w:fldChar w:fldCharType="end"/>
          </w:r>
          <w:r>
            <w:rPr>
              <w:rFonts w:hint="eastAsia"/>
              <w:szCs w:val="28"/>
              <w:highlight w:val="none"/>
              <w:lang w:val="en-US" w:eastAsia="zh-CN"/>
            </w:rPr>
            <w:fldChar w:fldCharType="end"/>
          </w:r>
        </w:p>
        <w:p w14:paraId="04BF7A6F">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_Toc9109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（二）项目绩效目标</w:t>
          </w:r>
          <w:r>
            <w:rPr>
              <w:highlight w:val="none"/>
            </w:rPr>
            <w:tab/>
          </w:r>
          <w:r>
            <w:rPr>
              <w:highlight w:val="none"/>
            </w:rPr>
            <w:fldChar w:fldCharType="begin"/>
          </w:r>
          <w:r>
            <w:rPr>
              <w:highlight w:val="none"/>
            </w:rPr>
            <w:instrText xml:space="preserve"> PAGEREF _Toc9109 \h </w:instrText>
          </w:r>
          <w:r>
            <w:rPr>
              <w:highlight w:val="none"/>
            </w:rPr>
            <w:fldChar w:fldCharType="separate"/>
          </w:r>
          <w:r>
            <w:rPr>
              <w:highlight w:val="none"/>
            </w:rPr>
            <w:t>6</w:t>
          </w:r>
          <w:r>
            <w:rPr>
              <w:highlight w:val="none"/>
            </w:rPr>
            <w:fldChar w:fldCharType="end"/>
          </w:r>
          <w:r>
            <w:rPr>
              <w:rFonts w:hint="eastAsia"/>
              <w:szCs w:val="28"/>
              <w:highlight w:val="none"/>
              <w:lang w:val="en-US" w:eastAsia="zh-CN"/>
            </w:rPr>
            <w:fldChar w:fldCharType="end"/>
          </w:r>
        </w:p>
        <w:p w14:paraId="77618050">
          <w:pPr>
            <w:pStyle w:val="10"/>
            <w:tabs>
              <w:tab w:val="right" w:leader="dot" w:pos="8844"/>
            </w:tabs>
            <w:rPr>
              <w:rFonts w:hint="eastAsia" w:ascii="黑体" w:hAnsi="黑体" w:eastAsia="黑体" w:cs="黑体"/>
              <w:highlight w:val="none"/>
            </w:rPr>
          </w:pPr>
          <w:r>
            <w:rPr>
              <w:rFonts w:hint="eastAsia" w:ascii="黑体" w:hAnsi="黑体" w:eastAsia="黑体" w:cs="黑体"/>
              <w:szCs w:val="28"/>
              <w:highlight w:val="none"/>
              <w:lang w:val="en-US" w:eastAsia="zh-CN"/>
            </w:rPr>
            <w:fldChar w:fldCharType="begin"/>
          </w:r>
          <w:r>
            <w:rPr>
              <w:rFonts w:hint="eastAsia" w:ascii="黑体" w:hAnsi="黑体" w:eastAsia="黑体" w:cs="黑体"/>
              <w:szCs w:val="28"/>
              <w:highlight w:val="none"/>
              <w:lang w:val="en-US" w:eastAsia="zh-CN"/>
            </w:rPr>
            <w:instrText xml:space="preserve"> HYPERLINK \l _Toc26567 </w:instrText>
          </w:r>
          <w:r>
            <w:rPr>
              <w:rFonts w:hint="eastAsia" w:ascii="黑体" w:hAnsi="黑体" w:eastAsia="黑体" w:cs="黑体"/>
              <w:szCs w:val="28"/>
              <w:highlight w:val="none"/>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_Toc26567 \h </w:instrText>
          </w:r>
          <w:r>
            <w:rPr>
              <w:rFonts w:hint="eastAsia" w:ascii="黑体" w:hAnsi="黑体" w:eastAsia="黑体" w:cs="黑体"/>
              <w:highlight w:val="none"/>
            </w:rPr>
            <w:fldChar w:fldCharType="separate"/>
          </w:r>
          <w:r>
            <w:rPr>
              <w:rFonts w:hint="eastAsia" w:ascii="黑体" w:hAnsi="黑体" w:eastAsia="黑体" w:cs="黑体"/>
              <w:highlight w:val="none"/>
            </w:rPr>
            <w:t>7</w:t>
          </w:r>
          <w:r>
            <w:rPr>
              <w:rFonts w:hint="eastAsia" w:ascii="黑体" w:hAnsi="黑体" w:eastAsia="黑体" w:cs="黑体"/>
              <w:highlight w:val="none"/>
            </w:rPr>
            <w:fldChar w:fldCharType="end"/>
          </w:r>
          <w:r>
            <w:rPr>
              <w:rFonts w:hint="eastAsia" w:ascii="黑体" w:hAnsi="黑体" w:eastAsia="黑体" w:cs="黑体"/>
              <w:szCs w:val="28"/>
              <w:highlight w:val="none"/>
              <w:lang w:val="en-US" w:eastAsia="zh-CN"/>
            </w:rPr>
            <w:fldChar w:fldCharType="end"/>
          </w:r>
        </w:p>
        <w:p w14:paraId="2D79250C">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_Toc22839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（一）绩效评价的目的、对象和范围</w:t>
          </w:r>
          <w:r>
            <w:rPr>
              <w:highlight w:val="none"/>
            </w:rPr>
            <w:tab/>
          </w:r>
          <w:r>
            <w:rPr>
              <w:highlight w:val="none"/>
            </w:rPr>
            <w:fldChar w:fldCharType="begin"/>
          </w:r>
          <w:r>
            <w:rPr>
              <w:highlight w:val="none"/>
            </w:rPr>
            <w:instrText xml:space="preserve"> PAGEREF _Toc22839 \h </w:instrText>
          </w:r>
          <w:r>
            <w:rPr>
              <w:highlight w:val="none"/>
            </w:rPr>
            <w:fldChar w:fldCharType="separate"/>
          </w:r>
          <w:r>
            <w:rPr>
              <w:highlight w:val="none"/>
            </w:rPr>
            <w:t>7</w:t>
          </w:r>
          <w:r>
            <w:rPr>
              <w:highlight w:val="none"/>
            </w:rPr>
            <w:fldChar w:fldCharType="end"/>
          </w:r>
          <w:r>
            <w:rPr>
              <w:rFonts w:hint="eastAsia"/>
              <w:szCs w:val="28"/>
              <w:highlight w:val="none"/>
              <w:lang w:val="en-US" w:eastAsia="zh-CN"/>
            </w:rPr>
            <w:fldChar w:fldCharType="end"/>
          </w:r>
        </w:p>
        <w:p w14:paraId="6C3E671F">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_Toc29785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（二）绩效评价原则、评价指标体系（</w:t>
          </w:r>
          <w:r>
            <w:rPr>
              <w:rFonts w:hint="default" w:ascii="Times New Roman" w:hAnsi="Times New Roman" w:eastAsia="楷体_GB2312" w:cs="Times New Roman"/>
              <w:kern w:val="28"/>
              <w:highlight w:val="none"/>
              <w:lang w:val="en-US" w:eastAsia="zh-CN"/>
            </w:rPr>
            <w:t>详情见</w:t>
          </w:r>
          <w:r>
            <w:rPr>
              <w:rFonts w:hint="eastAsia" w:ascii="Times New Roman" w:hAnsi="Times New Roman" w:eastAsia="楷体_GB2312" w:cs="Times New Roman"/>
              <w:kern w:val="28"/>
              <w:highlight w:val="none"/>
              <w:lang w:val="en-US" w:eastAsia="zh-CN"/>
            </w:rPr>
            <w:t>附件二）、评价方法、评价标准</w:t>
          </w:r>
          <w:r>
            <w:rPr>
              <w:highlight w:val="none"/>
            </w:rPr>
            <w:tab/>
          </w:r>
          <w:r>
            <w:rPr>
              <w:highlight w:val="none"/>
            </w:rPr>
            <w:fldChar w:fldCharType="begin"/>
          </w:r>
          <w:r>
            <w:rPr>
              <w:highlight w:val="none"/>
            </w:rPr>
            <w:instrText xml:space="preserve"> PAGEREF _Toc29785 \h </w:instrText>
          </w:r>
          <w:r>
            <w:rPr>
              <w:highlight w:val="none"/>
            </w:rPr>
            <w:fldChar w:fldCharType="separate"/>
          </w:r>
          <w:r>
            <w:rPr>
              <w:highlight w:val="none"/>
            </w:rPr>
            <w:t>11</w:t>
          </w:r>
          <w:r>
            <w:rPr>
              <w:highlight w:val="none"/>
            </w:rPr>
            <w:fldChar w:fldCharType="end"/>
          </w:r>
          <w:r>
            <w:rPr>
              <w:rFonts w:hint="eastAsia"/>
              <w:szCs w:val="28"/>
              <w:highlight w:val="none"/>
              <w:lang w:val="en-US" w:eastAsia="zh-CN"/>
            </w:rPr>
            <w:fldChar w:fldCharType="end"/>
          </w:r>
        </w:p>
        <w:p w14:paraId="2243F8F3">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_Toc21435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（三）绩效评价工作过程</w:t>
          </w:r>
          <w:r>
            <w:rPr>
              <w:highlight w:val="none"/>
            </w:rPr>
            <w:tab/>
          </w:r>
          <w:r>
            <w:rPr>
              <w:highlight w:val="none"/>
            </w:rPr>
            <w:fldChar w:fldCharType="begin"/>
          </w:r>
          <w:r>
            <w:rPr>
              <w:highlight w:val="none"/>
            </w:rPr>
            <w:instrText xml:space="preserve"> PAGEREF _Toc21435 \h </w:instrText>
          </w:r>
          <w:r>
            <w:rPr>
              <w:highlight w:val="none"/>
            </w:rPr>
            <w:fldChar w:fldCharType="separate"/>
          </w:r>
          <w:r>
            <w:rPr>
              <w:highlight w:val="none"/>
            </w:rPr>
            <w:t>15</w:t>
          </w:r>
          <w:r>
            <w:rPr>
              <w:highlight w:val="none"/>
            </w:rPr>
            <w:fldChar w:fldCharType="end"/>
          </w:r>
          <w:r>
            <w:rPr>
              <w:rFonts w:hint="eastAsia"/>
              <w:szCs w:val="28"/>
              <w:highlight w:val="none"/>
              <w:lang w:val="en-US" w:eastAsia="zh-CN"/>
            </w:rPr>
            <w:fldChar w:fldCharType="end"/>
          </w:r>
        </w:p>
        <w:p w14:paraId="3DC250B0">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_Toc19261 </w:instrText>
          </w:r>
          <w:r>
            <w:rPr>
              <w:rFonts w:hint="eastAsia"/>
              <w:szCs w:val="28"/>
              <w:highlight w:val="none"/>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rPr>
              <w:highlight w:val="none"/>
            </w:rPr>
            <w:tab/>
          </w:r>
          <w:r>
            <w:rPr>
              <w:highlight w:val="none"/>
            </w:rPr>
            <w:fldChar w:fldCharType="begin"/>
          </w:r>
          <w:r>
            <w:rPr>
              <w:highlight w:val="none"/>
            </w:rPr>
            <w:instrText xml:space="preserve"> PAGEREF _Toc19261 \h </w:instrText>
          </w:r>
          <w:r>
            <w:rPr>
              <w:highlight w:val="none"/>
            </w:rPr>
            <w:fldChar w:fldCharType="separate"/>
          </w:r>
          <w:r>
            <w:rPr>
              <w:highlight w:val="none"/>
            </w:rPr>
            <w:t>17</w:t>
          </w:r>
          <w:r>
            <w:rPr>
              <w:highlight w:val="none"/>
            </w:rPr>
            <w:fldChar w:fldCharType="end"/>
          </w:r>
          <w:r>
            <w:rPr>
              <w:rFonts w:hint="eastAsia"/>
              <w:szCs w:val="28"/>
              <w:highlight w:val="none"/>
              <w:lang w:val="en-US" w:eastAsia="zh-CN"/>
            </w:rPr>
            <w:fldChar w:fldCharType="end"/>
          </w:r>
        </w:p>
        <w:p w14:paraId="767F972D">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_Toc23319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（一）综合评价情况及评价结论</w:t>
          </w:r>
          <w:r>
            <w:rPr>
              <w:highlight w:val="none"/>
            </w:rPr>
            <w:tab/>
          </w:r>
          <w:r>
            <w:rPr>
              <w:highlight w:val="none"/>
            </w:rPr>
            <w:fldChar w:fldCharType="begin"/>
          </w:r>
          <w:r>
            <w:rPr>
              <w:highlight w:val="none"/>
            </w:rPr>
            <w:instrText xml:space="preserve"> PAGEREF _Toc23319 \h </w:instrText>
          </w:r>
          <w:r>
            <w:rPr>
              <w:highlight w:val="none"/>
            </w:rPr>
            <w:fldChar w:fldCharType="separate"/>
          </w:r>
          <w:r>
            <w:rPr>
              <w:highlight w:val="none"/>
            </w:rPr>
            <w:t>17</w:t>
          </w:r>
          <w:r>
            <w:rPr>
              <w:highlight w:val="none"/>
            </w:rPr>
            <w:fldChar w:fldCharType="end"/>
          </w:r>
          <w:r>
            <w:rPr>
              <w:rFonts w:hint="eastAsia"/>
              <w:szCs w:val="28"/>
              <w:highlight w:val="none"/>
              <w:lang w:val="en-US" w:eastAsia="zh-CN"/>
            </w:rPr>
            <w:fldChar w:fldCharType="end"/>
          </w:r>
        </w:p>
        <w:p w14:paraId="293921B8">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_Toc11863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（二）相关评分表</w:t>
          </w:r>
          <w:r>
            <w:rPr>
              <w:highlight w:val="none"/>
            </w:rPr>
            <w:tab/>
          </w:r>
          <w:r>
            <w:rPr>
              <w:highlight w:val="none"/>
            </w:rPr>
            <w:fldChar w:fldCharType="begin"/>
          </w:r>
          <w:r>
            <w:rPr>
              <w:highlight w:val="none"/>
            </w:rPr>
            <w:instrText xml:space="preserve"> PAGEREF _Toc11863 \h </w:instrText>
          </w:r>
          <w:r>
            <w:rPr>
              <w:highlight w:val="none"/>
            </w:rPr>
            <w:fldChar w:fldCharType="separate"/>
          </w:r>
          <w:r>
            <w:rPr>
              <w:highlight w:val="none"/>
            </w:rPr>
            <w:t>17</w:t>
          </w:r>
          <w:r>
            <w:rPr>
              <w:highlight w:val="none"/>
            </w:rPr>
            <w:fldChar w:fldCharType="end"/>
          </w:r>
          <w:r>
            <w:rPr>
              <w:rFonts w:hint="eastAsia"/>
              <w:szCs w:val="28"/>
              <w:highlight w:val="none"/>
              <w:lang w:val="en-US" w:eastAsia="zh-CN"/>
            </w:rPr>
            <w:fldChar w:fldCharType="end"/>
          </w:r>
        </w:p>
        <w:p w14:paraId="2B930225">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_Toc14941 </w:instrText>
          </w:r>
          <w:r>
            <w:rPr>
              <w:rFonts w:hint="eastAsia"/>
              <w:szCs w:val="28"/>
              <w:highlight w:val="none"/>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rPr>
              <w:highlight w:val="none"/>
            </w:rPr>
            <w:tab/>
          </w:r>
          <w:r>
            <w:rPr>
              <w:highlight w:val="none"/>
            </w:rPr>
            <w:fldChar w:fldCharType="begin"/>
          </w:r>
          <w:r>
            <w:rPr>
              <w:highlight w:val="none"/>
            </w:rPr>
            <w:instrText xml:space="preserve"> PAGEREF _Toc14941 \h </w:instrText>
          </w:r>
          <w:r>
            <w:rPr>
              <w:highlight w:val="none"/>
            </w:rPr>
            <w:fldChar w:fldCharType="separate"/>
          </w:r>
          <w:r>
            <w:rPr>
              <w:highlight w:val="none"/>
            </w:rPr>
            <w:t>18</w:t>
          </w:r>
          <w:r>
            <w:rPr>
              <w:highlight w:val="none"/>
            </w:rPr>
            <w:fldChar w:fldCharType="end"/>
          </w:r>
          <w:r>
            <w:rPr>
              <w:rFonts w:hint="eastAsia"/>
              <w:szCs w:val="28"/>
              <w:highlight w:val="none"/>
              <w:lang w:val="en-US" w:eastAsia="zh-CN"/>
            </w:rPr>
            <w:fldChar w:fldCharType="end"/>
          </w:r>
        </w:p>
        <w:p w14:paraId="555947F6">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_Toc6759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rPr>
            <w:t>（一）项目决策情况</w:t>
          </w:r>
          <w:r>
            <w:rPr>
              <w:highlight w:val="none"/>
            </w:rPr>
            <w:tab/>
          </w:r>
          <w:r>
            <w:rPr>
              <w:highlight w:val="none"/>
            </w:rPr>
            <w:fldChar w:fldCharType="begin"/>
          </w:r>
          <w:r>
            <w:rPr>
              <w:highlight w:val="none"/>
            </w:rPr>
            <w:instrText xml:space="preserve"> PAGEREF _Toc6759 \h </w:instrText>
          </w:r>
          <w:r>
            <w:rPr>
              <w:highlight w:val="none"/>
            </w:rPr>
            <w:fldChar w:fldCharType="separate"/>
          </w:r>
          <w:r>
            <w:rPr>
              <w:highlight w:val="none"/>
            </w:rPr>
            <w:t>18</w:t>
          </w:r>
          <w:r>
            <w:rPr>
              <w:highlight w:val="none"/>
            </w:rPr>
            <w:fldChar w:fldCharType="end"/>
          </w:r>
          <w:r>
            <w:rPr>
              <w:rFonts w:hint="eastAsia"/>
              <w:szCs w:val="28"/>
              <w:highlight w:val="none"/>
              <w:lang w:val="en-US" w:eastAsia="zh-CN"/>
            </w:rPr>
            <w:fldChar w:fldCharType="end"/>
          </w:r>
        </w:p>
        <w:p w14:paraId="05273BFE">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_Toc10564 </w:instrText>
          </w:r>
          <w:r>
            <w:rPr>
              <w:rFonts w:hint="eastAsia"/>
              <w:szCs w:val="28"/>
              <w:highlight w:val="none"/>
              <w:lang w:val="en-US" w:eastAsia="zh-CN"/>
            </w:rPr>
            <w:fldChar w:fldCharType="separate"/>
          </w:r>
          <w:r>
            <w:rPr>
              <w:rFonts w:hint="eastAsia" w:ascii="Times New Roman" w:hAnsi="Times New Roman" w:eastAsia="楷体" w:cs="Times New Roman"/>
              <w:kern w:val="28"/>
              <w:highlight w:val="none"/>
              <w:lang w:eastAsia="zh-CN"/>
            </w:rPr>
            <w:t>（</w:t>
          </w:r>
          <w:r>
            <w:rPr>
              <w:rFonts w:hint="eastAsia" w:ascii="Times New Roman" w:hAnsi="Times New Roman" w:eastAsia="楷体" w:cs="Times New Roman"/>
              <w:kern w:val="28"/>
              <w:highlight w:val="none"/>
              <w:lang w:val="en-US" w:eastAsia="zh-CN"/>
            </w:rPr>
            <w:t>二</w:t>
          </w:r>
          <w:r>
            <w:rPr>
              <w:rFonts w:hint="eastAsia" w:ascii="Times New Roman" w:hAnsi="Times New Roman" w:eastAsia="楷体" w:cs="Times New Roman"/>
              <w:kern w:val="28"/>
              <w:highlight w:val="none"/>
              <w:lang w:eastAsia="zh-CN"/>
            </w:rPr>
            <w:t>）</w:t>
          </w:r>
          <w:r>
            <w:rPr>
              <w:rFonts w:hint="eastAsia" w:ascii="Times New Roman" w:hAnsi="Times New Roman" w:eastAsia="楷体" w:cs="Times New Roman"/>
              <w:kern w:val="28"/>
              <w:highlight w:val="none"/>
            </w:rPr>
            <w:t>项目过程情况</w:t>
          </w:r>
          <w:r>
            <w:rPr>
              <w:highlight w:val="none"/>
            </w:rPr>
            <w:tab/>
          </w:r>
          <w:r>
            <w:rPr>
              <w:highlight w:val="none"/>
            </w:rPr>
            <w:fldChar w:fldCharType="begin"/>
          </w:r>
          <w:r>
            <w:rPr>
              <w:highlight w:val="none"/>
            </w:rPr>
            <w:instrText xml:space="preserve"> PAGEREF _Toc10564 \h </w:instrText>
          </w:r>
          <w:r>
            <w:rPr>
              <w:highlight w:val="none"/>
            </w:rPr>
            <w:fldChar w:fldCharType="separate"/>
          </w:r>
          <w:r>
            <w:rPr>
              <w:highlight w:val="none"/>
            </w:rPr>
            <w:t>21</w:t>
          </w:r>
          <w:r>
            <w:rPr>
              <w:highlight w:val="none"/>
            </w:rPr>
            <w:fldChar w:fldCharType="end"/>
          </w:r>
          <w:r>
            <w:rPr>
              <w:rFonts w:hint="eastAsia"/>
              <w:szCs w:val="28"/>
              <w:highlight w:val="none"/>
              <w:lang w:val="en-US" w:eastAsia="zh-CN"/>
            </w:rPr>
            <w:fldChar w:fldCharType="end"/>
          </w:r>
        </w:p>
        <w:p w14:paraId="1C5B960D">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_Toc2441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（三）项目产出情况</w:t>
          </w:r>
          <w:r>
            <w:rPr>
              <w:highlight w:val="none"/>
            </w:rPr>
            <w:tab/>
          </w:r>
          <w:r>
            <w:rPr>
              <w:highlight w:val="none"/>
            </w:rPr>
            <w:fldChar w:fldCharType="begin"/>
          </w:r>
          <w:r>
            <w:rPr>
              <w:highlight w:val="none"/>
            </w:rPr>
            <w:instrText xml:space="preserve"> PAGEREF _Toc2441 \h </w:instrText>
          </w:r>
          <w:r>
            <w:rPr>
              <w:highlight w:val="none"/>
            </w:rPr>
            <w:fldChar w:fldCharType="separate"/>
          </w:r>
          <w:r>
            <w:rPr>
              <w:highlight w:val="none"/>
            </w:rPr>
            <w:t>24</w:t>
          </w:r>
          <w:r>
            <w:rPr>
              <w:highlight w:val="none"/>
            </w:rPr>
            <w:fldChar w:fldCharType="end"/>
          </w:r>
          <w:r>
            <w:rPr>
              <w:rFonts w:hint="eastAsia"/>
              <w:szCs w:val="28"/>
              <w:highlight w:val="none"/>
              <w:lang w:val="en-US" w:eastAsia="zh-CN"/>
            </w:rPr>
            <w:fldChar w:fldCharType="end"/>
          </w:r>
        </w:p>
        <w:p w14:paraId="077C6F05">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_Toc19424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（四）项目效益情况</w:t>
          </w:r>
          <w:r>
            <w:rPr>
              <w:highlight w:val="none"/>
            </w:rPr>
            <w:tab/>
          </w:r>
          <w:r>
            <w:rPr>
              <w:highlight w:val="none"/>
            </w:rPr>
            <w:fldChar w:fldCharType="begin"/>
          </w:r>
          <w:r>
            <w:rPr>
              <w:highlight w:val="none"/>
            </w:rPr>
            <w:instrText xml:space="preserve"> PAGEREF _Toc19424 \h </w:instrText>
          </w:r>
          <w:r>
            <w:rPr>
              <w:highlight w:val="none"/>
            </w:rPr>
            <w:fldChar w:fldCharType="separate"/>
          </w:r>
          <w:r>
            <w:rPr>
              <w:highlight w:val="none"/>
            </w:rPr>
            <w:t>26</w:t>
          </w:r>
          <w:r>
            <w:rPr>
              <w:highlight w:val="none"/>
            </w:rPr>
            <w:fldChar w:fldCharType="end"/>
          </w:r>
          <w:r>
            <w:rPr>
              <w:rFonts w:hint="eastAsia"/>
              <w:szCs w:val="28"/>
              <w:highlight w:val="none"/>
              <w:lang w:val="en-US" w:eastAsia="zh-CN"/>
            </w:rPr>
            <w:fldChar w:fldCharType="end"/>
          </w:r>
        </w:p>
        <w:p w14:paraId="282F8131">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_Toc23313 </w:instrText>
          </w:r>
          <w:r>
            <w:rPr>
              <w:rFonts w:hint="eastAsia"/>
              <w:szCs w:val="28"/>
              <w:highlight w:val="none"/>
              <w:lang w:val="en-US" w:eastAsia="zh-CN"/>
            </w:rPr>
            <w:fldChar w:fldCharType="separate"/>
          </w:r>
          <w:r>
            <w:rPr>
              <w:rFonts w:hint="eastAsia" w:ascii="Times New Roman" w:hAnsi="Times New Roman" w:eastAsia="楷体_GB2312" w:cs="Times New Roman"/>
              <w:bCs/>
              <w:kern w:val="28"/>
              <w:highlight w:val="none"/>
              <w:lang w:val="en-US" w:eastAsia="zh-CN"/>
            </w:rPr>
            <w:t>（五）满意度指标完成情况分析</w:t>
          </w:r>
          <w:r>
            <w:rPr>
              <w:highlight w:val="none"/>
            </w:rPr>
            <w:tab/>
          </w:r>
          <w:r>
            <w:rPr>
              <w:highlight w:val="none"/>
            </w:rPr>
            <w:fldChar w:fldCharType="begin"/>
          </w:r>
          <w:r>
            <w:rPr>
              <w:highlight w:val="none"/>
            </w:rPr>
            <w:instrText xml:space="preserve"> PAGEREF _Toc23313 \h </w:instrText>
          </w:r>
          <w:r>
            <w:rPr>
              <w:highlight w:val="none"/>
            </w:rPr>
            <w:fldChar w:fldCharType="separate"/>
          </w:r>
          <w:r>
            <w:rPr>
              <w:highlight w:val="none"/>
            </w:rPr>
            <w:t>26</w:t>
          </w:r>
          <w:r>
            <w:rPr>
              <w:highlight w:val="none"/>
            </w:rPr>
            <w:fldChar w:fldCharType="end"/>
          </w:r>
          <w:r>
            <w:rPr>
              <w:rFonts w:hint="eastAsia"/>
              <w:szCs w:val="28"/>
              <w:highlight w:val="none"/>
              <w:lang w:val="en-US" w:eastAsia="zh-CN"/>
            </w:rPr>
            <w:fldChar w:fldCharType="end"/>
          </w:r>
        </w:p>
        <w:p w14:paraId="1B2B4497">
          <w:pPr>
            <w:pStyle w:val="10"/>
            <w:tabs>
              <w:tab w:val="right" w:leader="dot" w:pos="8844"/>
            </w:tabs>
            <w:rPr>
              <w:rFonts w:hint="eastAsia" w:ascii="黑体" w:hAnsi="黑体" w:eastAsia="黑体" w:cs="黑体"/>
              <w:highlight w:val="none"/>
            </w:rPr>
          </w:pPr>
          <w:r>
            <w:rPr>
              <w:rFonts w:hint="eastAsia" w:ascii="黑体" w:hAnsi="黑体" w:eastAsia="黑体" w:cs="黑体"/>
              <w:szCs w:val="28"/>
              <w:highlight w:val="none"/>
              <w:lang w:val="en-US" w:eastAsia="zh-CN"/>
            </w:rPr>
            <w:fldChar w:fldCharType="begin"/>
          </w:r>
          <w:r>
            <w:rPr>
              <w:rFonts w:hint="eastAsia" w:ascii="黑体" w:hAnsi="黑体" w:eastAsia="黑体" w:cs="黑体"/>
              <w:szCs w:val="28"/>
              <w:highlight w:val="none"/>
              <w:lang w:val="en-US" w:eastAsia="zh-CN"/>
            </w:rPr>
            <w:instrText xml:space="preserve"> HYPERLINK \l _Toc6622 </w:instrText>
          </w:r>
          <w:r>
            <w:rPr>
              <w:rFonts w:hint="eastAsia" w:ascii="黑体" w:hAnsi="黑体" w:eastAsia="黑体" w:cs="黑体"/>
              <w:szCs w:val="28"/>
              <w:highlight w:val="none"/>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_Toc6622 \h </w:instrText>
          </w:r>
          <w:r>
            <w:rPr>
              <w:rFonts w:hint="eastAsia" w:ascii="黑体" w:hAnsi="黑体" w:eastAsia="黑体" w:cs="黑体"/>
              <w:highlight w:val="none"/>
            </w:rPr>
            <w:fldChar w:fldCharType="separate"/>
          </w:r>
          <w:r>
            <w:rPr>
              <w:rFonts w:hint="eastAsia" w:ascii="黑体" w:hAnsi="黑体" w:eastAsia="黑体" w:cs="黑体"/>
              <w:highlight w:val="none"/>
            </w:rPr>
            <w:t>27</w:t>
          </w:r>
          <w:r>
            <w:rPr>
              <w:rFonts w:hint="eastAsia" w:ascii="黑体" w:hAnsi="黑体" w:eastAsia="黑体" w:cs="黑体"/>
              <w:highlight w:val="none"/>
            </w:rPr>
            <w:fldChar w:fldCharType="end"/>
          </w:r>
          <w:r>
            <w:rPr>
              <w:rFonts w:hint="eastAsia" w:ascii="黑体" w:hAnsi="黑体" w:eastAsia="黑体" w:cs="黑体"/>
              <w:szCs w:val="28"/>
              <w:highlight w:val="none"/>
              <w:lang w:val="en-US" w:eastAsia="zh-CN"/>
            </w:rPr>
            <w:fldChar w:fldCharType="end"/>
          </w:r>
        </w:p>
        <w:p w14:paraId="28427675">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_Toc15449 </w:instrText>
          </w:r>
          <w:r>
            <w:rPr>
              <w:rFonts w:hint="eastAsia"/>
              <w:szCs w:val="28"/>
              <w:highlight w:val="none"/>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rPr>
              <w:highlight w:val="none"/>
            </w:rPr>
            <w:tab/>
          </w:r>
          <w:r>
            <w:rPr>
              <w:highlight w:val="none"/>
            </w:rPr>
            <w:fldChar w:fldCharType="begin"/>
          </w:r>
          <w:r>
            <w:rPr>
              <w:highlight w:val="none"/>
            </w:rPr>
            <w:instrText xml:space="preserve"> PAGEREF _Toc15449 \h </w:instrText>
          </w:r>
          <w:r>
            <w:rPr>
              <w:highlight w:val="none"/>
            </w:rPr>
            <w:fldChar w:fldCharType="separate"/>
          </w:r>
          <w:r>
            <w:rPr>
              <w:highlight w:val="none"/>
            </w:rPr>
            <w:t>27</w:t>
          </w:r>
          <w:r>
            <w:rPr>
              <w:highlight w:val="none"/>
            </w:rPr>
            <w:fldChar w:fldCharType="end"/>
          </w:r>
          <w:r>
            <w:rPr>
              <w:rFonts w:hint="eastAsia"/>
              <w:szCs w:val="28"/>
              <w:highlight w:val="none"/>
              <w:lang w:val="en-US" w:eastAsia="zh-CN"/>
            </w:rPr>
            <w:fldChar w:fldCharType="end"/>
          </w:r>
        </w:p>
        <w:p w14:paraId="57C61147">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_Toc29168 </w:instrText>
          </w:r>
          <w:r>
            <w:rPr>
              <w:rFonts w:hint="eastAsia"/>
              <w:szCs w:val="28"/>
              <w:highlight w:val="none"/>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rPr>
              <w:highlight w:val="none"/>
            </w:rPr>
            <w:tab/>
          </w:r>
          <w:r>
            <w:rPr>
              <w:highlight w:val="none"/>
            </w:rPr>
            <w:fldChar w:fldCharType="begin"/>
          </w:r>
          <w:r>
            <w:rPr>
              <w:highlight w:val="none"/>
            </w:rPr>
            <w:instrText xml:space="preserve"> PAGEREF _Toc29168 \h </w:instrText>
          </w:r>
          <w:r>
            <w:rPr>
              <w:highlight w:val="none"/>
            </w:rPr>
            <w:fldChar w:fldCharType="separate"/>
          </w:r>
          <w:r>
            <w:rPr>
              <w:highlight w:val="none"/>
            </w:rPr>
            <w:t>27</w:t>
          </w:r>
          <w:r>
            <w:rPr>
              <w:highlight w:val="none"/>
            </w:rPr>
            <w:fldChar w:fldCharType="end"/>
          </w:r>
          <w:r>
            <w:rPr>
              <w:rFonts w:hint="eastAsia"/>
              <w:szCs w:val="28"/>
              <w:highlight w:val="none"/>
              <w:lang w:val="en-US" w:eastAsia="zh-CN"/>
            </w:rPr>
            <w:fldChar w:fldCharType="end"/>
          </w:r>
        </w:p>
        <w:p w14:paraId="1F5BE000">
          <w:pPr>
            <w:pStyle w:val="10"/>
            <w:tabs>
              <w:tab w:val="right" w:leader="dot" w:pos="8844"/>
            </w:tabs>
            <w:rPr>
              <w:rFonts w:hint="eastAsia" w:ascii="黑体" w:hAnsi="黑体" w:eastAsia="黑体" w:cs="黑体"/>
              <w:highlight w:val="none"/>
            </w:rPr>
          </w:pPr>
          <w:r>
            <w:rPr>
              <w:rFonts w:hint="eastAsia" w:ascii="黑体" w:hAnsi="黑体" w:eastAsia="黑体" w:cs="黑体"/>
              <w:szCs w:val="28"/>
              <w:highlight w:val="none"/>
              <w:lang w:val="en-US" w:eastAsia="zh-CN"/>
            </w:rPr>
            <w:fldChar w:fldCharType="begin"/>
          </w:r>
          <w:r>
            <w:rPr>
              <w:rFonts w:hint="eastAsia" w:ascii="黑体" w:hAnsi="黑体" w:eastAsia="黑体" w:cs="黑体"/>
              <w:szCs w:val="28"/>
              <w:highlight w:val="none"/>
              <w:lang w:val="en-US" w:eastAsia="zh-CN"/>
            </w:rPr>
            <w:instrText xml:space="preserve"> HYPERLINK \l _Toc3333 </w:instrText>
          </w:r>
          <w:r>
            <w:rPr>
              <w:rFonts w:hint="eastAsia" w:ascii="黑体" w:hAnsi="黑体" w:eastAsia="黑体" w:cs="黑体"/>
              <w:szCs w:val="28"/>
              <w:highlight w:val="none"/>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_Toc3333 \h </w:instrText>
          </w:r>
          <w:r>
            <w:rPr>
              <w:rFonts w:hint="eastAsia" w:ascii="黑体" w:hAnsi="黑体" w:eastAsia="黑体" w:cs="黑体"/>
              <w:highlight w:val="none"/>
            </w:rPr>
            <w:fldChar w:fldCharType="separate"/>
          </w:r>
          <w:r>
            <w:rPr>
              <w:rFonts w:hint="eastAsia" w:ascii="黑体" w:hAnsi="黑体" w:eastAsia="黑体" w:cs="黑体"/>
              <w:highlight w:val="none"/>
            </w:rPr>
            <w:t>27</w:t>
          </w:r>
          <w:r>
            <w:rPr>
              <w:rFonts w:hint="eastAsia" w:ascii="黑体" w:hAnsi="黑体" w:eastAsia="黑体" w:cs="黑体"/>
              <w:highlight w:val="none"/>
            </w:rPr>
            <w:fldChar w:fldCharType="end"/>
          </w:r>
          <w:r>
            <w:rPr>
              <w:rFonts w:hint="eastAsia" w:ascii="黑体" w:hAnsi="黑体" w:eastAsia="黑体" w:cs="黑体"/>
              <w:szCs w:val="28"/>
              <w:highlight w:val="none"/>
              <w:lang w:val="en-US" w:eastAsia="zh-CN"/>
            </w:rPr>
            <w:fldChar w:fldCharType="end"/>
          </w:r>
        </w:p>
        <w:p w14:paraId="5B1AAD24">
          <w:pPr>
            <w:pStyle w:val="10"/>
            <w:tabs>
              <w:tab w:val="right" w:leader="dot" w:pos="8844"/>
            </w:tabs>
            <w:rPr>
              <w:rFonts w:hint="eastAsia" w:ascii="黑体" w:hAnsi="黑体" w:eastAsia="黑体" w:cs="黑体"/>
              <w:highlight w:val="none"/>
            </w:rPr>
          </w:pPr>
          <w:r>
            <w:rPr>
              <w:rFonts w:hint="eastAsia" w:ascii="黑体" w:hAnsi="黑体" w:eastAsia="黑体" w:cs="黑体"/>
              <w:szCs w:val="28"/>
              <w:highlight w:val="none"/>
              <w:lang w:val="en-US" w:eastAsia="zh-CN"/>
            </w:rPr>
            <w:fldChar w:fldCharType="begin"/>
          </w:r>
          <w:r>
            <w:rPr>
              <w:rFonts w:hint="eastAsia" w:ascii="黑体" w:hAnsi="黑体" w:eastAsia="黑体" w:cs="黑体"/>
              <w:szCs w:val="28"/>
              <w:highlight w:val="none"/>
              <w:lang w:val="en-US" w:eastAsia="zh-CN"/>
            </w:rPr>
            <w:instrText xml:space="preserve"> HYPERLINK \l _Toc14256 </w:instrText>
          </w:r>
          <w:r>
            <w:rPr>
              <w:rFonts w:hint="eastAsia" w:ascii="黑体" w:hAnsi="黑体" w:eastAsia="黑体" w:cs="黑体"/>
              <w:szCs w:val="28"/>
              <w:highlight w:val="none"/>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_Toc14256 \h </w:instrText>
          </w:r>
          <w:r>
            <w:rPr>
              <w:rFonts w:hint="eastAsia" w:ascii="黑体" w:hAnsi="黑体" w:eastAsia="黑体" w:cs="黑体"/>
              <w:highlight w:val="none"/>
            </w:rPr>
            <w:fldChar w:fldCharType="separate"/>
          </w:r>
          <w:r>
            <w:rPr>
              <w:rFonts w:hint="eastAsia" w:ascii="黑体" w:hAnsi="黑体" w:eastAsia="黑体" w:cs="黑体"/>
              <w:highlight w:val="none"/>
            </w:rPr>
            <w:t>28</w:t>
          </w:r>
          <w:r>
            <w:rPr>
              <w:rFonts w:hint="eastAsia" w:ascii="黑体" w:hAnsi="黑体" w:eastAsia="黑体" w:cs="黑体"/>
              <w:highlight w:val="none"/>
            </w:rPr>
            <w:fldChar w:fldCharType="end"/>
          </w:r>
          <w:r>
            <w:rPr>
              <w:rFonts w:hint="eastAsia" w:ascii="黑体" w:hAnsi="黑体" w:eastAsia="黑体" w:cs="黑体"/>
              <w:szCs w:val="28"/>
              <w:highlight w:val="none"/>
              <w:lang w:val="en-US" w:eastAsia="zh-CN"/>
            </w:rPr>
            <w:fldChar w:fldCharType="end"/>
          </w:r>
        </w:p>
        <w:p w14:paraId="40459846">
          <w:pPr>
            <w:pStyle w:val="10"/>
            <w:tabs>
              <w:tab w:val="right" w:leader="dot" w:pos="8844"/>
            </w:tabs>
            <w:rPr>
              <w:rFonts w:hint="eastAsia" w:ascii="黑体" w:hAnsi="黑体" w:eastAsia="黑体" w:cs="黑体"/>
              <w:highlight w:val="none"/>
            </w:rPr>
          </w:pPr>
          <w:r>
            <w:rPr>
              <w:rFonts w:hint="eastAsia" w:ascii="黑体" w:hAnsi="黑体" w:eastAsia="黑体" w:cs="黑体"/>
              <w:szCs w:val="28"/>
              <w:highlight w:val="none"/>
              <w:lang w:val="en-US" w:eastAsia="zh-CN"/>
            </w:rPr>
            <w:fldChar w:fldCharType="begin"/>
          </w:r>
          <w:r>
            <w:rPr>
              <w:rFonts w:hint="eastAsia" w:ascii="黑体" w:hAnsi="黑体" w:eastAsia="黑体" w:cs="黑体"/>
              <w:szCs w:val="28"/>
              <w:highlight w:val="none"/>
              <w:lang w:val="en-US" w:eastAsia="zh-CN"/>
            </w:rPr>
            <w:instrText xml:space="preserve"> HYPERLINK \l _Toc28971 </w:instrText>
          </w:r>
          <w:r>
            <w:rPr>
              <w:rFonts w:hint="eastAsia" w:ascii="黑体" w:hAnsi="黑体" w:eastAsia="黑体" w:cs="黑体"/>
              <w:szCs w:val="28"/>
              <w:highlight w:val="none"/>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_Toc28971 \h </w:instrText>
          </w:r>
          <w:r>
            <w:rPr>
              <w:rFonts w:hint="eastAsia" w:ascii="黑体" w:hAnsi="黑体" w:eastAsia="黑体" w:cs="黑体"/>
              <w:highlight w:val="none"/>
            </w:rPr>
            <w:fldChar w:fldCharType="separate"/>
          </w:r>
          <w:r>
            <w:rPr>
              <w:rFonts w:hint="eastAsia" w:ascii="黑体" w:hAnsi="黑体" w:eastAsia="黑体" w:cs="黑体"/>
              <w:highlight w:val="none"/>
            </w:rPr>
            <w:t>29</w:t>
          </w:r>
          <w:r>
            <w:rPr>
              <w:rFonts w:hint="eastAsia" w:ascii="黑体" w:hAnsi="黑体" w:eastAsia="黑体" w:cs="黑体"/>
              <w:highlight w:val="none"/>
            </w:rPr>
            <w:fldChar w:fldCharType="end"/>
          </w:r>
          <w:r>
            <w:rPr>
              <w:rFonts w:hint="eastAsia" w:ascii="黑体" w:hAnsi="黑体" w:eastAsia="黑体" w:cs="黑体"/>
              <w:szCs w:val="28"/>
              <w:highlight w:val="none"/>
              <w:lang w:val="en-US" w:eastAsia="zh-CN"/>
            </w:rPr>
            <w:fldChar w:fldCharType="end"/>
          </w:r>
        </w:p>
        <w:p w14:paraId="348009FF">
          <w:pPr>
            <w:pStyle w:val="10"/>
            <w:tabs>
              <w:tab w:val="right" w:leader="dot" w:pos="8844"/>
            </w:tabs>
            <w:rPr>
              <w:rFonts w:hint="eastAsia" w:ascii="黑体" w:hAnsi="黑体" w:eastAsia="黑体" w:cs="黑体"/>
              <w:highlight w:val="none"/>
            </w:rPr>
          </w:pPr>
          <w:r>
            <w:rPr>
              <w:rFonts w:hint="eastAsia" w:ascii="黑体" w:hAnsi="黑体" w:eastAsia="黑体" w:cs="黑体"/>
              <w:szCs w:val="28"/>
              <w:highlight w:val="none"/>
              <w:lang w:val="en-US" w:eastAsia="zh-CN"/>
            </w:rPr>
            <w:fldChar w:fldCharType="begin"/>
          </w:r>
          <w:r>
            <w:rPr>
              <w:rFonts w:hint="eastAsia" w:ascii="黑体" w:hAnsi="黑体" w:eastAsia="黑体" w:cs="黑体"/>
              <w:szCs w:val="28"/>
              <w:highlight w:val="none"/>
              <w:lang w:val="en-US" w:eastAsia="zh-CN"/>
            </w:rPr>
            <w:instrText xml:space="preserve"> HYPERLINK \l _Toc11223 </w:instrText>
          </w:r>
          <w:r>
            <w:rPr>
              <w:rFonts w:hint="eastAsia" w:ascii="黑体" w:hAnsi="黑体" w:eastAsia="黑体" w:cs="黑体"/>
              <w:szCs w:val="28"/>
              <w:highlight w:val="none"/>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_Toc11223 \h </w:instrText>
          </w:r>
          <w:r>
            <w:rPr>
              <w:rFonts w:hint="eastAsia" w:ascii="黑体" w:hAnsi="黑体" w:eastAsia="黑体" w:cs="黑体"/>
              <w:highlight w:val="none"/>
            </w:rPr>
            <w:fldChar w:fldCharType="separate"/>
          </w:r>
          <w:r>
            <w:rPr>
              <w:rFonts w:hint="eastAsia" w:ascii="黑体" w:hAnsi="黑体" w:eastAsia="黑体" w:cs="黑体"/>
              <w:highlight w:val="none"/>
            </w:rPr>
            <w:t>33</w:t>
          </w:r>
          <w:r>
            <w:rPr>
              <w:rFonts w:hint="eastAsia" w:ascii="黑体" w:hAnsi="黑体" w:eastAsia="黑体" w:cs="黑体"/>
              <w:highlight w:val="none"/>
            </w:rPr>
            <w:fldChar w:fldCharType="end"/>
          </w:r>
          <w:r>
            <w:rPr>
              <w:rFonts w:hint="eastAsia" w:ascii="黑体" w:hAnsi="黑体" w:eastAsia="黑体" w:cs="黑体"/>
              <w:szCs w:val="28"/>
              <w:highlight w:val="none"/>
              <w:lang w:val="en-US" w:eastAsia="zh-CN"/>
            </w:rPr>
            <w:fldChar w:fldCharType="end"/>
          </w:r>
        </w:p>
        <w:p w14:paraId="20E5BB41">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lang w:val="en-US" w:eastAsia="zh-CN"/>
            </w:rPr>
            <w:sectPr>
              <w:pgSz w:w="11906" w:h="16838"/>
              <w:pgMar w:top="1928" w:right="1531" w:bottom="1701" w:left="1531" w:header="737" w:footer="851" w:gutter="0"/>
              <w:cols w:space="720" w:num="1"/>
              <w:docGrid w:type="lines" w:linePitch="408" w:charSpace="0"/>
            </w:sectPr>
          </w:pPr>
          <w:r>
            <w:rPr>
              <w:rFonts w:hint="eastAsia"/>
              <w:szCs w:val="28"/>
              <w:highlight w:val="none"/>
              <w:lang w:val="en-US" w:eastAsia="zh-CN"/>
            </w:rPr>
            <w:fldChar w:fldCharType="end"/>
          </w:r>
        </w:p>
      </w:sdtContent>
    </w:sdt>
    <w:p w14:paraId="23C204B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bookmarkStart w:id="4" w:name="_Toc1194"/>
      <w:bookmarkStart w:id="5" w:name="_Toc20432"/>
      <w:bookmarkStart w:id="6" w:name="_Toc22946"/>
      <w:bookmarkStart w:id="7" w:name="_Toc3663"/>
      <w:r>
        <w:rPr>
          <w:rFonts w:hint="eastAsia" w:cs="宋体"/>
          <w:b/>
          <w:bCs/>
          <w:color w:val="auto"/>
          <w:sz w:val="36"/>
          <w:szCs w:val="36"/>
          <w:highlight w:val="none"/>
          <w:shd w:val="clear" w:color="auto" w:fill="auto"/>
          <w:lang w:val="en-US" w:eastAsia="zh-CN"/>
        </w:rPr>
        <w:t>新疆阜康市四工河水库工程（前期费）</w:t>
      </w:r>
      <w:r>
        <w:rPr>
          <w:rFonts w:hint="eastAsia" w:ascii="宋体" w:hAnsi="宋体" w:eastAsia="宋体" w:cs="宋体"/>
          <w:b/>
          <w:bCs/>
          <w:color w:val="auto"/>
          <w:sz w:val="36"/>
          <w:szCs w:val="36"/>
          <w:highlight w:val="none"/>
          <w:shd w:val="clear" w:color="auto" w:fill="auto"/>
        </w:rPr>
        <w:t>支出绩</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效评价报告</w:t>
      </w:r>
      <w:bookmarkEnd w:id="4"/>
      <w:bookmarkEnd w:id="5"/>
      <w:bookmarkEnd w:id="6"/>
      <w:bookmarkEnd w:id="7"/>
    </w:p>
    <w:p w14:paraId="1CAB1867">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8" w:name="_Toc18485"/>
      <w:r>
        <w:rPr>
          <w:rFonts w:hint="eastAsia" w:ascii="黑体" w:hAnsi="黑体" w:eastAsia="黑体" w:cs="黑体"/>
          <w:b w:val="0"/>
          <w:bCs w:val="0"/>
          <w:color w:val="000000" w:themeColor="text1"/>
          <w:highlight w:val="none"/>
          <w:shd w:val="clear" w:color="auto" w:fill="auto"/>
          <w14:textFill>
            <w14:solidFill>
              <w14:schemeClr w14:val="tx1"/>
            </w14:solidFill>
          </w14:textFill>
        </w:rPr>
        <w:t>一、基本情况</w:t>
      </w:r>
      <w:bookmarkEnd w:id="8"/>
    </w:p>
    <w:p w14:paraId="2DB2B35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9" w:name="_Toc23184"/>
      <w:r>
        <w:rPr>
          <w:rFonts w:hint="eastAsia" w:ascii="Times New Roman" w:hAnsi="Times New Roman" w:eastAsia="楷体_GB2312" w:cs="Times New Roman"/>
          <w:kern w:val="28"/>
          <w:sz w:val="32"/>
          <w:lang w:val="en-US" w:eastAsia="zh-CN"/>
        </w:rPr>
        <w:t>（一）项目概况</w:t>
      </w:r>
      <w:bookmarkEnd w:id="9"/>
    </w:p>
    <w:p w14:paraId="4491562D">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bookmarkStart w:id="10" w:name="_Toc29812"/>
      <w:bookmarkStart w:id="11" w:name="_Toc10645"/>
      <w:bookmarkStart w:id="12" w:name="_Toc22346"/>
      <w:bookmarkStart w:id="13" w:name="_Toc5043"/>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项目背景</w:t>
      </w:r>
      <w:bookmarkEnd w:id="10"/>
      <w:bookmarkEnd w:id="11"/>
      <w:bookmarkEnd w:id="12"/>
      <w:bookmarkEnd w:id="13"/>
    </w:p>
    <w:p w14:paraId="38E7C3AE">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pP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早在2010年，阜康市水利局就已着手开展阜康市四工河水库工程前期工作。2016年，阜康市四工河水库工程被纳入阜康市农发行贷款项目。历经十余载，2021年，阜康市四工河水库工程被列入区、州、市“十四五”水利发展（水安全保障）规划中，2022年作为昌吉州重点水利工程推进前期工作。</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2024年1月23日，自治区规设局完成对初步设计报告技术审查，下发《关于对</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新疆阜康市四工河水库工程（前期费）</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初步设计报告的审查意见》（新水规设〔2024〕12号）；2月9日取得昌吉州发改委《关于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新疆阜康市四工河水库工程（前期费）</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初步设计的批复》（昌州发改项目〔2024〕5号）</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w:t>
      </w:r>
      <w:bookmarkStart w:id="14" w:name="_Toc1630"/>
      <w:bookmarkStart w:id="15" w:name="_Toc10730"/>
      <w:bookmarkStart w:id="16" w:name="_Toc17880"/>
      <w:bookmarkStart w:id="17" w:name="_Toc27343"/>
    </w:p>
    <w:p w14:paraId="4DDB61F3">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水库建成后，将有效保障九运街镇、城关镇等4.602万亩农田灌溉及九运街镇、城关镇、上户沟乡、三工河乡2.61万人居民、牲畜及乡镇企业供水，充分利用地表水，提高灌溉保证率，有效减少地下水开采，改善地下水环境</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w:t>
      </w:r>
    </w:p>
    <w:p w14:paraId="2E5FC0D2">
      <w:pPr>
        <w:keepNext w:val="0"/>
        <w:keepLines w:val="0"/>
        <w:pageBreakBefore w:val="0"/>
        <w:widowControl w:val="0"/>
        <w:kinsoku w:val="0"/>
        <w:wordWrap/>
        <w:overflowPunct/>
        <w:topLinePunct w:val="0"/>
        <w:autoSpaceDE/>
        <w:autoSpaceDN/>
        <w:bidi w:val="0"/>
        <w:adjustRightInd/>
        <w:snapToGrid/>
        <w:spacing w:line="560" w:lineRule="exact"/>
        <w:ind w:leftChars="0" w:firstLine="643" w:firstLineChars="200"/>
        <w:jc w:val="both"/>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t>2.主要内容及实施情况</w:t>
      </w:r>
      <w:bookmarkEnd w:id="14"/>
      <w:bookmarkEnd w:id="15"/>
      <w:bookmarkEnd w:id="16"/>
      <w:bookmarkEnd w:id="17"/>
    </w:p>
    <w:p w14:paraId="5E646F6C">
      <w:pPr>
        <w:pStyle w:val="5"/>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bookmarkStart w:id="18" w:name="_Toc16592"/>
      <w:bookmarkStart w:id="19" w:name="_Toc21898"/>
      <w:bookmarkStart w:id="20" w:name="_Toc27409"/>
      <w:bookmarkStart w:id="21" w:name="_Toc27245"/>
      <w:r>
        <w:rPr>
          <w:rFonts w:hint="eastAsia" w:ascii="仿宋_GB2312" w:hAnsi="仿宋_GB2312" w:eastAsia="仿宋_GB2312" w:cs="仿宋_GB2312"/>
          <w:color w:val="auto"/>
          <w:sz w:val="32"/>
          <w:szCs w:val="32"/>
          <w:highlight w:val="none"/>
          <w:shd w:val="clear" w:color="auto" w:fill="auto"/>
          <w:lang w:val="en-US" w:eastAsia="zh-CN"/>
        </w:rPr>
        <w:t>项目主要内容：</w:t>
      </w:r>
      <w:r>
        <w:rPr>
          <w:rFonts w:hint="eastAsia" w:cs="仿宋_GB2312"/>
          <w:b w:val="0"/>
          <w:bCs w:val="0"/>
          <w:color w:val="auto"/>
          <w:kern w:val="2"/>
          <w:sz w:val="32"/>
          <w:szCs w:val="32"/>
          <w:highlight w:val="none"/>
          <w:shd w:val="clear" w:color="auto" w:fill="auto"/>
          <w:lang w:val="en-US" w:eastAsia="zh-CN" w:bidi="ar-SA"/>
        </w:rPr>
        <w:t>新疆阜康市四工河水库工程（前期费）</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位于阜康市三工河乡四工村，距离四工河出山口约8km处，是四工河上一座以城乡生活、农业供水为主的山区控制性Ⅳ等小Ⅰ型水库工程，水库建成后承担阜康市九运街镇、城关镇等4.6万亩农田灌溉及九运街镇、城关镇、上户沟乡、三工河乡2.61万居民及乡镇企业供水任务。水库设计总库容980.2万m³，由拦河大坝（混凝土面板砂砾石坝）、输水洞、冲沙放空兼导流洞、溢洪道等建筑物组成。水库坝长445.55m，最大坝高79m，合理使用年限50年</w:t>
      </w:r>
      <w:bookmarkEnd w:id="18"/>
      <w:bookmarkEnd w:id="19"/>
      <w:bookmarkEnd w:id="20"/>
      <w:bookmarkEnd w:id="21"/>
      <w:r>
        <w:rPr>
          <w:rFonts w:hint="eastAsia" w:cs="仿宋_GB2312"/>
          <w:b w:val="0"/>
          <w:bCs w:val="0"/>
          <w:color w:val="auto"/>
          <w:kern w:val="2"/>
          <w:sz w:val="32"/>
          <w:szCs w:val="32"/>
          <w:highlight w:val="none"/>
          <w:shd w:val="clear" w:color="auto" w:fill="auto"/>
          <w:lang w:val="en-US" w:eastAsia="zh-CN" w:bidi="ar-SA"/>
        </w:rPr>
        <w:t>。</w:t>
      </w:r>
    </w:p>
    <w:p w14:paraId="199EA99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w:t>
      </w:r>
      <w:r>
        <w:rPr>
          <w:rFonts w:hint="default" w:ascii="仿宋_GB2312" w:hAnsi="仿宋_GB2312" w:eastAsia="仿宋_GB2312" w:cs="仿宋_GB2312"/>
          <w:color w:val="auto"/>
          <w:sz w:val="32"/>
          <w:szCs w:val="32"/>
          <w:highlight w:val="none"/>
          <w:shd w:val="clear" w:color="auto" w:fill="auto"/>
          <w:lang w:val="en-US" w:eastAsia="zh-CN"/>
        </w:rPr>
        <w:t>2022年5月20日，</w:t>
      </w:r>
      <w:r>
        <w:rPr>
          <w:rFonts w:hint="eastAsia" w:ascii="仿宋_GB2312" w:hAnsi="仿宋_GB2312" w:eastAsia="仿宋_GB2312" w:cs="仿宋_GB2312"/>
          <w:color w:val="auto"/>
          <w:sz w:val="32"/>
          <w:szCs w:val="32"/>
          <w:highlight w:val="none"/>
          <w:shd w:val="clear" w:color="auto" w:fill="auto"/>
          <w:lang w:val="en-US" w:eastAsia="zh-CN"/>
        </w:rPr>
        <w:t>经</w:t>
      </w:r>
      <w:r>
        <w:rPr>
          <w:rFonts w:hint="default" w:ascii="仿宋_GB2312" w:hAnsi="仿宋_GB2312" w:eastAsia="仿宋_GB2312" w:cs="仿宋_GB2312"/>
          <w:color w:val="auto"/>
          <w:sz w:val="32"/>
          <w:szCs w:val="32"/>
          <w:highlight w:val="none"/>
          <w:shd w:val="clear" w:color="auto" w:fill="auto"/>
          <w:lang w:val="en-US" w:eastAsia="zh-CN"/>
        </w:rPr>
        <w:t>中共阜康市委员会办公室、阜康市人民政府办公室下发《关于成立阜康市四工河水库项目建设领导小组的通知》（阜党办〔2022〕65号）</w:t>
      </w:r>
      <w:r>
        <w:rPr>
          <w:rFonts w:hint="eastAsia" w:ascii="仿宋_GB2312" w:hAnsi="仿宋_GB2312" w:eastAsia="仿宋_GB2312" w:cs="仿宋_GB2312"/>
          <w:color w:val="auto"/>
          <w:sz w:val="32"/>
          <w:szCs w:val="32"/>
          <w:highlight w:val="none"/>
          <w:shd w:val="clear" w:color="auto" w:fill="auto"/>
          <w:lang w:val="en-US" w:eastAsia="zh-CN"/>
        </w:rPr>
        <w:t>批复</w:t>
      </w:r>
      <w:r>
        <w:rPr>
          <w:rFonts w:hint="default" w:ascii="仿宋_GB2312" w:hAnsi="仿宋_GB2312" w:eastAsia="仿宋_GB2312" w:cs="仿宋_GB2312"/>
          <w:color w:val="auto"/>
          <w:sz w:val="32"/>
          <w:szCs w:val="32"/>
          <w:highlight w:val="none"/>
          <w:shd w:val="clear" w:color="auto" w:fill="auto"/>
          <w:lang w:val="en-US" w:eastAsia="zh-CN"/>
        </w:rPr>
        <w:t>，成立了阜康市四工河水库项目建设领导小组</w:t>
      </w:r>
      <w:r>
        <w:rPr>
          <w:rFonts w:hint="eastAsia" w:ascii="仿宋_GB2312" w:hAnsi="仿宋_GB2312" w:eastAsia="仿宋_GB2312" w:cs="仿宋_GB2312"/>
          <w:color w:val="auto"/>
          <w:sz w:val="32"/>
          <w:szCs w:val="32"/>
          <w:highlight w:val="none"/>
          <w:shd w:val="clear" w:color="auto" w:fill="auto"/>
          <w:lang w:val="en-US" w:eastAsia="zh-CN"/>
        </w:rPr>
        <w:t>，明确了责任分工：组长为王廷，副组长为牛义，领导小组下设办公室，办公室设在阜康市水利局，办公室主任由牛义同志兼任，主持日常工作，办公室副主任由李虎同志兼任。</w:t>
      </w:r>
    </w:p>
    <w:p w14:paraId="2C876DCE">
      <w:pPr>
        <w:pStyle w:val="5"/>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bookmarkStart w:id="22" w:name="_Toc10240"/>
      <w:bookmarkStart w:id="23" w:name="_Toc12348"/>
      <w:bookmarkStart w:id="24" w:name="_Toc1858"/>
      <w:bookmarkStart w:id="25" w:name="_Toc569"/>
      <w:r>
        <w:rPr>
          <w:rFonts w:hint="eastAsia" w:cs="仿宋_GB2312"/>
          <w:b w:val="0"/>
          <w:bCs w:val="0"/>
          <w:color w:val="auto"/>
          <w:kern w:val="2"/>
          <w:sz w:val="32"/>
          <w:szCs w:val="32"/>
          <w:highlight w:val="none"/>
          <w:shd w:val="clear" w:color="auto" w:fill="auto"/>
          <w:lang w:val="en-US" w:eastAsia="zh-CN" w:bidi="ar-SA"/>
        </w:rPr>
        <w:t>截至目前，</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冲砂放空兼导流洞</w:t>
      </w:r>
      <w:r>
        <w:rPr>
          <w:rFonts w:hint="eastAsia" w:cs="仿宋_GB2312"/>
          <w:b w:val="0"/>
          <w:bCs w:val="0"/>
          <w:color w:val="auto"/>
          <w:kern w:val="2"/>
          <w:sz w:val="32"/>
          <w:szCs w:val="32"/>
          <w:highlight w:val="none"/>
          <w:shd w:val="clear" w:color="auto" w:fill="auto"/>
          <w:lang w:val="en-US" w:eastAsia="zh-CN" w:bidi="ar-SA"/>
        </w:rPr>
        <w:t>、</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输水洞全线贯通</w:t>
      </w:r>
      <w:r>
        <w:rPr>
          <w:rFonts w:hint="eastAsia" w:cs="仿宋_GB2312"/>
          <w:b w:val="0"/>
          <w:bCs w:val="0"/>
          <w:color w:val="auto"/>
          <w:kern w:val="2"/>
          <w:sz w:val="32"/>
          <w:szCs w:val="32"/>
          <w:highlight w:val="none"/>
          <w:shd w:val="clear" w:color="auto" w:fill="auto"/>
          <w:lang w:val="en-US" w:eastAsia="zh-CN" w:bidi="ar-SA"/>
        </w:rPr>
        <w:t>，左坝肩、溢洪道边坡及进口边坡开挖、冲沙放空兼导流洞、输水洞洞身爆破开挖支护等作业已完成。</w:t>
      </w:r>
    </w:p>
    <w:p w14:paraId="4D91E082">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3.资金投入和使用情况</w:t>
      </w:r>
      <w:bookmarkEnd w:id="22"/>
      <w:bookmarkEnd w:id="23"/>
      <w:bookmarkEnd w:id="24"/>
      <w:bookmarkEnd w:id="25"/>
    </w:p>
    <w:p w14:paraId="0B079EB0">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6" w:name="_Toc694"/>
      <w:bookmarkStart w:id="27" w:name="_Toc26369"/>
      <w:bookmarkStart w:id="28" w:name="_Toc23509"/>
      <w:r>
        <w:rPr>
          <w:rFonts w:hint="eastAsia" w:ascii="仿宋_GB2312" w:hAnsi="仿宋_GB2312" w:eastAsia="仿宋_GB2312" w:cs="仿宋_GB2312"/>
          <w:sz w:val="32"/>
          <w:szCs w:val="32"/>
          <w:highlight w:val="none"/>
          <w:lang w:val="en-US" w:eastAsia="zh-CN"/>
        </w:rPr>
        <w:t>（1）资金投入情况</w:t>
      </w:r>
      <w:bookmarkEnd w:id="26"/>
      <w:bookmarkEnd w:id="27"/>
      <w:bookmarkEnd w:id="28"/>
    </w:p>
    <w:p w14:paraId="4F8D0DE3">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FF0000"/>
          <w:sz w:val="32"/>
          <w:szCs w:val="32"/>
          <w:highlight w:val="none"/>
          <w:lang w:val="en-US" w:eastAsia="zh-CN"/>
        </w:rPr>
      </w:pPr>
      <w:bookmarkStart w:id="29" w:name="_Toc9464"/>
      <w:bookmarkStart w:id="30" w:name="_Toc5573"/>
      <w:bookmarkStart w:id="31" w:name="_Toc29190"/>
      <w:r>
        <w:rPr>
          <w:rFonts w:hint="eastAsia" w:ascii="仿宋_GB2312" w:hAnsi="仿宋_GB2312" w:eastAsia="仿宋_GB2312" w:cs="仿宋_GB2312"/>
          <w:sz w:val="32"/>
          <w:szCs w:val="32"/>
          <w:highlight w:val="none"/>
          <w:lang w:val="en-US" w:eastAsia="zh-CN"/>
        </w:rPr>
        <w:t>该项目年初预算数4093.84万元，全年预算数4093.84万元，该项目资金已全部落实到位，资金来源为财政拨款和其他资金。</w:t>
      </w:r>
      <w:bookmarkEnd w:id="29"/>
      <w:bookmarkEnd w:id="30"/>
      <w:bookmarkEnd w:id="31"/>
    </w:p>
    <w:p w14:paraId="2B065E80">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32" w:name="_Toc28187"/>
      <w:bookmarkStart w:id="33" w:name="_Toc1166"/>
      <w:bookmarkStart w:id="34" w:name="_Toc3409"/>
      <w:r>
        <w:rPr>
          <w:rFonts w:hint="eastAsia" w:ascii="仿宋_GB2312" w:hAnsi="仿宋_GB2312" w:eastAsia="仿宋_GB2312" w:cs="仿宋_GB2312"/>
          <w:sz w:val="32"/>
          <w:szCs w:val="32"/>
          <w:highlight w:val="none"/>
          <w:lang w:val="en-US" w:eastAsia="zh-CN"/>
        </w:rPr>
        <w:t>（2）资金使用情况</w:t>
      </w:r>
      <w:bookmarkEnd w:id="32"/>
      <w:bookmarkEnd w:id="33"/>
      <w:bookmarkEnd w:id="34"/>
    </w:p>
    <w:p w14:paraId="7C26D19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35" w:name="_Toc11647"/>
      <w:bookmarkStart w:id="36" w:name="_Toc1430"/>
      <w:bookmarkStart w:id="37" w:name="_Toc29121"/>
      <w:r>
        <w:rPr>
          <w:rFonts w:hint="eastAsia" w:ascii="仿宋_GB2312" w:hAnsi="仿宋_GB2312" w:eastAsia="仿宋_GB2312" w:cs="仿宋_GB2312"/>
          <w:sz w:val="32"/>
          <w:szCs w:val="32"/>
          <w:highlight w:val="none"/>
          <w:lang w:val="en-US" w:eastAsia="zh-CN"/>
        </w:rPr>
        <w:t>该项目年初预算数4093.84万元，全年预算数4093.84万元，，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sz w:val="32"/>
          <w:szCs w:val="32"/>
          <w:highlight w:val="none"/>
          <w:lang w:val="en-US" w:eastAsia="zh-CN"/>
        </w:rPr>
        <w:t>全年执行数4093.84万元，预算执行率为100%，主要用于：工程前期设计及移民征地。</w:t>
      </w:r>
      <w:bookmarkEnd w:id="35"/>
      <w:bookmarkEnd w:id="36"/>
      <w:bookmarkEnd w:id="37"/>
    </w:p>
    <w:p w14:paraId="022B008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38" w:name="_Toc9109"/>
      <w:r>
        <w:rPr>
          <w:rFonts w:hint="eastAsia" w:ascii="Times New Roman" w:hAnsi="Times New Roman" w:eastAsia="楷体_GB2312" w:cs="Times New Roman"/>
          <w:kern w:val="28"/>
          <w:sz w:val="32"/>
          <w:lang w:val="en-US" w:eastAsia="zh-CN"/>
        </w:rPr>
        <w:t>（二）项目绩效目标</w:t>
      </w:r>
      <w:bookmarkEnd w:id="38"/>
    </w:p>
    <w:p w14:paraId="1B429AF7">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9" w:name="_Toc8528"/>
      <w:bookmarkStart w:id="40" w:name="_Toc2547"/>
      <w:bookmarkStart w:id="41" w:name="_Toc10047"/>
      <w:bookmarkStart w:id="42" w:name="_Toc1475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39"/>
      <w:bookmarkEnd w:id="40"/>
      <w:bookmarkEnd w:id="41"/>
      <w:bookmarkEnd w:id="42"/>
    </w:p>
    <w:p w14:paraId="1629259F">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阜康市四工河水库工程项目绩效总体目标为：（1）通过阜康市四工河水库工程前期初设阶段审批工作，计划完成初设报告1个；（2）计划征收补偿林地≥59公顷、征收补偿草地≥50公顷，征收补偿农户地面实物≥34户；（3）通过前期工作的完成，保证四工河水库工程顺利开工。</w:t>
      </w:r>
    </w:p>
    <w:p w14:paraId="0C012390">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3" w:name="_Toc8990"/>
      <w:bookmarkStart w:id="44" w:name="_Toc4487"/>
      <w:bookmarkStart w:id="45" w:name="_Toc4007"/>
      <w:bookmarkStart w:id="46" w:name="_Toc3255"/>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43"/>
      <w:bookmarkEnd w:id="44"/>
      <w:bookmarkEnd w:id="45"/>
      <w:bookmarkEnd w:id="46"/>
    </w:p>
    <w:p w14:paraId="114D5E0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20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等文件</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后</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绩效目标如下：</w:t>
      </w:r>
    </w:p>
    <w:p w14:paraId="056E376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项目产出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46A5CE4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①数量指标</w:t>
      </w:r>
    </w:p>
    <w:p w14:paraId="62FA9CA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“完成初设报告数量”指标，预期目标值为=1个；</w:t>
      </w:r>
    </w:p>
    <w:p w14:paraId="7A80A2F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“补偿林地面积”指标，预期目标值为</w:t>
      </w:r>
      <w:r>
        <w:rPr>
          <w:rFonts w:hint="default"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val="en-US" w:eastAsia="zh-CN"/>
        </w:rPr>
        <w:t>59公顷；</w:t>
      </w:r>
    </w:p>
    <w:p w14:paraId="3C56B7F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“补偿草地面积”指标，预期目标值为</w:t>
      </w:r>
      <w:r>
        <w:rPr>
          <w:rFonts w:hint="default"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val="en-US" w:eastAsia="zh-CN"/>
        </w:rPr>
        <w:t>50公顷；</w:t>
      </w:r>
    </w:p>
    <w:p w14:paraId="3352A04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“地面实物补偿户数”指标，预期目标值为</w:t>
      </w:r>
      <w:r>
        <w:rPr>
          <w:rFonts w:hint="default"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val="en-US" w:eastAsia="zh-CN"/>
        </w:rPr>
        <w:t>34户；</w:t>
      </w:r>
    </w:p>
    <w:p w14:paraId="2486DF7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②质量指标</w:t>
      </w:r>
    </w:p>
    <w:p w14:paraId="206EB41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“初设审查通过率”指标，预期目标值为=100%；</w:t>
      </w:r>
    </w:p>
    <w:p w14:paraId="32C3EDA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“补偿资金使用合规率”指标，预期目标值为=100%；</w:t>
      </w:r>
    </w:p>
    <w:p w14:paraId="26E26CF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③时效指标</w:t>
      </w:r>
    </w:p>
    <w:p w14:paraId="325960C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“项目完成时间”指标，预期目标值为2024年12月；</w:t>
      </w:r>
    </w:p>
    <w:p w14:paraId="484CD26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（2）成本指标</w:t>
      </w:r>
    </w:p>
    <w:p w14:paraId="1768ED9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①经济成本指标</w:t>
      </w:r>
    </w:p>
    <w:p w14:paraId="4A475CB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“设计费”指标，预期目标值为</w:t>
      </w:r>
      <w:r>
        <w:rPr>
          <w:rFonts w:hint="default"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val="en-US" w:eastAsia="zh-CN"/>
        </w:rPr>
        <w:t>1302万元；</w:t>
      </w:r>
    </w:p>
    <w:p w14:paraId="6D718CE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“林地补偿费”指标，预期目标值为</w:t>
      </w:r>
      <w:r>
        <w:rPr>
          <w:rFonts w:hint="default"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val="en-US" w:eastAsia="zh-CN"/>
        </w:rPr>
        <w:t>2074.43万元；</w:t>
      </w:r>
    </w:p>
    <w:p w14:paraId="774C87A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“草地补偿费”指标，预期目标值为</w:t>
      </w:r>
      <w:r>
        <w:rPr>
          <w:rFonts w:hint="default"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val="en-US" w:eastAsia="zh-CN"/>
        </w:rPr>
        <w:t>298.02万元；</w:t>
      </w:r>
    </w:p>
    <w:p w14:paraId="7A9BDFB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“其他补偿费”指标，预期目标值为</w:t>
      </w:r>
      <w:r>
        <w:rPr>
          <w:rFonts w:hint="default"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val="en-US" w:eastAsia="zh-CN"/>
        </w:rPr>
        <w:t>419.39万元；</w:t>
      </w:r>
    </w:p>
    <w:p w14:paraId="66BF4026">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）项目效益</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0DC99FFD">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①经济效益指标</w:t>
      </w:r>
    </w:p>
    <w:p w14:paraId="60047276">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本项目不涉及经济效益指标；</w:t>
      </w:r>
    </w:p>
    <w:p w14:paraId="02D4D03B">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②社会效益指标</w:t>
      </w:r>
    </w:p>
    <w:p w14:paraId="0529BB0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“推进工程顺利开工”指标，预期目标值为有效推进；</w:t>
      </w:r>
    </w:p>
    <w:p w14:paraId="5156645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③生态效益指标</w:t>
      </w:r>
    </w:p>
    <w:p w14:paraId="2543D77B">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本项目不涉及生态效益指标；</w:t>
      </w:r>
    </w:p>
    <w:p w14:paraId="463ED1BF">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④可持续影响</w:t>
      </w:r>
    </w:p>
    <w:p w14:paraId="33983293">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本项目不涉及可持续影响指标；</w:t>
      </w:r>
    </w:p>
    <w:p w14:paraId="57CFFEAE">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⑤满意度指标</w:t>
      </w:r>
    </w:p>
    <w:p w14:paraId="56B36B4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“补偿户满意度”指标，预期目标值为</w:t>
      </w:r>
      <w:r>
        <w:rPr>
          <w:rFonts w:hint="default"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val="en-US" w:eastAsia="zh-CN"/>
        </w:rPr>
        <w:t>90%。</w:t>
      </w:r>
    </w:p>
    <w:p w14:paraId="538E6C03">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47" w:name="_Toc26567"/>
      <w:r>
        <w:rPr>
          <w:rFonts w:hint="eastAsia" w:ascii="宋体" w:hAnsi="宋体" w:eastAsia="宋体" w:cs="宋体"/>
          <w:b/>
          <w:bCs/>
          <w:color w:val="000000" w:themeColor="text1"/>
          <w:highlight w:val="none"/>
          <w:shd w:val="clear" w:color="auto" w:fill="auto"/>
          <w14:textFill>
            <w14:solidFill>
              <w14:schemeClr w14:val="tx1"/>
            </w14:solidFill>
          </w14:textFill>
        </w:rPr>
        <w:t>二、绩效评价工作开展情况</w:t>
      </w:r>
      <w:bookmarkEnd w:id="47"/>
    </w:p>
    <w:p w14:paraId="486D9C82">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48" w:name="_Toc26632"/>
      <w:bookmarkStart w:id="49" w:name="_Toc22169_WPSOffice_Level2"/>
      <w:bookmarkStart w:id="50" w:name="_Toc22922"/>
      <w:bookmarkStart w:id="51" w:name="_Toc5258"/>
      <w:bookmarkStart w:id="52" w:name="_Toc5462343"/>
      <w:bookmarkStart w:id="53" w:name="_Toc480473081"/>
      <w:bookmarkStart w:id="54" w:name="_Toc12868"/>
      <w:bookmarkStart w:id="55" w:name="_Toc21664"/>
      <w:bookmarkStart w:id="56" w:name="_Toc22839"/>
      <w:r>
        <w:rPr>
          <w:rFonts w:hint="eastAsia" w:ascii="Times New Roman" w:hAnsi="Times New Roman" w:eastAsia="楷体_GB2312" w:cs="Times New Roman"/>
          <w:kern w:val="28"/>
          <w:sz w:val="32"/>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kern w:val="28"/>
          <w:sz w:val="32"/>
          <w:lang w:val="en-US" w:eastAsia="zh-CN"/>
        </w:rPr>
        <w:t>、对象和范围</w:t>
      </w:r>
      <w:bookmarkEnd w:id="56"/>
    </w:p>
    <w:p w14:paraId="5F48AE7C">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57" w:name="_Toc15732"/>
      <w:r>
        <w:rPr>
          <w:rFonts w:hint="default" w:ascii="Times New Roman" w:hAnsi="Times New Roman" w:eastAsia="仿宋_GB2312" w:cs="Times New Roman"/>
          <w:b/>
          <w:bCs/>
          <w:kern w:val="2"/>
          <w:sz w:val="32"/>
          <w:szCs w:val="32"/>
          <w:highlight w:val="none"/>
          <w:lang w:val="en-US" w:eastAsia="zh-CN" w:bidi="ar-SA"/>
        </w:rPr>
        <w:t>1.绩效评价完整性</w:t>
      </w:r>
    </w:p>
    <w:p w14:paraId="7E39944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1312B51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w:t>
      </w:r>
      <w:r>
        <w:rPr>
          <w:rFonts w:hint="eastAsia" w:ascii="Times New Roman" w:hAnsi="Times New Roman" w:eastAsia="仿宋_GB2312" w:cs="Times New Roman"/>
          <w:sz w:val="32"/>
          <w:szCs w:val="32"/>
          <w:highlight w:val="none"/>
          <w:lang w:val="en-US" w:eastAsia="zh-CN"/>
        </w:rPr>
        <w:t>社会效益</w:t>
      </w:r>
      <w:r>
        <w:rPr>
          <w:rFonts w:hint="default" w:ascii="Times New Roman" w:hAnsi="Times New Roman" w:eastAsia="仿宋_GB2312" w:cs="Times New Roman"/>
          <w:sz w:val="32"/>
          <w:szCs w:val="32"/>
          <w:highlight w:val="none"/>
          <w:lang w:val="en-US" w:eastAsia="zh-CN"/>
        </w:rPr>
        <w:t>维度，力求全方位反映项目的绩效状况。同时，对于每个指标的评价标准和数据来源均进行了明确说明，确保评价结果的客观性和可追溯性。</w:t>
      </w:r>
    </w:p>
    <w:p w14:paraId="5D1ECD7A">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70A1F854">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39954F41">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40D7DB4C">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8" w:name="_Toc21770"/>
      <w:bookmarkStart w:id="59" w:name="_Toc417"/>
      <w:r>
        <w:rPr>
          <w:rFonts w:hint="eastAsia"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绩效评价的目的</w:t>
      </w:r>
      <w:bookmarkEnd w:id="57"/>
      <w:bookmarkEnd w:id="58"/>
      <w:bookmarkEnd w:id="59"/>
    </w:p>
    <w:p w14:paraId="33CC7861">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为全面了解</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项目预算编制合理性、资金使用合规性、项目管理的规范性、</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目标的实现情况、服务对象的满意度等，通过本次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14:paraId="3DB4F3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60" w:name="_Toc30609"/>
      <w:r>
        <w:rPr>
          <w:rFonts w:hint="default" w:ascii="Times New Roman" w:hAnsi="Times New Roman" w:eastAsia="仿宋_GB2312" w:cs="Times New Roman"/>
          <w:sz w:val="32"/>
          <w:szCs w:val="32"/>
          <w:highlight w:val="none"/>
        </w:rPr>
        <w:t>（1）评估项目实施效果</w:t>
      </w:r>
    </w:p>
    <w:p w14:paraId="0133D6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w:t>
      </w:r>
      <w:r>
        <w:rPr>
          <w:rFonts w:hint="eastAsia" w:ascii="Times New Roman" w:hAnsi="Times New Roman" w:eastAsia="仿宋_GB2312" w:cs="Times New Roman"/>
          <w:sz w:val="32"/>
          <w:szCs w:val="32"/>
          <w:highlight w:val="none"/>
          <w:lang w:val="en-US" w:eastAsia="zh-CN"/>
        </w:rPr>
        <w:t>社会效益维度指标</w:t>
      </w:r>
      <w:r>
        <w:rPr>
          <w:rFonts w:hint="default" w:ascii="Times New Roman" w:hAnsi="Times New Roman" w:eastAsia="仿宋_GB2312" w:cs="Times New Roman"/>
          <w:sz w:val="32"/>
          <w:szCs w:val="32"/>
          <w:highlight w:val="none"/>
        </w:rPr>
        <w:t>，为项目后续的改进与优化提供科学依据。</w:t>
      </w:r>
    </w:p>
    <w:p w14:paraId="49B31E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5A586E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7807EA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3D8135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2F4C59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2F7424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6B546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2A28B9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2BB9E8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064EB366">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1" w:name="_Toc31970"/>
      <w:bookmarkStart w:id="62" w:name="_Toc16346"/>
      <w:r>
        <w:rPr>
          <w:rFonts w:hint="eastAsia"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.绩效评价的对象</w:t>
      </w:r>
      <w:bookmarkEnd w:id="60"/>
      <w:bookmarkEnd w:id="61"/>
      <w:bookmarkEnd w:id="62"/>
    </w:p>
    <w:p w14:paraId="047EB7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此次我单位根据</w:t>
      </w:r>
      <w:r>
        <w:rPr>
          <w:rFonts w:hint="eastAsia" w:ascii="Times New Roman" w:hAnsi="Times New Roman" w:eastAsia="仿宋_GB2312" w:cs="Times New Roman"/>
          <w:sz w:val="32"/>
          <w:szCs w:val="32"/>
          <w:highlight w:val="none"/>
        </w:rPr>
        <w:t>《财政支出绩效评价管理暂行办法》（</w:t>
      </w:r>
      <w:r>
        <w:rPr>
          <w:rFonts w:hint="eastAsia" w:ascii="Times New Roman" w:hAnsi="Times New Roman" w:eastAsia="仿宋_GB2312" w:cs="Times New Roman"/>
          <w:sz w:val="32"/>
          <w:szCs w:val="32"/>
          <w:highlight w:val="none"/>
          <w:lang w:eastAsia="zh-CN"/>
        </w:rPr>
        <w:t>财预〔2020〕10号</w:t>
      </w:r>
      <w:r>
        <w:rPr>
          <w:rFonts w:hint="eastAsia"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文件要求对2024年度我单位实施的阜康市四工河水库工程</w:t>
      </w:r>
      <w:r>
        <w:rPr>
          <w:rFonts w:hint="default" w:ascii="Times New Roman" w:hAnsi="Times New Roman" w:eastAsia="仿宋_GB2312" w:cs="Times New Roman"/>
          <w:sz w:val="32"/>
          <w:szCs w:val="32"/>
          <w:highlight w:val="none"/>
          <w:lang w:val="en-US" w:eastAsia="zh-CN"/>
        </w:rPr>
        <w:t>及其</w:t>
      </w:r>
      <w:r>
        <w:rPr>
          <w:rFonts w:hint="default" w:ascii="Times New Roman" w:hAnsi="Times New Roman" w:eastAsia="仿宋_GB2312" w:cs="Times New Roman"/>
          <w:sz w:val="32"/>
          <w:szCs w:val="32"/>
          <w:highlight w:val="none"/>
        </w:rPr>
        <w:t>预算执行情况</w:t>
      </w:r>
      <w:r>
        <w:rPr>
          <w:rFonts w:hint="eastAsia" w:ascii="Times New Roman" w:hAnsi="Times New Roman" w:eastAsia="仿宋_GB2312" w:cs="Times New Roman"/>
          <w:sz w:val="32"/>
          <w:szCs w:val="32"/>
          <w:highlight w:val="none"/>
          <w:lang w:val="en-US" w:eastAsia="zh-CN"/>
        </w:rPr>
        <w:t>开展部门绩效评价。</w:t>
      </w:r>
    </w:p>
    <w:p w14:paraId="1C4CCC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该项目由</w:t>
      </w:r>
      <w:r>
        <w:rPr>
          <w:rFonts w:hint="eastAsia" w:ascii="Times New Roman" w:hAnsi="Times New Roman" w:eastAsia="仿宋_GB2312" w:cs="Times New Roman"/>
          <w:sz w:val="32"/>
          <w:szCs w:val="32"/>
          <w:highlight w:val="none"/>
          <w:lang w:val="en-US" w:eastAsia="zh-CN"/>
        </w:rPr>
        <w:t>阜康市水利管理站</w:t>
      </w:r>
      <w:r>
        <w:rPr>
          <w:rFonts w:hint="default" w:ascii="Times New Roman" w:hAnsi="Times New Roman" w:eastAsia="仿宋_GB2312" w:cs="Times New Roman"/>
          <w:sz w:val="32"/>
          <w:szCs w:val="32"/>
          <w:highlight w:val="none"/>
          <w:lang w:val="en-US" w:eastAsia="zh-CN"/>
        </w:rPr>
        <w:t>负责实施，旨在</w:t>
      </w:r>
      <w:r>
        <w:rPr>
          <w:rFonts w:hint="eastAsia" w:ascii="Times New Roman" w:hAnsi="Times New Roman" w:eastAsia="仿宋_GB2312" w:cs="Times New Roman"/>
          <w:sz w:val="32"/>
          <w:szCs w:val="32"/>
          <w:highlight w:val="none"/>
          <w:lang w:val="en-US" w:eastAsia="zh-CN"/>
        </w:rPr>
        <w:t>有效保障九运街镇、城关镇等4.602万亩农田灌溉及九运街镇、城关镇、上户沟乡、三工河乡2.61万人居民、牲畜及乡镇企业供水，充分利用地表水，提高灌溉保证率，有效减少地下水开采，改善地下水环境</w:t>
      </w:r>
      <w:r>
        <w:rPr>
          <w:rFonts w:hint="default" w:ascii="Times New Roman" w:hAnsi="Times New Roman" w:eastAsia="仿宋_GB2312" w:cs="Times New Roman"/>
          <w:sz w:val="32"/>
          <w:szCs w:val="32"/>
          <w:highlight w:val="none"/>
          <w:lang w:val="en-US" w:eastAsia="zh-CN"/>
        </w:rPr>
        <w:t>。项目预算涵盖从</w:t>
      </w:r>
      <w:r>
        <w:rPr>
          <w:rFonts w:hint="eastAsia" w:ascii="Times New Roman" w:hAnsi="Times New Roman" w:eastAsia="仿宋_GB2312" w:cs="Times New Roman"/>
          <w:sz w:val="32"/>
          <w:szCs w:val="32"/>
          <w:highlight w:val="none"/>
          <w:lang w:val="en-US" w:eastAsia="zh-CN"/>
        </w:rPr>
        <w:t>2024年3月6日</w:t>
      </w:r>
      <w:r>
        <w:rPr>
          <w:rFonts w:hint="default" w:ascii="Times New Roman" w:hAnsi="Times New Roman" w:eastAsia="仿宋_GB2312" w:cs="Times New Roman"/>
          <w:sz w:val="32"/>
          <w:szCs w:val="32"/>
          <w:highlight w:val="none"/>
          <w:lang w:val="en-US" w:eastAsia="zh-CN"/>
        </w:rPr>
        <w:t>至</w:t>
      </w:r>
      <w:r>
        <w:rPr>
          <w:rFonts w:hint="eastAsia" w:ascii="Times New Roman" w:hAnsi="Times New Roman" w:eastAsia="仿宋_GB2312" w:cs="Times New Roman"/>
          <w:sz w:val="32"/>
          <w:szCs w:val="32"/>
          <w:highlight w:val="none"/>
          <w:lang w:val="en-US" w:eastAsia="zh-CN"/>
        </w:rPr>
        <w:t>2024年12月31日</w:t>
      </w:r>
      <w:r>
        <w:rPr>
          <w:rFonts w:hint="default" w:ascii="Times New Roman" w:hAnsi="Times New Roman" w:eastAsia="仿宋_GB2312" w:cs="Times New Roman"/>
          <w:sz w:val="32"/>
          <w:szCs w:val="32"/>
          <w:highlight w:val="none"/>
          <w:lang w:val="en-US" w:eastAsia="zh-CN"/>
        </w:rPr>
        <w:t>的全部资金投入与支出，涉及资金总额为</w:t>
      </w:r>
      <w:r>
        <w:rPr>
          <w:rFonts w:hint="eastAsia" w:ascii="Times New Roman" w:hAnsi="Times New Roman" w:eastAsia="仿宋_GB2312" w:cs="Times New Roman"/>
          <w:sz w:val="32"/>
          <w:szCs w:val="32"/>
          <w:highlight w:val="none"/>
          <w:lang w:val="en-US" w:eastAsia="zh-CN"/>
        </w:rPr>
        <w:t>4093.84</w:t>
      </w:r>
      <w:r>
        <w:rPr>
          <w:rFonts w:hint="default" w:ascii="Times New Roman" w:hAnsi="Times New Roman" w:eastAsia="仿宋_GB2312" w:cs="Times New Roman"/>
          <w:sz w:val="32"/>
          <w:szCs w:val="32"/>
          <w:highlight w:val="none"/>
          <w:lang w:val="en-US" w:eastAsia="zh-CN"/>
        </w:rPr>
        <w:t>万元。</w:t>
      </w:r>
    </w:p>
    <w:p w14:paraId="38F537B5">
      <w:pPr>
        <w:pStyle w:val="5"/>
        <w:pageBreakBefore w:val="0"/>
        <w:kinsoku/>
        <w:wordWrap/>
        <w:overflowPunct/>
        <w:topLinePunct w:val="0"/>
        <w:autoSpaceDE/>
        <w:autoSpaceDN/>
        <w:bidi w:val="0"/>
        <w:adjustRightInd/>
        <w:spacing w:line="560" w:lineRule="exact"/>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bookmarkStart w:id="63" w:name="_Toc21311"/>
      <w:bookmarkStart w:id="64" w:name="_Toc11666"/>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63"/>
      <w:bookmarkEnd w:id="64"/>
    </w:p>
    <w:p w14:paraId="063F3A05">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1273C481">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14:paraId="6603A996">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p>
    <w:p w14:paraId="255CD69D">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p>
    <w:p w14:paraId="48D66943">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green"/>
          <w:lang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社会影响：考察项目对社会方面的综合影响。</w:t>
      </w:r>
    </w:p>
    <w:p w14:paraId="3BC717B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65" w:name="_Toc1286"/>
      <w:bookmarkStart w:id="66" w:name="_Toc29785"/>
      <w:r>
        <w:rPr>
          <w:rFonts w:hint="eastAsia" w:ascii="Times New Roman" w:hAnsi="Times New Roman" w:eastAsia="楷体_GB2312" w:cs="Times New Roman"/>
          <w:kern w:val="28"/>
          <w:sz w:val="32"/>
          <w:lang w:val="en-US" w:eastAsia="zh-CN"/>
        </w:rPr>
        <w:t>（二）绩效评价原则、评价指标体系（</w:t>
      </w:r>
      <w:r>
        <w:rPr>
          <w:rFonts w:hint="default" w:ascii="Times New Roman" w:hAnsi="Times New Roman" w:eastAsia="楷体_GB2312" w:cs="Times New Roman"/>
          <w:kern w:val="28"/>
          <w:sz w:val="32"/>
          <w:lang w:val="en-US" w:eastAsia="zh-CN"/>
        </w:rPr>
        <w:t>详情见</w:t>
      </w:r>
      <w:r>
        <w:rPr>
          <w:rFonts w:hint="eastAsia" w:ascii="Times New Roman" w:hAnsi="Times New Roman" w:eastAsia="楷体_GB2312" w:cs="Times New Roman"/>
          <w:kern w:val="28"/>
          <w:sz w:val="32"/>
          <w:lang w:val="en-US" w:eastAsia="zh-CN"/>
        </w:rPr>
        <w:t>附件二）、评价方法、评价标准</w:t>
      </w:r>
      <w:bookmarkEnd w:id="65"/>
      <w:bookmarkEnd w:id="66"/>
    </w:p>
    <w:p w14:paraId="21B34828">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kern w:val="2"/>
          <w:sz w:val="32"/>
          <w:szCs w:val="32"/>
          <w:lang w:val="en-US" w:eastAsia="zh-CN" w:bidi="ar-SA"/>
        </w:rPr>
      </w:pPr>
      <w:bookmarkStart w:id="67" w:name="_Toc24506"/>
      <w:bookmarkStart w:id="68" w:name="_Toc13694"/>
      <w:bookmarkStart w:id="69" w:name="_Toc5354"/>
      <w:r>
        <w:rPr>
          <w:rFonts w:hint="eastAsia" w:ascii="Times New Roman" w:hAnsi="Times New Roman" w:eastAsia="仿宋_GB2312" w:cs="Times New Roman"/>
          <w:b/>
          <w:bCs/>
          <w:color w:val="000000"/>
          <w:kern w:val="2"/>
          <w:sz w:val="32"/>
          <w:szCs w:val="32"/>
          <w:lang w:val="en-US" w:eastAsia="zh-CN" w:bidi="ar-SA"/>
        </w:rPr>
        <w:t>1.绩效评价原则</w:t>
      </w:r>
      <w:bookmarkEnd w:id="67"/>
      <w:bookmarkEnd w:id="68"/>
      <w:bookmarkEnd w:id="69"/>
    </w:p>
    <w:p w14:paraId="46309CB1">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依据《财政支出绩效评价管理暂行办法》（财预〔20</w:t>
      </w:r>
      <w:r>
        <w:rPr>
          <w:rFonts w:hint="eastAsia" w:ascii="Times New Roman" w:hAnsi="Times New Roman" w:eastAsia="仿宋_GB2312" w:cs="Times New Roman"/>
          <w:color w:val="000000"/>
          <w:sz w:val="32"/>
          <w:szCs w:val="32"/>
          <w:lang w:val="en-US" w:eastAsia="zh-CN"/>
        </w:rPr>
        <w:t>20</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10</w:t>
      </w:r>
      <w:r>
        <w:rPr>
          <w:rFonts w:hint="eastAsia" w:ascii="Times New Roman" w:hAnsi="Times New Roman" w:eastAsia="仿宋_GB2312" w:cs="Times New Roman"/>
          <w:color w:val="000000"/>
          <w:sz w:val="32"/>
          <w:szCs w:val="32"/>
          <w:lang w:eastAsia="zh-CN"/>
        </w:rPr>
        <w:t>号）本次绩效评价秉承科学规范、公正公开、分级分类、绩效相关等原则，按照从投入、过程到产出效果和影响的绩效逻辑路径，结合</w:t>
      </w:r>
      <w:r>
        <w:rPr>
          <w:rFonts w:hint="eastAsia" w:ascii="Times New Roman" w:hAnsi="Times New Roman" w:eastAsia="仿宋_GB2312" w:cs="Times New Roman"/>
          <w:color w:val="auto"/>
          <w:sz w:val="32"/>
          <w:szCs w:val="32"/>
          <w:lang w:val="en-US" w:eastAsia="zh-CN"/>
        </w:rPr>
        <w:t>阜康市四工河水库工程</w:t>
      </w:r>
      <w:r>
        <w:rPr>
          <w:rFonts w:hint="eastAsia" w:ascii="Times New Roman" w:hAnsi="Times New Roman" w:eastAsia="仿宋_GB2312" w:cs="Times New Roman"/>
          <w:color w:val="000000"/>
          <w:sz w:val="32"/>
          <w:szCs w:val="32"/>
          <w:lang w:eastAsia="zh-CN"/>
        </w:rPr>
        <w:t>实际开展情况，运用定量和定性分析相结合的方法，总结经验做法，反思项目实施和管理中的问题，以切实提升财政资金管理的科学化、规范化和精细化水平。</w:t>
      </w:r>
    </w:p>
    <w:p w14:paraId="26E1D036">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根据以上原则，绩效评价应遵循如下要求：</w:t>
      </w:r>
    </w:p>
    <w:p w14:paraId="38315BE9">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lang w:eastAsia="zh-CN"/>
        </w:rPr>
        <w:t>）科学公正。绩效评价应当运用科学合理的方法，按照规范的程序，对项目绩效进行客观、公正的反映。</w:t>
      </w:r>
    </w:p>
    <w:p w14:paraId="5852A244">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eastAsia="zh-CN"/>
        </w:rPr>
        <w:t>）统筹兼顾。单位自评、部门评价和财政评价应职责明确，各有侧重，相互衔接。单位自评应由项目单位自主实施，即“谁支出、谁自评”。</w:t>
      </w:r>
    </w:p>
    <w:p w14:paraId="47724132">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）激励约束。绩效评价结果应与预算安排、政策调整、改进管理实质性挂钩，体现奖优罚劣和激励相容导向，有效要安排、低效要压减、无效要问责。</w:t>
      </w:r>
    </w:p>
    <w:p w14:paraId="6870F445">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）公开透明。绩效评价结果应依法依规公开，并自觉接受社会监督。</w:t>
      </w:r>
    </w:p>
    <w:p w14:paraId="53573BED">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lang w:eastAsia="zh-CN"/>
        </w:rPr>
      </w:pPr>
      <w:bookmarkStart w:id="70" w:name="_Toc24396"/>
      <w:bookmarkStart w:id="71" w:name="_Toc26131"/>
      <w:bookmarkStart w:id="72" w:name="_Toc428278230"/>
      <w:bookmarkStart w:id="73" w:name="_Toc419984722"/>
      <w:bookmarkStart w:id="74" w:name="_Toc1913"/>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color w:val="000000"/>
          <w:sz w:val="32"/>
          <w:szCs w:val="32"/>
          <w:lang w:eastAsia="zh-CN"/>
        </w:rPr>
        <w:t>绩效评价指标体系</w:t>
      </w:r>
      <w:bookmarkEnd w:id="70"/>
      <w:bookmarkEnd w:id="71"/>
      <w:bookmarkEnd w:id="72"/>
      <w:bookmarkEnd w:id="73"/>
      <w:bookmarkEnd w:id="74"/>
    </w:p>
    <w:p w14:paraId="3785234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5" w:name="_Toc9941"/>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4804EFCD">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031E2BF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38CF1E6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3189E38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FF0000"/>
          <w:spacing w:val="17"/>
          <w:sz w:val="32"/>
          <w:szCs w:val="32"/>
          <w:lang w:eastAsia="zh-CN"/>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635377B4">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5778D893">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55BD7F05">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绩效评价总分值100分，根据综合评分结果，90（含）-100分为优、80（含）-90分为良、60（含）-80分为中、60分以下为差。</w:t>
      </w:r>
    </w:p>
    <w:p w14:paraId="196005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我单位</w:t>
      </w:r>
      <w:r>
        <w:rPr>
          <w:rFonts w:hint="eastAsia" w:ascii="仿宋_GB2312" w:hAnsi="仿宋_GB2312" w:eastAsia="仿宋_GB2312" w:cs="仿宋_GB2312"/>
          <w:color w:val="000000"/>
          <w:sz w:val="32"/>
          <w:szCs w:val="32"/>
          <w:lang w:val="zh-TW" w:eastAsia="zh-TW"/>
        </w:rPr>
        <w:t>根据项目的</w:t>
      </w:r>
      <w:r>
        <w:rPr>
          <w:rFonts w:hint="eastAsia" w:ascii="仿宋_GB2312" w:hAnsi="仿宋_GB2312" w:eastAsia="仿宋_GB2312" w:cs="仿宋_GB2312"/>
          <w:color w:val="000000"/>
          <w:sz w:val="32"/>
          <w:szCs w:val="32"/>
          <w:lang w:val="en-US" w:eastAsia="zh-CN"/>
        </w:rPr>
        <w:t>实施</w:t>
      </w:r>
      <w:r>
        <w:rPr>
          <w:rFonts w:hint="eastAsia" w:ascii="仿宋_GB2312" w:hAnsi="仿宋_GB2312" w:eastAsia="仿宋_GB2312" w:cs="仿宋_GB2312"/>
          <w:color w:val="000000"/>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lang w:val="zh-TW" w:eastAsia="zh-CN"/>
        </w:rPr>
        <w:t>，</w:t>
      </w:r>
      <w:r>
        <w:rPr>
          <w:rFonts w:hint="eastAsia" w:ascii="仿宋_GB2312" w:hAnsi="仿宋_GB2312" w:eastAsia="仿宋_GB2312" w:cs="仿宋_GB2312"/>
          <w:color w:val="000000"/>
          <w:sz w:val="32"/>
          <w:szCs w:val="32"/>
          <w:lang w:val="en-US" w:eastAsia="zh-CN"/>
        </w:rPr>
        <w:t>详见上传的附件二。</w:t>
      </w:r>
    </w:p>
    <w:p w14:paraId="27B75C11">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6" w:name="_Toc5690"/>
      <w:bookmarkStart w:id="77" w:name="_Toc30114"/>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75"/>
      <w:bookmarkEnd w:id="76"/>
      <w:bookmarkEnd w:id="77"/>
    </w:p>
    <w:p w14:paraId="7FC7C9E0">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8" w:name="_Toc25391"/>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w:t>
      </w:r>
      <w:r>
        <w:rPr>
          <w:rFonts w:hint="eastAsia" w:ascii="仿宋_GB2312" w:hAnsi="仿宋_GB2312" w:eastAsia="仿宋_GB2312" w:cs="仿宋_GB2312"/>
          <w:color w:val="000000"/>
          <w:spacing w:val="17"/>
          <w:sz w:val="32"/>
          <w:szCs w:val="32"/>
          <w:lang w:eastAsia="zh-CN"/>
        </w:rPr>
        <w:t>，</w:t>
      </w:r>
      <w:r>
        <w:rPr>
          <w:rFonts w:hint="eastAsia" w:ascii="仿宋_GB2312" w:hAnsi="仿宋_GB2312" w:eastAsia="仿宋_GB2312" w:cs="仿宋_GB2312"/>
          <w:color w:val="000000"/>
          <w:spacing w:val="17"/>
          <w:sz w:val="32"/>
          <w:szCs w:val="32"/>
        </w:rPr>
        <w:t>评价核心为资金的支出完成情况和项目的产出效益。</w:t>
      </w:r>
    </w:p>
    <w:p w14:paraId="5C915026">
      <w:pPr>
        <w:pStyle w:val="6"/>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15A825F6">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rPr>
        <w:t>）比较法。是指将实施情况与绩效目标、历史情况、不同部门和地区同类支出情况进行比较的方法。</w:t>
      </w:r>
      <w:r>
        <w:rPr>
          <w:rFonts w:hint="eastAsia" w:ascii="Times New Roman" w:hAnsi="Times New Roman" w:eastAsia="仿宋_GB2312" w:cs="Times New Roman"/>
          <w:color w:val="000000"/>
          <w:spacing w:val="17"/>
          <w:sz w:val="32"/>
          <w:szCs w:val="32"/>
          <w:highlight w:val="none"/>
          <w:lang w:val="en-US" w:eastAsia="zh-CN"/>
        </w:rPr>
        <w:t>原因：</w:t>
      </w:r>
      <w:r>
        <w:rPr>
          <w:rFonts w:hint="default" w:ascii="Times New Roman" w:hAnsi="Times New Roman" w:eastAsia="仿宋_GB2312" w:cs="Times New Roman"/>
          <w:color w:val="000000"/>
          <w:spacing w:val="17"/>
          <w:sz w:val="32"/>
          <w:szCs w:val="32"/>
          <w:highlight w:val="none"/>
        </w:rPr>
        <w:t>通过与绩效目标的对比，能够直观地判断实际执行情况是否达到预期；与历史情况对比，可清晰呈现发展趋势和变化；与不同部门和地区同类支出情况对比，有助于发现自身优势与不足，为后续决策提供参考依据。</w:t>
      </w:r>
    </w:p>
    <w:p w14:paraId="3DA9908F">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w:t>
      </w:r>
      <w:r>
        <w:rPr>
          <w:rFonts w:hint="eastAsia" w:ascii="Times New Roman" w:hAnsi="Times New Roman" w:eastAsia="仿宋_GB2312" w:cs="Times New Roman"/>
          <w:color w:val="000000"/>
          <w:spacing w:val="17"/>
          <w:sz w:val="32"/>
          <w:szCs w:val="32"/>
          <w:highlight w:val="none"/>
          <w:lang w:val="en-US" w:eastAsia="zh-CN"/>
        </w:rPr>
        <w:t>原因：</w:t>
      </w:r>
      <w:r>
        <w:rPr>
          <w:rFonts w:hint="default" w:ascii="Times New Roman" w:hAnsi="Times New Roman" w:eastAsia="仿宋_GB2312" w:cs="Times New Roman"/>
          <w:color w:val="000000"/>
          <w:spacing w:val="17"/>
          <w:sz w:val="32"/>
          <w:szCs w:val="32"/>
          <w:highlight w:val="none"/>
        </w:rPr>
        <w:t>绩效目标的实现和实施效果受到多种因素的综合影响，只有全面、深入地分析这些内外部因素，才能准确把握绩效状况，找出影响绩效的关键因素，进而有针对性地提出改进措施，提升绩效水平。</w:t>
      </w:r>
    </w:p>
    <w:p w14:paraId="44A31B3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3</w:t>
      </w:r>
      <w:r>
        <w:rPr>
          <w:rFonts w:hint="default" w:ascii="Times New Roman" w:hAnsi="Times New Roman" w:eastAsia="仿宋_GB2312" w:cs="Times New Roman"/>
          <w:color w:val="000000"/>
          <w:spacing w:val="17"/>
          <w:sz w:val="32"/>
          <w:szCs w:val="32"/>
          <w:highlight w:val="none"/>
        </w:rPr>
        <w:t>）公众评判法。是指通过专家评估、公众问卷及抽样调查等方式进行评判的方法。</w:t>
      </w:r>
      <w:r>
        <w:rPr>
          <w:rFonts w:hint="eastAsia" w:ascii="Times New Roman" w:hAnsi="Times New Roman" w:eastAsia="仿宋_GB2312" w:cs="Times New Roman"/>
          <w:color w:val="000000"/>
          <w:spacing w:val="17"/>
          <w:sz w:val="32"/>
          <w:szCs w:val="32"/>
          <w:highlight w:val="none"/>
          <w:lang w:val="en-US" w:eastAsia="zh-CN"/>
        </w:rPr>
        <w:t>原因：</w:t>
      </w:r>
      <w:r>
        <w:rPr>
          <w:rFonts w:hint="default" w:ascii="Times New Roman" w:hAnsi="Times New Roman" w:eastAsia="仿宋_GB2312" w:cs="Times New Roman"/>
          <w:color w:val="000000"/>
          <w:spacing w:val="17"/>
          <w:sz w:val="32"/>
          <w:szCs w:val="32"/>
          <w:highlight w:val="none"/>
        </w:rPr>
        <w:t>绩效评价不仅需要专业视角的审视，也需要广泛听取公众意见。专家评估能够提供专业的判断和建议；公众问卷和抽样调查可以反映社会公众对相关工作的满意度和认可度，使评价结果更具全面性和客观性，增强评价的公信力和社会影响力。</w:t>
      </w:r>
    </w:p>
    <w:p w14:paraId="17CAA182">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9" w:name="_Toc6081"/>
      <w:bookmarkStart w:id="80" w:name="_Toc25651"/>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78"/>
      <w:bookmarkEnd w:id="79"/>
      <w:bookmarkEnd w:id="80"/>
    </w:p>
    <w:p w14:paraId="02C43520">
      <w:pPr>
        <w:spacing w:line="560" w:lineRule="exact"/>
        <w:ind w:firstLine="708" w:firstLineChars="200"/>
        <w:rPr>
          <w:rFonts w:hint="default"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行业标准</w:t>
      </w:r>
      <w:r>
        <w:rPr>
          <w:rFonts w:hint="default" w:ascii="Times New Roman" w:hAnsi="Times New Roman" w:eastAsia="仿宋_GB2312" w:cs="Times New Roman"/>
          <w:color w:val="auto"/>
          <w:spacing w:val="17"/>
          <w:sz w:val="32"/>
          <w:szCs w:val="32"/>
          <w:highlight w:val="none"/>
        </w:rPr>
        <w:t>。</w:t>
      </w:r>
    </w:p>
    <w:p w14:paraId="0946BA58">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计划标准。指以预先制定的目标、计划、预算、定额等作为评价标准。</w:t>
      </w:r>
    </w:p>
    <w:p w14:paraId="03FBD347">
      <w:pPr>
        <w:spacing w:line="560" w:lineRule="exact"/>
        <w:ind w:firstLine="708" w:firstLineChars="200"/>
        <w:rPr>
          <w:rFonts w:hint="eastAsia"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行业标准。指参照国家公布的行业指标数据</w:t>
      </w:r>
      <w:r>
        <w:rPr>
          <w:rFonts w:hint="eastAsia" w:ascii="Times New Roman" w:hAnsi="Times New Roman" w:eastAsia="仿宋_GB2312" w:cs="Times New Roman"/>
          <w:color w:val="000000"/>
          <w:spacing w:val="17"/>
          <w:sz w:val="32"/>
          <w:szCs w:val="32"/>
          <w:highlight w:val="none"/>
          <w:lang w:eastAsia="zh-CN"/>
        </w:rPr>
        <w:t>。</w:t>
      </w:r>
    </w:p>
    <w:p w14:paraId="2037E49A">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81" w:name="_Toc21435"/>
      <w:r>
        <w:rPr>
          <w:rFonts w:hint="eastAsia" w:ascii="Times New Roman" w:hAnsi="Times New Roman" w:eastAsia="楷体_GB2312" w:cs="Times New Roman"/>
          <w:kern w:val="28"/>
          <w:sz w:val="32"/>
          <w:lang w:val="en-US" w:eastAsia="zh-CN"/>
        </w:rPr>
        <w:t>（三）绩效评价工作过程</w:t>
      </w:r>
      <w:bookmarkEnd w:id="81"/>
    </w:p>
    <w:p w14:paraId="1504FD4F">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2"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82"/>
    </w:p>
    <w:p w14:paraId="0C16CAD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（1）成立绩效评价项目小组</w:t>
      </w:r>
    </w:p>
    <w:p w14:paraId="3B5CA4FF">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6C0A73C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3" w:name="_Toc31571"/>
      <w:r>
        <w:rPr>
          <w:rFonts w:hint="eastAsia" w:ascii="Times New Roman" w:hAnsi="Times New Roman" w:eastAsia="仿宋_GB2312" w:cs="Times New Roman"/>
          <w:color w:val="000000"/>
          <w:spacing w:val="17"/>
          <w:sz w:val="32"/>
          <w:szCs w:val="32"/>
          <w:highlight w:val="none"/>
          <w:lang w:val="en-US" w:eastAsia="zh-CN"/>
        </w:rPr>
        <w:t>（2）开展前期调研</w:t>
      </w:r>
      <w:bookmarkEnd w:id="83"/>
    </w:p>
    <w:p w14:paraId="39DBBB7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4" w:name="_Toc21240"/>
      <w:r>
        <w:rPr>
          <w:rFonts w:hint="eastAsia" w:ascii="Times New Roman" w:hAnsi="Times New Roman" w:eastAsia="仿宋_GB2312" w:cs="Times New Roman"/>
          <w:color w:val="000000"/>
          <w:spacing w:val="17"/>
          <w:sz w:val="32"/>
          <w:szCs w:val="32"/>
          <w:highlight w:val="none"/>
          <w:lang w:val="en-US" w:eastAsia="zh-CN"/>
        </w:rPr>
        <w:t>绩效评价项目小组依据此次绩效评价受委托内容，对拟评价的项目实施前期调研。通过调研</w:t>
      </w:r>
      <w:r>
        <w:rPr>
          <w:rFonts w:hint="eastAsia" w:ascii="Times New Roman" w:hAnsi="Times New Roman" w:eastAsia="仿宋_GB2312" w:cs="Times New Roman"/>
          <w:color w:val="auto"/>
          <w:spacing w:val="17"/>
          <w:sz w:val="32"/>
          <w:szCs w:val="32"/>
          <w:highlight w:val="none"/>
          <w:lang w:val="en-US" w:eastAsia="zh-CN"/>
        </w:rPr>
        <w:t>对阜康市四工河水库工程实施内容、目标信息、预算信息以及其他的一些项目基本信息，有了初步了解，为制</w:t>
      </w:r>
      <w:r>
        <w:rPr>
          <w:rFonts w:hint="eastAsia" w:ascii="Times New Roman" w:hAnsi="Times New Roman" w:eastAsia="仿宋_GB2312" w:cs="Times New Roman"/>
          <w:color w:val="000000"/>
          <w:spacing w:val="17"/>
          <w:sz w:val="32"/>
          <w:szCs w:val="32"/>
          <w:highlight w:val="none"/>
          <w:lang w:val="en-US" w:eastAsia="zh-CN"/>
        </w:rPr>
        <w:t>定绩效评价工作方案做好准备。</w:t>
      </w:r>
      <w:bookmarkEnd w:id="84"/>
    </w:p>
    <w:p w14:paraId="7D72734F">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5" w:name="_Toc27977"/>
      <w:r>
        <w:rPr>
          <w:rFonts w:hint="eastAsia" w:ascii="Times New Roman" w:hAnsi="Times New Roman" w:eastAsia="仿宋_GB2312" w:cs="Times New Roman"/>
          <w:color w:val="000000"/>
          <w:spacing w:val="17"/>
          <w:sz w:val="32"/>
          <w:szCs w:val="32"/>
          <w:highlight w:val="none"/>
          <w:lang w:val="en-US" w:eastAsia="zh-CN"/>
        </w:rPr>
        <w:t>（3）制订绩效评价工作方案</w:t>
      </w:r>
      <w:bookmarkEnd w:id="85"/>
    </w:p>
    <w:p w14:paraId="1E253A9F">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6" w:name="_Toc19659"/>
      <w:r>
        <w:rPr>
          <w:rFonts w:hint="eastAsia" w:ascii="Times New Roman" w:hAnsi="Times New Roman" w:eastAsia="仿宋_GB2312" w:cs="Times New Roman"/>
          <w:color w:val="000000"/>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7C7AB358">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7"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87"/>
    </w:p>
    <w:p w14:paraId="2EB5E64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8" w:name="_Toc14111"/>
      <w:r>
        <w:rPr>
          <w:rFonts w:hint="eastAsia" w:ascii="Times New Roman" w:hAnsi="Times New Roman" w:eastAsia="仿宋_GB2312" w:cs="Times New Roman"/>
          <w:color w:val="000000"/>
          <w:spacing w:val="17"/>
          <w:sz w:val="32"/>
          <w:szCs w:val="32"/>
          <w:highlight w:val="none"/>
          <w:lang w:val="en-US" w:eastAsia="zh-CN"/>
        </w:rPr>
        <w:t>（1）收集基础资料</w:t>
      </w:r>
      <w:bookmarkEnd w:id="88"/>
    </w:p>
    <w:p w14:paraId="72E848B6">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9" w:name="_Toc28524"/>
      <w:r>
        <w:rPr>
          <w:rFonts w:hint="eastAsia" w:ascii="Times New Roman" w:hAnsi="Times New Roman" w:eastAsia="仿宋_GB2312" w:cs="Times New Roman"/>
          <w:color w:val="000000"/>
          <w:spacing w:val="17"/>
          <w:sz w:val="32"/>
          <w:szCs w:val="32"/>
          <w:highlight w:val="none"/>
          <w:lang w:val="en-US" w:eastAsia="zh-CN"/>
        </w:rPr>
        <w:t>根据评价工作的需要和要求，在前期调研的基础上，通过多种渠道全面收集项目基础信息资料，主要包括：</w:t>
      </w:r>
      <w:bookmarkEnd w:id="89"/>
    </w:p>
    <w:p w14:paraId="21316FC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0" w:name="_Toc32216"/>
      <w:r>
        <w:rPr>
          <w:rFonts w:hint="eastAsia" w:ascii="Times New Roman" w:hAnsi="Times New Roman" w:eastAsia="仿宋_GB2312" w:cs="Times New Roman"/>
          <w:color w:val="000000"/>
          <w:spacing w:val="17"/>
          <w:sz w:val="32"/>
          <w:szCs w:val="32"/>
          <w:highlight w:val="none"/>
          <w:lang w:val="en-US" w:eastAsia="zh-CN"/>
        </w:rPr>
        <w:t>①被评价单位基本概况，如单位职能、事业发展规划、预决算情况、项目立项依据等；</w:t>
      </w:r>
      <w:bookmarkEnd w:id="90"/>
    </w:p>
    <w:p w14:paraId="73AE620E">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1" w:name="_Toc10505"/>
      <w:r>
        <w:rPr>
          <w:rFonts w:hint="eastAsia" w:ascii="Times New Roman" w:hAnsi="Times New Roman" w:eastAsia="仿宋_GB2312" w:cs="Times New Roman"/>
          <w:color w:val="000000"/>
          <w:spacing w:val="17"/>
          <w:sz w:val="32"/>
          <w:szCs w:val="32"/>
          <w:highlight w:val="none"/>
          <w:lang w:val="en-US" w:eastAsia="zh-CN"/>
        </w:rPr>
        <w:t>②绩效目标及其设立依据和调整情况；</w:t>
      </w:r>
      <w:bookmarkEnd w:id="91"/>
    </w:p>
    <w:p w14:paraId="5473A10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2" w:name="_Toc28365"/>
      <w:r>
        <w:rPr>
          <w:rFonts w:hint="eastAsia" w:ascii="Times New Roman" w:hAnsi="Times New Roman" w:eastAsia="仿宋_GB2312" w:cs="Times New Roman"/>
          <w:color w:val="000000"/>
          <w:spacing w:val="17"/>
          <w:sz w:val="32"/>
          <w:szCs w:val="32"/>
          <w:highlight w:val="none"/>
          <w:lang w:val="en-US" w:eastAsia="zh-CN"/>
        </w:rPr>
        <w:t>③管理措施及组织实施情况；</w:t>
      </w:r>
      <w:bookmarkEnd w:id="92"/>
    </w:p>
    <w:p w14:paraId="422AACB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3" w:name="_Toc10091"/>
      <w:r>
        <w:rPr>
          <w:rFonts w:hint="eastAsia" w:ascii="Times New Roman" w:hAnsi="Times New Roman" w:eastAsia="仿宋_GB2312" w:cs="Times New Roman"/>
          <w:color w:val="000000"/>
          <w:spacing w:val="17"/>
          <w:sz w:val="32"/>
          <w:szCs w:val="32"/>
          <w:highlight w:val="none"/>
          <w:lang w:val="en-US" w:eastAsia="zh-CN"/>
        </w:rPr>
        <w:t>④被评价单位总结分析的绩效目标完成情况及绩效报告；</w:t>
      </w:r>
      <w:bookmarkEnd w:id="93"/>
    </w:p>
    <w:p w14:paraId="2F5B331D">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4" w:name="_Toc1"/>
      <w:r>
        <w:rPr>
          <w:rFonts w:hint="eastAsia" w:ascii="Times New Roman" w:hAnsi="Times New Roman" w:eastAsia="仿宋_GB2312" w:cs="Times New Roman"/>
          <w:color w:val="000000"/>
          <w:spacing w:val="17"/>
          <w:sz w:val="32"/>
          <w:szCs w:val="32"/>
          <w:highlight w:val="none"/>
          <w:lang w:val="en-US" w:eastAsia="zh-CN"/>
        </w:rPr>
        <w:t>⑤与绩效评价相关的计划标准、行业标准、历史标准等；</w:t>
      </w:r>
      <w:bookmarkEnd w:id="94"/>
    </w:p>
    <w:p w14:paraId="7D7D1D5D">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5" w:name="_Toc20059"/>
      <w:r>
        <w:rPr>
          <w:rFonts w:hint="eastAsia" w:ascii="Times New Roman" w:hAnsi="Times New Roman" w:eastAsia="仿宋_GB2312" w:cs="Times New Roman"/>
          <w:color w:val="000000"/>
          <w:spacing w:val="17"/>
          <w:sz w:val="32"/>
          <w:szCs w:val="32"/>
          <w:highlight w:val="none"/>
          <w:lang w:val="en-US" w:eastAsia="zh-CN"/>
        </w:rPr>
        <w:t>⑥其他必要的相关资料等。</w:t>
      </w:r>
      <w:bookmarkEnd w:id="95"/>
    </w:p>
    <w:p w14:paraId="2EBB2CB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6" w:name="_Toc31911"/>
      <w:r>
        <w:rPr>
          <w:rFonts w:hint="eastAsia" w:ascii="Times New Roman" w:hAnsi="Times New Roman" w:eastAsia="仿宋_GB2312" w:cs="Times New Roman"/>
          <w:color w:val="000000"/>
          <w:spacing w:val="17"/>
          <w:sz w:val="32"/>
          <w:szCs w:val="32"/>
          <w:highlight w:val="none"/>
          <w:lang w:val="en-US" w:eastAsia="zh-CN"/>
        </w:rPr>
        <w:t>（2）整理、研读基础资料</w:t>
      </w:r>
      <w:bookmarkEnd w:id="96"/>
    </w:p>
    <w:p w14:paraId="3B358E37">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7" w:name="_Toc167"/>
      <w:r>
        <w:rPr>
          <w:rFonts w:hint="eastAsia" w:ascii="Times New Roman" w:hAnsi="Times New Roman" w:eastAsia="仿宋_GB2312" w:cs="Times New Roman"/>
          <w:color w:val="000000"/>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4249D6B0">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98"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98"/>
    </w:p>
    <w:p w14:paraId="3305DB10">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9" w:name="_Toc15974"/>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1）综合分析评价</w:t>
      </w:r>
      <w:bookmarkEnd w:id="99"/>
    </w:p>
    <w:p w14:paraId="16C9F55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0" w:name="_Toc4352"/>
      <w:r>
        <w:rPr>
          <w:rFonts w:hint="eastAsia" w:ascii="Times New Roman" w:hAnsi="Times New Roman" w:eastAsia="仿宋_GB2312" w:cs="Times New Roman"/>
          <w:color w:val="000000"/>
          <w:spacing w:val="17"/>
          <w:sz w:val="32"/>
          <w:szCs w:val="32"/>
          <w:highlight w:val="none"/>
          <w:lang w:val="en-US" w:eastAsia="zh-CN"/>
        </w:rPr>
        <w:t>①根据所收集的基础资料，结合现场核查的有关情况，整理出绩效评价所需的项目材料和基础数据。</w:t>
      </w:r>
      <w:bookmarkEnd w:id="100"/>
    </w:p>
    <w:p w14:paraId="106D8BFE">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1" w:name="_Toc26231"/>
      <w:r>
        <w:rPr>
          <w:rFonts w:hint="eastAsia" w:ascii="Times New Roman" w:hAnsi="Times New Roman" w:eastAsia="仿宋_GB2312" w:cs="Times New Roman"/>
          <w:color w:val="000000"/>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0802BC2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2" w:name="_Toc27759"/>
      <w:r>
        <w:rPr>
          <w:rFonts w:hint="eastAsia" w:ascii="Times New Roman" w:hAnsi="Times New Roman" w:eastAsia="仿宋_GB2312" w:cs="Times New Roman"/>
          <w:color w:val="000000"/>
          <w:spacing w:val="17"/>
          <w:sz w:val="32"/>
          <w:szCs w:val="32"/>
          <w:highlight w:val="none"/>
          <w:lang w:val="en-US" w:eastAsia="zh-CN"/>
        </w:rPr>
        <w:t>（2）撰写报告</w:t>
      </w:r>
      <w:bookmarkEnd w:id="102"/>
    </w:p>
    <w:p w14:paraId="5C857D81">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3" w:name="_Toc15579"/>
      <w:r>
        <w:rPr>
          <w:rFonts w:hint="eastAsia"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15E50239">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04"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04"/>
    </w:p>
    <w:p w14:paraId="1826DBD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5" w:name="_Toc23319"/>
      <w:r>
        <w:rPr>
          <w:rFonts w:hint="eastAsia" w:ascii="Times New Roman" w:hAnsi="Times New Roman" w:eastAsia="楷体_GB2312" w:cs="Times New Roman"/>
          <w:kern w:val="28"/>
          <w:sz w:val="32"/>
          <w:lang w:val="en-US" w:eastAsia="zh-CN"/>
        </w:rPr>
        <w:t>（一）综合评价情况及评价结论</w:t>
      </w:r>
      <w:bookmarkEnd w:id="105"/>
    </w:p>
    <w:p w14:paraId="00BDA14B">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color w:val="auto"/>
          <w:sz w:val="32"/>
          <w:szCs w:val="32"/>
          <w:highlight w:val="none"/>
          <w:lang w:val="en-US" w:eastAsia="zh-CN"/>
        </w:rPr>
        <w:t>阜康市四工河水库工程</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w:t>
      </w:r>
      <w:r>
        <w:rPr>
          <w:rFonts w:hint="default" w:ascii="Times New Roman" w:hAnsi="Times New Roman" w:eastAsia="仿宋_GB2312" w:cs="Times New Roman"/>
          <w:sz w:val="32"/>
          <w:szCs w:val="32"/>
          <w:highlight w:val="none"/>
        </w:rPr>
        <w:t>的标准与要求。</w:t>
      </w:r>
    </w:p>
    <w:p w14:paraId="6C71AEFC">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ascii="Times New Roman" w:hAnsi="Times New Roman" w:eastAsia="仿宋_GB2312" w:cs="Times New Roman"/>
          <w:sz w:val="32"/>
          <w:szCs w:val="32"/>
          <w:highlight w:val="none"/>
          <w:lang w:val="en-US" w:eastAsia="zh-CN"/>
        </w:rPr>
        <w:t>阜康市水利管理站</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2E56B11D">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从项目效益的角度来看，本项目不仅实现了预期的社会效益方面产生了积极的影响。具体而言，</w:t>
      </w:r>
      <w:r>
        <w:rPr>
          <w:rFonts w:hint="eastAsia" w:ascii="Times New Roman" w:hAnsi="Times New Roman" w:eastAsia="仿宋_GB2312" w:cs="Times New Roman"/>
          <w:sz w:val="32"/>
          <w:szCs w:val="32"/>
          <w:highlight w:val="none"/>
          <w:lang w:val="en-US" w:eastAsia="zh-CN"/>
        </w:rPr>
        <w:t>灌溉保证率，减少地下水开采，改善地下水环境</w:t>
      </w:r>
      <w:r>
        <w:rPr>
          <w:rFonts w:hint="default" w:ascii="Times New Roman" w:hAnsi="Times New Roman" w:eastAsia="仿宋_GB2312" w:cs="Times New Roman"/>
          <w:sz w:val="32"/>
          <w:szCs w:val="32"/>
          <w:highlight w:val="none"/>
        </w:rPr>
        <w:t>等方面的提升，为项目的利益相关者带来了实实在在的利益。</w:t>
      </w:r>
    </w:p>
    <w:p w14:paraId="11364F2F">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ascii="Times New Roman" w:hAnsi="Times New Roman" w:eastAsia="仿宋_GB2312" w:cs="Times New Roman"/>
          <w:sz w:val="32"/>
          <w:szCs w:val="32"/>
          <w:highlight w:val="none"/>
          <w:lang w:val="en-US" w:eastAsia="zh-CN"/>
        </w:rPr>
        <w:t>阜康市四工河水库工程</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评价等级为优</w:t>
      </w:r>
      <w:r>
        <w:rPr>
          <w:rFonts w:hint="default" w:ascii="Times New Roman" w:hAnsi="Times New Roman" w:eastAsia="仿宋_GB2312" w:cs="Times New Roman"/>
          <w:sz w:val="32"/>
          <w:szCs w:val="32"/>
          <w:highlight w:val="none"/>
        </w:rPr>
        <w:t>。</w:t>
      </w:r>
    </w:p>
    <w:p w14:paraId="2AFC3C8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6" w:name="_Toc11863"/>
      <w:r>
        <w:rPr>
          <w:rFonts w:hint="eastAsia" w:ascii="Times New Roman" w:hAnsi="Times New Roman" w:eastAsia="楷体_GB2312" w:cs="Times New Roman"/>
          <w:kern w:val="28"/>
          <w:sz w:val="32"/>
          <w:lang w:val="en-US" w:eastAsia="zh-CN"/>
        </w:rPr>
        <w:t>（二）相关评分表</w:t>
      </w:r>
      <w:bookmarkEnd w:id="106"/>
    </w:p>
    <w:p w14:paraId="5BFE32B7">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000000"/>
          <w:spacing w:val="17"/>
          <w:sz w:val="32"/>
          <w:szCs w:val="32"/>
          <w:highlight w:val="none"/>
          <w:lang w:val="en-US" w:eastAsia="zh-CN"/>
        </w:rPr>
        <w:t>此次绩效评价</w:t>
      </w:r>
      <w:r>
        <w:rPr>
          <w:rFonts w:hint="eastAsia" w:ascii="Times New Roman" w:hAnsi="Times New Roman" w:eastAsia="仿宋_GB2312" w:cs="Times New Roman"/>
          <w:color w:val="000000"/>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000000"/>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000000"/>
          <w:spacing w:val="17"/>
          <w:sz w:val="32"/>
          <w:szCs w:val="32"/>
          <w:highlight w:val="none"/>
          <w:lang w:val="zh-TW" w:eastAsia="zh-TW"/>
        </w:rPr>
        <w:t>对</w:t>
      </w:r>
      <w:r>
        <w:rPr>
          <w:rFonts w:hint="eastAsia" w:ascii="Times New Roman" w:hAnsi="Times New Roman" w:eastAsia="仿宋_GB2312" w:cs="Times New Roman"/>
          <w:color w:val="auto"/>
          <w:spacing w:val="17"/>
          <w:sz w:val="32"/>
          <w:szCs w:val="32"/>
          <w:highlight w:val="none"/>
          <w:lang w:val="en-US" w:eastAsia="zh-CN"/>
        </w:rPr>
        <w:t>阜康市四工河水库工程</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19.8</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99</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26A8171C">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013A963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4"/>
                <w:szCs w:val="24"/>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表3-1：</w:t>
            </w:r>
            <w:r>
              <w:rPr>
                <w:rFonts w:hint="eastAsia" w:cs="宋体"/>
                <w:b/>
                <w:bCs/>
                <w:color w:val="auto"/>
                <w:kern w:val="0"/>
                <w:sz w:val="28"/>
                <w:szCs w:val="28"/>
                <w:highlight w:val="none"/>
                <w:shd w:val="clear" w:color="auto" w:fill="auto"/>
                <w:lang w:val="en-US" w:eastAsia="zh-CN"/>
              </w:rPr>
              <w:t>阜康市四工河水库工程</w:t>
            </w:r>
            <w:r>
              <w:rPr>
                <w:rFonts w:hint="eastAsia" w:ascii="宋体" w:hAnsi="宋体" w:eastAsia="宋体" w:cs="宋体"/>
                <w:b/>
                <w:bCs/>
                <w:color w:val="auto"/>
                <w:kern w:val="0"/>
                <w:sz w:val="28"/>
                <w:szCs w:val="28"/>
                <w:highlight w:val="none"/>
                <w:shd w:val="clear" w:color="auto" w:fill="auto"/>
                <w:lang w:val="en-US" w:eastAsia="zh-CN"/>
              </w:rPr>
              <w:t>得分</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表</w:t>
            </w:r>
          </w:p>
        </w:tc>
      </w:tr>
      <w:tr w14:paraId="445D2868">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074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8A47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E89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170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6CC0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2923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合计</w:t>
            </w:r>
          </w:p>
        </w:tc>
      </w:tr>
      <w:tr w14:paraId="547E8F4A">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8BA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420E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A7F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3FF5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BE8E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D4F1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34E6C9C7">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89B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C26C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19.8</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BE9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5C84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B44B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E9111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99.8</w:t>
            </w:r>
          </w:p>
        </w:tc>
      </w:tr>
      <w:tr w14:paraId="66881C9B">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E951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CCAB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8ED0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A62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0758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3891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99.8</w:t>
            </w:r>
            <w:r>
              <w:rPr>
                <w:rFonts w:hint="eastAsia" w:ascii="宋体" w:hAnsi="宋体" w:eastAsia="宋体" w:cs="宋体"/>
                <w:color w:val="auto"/>
                <w:kern w:val="0"/>
                <w:sz w:val="21"/>
                <w:szCs w:val="21"/>
                <w:highlight w:val="none"/>
                <w:shd w:val="clear" w:color="auto" w:fill="auto"/>
                <w:lang w:val="en-US" w:eastAsia="zh-CN"/>
              </w:rPr>
              <w:t>%</w:t>
            </w:r>
          </w:p>
        </w:tc>
      </w:tr>
    </w:tbl>
    <w:p w14:paraId="50725156">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07" w:name="_Toc1494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四、绩效评价指标分析</w:t>
      </w:r>
      <w:bookmarkEnd w:id="107"/>
    </w:p>
    <w:p w14:paraId="78F7E47B">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kern w:val="28"/>
          <w:sz w:val="32"/>
        </w:rPr>
      </w:pPr>
      <w:bookmarkStart w:id="108" w:name="_Toc6759"/>
      <w:r>
        <w:rPr>
          <w:rFonts w:hint="eastAsia" w:ascii="Times New Roman" w:hAnsi="Times New Roman" w:eastAsia="楷体_GB2312" w:cs="Times New Roman"/>
          <w:kern w:val="28"/>
          <w:sz w:val="32"/>
        </w:rPr>
        <w:t>（一）项目决策情况</w:t>
      </w:r>
      <w:bookmarkEnd w:id="108"/>
    </w:p>
    <w:p w14:paraId="17999545">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项目决策由3个二级指标和6个三级指标构成，权重分20分，实际得分19.8分，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color w:val="auto"/>
          <w:sz w:val="32"/>
          <w:szCs w:val="32"/>
          <w:highlight w:val="none"/>
          <w:shd w:val="clear" w:color="auto" w:fill="auto"/>
          <w:lang w:val="en-US" w:eastAsia="zh-CN"/>
        </w:rPr>
        <w:t>：</w:t>
      </w:r>
    </w:p>
    <w:p w14:paraId="39AF2EC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52E636D2">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1599B3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DE2E6B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5728A05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4ED617E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3F3A69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68D17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B7101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5F6E823A">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4510016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6C5DA3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74D93A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0A1F2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4D47C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660EBC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529A9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16434EB">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154FFA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285868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CE4FD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FC2187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436C7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05F8919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1C97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2.8</w:t>
            </w:r>
          </w:p>
        </w:tc>
      </w:tr>
      <w:tr w14:paraId="7B60FC12">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47C2322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49235D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4474FE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7155B7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1BFDC38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17963DE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0EC9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409F14C">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6F7D93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74C2C37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7095F6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2672F0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0002DB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5DBDBE2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2865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9C48A9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9C339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735B723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E72479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7031630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2137DC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6341D58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5C30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35870ECE">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5E8F93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D6E4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B8203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E951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5D66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5EF8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33BDC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02633D3F">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AC7A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33C3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F0D9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E7DA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AC23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19.8</w:t>
            </w:r>
          </w:p>
        </w:tc>
      </w:tr>
    </w:tbl>
    <w:p w14:paraId="5D3E0ECD">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09" w:name="_Toc28069"/>
      <w:bookmarkStart w:id="110" w:name="_Toc13522"/>
      <w:r>
        <w:rPr>
          <w:rFonts w:hint="eastAsia" w:ascii="仿宋_GB2312" w:hAnsi="仿宋_GB2312" w:eastAsia="仿宋_GB2312" w:cs="仿宋_GB2312"/>
          <w:b/>
          <w:bCs/>
          <w:sz w:val="32"/>
          <w:szCs w:val="32"/>
          <w:lang w:val="en-US" w:eastAsia="zh-CN"/>
        </w:rPr>
        <w:t>1.立项依据充分性</w:t>
      </w:r>
      <w:bookmarkEnd w:id="109"/>
      <w:bookmarkEnd w:id="110"/>
    </w:p>
    <w:p w14:paraId="622EFDD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①项目立项符合《</w:t>
      </w:r>
      <w:r>
        <w:rPr>
          <w:rFonts w:hint="eastAsia" w:ascii="仿宋_GB2312" w:hAnsi="仿宋_GB2312" w:eastAsia="仿宋_GB2312" w:cs="仿宋_GB2312"/>
          <w:color w:val="auto"/>
          <w:sz w:val="32"/>
          <w:szCs w:val="32"/>
          <w:lang w:val="en-US" w:eastAsia="zh-CN"/>
        </w:rPr>
        <w:t>昌吉州“十四五”水利发展水安全保障规划</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阜康市</w:t>
      </w:r>
      <w:r>
        <w:rPr>
          <w:rFonts w:hint="eastAsia" w:ascii="仿宋_GB2312" w:hAnsi="仿宋_GB2312" w:eastAsia="仿宋_GB2312" w:cs="仿宋_GB2312"/>
          <w:color w:val="auto"/>
          <w:sz w:val="32"/>
          <w:szCs w:val="32"/>
          <w:lang w:eastAsia="zh-CN"/>
        </w:rPr>
        <w:t>国民经济发展规划》、国家法律法规、国民经济发展规划和相关政策；</w:t>
      </w:r>
    </w:p>
    <w:p w14:paraId="0C27989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②项目立项符合《国家水网建设规划纲要》《水利工程建设程序管理暂行规定》；</w:t>
      </w:r>
    </w:p>
    <w:p w14:paraId="402DC14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③项目立项与</w:t>
      </w:r>
      <w:r>
        <w:rPr>
          <w:rFonts w:hint="eastAsia" w:ascii="仿宋_GB2312" w:hAnsi="仿宋_GB2312" w:eastAsia="仿宋_GB2312" w:cs="仿宋_GB2312"/>
          <w:color w:val="auto"/>
          <w:sz w:val="32"/>
          <w:szCs w:val="32"/>
          <w:lang w:val="en-US" w:eastAsia="zh-CN"/>
        </w:rPr>
        <w:t>本单位负责项目前期申报、办理职能</w:t>
      </w:r>
      <w:r>
        <w:rPr>
          <w:rFonts w:hint="eastAsia" w:ascii="仿宋_GB2312" w:hAnsi="仿宋_GB2312" w:eastAsia="仿宋_GB2312" w:cs="仿宋_GB2312"/>
          <w:color w:val="auto"/>
          <w:sz w:val="32"/>
          <w:szCs w:val="32"/>
          <w:lang w:eastAsia="zh-CN"/>
        </w:rPr>
        <w:t>相符，属于部门履职所需；</w:t>
      </w:r>
    </w:p>
    <w:p w14:paraId="76031AC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④项目属于公共财政支持范围，符合中央、地方事权支出责任划分原则；</w:t>
      </w:r>
    </w:p>
    <w:p w14:paraId="687D0A2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⑤项目与相关部门同类项目、部门内部相关项目</w:t>
      </w:r>
      <w:r>
        <w:rPr>
          <w:rFonts w:hint="eastAsia" w:ascii="仿宋_GB2312" w:hAnsi="仿宋_GB2312" w:eastAsia="仿宋_GB2312" w:cs="仿宋_GB2312"/>
          <w:color w:val="auto"/>
          <w:sz w:val="32"/>
          <w:szCs w:val="32"/>
          <w:lang w:val="en-US" w:eastAsia="zh-CN"/>
        </w:rPr>
        <w:t>不</w:t>
      </w:r>
      <w:r>
        <w:rPr>
          <w:rFonts w:hint="eastAsia" w:ascii="仿宋_GB2312" w:hAnsi="仿宋_GB2312" w:eastAsia="仿宋_GB2312" w:cs="仿宋_GB2312"/>
          <w:color w:val="auto"/>
          <w:sz w:val="32"/>
          <w:szCs w:val="32"/>
          <w:lang w:eastAsia="zh-CN"/>
        </w:rPr>
        <w:t>重复。</w:t>
      </w:r>
    </w:p>
    <w:p w14:paraId="03BCCD1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综上，该项指标满分2分，得分2分。</w:t>
      </w:r>
    </w:p>
    <w:p w14:paraId="39A7EC0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1" w:name="_Toc23240"/>
      <w:bookmarkStart w:id="112" w:name="_Toc21976"/>
      <w:r>
        <w:rPr>
          <w:rFonts w:hint="eastAsia" w:ascii="仿宋_GB2312" w:hAnsi="仿宋_GB2312" w:eastAsia="仿宋_GB2312" w:cs="仿宋_GB2312"/>
          <w:b/>
          <w:bCs/>
          <w:color w:val="auto"/>
          <w:sz w:val="32"/>
          <w:szCs w:val="32"/>
          <w:lang w:val="en-US" w:eastAsia="zh-CN"/>
        </w:rPr>
        <w:t>2.立项程序规范性</w:t>
      </w:r>
      <w:bookmarkEnd w:id="111"/>
      <w:bookmarkEnd w:id="112"/>
    </w:p>
    <w:p w14:paraId="5920216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①项目按照规定的程序申请设立；</w:t>
      </w:r>
    </w:p>
    <w:p w14:paraId="29AB762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②审批文件、材料符合相关要求；</w:t>
      </w:r>
    </w:p>
    <w:p w14:paraId="25F3AF0A">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③事前经过必要的可行性研究、专家论证、风险评估、集体决策，</w:t>
      </w:r>
      <w:r>
        <w:rPr>
          <w:rFonts w:hint="eastAsia" w:ascii="仿宋_GB2312" w:hAnsi="仿宋_GB2312" w:eastAsia="仿宋_GB2312" w:cs="仿宋_GB2312"/>
          <w:color w:val="auto"/>
          <w:sz w:val="32"/>
          <w:szCs w:val="32"/>
          <w:lang w:val="en-US" w:eastAsia="zh-CN"/>
        </w:rPr>
        <w:t>未经过事前</w:t>
      </w:r>
      <w:r>
        <w:rPr>
          <w:rFonts w:hint="eastAsia" w:ascii="仿宋_GB2312" w:hAnsi="仿宋_GB2312" w:eastAsia="仿宋_GB2312" w:cs="仿宋_GB2312"/>
          <w:color w:val="auto"/>
          <w:sz w:val="32"/>
          <w:szCs w:val="32"/>
          <w:lang w:eastAsia="zh-CN"/>
        </w:rPr>
        <w:t>绩效评估，</w:t>
      </w:r>
      <w:r>
        <w:rPr>
          <w:rFonts w:hint="eastAsia" w:ascii="仿宋_GB2312" w:hAnsi="仿宋_GB2312" w:eastAsia="仿宋_GB2312" w:cs="仿宋_GB2312"/>
          <w:color w:val="auto"/>
          <w:sz w:val="32"/>
          <w:szCs w:val="32"/>
          <w:lang w:val="en-US" w:eastAsia="zh-CN"/>
        </w:rPr>
        <w:t>扣0.2分。</w:t>
      </w:r>
    </w:p>
    <w:p w14:paraId="59753ED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综上，该项指标满分3分，得分2.8分。</w:t>
      </w:r>
    </w:p>
    <w:p w14:paraId="2E9F5EE8">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3" w:name="_Toc15382"/>
      <w:bookmarkStart w:id="114" w:name="_Toc23542"/>
      <w:r>
        <w:rPr>
          <w:rFonts w:hint="eastAsia" w:ascii="仿宋_GB2312" w:hAnsi="仿宋_GB2312" w:eastAsia="仿宋_GB2312" w:cs="仿宋_GB2312"/>
          <w:b/>
          <w:bCs/>
          <w:color w:val="auto"/>
          <w:sz w:val="32"/>
          <w:szCs w:val="32"/>
          <w:lang w:val="en-US" w:eastAsia="zh-CN"/>
        </w:rPr>
        <w:t>3.绩效目标合理性</w:t>
      </w:r>
      <w:bookmarkEnd w:id="113"/>
      <w:bookmarkEnd w:id="114"/>
    </w:p>
    <w:p w14:paraId="2186E6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207277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通过阜康市四工河水库工程前期初设阶段审批工作，完成初设报告；征收补偿林地、草地，征收补偿农户地面实物；完成前期工作，保证四工河水库工程顺利开工。绩效目标与实际工作内容一致，两者具有相关性。</w:t>
      </w:r>
    </w:p>
    <w:p w14:paraId="337710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③该项目按照绩效目标完成数量指标、质量指标、时效指标、成本指标，完成了完成初设报告，征收补偿林地、草地，征收补偿农户地面实物，完成前期工作，保证四工河水库工程顺利开工，达到</w:t>
      </w:r>
      <w:r>
        <w:rPr>
          <w:rFonts w:hint="eastAsia" w:ascii="仿宋_GB2312" w:hAnsi="仿宋_GB2312" w:eastAsia="仿宋_GB2312" w:cs="仿宋_GB2312"/>
          <w:color w:val="auto"/>
          <w:sz w:val="32"/>
          <w:szCs w:val="32"/>
          <w:highlight w:val="none"/>
          <w:lang w:val="en-US" w:eastAsia="zh-CN"/>
        </w:rPr>
        <w:t>有效推进工程顺利开工的社会</w:t>
      </w:r>
      <w:r>
        <w:rPr>
          <w:rFonts w:hint="eastAsia" w:ascii="仿宋_GB2312" w:hAnsi="仿宋_GB2312" w:eastAsia="仿宋_GB2312" w:cs="仿宋_GB2312"/>
          <w:color w:val="auto"/>
          <w:sz w:val="32"/>
          <w:szCs w:val="32"/>
          <w:highlight w:val="none"/>
          <w:lang w:eastAsia="zh-CN"/>
        </w:rPr>
        <w:t>效益，预期产出效益和效果符合正常的业绩水平。</w:t>
      </w:r>
    </w:p>
    <w:p w14:paraId="6D9C7D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4093.84</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6F23E49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p>
    <w:p w14:paraId="52529DD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5" w:name="_Toc10650"/>
      <w:bookmarkStart w:id="116" w:name="_Toc18198"/>
      <w:r>
        <w:rPr>
          <w:rFonts w:hint="eastAsia" w:ascii="仿宋_GB2312" w:hAnsi="仿宋_GB2312" w:eastAsia="仿宋_GB2312" w:cs="仿宋_GB2312"/>
          <w:b/>
          <w:bCs/>
          <w:sz w:val="32"/>
          <w:szCs w:val="32"/>
          <w:lang w:val="en-US" w:eastAsia="zh-CN"/>
        </w:rPr>
        <w:t>4.绩效指标明确性</w:t>
      </w:r>
      <w:bookmarkEnd w:id="115"/>
      <w:bookmarkEnd w:id="116"/>
    </w:p>
    <w:p w14:paraId="5F4916F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①将项目绩效目标细化分解为具体的绩效指标，</w:t>
      </w:r>
      <w:r>
        <w:rPr>
          <w:rFonts w:hint="eastAsia" w:ascii="仿宋_GB2312" w:hAnsi="仿宋_GB2312" w:eastAsia="仿宋_GB2312" w:cs="仿宋_GB2312"/>
          <w:color w:val="auto"/>
          <w:sz w:val="32"/>
          <w:szCs w:val="32"/>
          <w:lang w:val="en-US" w:eastAsia="zh-CN"/>
        </w:rPr>
        <w:t>其中三级指标共计13个</w:t>
      </w:r>
      <w:r>
        <w:rPr>
          <w:rFonts w:hint="eastAsia" w:ascii="仿宋_GB2312" w:hAnsi="仿宋_GB2312" w:eastAsia="仿宋_GB2312" w:cs="仿宋_GB2312"/>
          <w:color w:val="auto"/>
          <w:sz w:val="32"/>
          <w:szCs w:val="32"/>
          <w:lang w:eastAsia="zh-CN"/>
        </w:rPr>
        <w:t>；</w:t>
      </w:r>
    </w:p>
    <w:p w14:paraId="1A5AF3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②通过清晰、可衡量的指标值予以体现，</w:t>
      </w:r>
      <w:r>
        <w:rPr>
          <w:rFonts w:hint="eastAsia" w:ascii="仿宋_GB2312" w:hAnsi="仿宋_GB2312" w:eastAsia="仿宋_GB2312" w:cs="仿宋_GB2312"/>
          <w:color w:val="auto"/>
          <w:sz w:val="32"/>
          <w:szCs w:val="32"/>
          <w:lang w:val="en-US" w:eastAsia="zh-CN"/>
        </w:rPr>
        <w:t>量化率达到92.31%</w:t>
      </w:r>
      <w:r>
        <w:rPr>
          <w:rFonts w:hint="eastAsia" w:ascii="仿宋_GB2312" w:hAnsi="仿宋_GB2312" w:eastAsia="仿宋_GB2312" w:cs="仿宋_GB2312"/>
          <w:color w:val="auto"/>
          <w:sz w:val="32"/>
          <w:szCs w:val="32"/>
          <w:lang w:eastAsia="zh-CN"/>
        </w:rPr>
        <w:t>；</w:t>
      </w:r>
    </w:p>
    <w:p w14:paraId="3FFAC1D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③《项目绩效目标申报表》中，三级指标的年度指标值与年度绩效目标中任务数一致。</w:t>
      </w:r>
    </w:p>
    <w:p w14:paraId="234E7DE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已设置的绩效目标具备明确性、可衡量性、可实现性、相关性、时限性。</w:t>
      </w:r>
    </w:p>
    <w:p w14:paraId="0191287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w:t>
      </w:r>
      <w:r>
        <w:rPr>
          <w:rFonts w:hint="eastAsia" w:ascii="仿宋_GB2312" w:hAnsi="仿宋_GB2312" w:eastAsia="仿宋_GB2312" w:cs="仿宋_GB2312"/>
          <w:b/>
          <w:bCs/>
          <w:color w:val="auto"/>
          <w:sz w:val="32"/>
          <w:szCs w:val="32"/>
          <w:lang w:val="en-US" w:eastAsia="zh-CN"/>
        </w:rPr>
        <w:t>指标满分5分，得分5分。</w:t>
      </w:r>
    </w:p>
    <w:p w14:paraId="47A757BD">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7" w:name="_Toc8296"/>
      <w:bookmarkStart w:id="118" w:name="_Toc19401"/>
      <w:r>
        <w:rPr>
          <w:rFonts w:hint="eastAsia" w:ascii="仿宋_GB2312" w:hAnsi="仿宋_GB2312" w:eastAsia="仿宋_GB2312" w:cs="仿宋_GB2312"/>
          <w:b/>
          <w:bCs/>
          <w:sz w:val="32"/>
          <w:szCs w:val="32"/>
          <w:lang w:val="en-US" w:eastAsia="zh-CN"/>
        </w:rPr>
        <w:t>5.预算编制科学性</w:t>
      </w:r>
      <w:bookmarkEnd w:id="117"/>
      <w:bookmarkEnd w:id="118"/>
    </w:p>
    <w:p w14:paraId="1167866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sz w:val="32"/>
          <w:szCs w:val="32"/>
          <w:lang w:val="en-US" w:eastAsia="zh-CN"/>
        </w:rPr>
        <w:t>根据项目预算批复，项目的</w:t>
      </w:r>
      <w:r>
        <w:rPr>
          <w:rFonts w:hint="eastAsia" w:ascii="仿宋_GB2312" w:hAnsi="仿宋_GB2312" w:eastAsia="仿宋_GB2312" w:cs="仿宋_GB2312"/>
          <w:sz w:val="32"/>
          <w:szCs w:val="32"/>
          <w:lang w:eastAsia="zh-CN"/>
        </w:rPr>
        <w:t>预算编制经过科学论证；</w:t>
      </w:r>
    </w:p>
    <w:p w14:paraId="6B63256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val="en-US" w:eastAsia="zh-CN"/>
        </w:rPr>
        <w:t>②</w:t>
      </w:r>
      <w:r>
        <w:rPr>
          <w:rFonts w:hint="eastAsia" w:ascii="仿宋_GB2312" w:hAnsi="仿宋_GB2312" w:eastAsia="仿宋_GB2312" w:cs="仿宋_GB2312"/>
          <w:sz w:val="32"/>
          <w:szCs w:val="32"/>
          <w:lang w:eastAsia="zh-CN"/>
        </w:rPr>
        <w:t>预算申</w:t>
      </w:r>
      <w:r>
        <w:rPr>
          <w:rFonts w:hint="eastAsia" w:ascii="仿宋_GB2312" w:hAnsi="仿宋_GB2312" w:eastAsia="仿宋_GB2312" w:cs="仿宋_GB2312"/>
          <w:color w:val="auto"/>
          <w:sz w:val="32"/>
          <w:szCs w:val="32"/>
          <w:lang w:eastAsia="zh-CN"/>
        </w:rPr>
        <w:t>请内容为通过阜康市四工河水库工程前期初设阶段审批工作，计划完成初设报告1个；计划征收补偿林地59公顷、征收补偿草地50公顷，征收补偿农户地面实物34户；通过前期工作的完成，保证四工河水库工程顺利开工。项目实际内容为：通过阜康市四工河水库工程前期初设阶段审批工作，计划完成初设报告1个；计划征收补偿林地59公顷、征收补偿草地50公顷，征收补偿农户地面实物34户；通过前期工作的完成，保证四工河水库工程顺利开工，预算申请与项目内容匹配；</w:t>
      </w:r>
    </w:p>
    <w:p w14:paraId="5950620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③</w:t>
      </w:r>
      <w:r>
        <w:rPr>
          <w:rFonts w:hint="eastAsia" w:ascii="仿宋_GB2312" w:hAnsi="仿宋_GB2312" w:eastAsia="仿宋_GB2312" w:cs="仿宋_GB2312"/>
          <w:color w:val="auto"/>
          <w:sz w:val="32"/>
          <w:szCs w:val="32"/>
          <w:lang w:eastAsia="zh-CN"/>
        </w:rPr>
        <w:t>项目预算申请资金4093.84</w:t>
      </w:r>
      <w:r>
        <w:rPr>
          <w:rFonts w:hint="eastAsia" w:ascii="仿宋_GB2312" w:hAnsi="仿宋_GB2312" w:eastAsia="仿宋_GB2312" w:cs="仿宋_GB2312"/>
          <w:color w:val="auto"/>
          <w:sz w:val="32"/>
          <w:szCs w:val="32"/>
          <w:lang w:val="en-US" w:eastAsia="zh-CN"/>
        </w:rPr>
        <w:t>万</w:t>
      </w:r>
      <w:r>
        <w:rPr>
          <w:rFonts w:hint="eastAsia" w:ascii="仿宋_GB2312" w:hAnsi="仿宋_GB2312" w:eastAsia="仿宋_GB2312" w:cs="仿宋_GB2312"/>
          <w:color w:val="auto"/>
          <w:sz w:val="32"/>
          <w:szCs w:val="32"/>
          <w:lang w:eastAsia="zh-CN"/>
        </w:rPr>
        <w:t>元，我单位在预算申请中严格按照项目实施内容及测算标准进行核算，其中：</w:t>
      </w:r>
      <w:r>
        <w:rPr>
          <w:rFonts w:hint="eastAsia" w:ascii="仿宋_GB2312" w:hAnsi="仿宋_GB2312" w:eastAsia="仿宋_GB2312" w:cs="仿宋_GB2312"/>
          <w:color w:val="auto"/>
          <w:sz w:val="32"/>
          <w:szCs w:val="32"/>
          <w:lang w:val="en-US" w:eastAsia="zh-CN"/>
        </w:rPr>
        <w:t>设计费</w:t>
      </w:r>
      <w:r>
        <w:rPr>
          <w:rFonts w:hint="eastAsia" w:ascii="仿宋_GB2312" w:hAnsi="仿宋_GB2312" w:eastAsia="仿宋_GB2312" w:cs="仿宋_GB2312"/>
          <w:color w:val="auto"/>
          <w:sz w:val="32"/>
          <w:szCs w:val="32"/>
          <w:lang w:eastAsia="zh-CN"/>
        </w:rPr>
        <w:t>费用</w:t>
      </w:r>
      <w:r>
        <w:rPr>
          <w:rFonts w:hint="eastAsia" w:ascii="仿宋_GB2312" w:hAnsi="仿宋_GB2312" w:eastAsia="仿宋_GB2312" w:cs="仿宋_GB2312"/>
          <w:color w:val="auto"/>
          <w:sz w:val="32"/>
          <w:szCs w:val="32"/>
          <w:lang w:val="en-US" w:eastAsia="zh-CN"/>
        </w:rPr>
        <w:t>1302</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color w:val="auto"/>
          <w:sz w:val="32"/>
          <w:szCs w:val="32"/>
          <w:lang w:val="en-US" w:eastAsia="zh-CN"/>
        </w:rPr>
        <w:t>移民征地</w:t>
      </w:r>
      <w:r>
        <w:rPr>
          <w:rFonts w:hint="eastAsia" w:ascii="仿宋_GB2312" w:hAnsi="仿宋_GB2312" w:eastAsia="仿宋_GB2312" w:cs="仿宋_GB2312"/>
          <w:color w:val="auto"/>
          <w:sz w:val="32"/>
          <w:szCs w:val="32"/>
          <w:lang w:eastAsia="zh-CN"/>
        </w:rPr>
        <w:t>费用</w:t>
      </w:r>
      <w:r>
        <w:rPr>
          <w:rFonts w:hint="eastAsia" w:ascii="仿宋_GB2312" w:hAnsi="仿宋_GB2312" w:eastAsia="仿宋_GB2312" w:cs="仿宋_GB2312"/>
          <w:color w:val="auto"/>
          <w:sz w:val="32"/>
          <w:szCs w:val="32"/>
          <w:lang w:val="en-US" w:eastAsia="zh-CN"/>
        </w:rPr>
        <w:t>2791.84</w:t>
      </w:r>
      <w:r>
        <w:rPr>
          <w:rFonts w:hint="eastAsia" w:ascii="仿宋_GB2312" w:hAnsi="仿宋_GB2312" w:eastAsia="仿宋_GB2312" w:cs="仿宋_GB2312"/>
          <w:color w:val="auto"/>
          <w:sz w:val="32"/>
          <w:szCs w:val="32"/>
          <w:lang w:eastAsia="zh-CN"/>
        </w:rPr>
        <w:t>万元。</w:t>
      </w:r>
    </w:p>
    <w:p w14:paraId="2FB3840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④</w:t>
      </w:r>
      <w:r>
        <w:rPr>
          <w:rFonts w:hint="eastAsia" w:ascii="仿宋_GB2312" w:hAnsi="仿宋_GB2312" w:eastAsia="仿宋_GB2312" w:cs="仿宋_GB2312"/>
          <w:color w:val="auto"/>
          <w:sz w:val="32"/>
          <w:szCs w:val="32"/>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lang w:val="en-US" w:eastAsia="zh-CN"/>
        </w:rPr>
        <w:t>项目实施内容</w:t>
      </w:r>
      <w:r>
        <w:rPr>
          <w:rFonts w:hint="eastAsia" w:ascii="仿宋_GB2312" w:hAnsi="仿宋_GB2312" w:eastAsia="仿宋_GB2312" w:cs="仿宋_GB2312"/>
          <w:color w:val="auto"/>
          <w:sz w:val="32"/>
          <w:szCs w:val="32"/>
          <w:lang w:eastAsia="zh-CN"/>
        </w:rPr>
        <w:t>相匹配。</w:t>
      </w:r>
    </w:p>
    <w:p w14:paraId="38252D2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综上，该项指标满分2分，得分2分。</w:t>
      </w:r>
    </w:p>
    <w:p w14:paraId="56D5A1D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9" w:name="_Toc697"/>
      <w:bookmarkStart w:id="120" w:name="_Toc20556"/>
      <w:r>
        <w:rPr>
          <w:rFonts w:hint="eastAsia" w:ascii="仿宋_GB2312" w:hAnsi="仿宋_GB2312" w:eastAsia="仿宋_GB2312" w:cs="仿宋_GB2312"/>
          <w:b/>
          <w:bCs/>
          <w:sz w:val="32"/>
          <w:szCs w:val="32"/>
          <w:lang w:val="en-US" w:eastAsia="zh-CN"/>
        </w:rPr>
        <w:t>6.资金分配合理性</w:t>
      </w:r>
      <w:bookmarkEnd w:id="119"/>
      <w:bookmarkEnd w:id="120"/>
    </w:p>
    <w:p w14:paraId="78E1236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①项目实际分配资金以</w:t>
      </w:r>
      <w:r>
        <w:rPr>
          <w:rFonts w:hint="eastAsia" w:ascii="仿宋_GB2312" w:hAnsi="仿宋_GB2312" w:eastAsia="仿宋_GB2312" w:cs="仿宋_GB2312"/>
          <w:sz w:val="32"/>
          <w:szCs w:val="32"/>
          <w:lang w:eastAsia="zh-Hans"/>
        </w:rPr>
        <w:t>《</w:t>
      </w:r>
      <w:r>
        <w:rPr>
          <w:rFonts w:hint="eastAsia" w:ascii="仿宋_GB2312" w:hAnsi="仿宋_GB2312" w:eastAsia="仿宋_GB2312" w:cs="仿宋_GB2312"/>
          <w:sz w:val="32"/>
          <w:szCs w:val="32"/>
          <w:lang w:val="en-US" w:eastAsia="zh-CN"/>
        </w:rPr>
        <w:t>阜康市四工河水库工程资金的说明</w:t>
      </w:r>
      <w:r>
        <w:rPr>
          <w:rFonts w:hint="eastAsia" w:ascii="仿宋_GB2312" w:hAnsi="仿宋_GB2312" w:eastAsia="仿宋_GB2312" w:cs="仿宋_GB2312"/>
          <w:sz w:val="32"/>
          <w:szCs w:val="32"/>
          <w:lang w:eastAsia="zh-Hans"/>
        </w:rPr>
        <w:t>》为依据进行资金分配，预算资金分配依据充分</w:t>
      </w:r>
      <w:r>
        <w:rPr>
          <w:rFonts w:hint="eastAsia" w:ascii="仿宋_GB2312" w:hAnsi="仿宋_GB2312" w:eastAsia="仿宋_GB2312" w:cs="仿宋_GB2312"/>
          <w:sz w:val="32"/>
          <w:szCs w:val="32"/>
          <w:lang w:eastAsia="zh-CN"/>
        </w:rPr>
        <w:t>。</w:t>
      </w:r>
    </w:p>
    <w:p w14:paraId="06D3976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②项目实际到位资金4093.84万元，资金分配额度合理，与项目单位</w:t>
      </w:r>
      <w:r>
        <w:rPr>
          <w:rFonts w:hint="eastAsia" w:ascii="仿宋_GB2312" w:hAnsi="仿宋_GB2312" w:eastAsia="仿宋_GB2312" w:cs="仿宋_GB2312"/>
          <w:color w:val="auto"/>
          <w:sz w:val="32"/>
          <w:szCs w:val="32"/>
          <w:lang w:val="en-US" w:eastAsia="zh-CN"/>
        </w:rPr>
        <w:t>及项目实际实施情况相</w:t>
      </w:r>
      <w:r>
        <w:rPr>
          <w:rFonts w:hint="eastAsia" w:ascii="仿宋_GB2312" w:hAnsi="仿宋_GB2312" w:eastAsia="仿宋_GB2312" w:cs="仿宋_GB2312"/>
          <w:color w:val="auto"/>
          <w:sz w:val="32"/>
          <w:szCs w:val="32"/>
          <w:lang w:eastAsia="zh-CN"/>
        </w:rPr>
        <w:t>适应。</w:t>
      </w:r>
    </w:p>
    <w:p w14:paraId="57DA6340">
      <w:pPr>
        <w:pageBreakBefore w:val="0"/>
        <w:kinsoku/>
        <w:wordWrap/>
        <w:overflowPunct/>
        <w:topLinePunct w:val="0"/>
        <w:autoSpaceDE/>
        <w:autoSpaceDN/>
        <w:bidi w:val="0"/>
        <w:spacing w:line="560" w:lineRule="exact"/>
        <w:textAlignment w:val="auto"/>
        <w:rPr>
          <w:rFonts w:hint="eastAsia"/>
          <w:color w:val="auto"/>
          <w:lang w:eastAsia="zh-CN"/>
        </w:rPr>
      </w:pPr>
      <w:r>
        <w:rPr>
          <w:rFonts w:hint="eastAsia" w:ascii="仿宋_GB2312" w:hAnsi="仿宋_GB2312" w:eastAsia="仿宋_GB2312" w:cs="仿宋_GB2312"/>
          <w:b/>
          <w:bCs/>
          <w:color w:val="auto"/>
          <w:sz w:val="32"/>
          <w:szCs w:val="32"/>
          <w:lang w:val="en-US" w:eastAsia="zh-CN"/>
        </w:rPr>
        <w:t>综上，该项指标满分3分，得分3分。</w:t>
      </w:r>
    </w:p>
    <w:p w14:paraId="241425B9">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kern w:val="28"/>
          <w:sz w:val="32"/>
        </w:rPr>
      </w:pPr>
      <w:bookmarkStart w:id="121" w:name="_Toc10564"/>
      <w:r>
        <w:rPr>
          <w:rFonts w:hint="eastAsia" w:ascii="Times New Roman" w:hAnsi="Times New Roman" w:eastAsia="楷体" w:cs="Times New Roman"/>
          <w:kern w:val="28"/>
          <w:sz w:val="32"/>
          <w:lang w:eastAsia="zh-CN"/>
        </w:rPr>
        <w:t>（</w:t>
      </w:r>
      <w:r>
        <w:rPr>
          <w:rFonts w:hint="eastAsia" w:ascii="Times New Roman" w:hAnsi="Times New Roman" w:eastAsia="楷体" w:cs="Times New Roman"/>
          <w:kern w:val="28"/>
          <w:sz w:val="32"/>
          <w:lang w:val="en-US" w:eastAsia="zh-CN"/>
        </w:rPr>
        <w:t>二</w:t>
      </w:r>
      <w:r>
        <w:rPr>
          <w:rFonts w:hint="eastAsia" w:ascii="Times New Roman" w:hAnsi="Times New Roman" w:eastAsia="楷体" w:cs="Times New Roman"/>
          <w:kern w:val="28"/>
          <w:sz w:val="32"/>
          <w:lang w:eastAsia="zh-CN"/>
        </w:rPr>
        <w:t>）</w:t>
      </w:r>
      <w:r>
        <w:rPr>
          <w:rFonts w:hint="eastAsia" w:ascii="Times New Roman" w:hAnsi="Times New Roman" w:eastAsia="楷体" w:cs="Times New Roman"/>
          <w:kern w:val="28"/>
          <w:sz w:val="32"/>
        </w:rPr>
        <w:t>项目过程情况</w:t>
      </w:r>
      <w:bookmarkEnd w:id="121"/>
    </w:p>
    <w:p w14:paraId="3FEBE9A0">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2CA3764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过程</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54E27CE0">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D61B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78492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439B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CAA7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7FA4A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9E91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12F6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4F8967FB">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A536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5CD8D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694CB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B7E56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28F61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AF5B9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C2AF4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5BA1215F">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AF942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6F25B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CAD9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AF897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6AE19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E672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E8F17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17CBDF8C">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DE37E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6F03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865D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3D28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37B68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87D72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A6D6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6DA898A2">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C1BCA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C62FA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597CD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CEEE4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75773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58FD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33E1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76B6059A">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D557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1EC9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9338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A0AC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3F032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6721C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D493A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6DCFA648">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EAE97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FCF6E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0B56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BBF0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C128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7668A15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2" w:name="_Toc3886"/>
      <w:bookmarkStart w:id="123" w:name="_Toc20449"/>
      <w:r>
        <w:rPr>
          <w:rFonts w:hint="eastAsia" w:ascii="仿宋_GB2312" w:hAnsi="仿宋_GB2312" w:eastAsia="仿宋_GB2312" w:cs="仿宋_GB2312"/>
          <w:b/>
          <w:bCs/>
          <w:color w:val="auto"/>
          <w:sz w:val="32"/>
          <w:szCs w:val="32"/>
          <w:lang w:val="en-US" w:eastAsia="zh-CN"/>
        </w:rPr>
        <w:t>1.资金到位率</w:t>
      </w:r>
      <w:bookmarkEnd w:id="122"/>
      <w:bookmarkEnd w:id="123"/>
    </w:p>
    <w:p w14:paraId="2106067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rPr>
        <w:t>项目预算资金为4093.84万元，</w:t>
      </w:r>
      <w:r>
        <w:rPr>
          <w:rFonts w:hint="eastAsia" w:ascii="仿宋_GB2312" w:hAnsi="仿宋_GB2312" w:eastAsia="仿宋_GB2312" w:cs="仿宋_GB2312"/>
          <w:b w:val="0"/>
          <w:bCs w:val="0"/>
          <w:color w:val="auto"/>
          <w:sz w:val="32"/>
          <w:szCs w:val="32"/>
          <w:lang w:val="en-US" w:eastAsia="zh-CN"/>
        </w:rPr>
        <w:t>其中，</w:t>
      </w:r>
      <w:r>
        <w:rPr>
          <w:rFonts w:hint="eastAsia" w:ascii="仿宋_GB2312" w:hAnsi="仿宋_GB2312" w:eastAsia="仿宋_GB2312" w:cs="仿宋_GB2312"/>
          <w:b w:val="0"/>
          <w:bCs w:val="0"/>
          <w:color w:val="auto"/>
          <w:sz w:val="32"/>
          <w:szCs w:val="32"/>
        </w:rPr>
        <w:t>财政安排资金4093.84万元</w:t>
      </w:r>
      <w:r>
        <w:rPr>
          <w:rFonts w:hint="eastAsia" w:ascii="仿宋_GB2312" w:hAnsi="仿宋_GB2312" w:eastAsia="仿宋_GB2312" w:cs="仿宋_GB2312"/>
          <w:b w:val="0"/>
          <w:bCs w:val="0"/>
          <w:color w:val="auto"/>
          <w:sz w:val="32"/>
          <w:szCs w:val="32"/>
          <w:lang w:eastAsia="zh-CN"/>
        </w:rPr>
        <w:t>。</w:t>
      </w:r>
    </w:p>
    <w:p w14:paraId="3ACC7C6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color w:val="auto"/>
          <w:sz w:val="32"/>
          <w:szCs w:val="32"/>
          <w:lang w:eastAsia="zh-CN"/>
        </w:rPr>
        <w:t>资金到位率=（</w:t>
      </w:r>
      <w:r>
        <w:rPr>
          <w:rFonts w:hint="eastAsia" w:ascii="仿宋_GB2312" w:hAnsi="仿宋_GB2312" w:eastAsia="仿宋_GB2312" w:cs="仿宋_GB2312"/>
          <w:b w:val="0"/>
          <w:bCs w:val="0"/>
          <w:color w:val="auto"/>
          <w:sz w:val="32"/>
          <w:szCs w:val="32"/>
        </w:rPr>
        <w:t>4093.84万元</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4093.84万元</w:t>
      </w:r>
      <w:r>
        <w:rPr>
          <w:rFonts w:hint="eastAsia" w:ascii="仿宋_GB2312" w:hAnsi="仿宋_GB2312" w:eastAsia="仿宋_GB2312" w:cs="仿宋_GB2312"/>
          <w:b w:val="0"/>
          <w:bCs w:val="0"/>
          <w:color w:val="auto"/>
          <w:sz w:val="32"/>
          <w:szCs w:val="32"/>
          <w:lang w:eastAsia="zh-CN"/>
        </w:rPr>
        <w:t>）×100%</w:t>
      </w:r>
      <w:r>
        <w:rPr>
          <w:rFonts w:hint="eastAsia" w:ascii="仿宋_GB2312" w:hAnsi="仿宋_GB2312" w:eastAsia="仿宋_GB2312" w:cs="仿宋_GB2312"/>
          <w:b w:val="0"/>
          <w:bCs w:val="0"/>
          <w:color w:val="auto"/>
          <w:sz w:val="32"/>
          <w:szCs w:val="32"/>
          <w:lang w:val="en-US" w:eastAsia="zh-CN"/>
        </w:rPr>
        <w:t>=100%</w:t>
      </w:r>
    </w:p>
    <w:p w14:paraId="74043B1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满分4分，得分4分。</w:t>
      </w:r>
    </w:p>
    <w:p w14:paraId="3B2A376A">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4" w:name="_Toc9705"/>
      <w:bookmarkStart w:id="125" w:name="_Toc17709"/>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color w:val="auto"/>
          <w:sz w:val="32"/>
          <w:szCs w:val="32"/>
          <w:lang w:val="en-US" w:eastAsia="zh-CN"/>
        </w:rPr>
        <w:t>.预算执行率</w:t>
      </w:r>
      <w:bookmarkEnd w:id="124"/>
      <w:bookmarkEnd w:id="125"/>
    </w:p>
    <w:p w14:paraId="13FA7BFA">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截至2024年12月31日，项目实际支出</w:t>
      </w:r>
      <w:r>
        <w:rPr>
          <w:rFonts w:hint="eastAsia" w:ascii="仿宋_GB2312" w:hAnsi="仿宋_GB2312" w:eastAsia="仿宋_GB2312" w:cs="仿宋_GB2312"/>
          <w:b w:val="0"/>
          <w:bCs w:val="0"/>
          <w:color w:val="auto"/>
          <w:sz w:val="32"/>
          <w:szCs w:val="32"/>
        </w:rPr>
        <w:t>4093.84万元</w:t>
      </w:r>
      <w:r>
        <w:rPr>
          <w:rFonts w:hint="eastAsia" w:ascii="仿宋_GB2312" w:hAnsi="仿宋_GB2312" w:eastAsia="仿宋_GB2312" w:cs="仿宋_GB2312"/>
          <w:color w:val="auto"/>
          <w:sz w:val="32"/>
          <w:szCs w:val="32"/>
          <w:lang w:val="en-US" w:eastAsia="zh-CN"/>
        </w:rPr>
        <w:t>。</w:t>
      </w:r>
    </w:p>
    <w:p w14:paraId="2722B40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color w:val="auto"/>
          <w:sz w:val="32"/>
          <w:szCs w:val="32"/>
          <w:lang w:eastAsia="zh-CN"/>
        </w:rPr>
        <w:t>预算执行率=（</w:t>
      </w:r>
      <w:r>
        <w:rPr>
          <w:rFonts w:hint="eastAsia" w:ascii="仿宋_GB2312" w:hAnsi="仿宋_GB2312" w:eastAsia="仿宋_GB2312" w:cs="仿宋_GB2312"/>
          <w:b w:val="0"/>
          <w:bCs w:val="0"/>
          <w:color w:val="auto"/>
          <w:sz w:val="32"/>
          <w:szCs w:val="32"/>
        </w:rPr>
        <w:t>4093.84万元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rPr>
        <w:t>4093.84万元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lang w:eastAsia="zh-CN"/>
        </w:rPr>
        <w:t>×100%</w:t>
      </w:r>
      <w:r>
        <w:rPr>
          <w:rFonts w:hint="eastAsia" w:ascii="仿宋_GB2312" w:hAnsi="仿宋_GB2312" w:eastAsia="仿宋_GB2312" w:cs="仿宋_GB2312"/>
          <w:b w:val="0"/>
          <w:bCs w:val="0"/>
          <w:color w:val="auto"/>
          <w:sz w:val="32"/>
          <w:szCs w:val="32"/>
          <w:lang w:val="en-US" w:eastAsia="zh-CN"/>
        </w:rPr>
        <w:t>=100%</w:t>
      </w:r>
    </w:p>
    <w:p w14:paraId="1E41A3B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25FCF07D">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26" w:name="_Toc28875"/>
      <w:bookmarkStart w:id="127" w:name="_Toc18691"/>
      <w:r>
        <w:rPr>
          <w:rFonts w:hint="eastAsia" w:ascii="仿宋_GB2312" w:hAnsi="仿宋_GB2312" w:eastAsia="仿宋_GB2312" w:cs="仿宋_GB2312"/>
          <w:b/>
          <w:bCs/>
          <w:sz w:val="32"/>
          <w:szCs w:val="32"/>
          <w:lang w:val="en-US" w:eastAsia="zh-CN"/>
        </w:rPr>
        <w:t>3.资金使用合规性</w:t>
      </w:r>
      <w:bookmarkEnd w:id="126"/>
      <w:bookmarkEnd w:id="127"/>
    </w:p>
    <w:p w14:paraId="6CAA4B0E">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FF0000"/>
          <w:sz w:val="32"/>
          <w:szCs w:val="32"/>
        </w:rPr>
      </w:pPr>
      <w:r>
        <w:rPr>
          <w:rFonts w:hint="eastAsia" w:ascii="仿宋_GB2312" w:hAnsi="仿宋_GB2312" w:eastAsia="仿宋_GB2312" w:cs="仿宋_GB2312"/>
          <w:sz w:val="32"/>
          <w:szCs w:val="32"/>
          <w:lang w:eastAsia="zh-CN"/>
        </w:rPr>
        <w:t>①本项目资金支出符合国家财经法规、《政府会计制度》《</w:t>
      </w:r>
      <w:r>
        <w:rPr>
          <w:rFonts w:hint="eastAsia" w:ascii="仿宋_GB2312" w:hAnsi="仿宋_GB2312" w:eastAsia="仿宋_GB2312" w:cs="仿宋_GB2312"/>
          <w:sz w:val="32"/>
          <w:szCs w:val="32"/>
          <w:lang w:val="en-US" w:eastAsia="zh-CN"/>
        </w:rPr>
        <w:t>水利发展</w:t>
      </w:r>
      <w:r>
        <w:rPr>
          <w:rFonts w:hint="eastAsia" w:ascii="仿宋_GB2312" w:hAnsi="仿宋_GB2312" w:eastAsia="仿宋_GB2312" w:cs="仿宋_GB2312"/>
          <w:sz w:val="32"/>
          <w:szCs w:val="32"/>
          <w:lang w:eastAsia="zh-CN"/>
        </w:rPr>
        <w:t>资金管理办法》</w:t>
      </w:r>
      <w:r>
        <w:rPr>
          <w:rFonts w:hint="eastAsia" w:ascii="仿宋_GB2312" w:hAnsi="仿宋_GB2312" w:eastAsia="仿宋_GB2312" w:cs="仿宋_GB2312"/>
          <w:sz w:val="32"/>
          <w:szCs w:val="32"/>
          <w:lang w:val="en-US" w:eastAsia="zh-CN"/>
        </w:rPr>
        <w:t>《阜康市水利局财务管理制度》</w:t>
      </w:r>
      <w:r>
        <w:rPr>
          <w:rFonts w:hint="eastAsia" w:ascii="仿宋_GB2312" w:hAnsi="仿宋_GB2312" w:eastAsia="仿宋_GB2312" w:cs="仿宋_GB2312"/>
          <w:sz w:val="32"/>
          <w:szCs w:val="32"/>
          <w:lang w:eastAsia="zh-CN"/>
        </w:rPr>
        <w:t>；</w:t>
      </w:r>
    </w:p>
    <w:p w14:paraId="4DC81BD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②资金的拨付有完整的审批程序和手续；</w:t>
      </w:r>
    </w:p>
    <w:p w14:paraId="1A1E92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③符合项目预算批复或合同规定的用途；</w:t>
      </w:r>
    </w:p>
    <w:p w14:paraId="789FC36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存在截留、挤占、挪用、虚列支出等情况。</w:t>
      </w:r>
    </w:p>
    <w:p w14:paraId="42C889F5">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lang w:val="en-US" w:eastAsia="zh-CN"/>
        </w:rPr>
      </w:pPr>
      <w:r>
        <w:rPr>
          <w:rFonts w:hint="default" w:ascii="Times New Roman" w:hAnsi="Times New Roman" w:eastAsia="仿宋_GB2312" w:cs="Times New Roman"/>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w:t>
      </w:r>
      <w:r>
        <w:rPr>
          <w:rFonts w:hint="default" w:ascii="Times New Roman" w:hAnsi="Times New Roman" w:eastAsia="仿宋_GB2312" w:cs="Times New Roman"/>
          <w:color w:val="auto"/>
          <w:sz w:val="32"/>
          <w:szCs w:val="32"/>
          <w:highlight w:val="none"/>
          <w:lang w:eastAsia="zh-CN"/>
        </w:rPr>
        <w:t>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349EF9A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6BCED97F">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kern w:val="2"/>
          <w:sz w:val="32"/>
          <w:szCs w:val="32"/>
          <w:lang w:val="en-US" w:eastAsia="zh-CN" w:bidi="ar-SA"/>
        </w:rPr>
        <w:t>4.</w:t>
      </w:r>
      <w:r>
        <w:rPr>
          <w:rFonts w:hint="eastAsia" w:ascii="仿宋_GB2312" w:hAnsi="仿宋_GB2312" w:eastAsia="仿宋_GB2312" w:cs="仿宋_GB2312"/>
          <w:b/>
          <w:bCs/>
          <w:color w:val="auto"/>
          <w:sz w:val="32"/>
          <w:szCs w:val="32"/>
          <w:lang w:val="en-US" w:eastAsia="zh-CN"/>
        </w:rPr>
        <w:t>管理制度健全性</w:t>
      </w:r>
    </w:p>
    <w:p w14:paraId="2204DE8F">
      <w:pPr>
        <w:pageBreakBefore w:val="0"/>
        <w:kinsoku/>
        <w:wordWrap/>
        <w:overflowPunct/>
        <w:topLinePunct w:val="0"/>
        <w:autoSpaceDE/>
        <w:autoSpaceDN/>
        <w:bidi w:val="0"/>
        <w:spacing w:line="560" w:lineRule="exact"/>
        <w:textAlignment w:val="auto"/>
        <w:rPr>
          <w:rFonts w:hint="eastAsia" w:ascii="Times New Roman" w:hAnsi="Times New Roman" w:eastAsia="仿宋_GB2312" w:cs="Times New Roman"/>
          <w:color w:val="auto"/>
          <w:sz w:val="32"/>
          <w:szCs w:val="32"/>
          <w:highlight w:val="none"/>
          <w:lang w:eastAsia="zh-CN"/>
        </w:rPr>
      </w:pPr>
      <w:r>
        <w:rPr>
          <w:rFonts w:hint="eastAsia" w:ascii="仿宋_GB2312" w:hAnsi="仿宋_GB2312" w:eastAsia="仿宋_GB2312" w:cs="仿宋_GB2312"/>
          <w:color w:val="auto"/>
          <w:sz w:val="32"/>
          <w:szCs w:val="32"/>
          <w:lang w:val="en-US" w:eastAsia="zh-CN"/>
        </w:rPr>
        <w:t>①</w:t>
      </w:r>
      <w:r>
        <w:rPr>
          <w:rFonts w:hint="eastAsia" w:ascii="仿宋_GB2312" w:hAnsi="仿宋_GB2312" w:eastAsia="仿宋_GB2312" w:cs="仿宋_GB2312"/>
          <w:color w:val="auto"/>
          <w:sz w:val="32"/>
          <w:szCs w:val="32"/>
          <w:lang w:eastAsia="zh-CN"/>
        </w:rPr>
        <w:t>我单位</w:t>
      </w:r>
      <w:r>
        <w:rPr>
          <w:rFonts w:hint="eastAsia" w:ascii="Times New Roman" w:hAnsi="Times New Roman" w:eastAsia="仿宋_GB2312" w:cs="Times New Roman"/>
          <w:color w:val="auto"/>
          <w:sz w:val="32"/>
          <w:szCs w:val="32"/>
          <w:highlight w:val="none"/>
          <w:lang w:eastAsia="zh-CN"/>
        </w:rPr>
        <w:t>已制定</w:t>
      </w:r>
      <w:r>
        <w:rPr>
          <w:rFonts w:hint="eastAsia" w:ascii="Times New Roman" w:hAnsi="Times New Roman" w:eastAsia="仿宋_GB2312" w:cs="Times New Roman"/>
          <w:color w:val="auto"/>
          <w:sz w:val="32"/>
          <w:szCs w:val="32"/>
          <w:highlight w:val="none"/>
          <w:lang w:val="en-US" w:eastAsia="zh-CN"/>
        </w:rPr>
        <w:t>阜康市水利局财务管理制度》、《阜康市水利项目管理制度》</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相关</w:t>
      </w:r>
      <w:r>
        <w:rPr>
          <w:rFonts w:hint="eastAsia" w:ascii="Times New Roman" w:hAnsi="Times New Roman" w:eastAsia="仿宋_GB2312" w:cs="Times New Roman"/>
          <w:color w:val="auto"/>
          <w:sz w:val="32"/>
          <w:szCs w:val="32"/>
          <w:highlight w:val="none"/>
          <w:lang w:eastAsia="zh-CN"/>
        </w:rPr>
        <w:t>制度均符合行政事业单位内控管理要求；</w:t>
      </w:r>
    </w:p>
    <w:p w14:paraId="1C12BC7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②已制定的</w:t>
      </w:r>
      <w:r>
        <w:rPr>
          <w:rFonts w:hint="eastAsia" w:ascii="仿宋_GB2312" w:hAnsi="仿宋_GB2312" w:eastAsia="仿宋_GB2312" w:cs="仿宋_GB2312"/>
          <w:color w:val="auto"/>
          <w:sz w:val="32"/>
          <w:szCs w:val="32"/>
          <w:lang w:eastAsia="zh-CN"/>
        </w:rPr>
        <w:t>财务和业务管理制度合法、合规、完整，本项目执行符合上述制度规定。</w:t>
      </w:r>
    </w:p>
    <w:p w14:paraId="257652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7CFC9308">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lang w:val="en-US" w:eastAsia="zh-CN"/>
        </w:rPr>
      </w:pPr>
      <w:bookmarkStart w:id="128" w:name="_Toc31684"/>
      <w:bookmarkStart w:id="129" w:name="_Toc13984"/>
      <w:r>
        <w:rPr>
          <w:rFonts w:hint="eastAsia" w:ascii="仿宋_GB2312" w:hAnsi="仿宋_GB2312" w:eastAsia="仿宋_GB2312" w:cs="仿宋_GB2312"/>
          <w:b/>
          <w:bCs/>
          <w:color w:val="auto"/>
          <w:sz w:val="32"/>
          <w:szCs w:val="32"/>
          <w:lang w:val="en-US" w:eastAsia="zh-CN"/>
        </w:rPr>
        <w:t>5.制度执行有效性</w:t>
      </w:r>
      <w:bookmarkEnd w:id="128"/>
      <w:bookmarkEnd w:id="129"/>
    </w:p>
    <w:p w14:paraId="6DDE65B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w:t>
      </w:r>
      <w:r>
        <w:rPr>
          <w:rFonts w:hint="eastAsia" w:ascii="仿宋_GB2312" w:hAnsi="仿宋_GB2312" w:eastAsia="仿宋_GB2312" w:cs="仿宋_GB2312"/>
          <w:color w:val="auto"/>
          <w:sz w:val="32"/>
          <w:szCs w:val="32"/>
          <w:lang w:val="en-US" w:eastAsia="zh-CN"/>
        </w:rPr>
        <w:t>新疆阜康市四工河水库工程（前期费）</w:t>
      </w:r>
      <w:r>
        <w:rPr>
          <w:rFonts w:hint="eastAsia" w:ascii="仿宋_GB2312" w:hAnsi="仿宋_GB2312" w:eastAsia="仿宋_GB2312" w:cs="仿宋_GB2312"/>
          <w:color w:val="auto"/>
          <w:sz w:val="32"/>
          <w:szCs w:val="32"/>
        </w:rPr>
        <w:t>项目的实施</w:t>
      </w:r>
      <w:r>
        <w:rPr>
          <w:rFonts w:hint="eastAsia" w:ascii="仿宋_GB2312" w:hAnsi="仿宋_GB2312" w:eastAsia="仿宋_GB2312" w:cs="仿宋_GB2312"/>
          <w:color w:val="auto"/>
          <w:sz w:val="32"/>
          <w:szCs w:val="32"/>
          <w:lang w:eastAsia="zh-CN"/>
        </w:rPr>
        <w:t>遵守相关法律法规</w:t>
      </w:r>
      <w:r>
        <w:rPr>
          <w:rFonts w:hint="eastAsia" w:ascii="仿宋_GB2312" w:hAnsi="仿宋_GB2312" w:eastAsia="仿宋_GB2312" w:cs="仿宋_GB2312"/>
          <w:color w:val="auto"/>
          <w:sz w:val="32"/>
          <w:szCs w:val="32"/>
          <w:lang w:val="en-US" w:eastAsia="zh-CN"/>
        </w:rPr>
        <w:t>及</w:t>
      </w:r>
      <w:r>
        <w:rPr>
          <w:rFonts w:hint="eastAsia" w:ascii="仿宋_GB2312" w:hAnsi="仿宋_GB2312" w:eastAsia="仿宋_GB2312" w:cs="仿宋_GB2312"/>
          <w:color w:val="auto"/>
          <w:sz w:val="32"/>
          <w:szCs w:val="32"/>
          <w:lang w:eastAsia="zh-CN"/>
        </w:rPr>
        <w:t>相关管理规定，</w:t>
      </w:r>
      <w:r>
        <w:rPr>
          <w:rFonts w:hint="eastAsia" w:ascii="仿宋_GB2312" w:hAnsi="仿宋_GB2312" w:eastAsia="仿宋_GB2312" w:cs="仿宋_GB2312"/>
          <w:color w:val="auto"/>
          <w:sz w:val="32"/>
          <w:szCs w:val="32"/>
        </w:rPr>
        <w:t>符合</w:t>
      </w:r>
      <w:r>
        <w:rPr>
          <w:rFonts w:hint="eastAsia" w:ascii="Times New Roman" w:hAnsi="Times New Roman" w:eastAsia="仿宋_GB2312" w:cs="Times New Roman"/>
          <w:color w:val="auto"/>
          <w:sz w:val="32"/>
          <w:szCs w:val="32"/>
          <w:highlight w:val="none"/>
          <w:lang w:val="en-US" w:eastAsia="zh-CN"/>
        </w:rPr>
        <w:t>《阜康市水利项目管理制度》</w:t>
      </w:r>
      <w:r>
        <w:rPr>
          <w:rFonts w:hint="eastAsia" w:ascii="仿宋_GB2312" w:hAnsi="仿宋_GB2312" w:eastAsia="仿宋_GB2312" w:cs="仿宋_GB2312"/>
          <w:color w:val="auto"/>
          <w:sz w:val="32"/>
          <w:szCs w:val="32"/>
        </w:rPr>
        <w:t>管理规定</w:t>
      </w:r>
      <w:r>
        <w:rPr>
          <w:rFonts w:hint="eastAsia" w:ascii="仿宋_GB2312" w:hAnsi="仿宋_GB2312" w:eastAsia="仿宋_GB2312" w:cs="仿宋_GB2312"/>
          <w:color w:val="auto"/>
          <w:sz w:val="32"/>
          <w:szCs w:val="32"/>
          <w:lang w:eastAsia="zh-CN"/>
        </w:rPr>
        <w:t>；</w:t>
      </w:r>
    </w:p>
    <w:p w14:paraId="51D45F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②</w:t>
      </w:r>
      <w:r>
        <w:rPr>
          <w:rFonts w:hint="eastAsia" w:ascii="仿宋_GB2312" w:hAnsi="仿宋_GB2312" w:eastAsia="仿宋_GB2312" w:cs="仿宋_GB2312"/>
          <w:color w:val="auto"/>
          <w:sz w:val="32"/>
          <w:szCs w:val="32"/>
        </w:rPr>
        <w:t>该项目实施过程中不存在调整事项</w:t>
      </w:r>
      <w:r>
        <w:rPr>
          <w:rFonts w:hint="eastAsia" w:ascii="仿宋_GB2312" w:hAnsi="仿宋_GB2312" w:eastAsia="仿宋_GB2312" w:cs="仿宋_GB2312"/>
          <w:color w:val="auto"/>
          <w:sz w:val="32"/>
          <w:szCs w:val="32"/>
          <w:lang w:eastAsia="zh-CN"/>
        </w:rPr>
        <w:t>；</w:t>
      </w:r>
    </w:p>
    <w:p w14:paraId="7AEC6074">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③</w:t>
      </w:r>
      <w:r>
        <w:rPr>
          <w:rFonts w:hint="eastAsia" w:ascii="仿宋_GB2312" w:hAnsi="仿宋_GB2312" w:eastAsia="仿宋_GB2312" w:cs="仿宋_GB2312"/>
          <w:color w:val="auto"/>
          <w:sz w:val="32"/>
          <w:szCs w:val="32"/>
        </w:rPr>
        <w:t>项目合同书、验收评审表、财务支付凭证等资料齐全并及时归档。</w:t>
      </w:r>
    </w:p>
    <w:p w14:paraId="72C42F6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color w:val="auto"/>
          <w:sz w:val="32"/>
          <w:szCs w:val="32"/>
          <w:lang w:eastAsia="zh-CN"/>
        </w:rPr>
        <w:t>项目实施所需要的项目人员和场地设备均已落实到位，具体涉及内容包括：项目资金支出严格按照自治区、地区以及本单位资金管理办法执行，项目启动实施后，为了加快本项目的实施，</w:t>
      </w:r>
      <w:r>
        <w:rPr>
          <w:rFonts w:hint="eastAsia" w:ascii="仿宋_GB2312" w:hAnsi="仿宋_GB2312" w:eastAsia="仿宋_GB2312" w:cs="仿宋_GB2312"/>
          <w:color w:val="auto"/>
          <w:sz w:val="32"/>
          <w:szCs w:val="32"/>
          <w:lang w:val="en-US" w:eastAsia="zh-CN"/>
        </w:rPr>
        <w:t>成立</w:t>
      </w:r>
      <w:r>
        <w:rPr>
          <w:rFonts w:hint="default" w:ascii="仿宋_GB2312" w:hAnsi="仿宋_GB2312" w:eastAsia="仿宋_GB2312" w:cs="仿宋_GB2312"/>
          <w:color w:val="auto"/>
          <w:sz w:val="32"/>
          <w:szCs w:val="32"/>
          <w:highlight w:val="none"/>
          <w:shd w:val="clear" w:color="auto" w:fill="auto"/>
          <w:lang w:val="en-US" w:eastAsia="zh-CN"/>
        </w:rPr>
        <w:t>阜康市四工河水库项目建设领导小组</w:t>
      </w:r>
      <w:r>
        <w:rPr>
          <w:rFonts w:hint="eastAsia" w:ascii="仿宋_GB2312" w:hAnsi="仿宋_GB2312" w:eastAsia="仿宋_GB2312" w:cs="仿宋_GB2312"/>
          <w:color w:val="auto"/>
          <w:sz w:val="32"/>
          <w:szCs w:val="32"/>
          <w:highlight w:val="none"/>
          <w:shd w:val="clear" w:color="auto" w:fill="auto"/>
          <w:lang w:val="en-US" w:eastAsia="zh-CN"/>
        </w:rPr>
        <w:t>，明确了责任分工：组长为王廷，副组长为牛义，领导小组下设办公室，办公室设在阜康市水利局，办公室主任由牛义同志兼任，主持日常工作，办公室副主任由李虎同志兼任。</w:t>
      </w:r>
      <w:r>
        <w:rPr>
          <w:rFonts w:hint="eastAsia" w:ascii="仿宋_GB2312" w:hAnsi="仿宋_GB2312" w:eastAsia="仿宋_GB2312" w:cs="仿宋_GB2312"/>
          <w:b/>
          <w:bCs/>
          <w:sz w:val="32"/>
          <w:szCs w:val="32"/>
          <w:lang w:val="en-US" w:eastAsia="zh-CN"/>
        </w:rPr>
        <w:t>综上，该项指</w:t>
      </w:r>
      <w:r>
        <w:rPr>
          <w:rFonts w:hint="eastAsia" w:ascii="仿宋_GB2312" w:hAnsi="仿宋_GB2312" w:eastAsia="仿宋_GB2312" w:cs="仿宋_GB2312"/>
          <w:b/>
          <w:bCs/>
          <w:color w:val="auto"/>
          <w:sz w:val="32"/>
          <w:szCs w:val="32"/>
          <w:lang w:val="en-US" w:eastAsia="zh-CN"/>
        </w:rPr>
        <w:t>标满分4分，得分4分。</w:t>
      </w:r>
    </w:p>
    <w:p w14:paraId="067F4D9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30" w:name="_Toc2441"/>
      <w:r>
        <w:rPr>
          <w:rFonts w:hint="eastAsia" w:ascii="Times New Roman" w:hAnsi="Times New Roman" w:eastAsia="楷体_GB2312" w:cs="Times New Roman"/>
          <w:kern w:val="28"/>
          <w:sz w:val="32"/>
          <w:lang w:val="en-US" w:eastAsia="zh-CN"/>
        </w:rPr>
        <w:t>（三）项目产出情况</w:t>
      </w:r>
      <w:bookmarkEnd w:id="130"/>
    </w:p>
    <w:p w14:paraId="3D9EC5D9">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sz w:val="32"/>
          <w:szCs w:val="32"/>
          <w:lang w:val="en-US" w:eastAsia="zh-CN"/>
        </w:rPr>
        <w:t>包括产出数量、产出质量、产出时效、产出成本四方</w:t>
      </w:r>
      <w:r>
        <w:rPr>
          <w:rFonts w:hint="default" w:ascii="Times New Roman" w:hAnsi="Times New Roman" w:eastAsia="仿宋_GB2312" w:cs="Times New Roman"/>
          <w:color w:val="auto"/>
          <w:sz w:val="32"/>
          <w:szCs w:val="32"/>
          <w:lang w:val="en-US" w:eastAsia="zh-CN"/>
        </w:rPr>
        <w:t>面的内容，</w:t>
      </w:r>
      <w:r>
        <w:rPr>
          <w:rFonts w:hint="eastAsia" w:ascii="Times New Roman" w:hAnsi="Times New Roman" w:eastAsia="仿宋_GB2312" w:cs="Times New Roman"/>
          <w:color w:val="auto"/>
          <w:sz w:val="32"/>
          <w:szCs w:val="32"/>
          <w:lang w:val="en-US" w:eastAsia="zh-CN"/>
        </w:rPr>
        <w:t>共4个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11</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D4B9D0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54AF9109">
        <w:tblPrEx>
          <w:shd w:val="clear" w:color="auto" w:fill="auto"/>
          <w:tblCellMar>
            <w:top w:w="0" w:type="dxa"/>
            <w:left w:w="0" w:type="dxa"/>
            <w:bottom w:w="0" w:type="dxa"/>
            <w:right w:w="0" w:type="dxa"/>
          </w:tblCellMar>
        </w:tblPrEx>
        <w:trPr>
          <w:trHeight w:val="750" w:hRule="atLeast"/>
        </w:trPr>
        <w:tc>
          <w:tcPr>
            <w:tcW w:w="6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92AFC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0BDA8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F9F3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00BBE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D0CFD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EBD4A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0A3A0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14:paraId="5CEE037B">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14:paraId="1CB68A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14:paraId="2A8B9D7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94A8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完成初设报告数量</w:t>
            </w:r>
          </w:p>
        </w:tc>
        <w:tc>
          <w:tcPr>
            <w:tcW w:w="1437"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72AE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=1个</w:t>
            </w:r>
          </w:p>
        </w:tc>
        <w:tc>
          <w:tcPr>
            <w:tcW w:w="55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A4D3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2.5</w:t>
            </w:r>
          </w:p>
        </w:tc>
        <w:tc>
          <w:tcPr>
            <w:tcW w:w="136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D9F6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1个</w:t>
            </w:r>
          </w:p>
        </w:tc>
        <w:tc>
          <w:tcPr>
            <w:tcW w:w="63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E9DAC">
            <w:pPr>
              <w:keepNext w:val="0"/>
              <w:keepLines w:val="0"/>
              <w:pageBreakBefore w:val="0"/>
              <w:widowControl/>
              <w:kinsoku/>
              <w:wordWrap/>
              <w:overflowPunct/>
              <w:topLinePunct w:val="0"/>
              <w:autoSpaceDE/>
              <w:autoSpaceDN/>
              <w:bidi w:val="0"/>
              <w:adjustRightInd/>
              <w:snapToGrid w:val="0"/>
              <w:spacing w:line="300" w:lineRule="exact"/>
              <w:ind w:left="0" w:leftChars="0"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2.5</w:t>
            </w:r>
          </w:p>
        </w:tc>
      </w:tr>
      <w:tr w14:paraId="6B638F99">
        <w:tblPrEx>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E2A62E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165186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80761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补偿林地面积</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6B0F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Arial" w:hAnsi="Arial" w:eastAsia="宋体" w:cs="Arial"/>
                <w:color w:val="auto"/>
                <w:kern w:val="0"/>
                <w:sz w:val="20"/>
                <w:szCs w:val="20"/>
                <w:highlight w:val="none"/>
                <w:shd w:val="clear" w:color="auto" w:fill="auto"/>
                <w:lang w:val="en-US" w:eastAsia="zh-CN"/>
              </w:rPr>
              <w:t>≥</w:t>
            </w:r>
            <w:r>
              <w:rPr>
                <w:rFonts w:hint="eastAsia" w:cs="宋体"/>
                <w:color w:val="auto"/>
                <w:kern w:val="0"/>
                <w:sz w:val="20"/>
                <w:szCs w:val="20"/>
                <w:highlight w:val="none"/>
                <w:shd w:val="clear" w:color="auto" w:fill="auto"/>
                <w:lang w:val="en-US" w:eastAsia="zh-CN"/>
              </w:rPr>
              <w:t>59公顷</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AE858">
            <w:pPr>
              <w:keepNext w:val="0"/>
              <w:keepLines w:val="0"/>
              <w:pageBreakBefore w:val="0"/>
              <w:widowControl/>
              <w:kinsoku/>
              <w:wordWrap/>
              <w:overflowPunct/>
              <w:topLinePunct w:val="0"/>
              <w:autoSpaceDE/>
              <w:autoSpaceDN/>
              <w:bidi w:val="0"/>
              <w:adjustRightInd/>
              <w:snapToGrid w:val="0"/>
              <w:spacing w:line="300" w:lineRule="exact"/>
              <w:ind w:left="0" w:leftChars="0"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6CC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59公顷</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88312">
            <w:pPr>
              <w:keepNext w:val="0"/>
              <w:keepLines w:val="0"/>
              <w:pageBreakBefore w:val="0"/>
              <w:widowControl/>
              <w:kinsoku/>
              <w:wordWrap/>
              <w:overflowPunct/>
              <w:topLinePunct w:val="0"/>
              <w:autoSpaceDE/>
              <w:autoSpaceDN/>
              <w:bidi w:val="0"/>
              <w:adjustRightInd/>
              <w:snapToGrid w:val="0"/>
              <w:spacing w:line="300" w:lineRule="exact"/>
              <w:ind w:left="0" w:leftChars="0"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2.5</w:t>
            </w:r>
          </w:p>
        </w:tc>
      </w:tr>
      <w:tr w14:paraId="1063ED8F">
        <w:tblPrEx>
          <w:tblCellMar>
            <w:top w:w="0" w:type="dxa"/>
            <w:left w:w="0" w:type="dxa"/>
            <w:bottom w:w="0" w:type="dxa"/>
            <w:right w:w="0" w:type="dxa"/>
          </w:tblCellMar>
        </w:tblPrEx>
        <w:trPr>
          <w:trHeight w:val="392"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897489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AB11B4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02F9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补偿草地面积</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0DF2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default" w:ascii="Arial" w:hAnsi="Arial" w:eastAsia="宋体" w:cs="Arial"/>
                <w:color w:val="auto"/>
                <w:kern w:val="0"/>
                <w:sz w:val="20"/>
                <w:szCs w:val="20"/>
                <w:highlight w:val="none"/>
                <w:shd w:val="clear" w:color="auto" w:fill="auto"/>
                <w:lang w:val="en-US" w:eastAsia="zh-CN"/>
              </w:rPr>
              <w:t>≥</w:t>
            </w:r>
            <w:r>
              <w:rPr>
                <w:rFonts w:hint="eastAsia" w:cs="宋体"/>
                <w:color w:val="auto"/>
                <w:kern w:val="0"/>
                <w:sz w:val="20"/>
                <w:szCs w:val="20"/>
                <w:highlight w:val="none"/>
                <w:shd w:val="clear" w:color="auto" w:fill="auto"/>
                <w:lang w:val="en-US" w:eastAsia="zh-CN"/>
              </w:rPr>
              <w:t>50公顷</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46C52">
            <w:pPr>
              <w:keepNext w:val="0"/>
              <w:keepLines w:val="0"/>
              <w:pageBreakBefore w:val="0"/>
              <w:widowControl/>
              <w:kinsoku/>
              <w:wordWrap/>
              <w:overflowPunct/>
              <w:topLinePunct w:val="0"/>
              <w:autoSpaceDE/>
              <w:autoSpaceDN/>
              <w:bidi w:val="0"/>
              <w:adjustRightInd/>
              <w:snapToGrid w:val="0"/>
              <w:spacing w:line="300" w:lineRule="exact"/>
              <w:ind w:left="0" w:leftChars="0"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644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50公顷</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18E01">
            <w:pPr>
              <w:keepNext w:val="0"/>
              <w:keepLines w:val="0"/>
              <w:pageBreakBefore w:val="0"/>
              <w:widowControl/>
              <w:kinsoku/>
              <w:wordWrap/>
              <w:overflowPunct/>
              <w:topLinePunct w:val="0"/>
              <w:autoSpaceDE/>
              <w:autoSpaceDN/>
              <w:bidi w:val="0"/>
              <w:adjustRightInd/>
              <w:snapToGrid w:val="0"/>
              <w:spacing w:line="300" w:lineRule="exact"/>
              <w:ind w:left="0" w:leftChars="0"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2.5</w:t>
            </w:r>
          </w:p>
        </w:tc>
      </w:tr>
      <w:tr w14:paraId="09FE2494">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617AB9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85CC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28D7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地面实物补偿户数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A873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Arial" w:hAnsi="Arial" w:eastAsia="宋体" w:cs="Arial"/>
                <w:color w:val="auto"/>
                <w:kern w:val="0"/>
                <w:sz w:val="20"/>
                <w:szCs w:val="20"/>
                <w:highlight w:val="none"/>
                <w:shd w:val="clear" w:color="auto" w:fill="auto"/>
                <w:lang w:val="en-US" w:eastAsia="zh-CN"/>
              </w:rPr>
              <w:t>≥</w:t>
            </w:r>
            <w:r>
              <w:rPr>
                <w:rFonts w:hint="eastAsia" w:cs="宋体"/>
                <w:color w:val="auto"/>
                <w:kern w:val="0"/>
                <w:sz w:val="20"/>
                <w:szCs w:val="20"/>
                <w:highlight w:val="none"/>
                <w:shd w:val="clear" w:color="auto" w:fill="auto"/>
                <w:lang w:val="en-US" w:eastAsia="zh-CN"/>
              </w:rPr>
              <w:t>39户</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229C1">
            <w:pPr>
              <w:keepNext w:val="0"/>
              <w:keepLines w:val="0"/>
              <w:pageBreakBefore w:val="0"/>
              <w:widowControl/>
              <w:kinsoku/>
              <w:wordWrap/>
              <w:overflowPunct/>
              <w:topLinePunct w:val="0"/>
              <w:autoSpaceDE/>
              <w:autoSpaceDN/>
              <w:bidi w:val="0"/>
              <w:adjustRightInd/>
              <w:snapToGrid w:val="0"/>
              <w:spacing w:line="300" w:lineRule="exact"/>
              <w:ind w:left="0" w:leftChars="0"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6A3E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39户</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F6BE7">
            <w:pPr>
              <w:keepNext w:val="0"/>
              <w:keepLines w:val="0"/>
              <w:pageBreakBefore w:val="0"/>
              <w:widowControl/>
              <w:kinsoku/>
              <w:wordWrap/>
              <w:overflowPunct/>
              <w:topLinePunct w:val="0"/>
              <w:autoSpaceDE/>
              <w:autoSpaceDN/>
              <w:bidi w:val="0"/>
              <w:adjustRightInd/>
              <w:snapToGrid w:val="0"/>
              <w:spacing w:line="300" w:lineRule="exact"/>
              <w:ind w:left="0" w:leftChars="0"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2.5</w:t>
            </w:r>
          </w:p>
        </w:tc>
      </w:tr>
      <w:tr w14:paraId="74B40151">
        <w:tblPrEx>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C5489E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DEE4E6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80DC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初设审查通过率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96AE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7B26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439A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FD15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A18E6BA">
        <w:tblPrEx>
          <w:shd w:val="clear" w:color="auto" w:fill="auto"/>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B6CE54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643C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6BFA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补偿资金使用合规率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CCD34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9C3E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88AD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0B06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7AA6B626">
        <w:tblPrEx>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E365B8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3AA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19F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项目完成时间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E668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2024年12月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D1DD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5B4F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2024年12月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9E14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0F52DEB1">
        <w:tblPrEx>
          <w:shd w:val="clear" w:color="auto" w:fill="auto"/>
          <w:tblCellMar>
            <w:top w:w="0" w:type="dxa"/>
            <w:left w:w="0" w:type="dxa"/>
            <w:bottom w:w="0" w:type="dxa"/>
            <w:right w:w="0" w:type="dxa"/>
          </w:tblCellMar>
        </w:tblPrEx>
        <w:trPr>
          <w:trHeight w:val="399"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643E4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EF24E5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069AC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设计费</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E356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Arial" w:hAnsi="Arial" w:eastAsia="宋体" w:cs="Arial"/>
                <w:color w:val="auto"/>
                <w:kern w:val="0"/>
                <w:sz w:val="20"/>
                <w:szCs w:val="20"/>
                <w:highlight w:val="none"/>
                <w:shd w:val="clear" w:color="auto" w:fill="auto"/>
                <w:lang w:val="en-US" w:eastAsia="zh-CN"/>
              </w:rPr>
              <w:t>≤</w:t>
            </w:r>
            <w:r>
              <w:rPr>
                <w:rFonts w:hint="eastAsia" w:cs="宋体"/>
                <w:color w:val="auto"/>
                <w:kern w:val="0"/>
                <w:sz w:val="20"/>
                <w:szCs w:val="20"/>
                <w:highlight w:val="none"/>
                <w:shd w:val="clear" w:color="auto" w:fill="auto"/>
                <w:lang w:val="en-US" w:eastAsia="zh-CN"/>
              </w:rPr>
              <w:t>1302万元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801D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3B8F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color w:val="auto"/>
              </w:rPr>
            </w:pPr>
            <w:r>
              <w:rPr>
                <w:rFonts w:hint="eastAsia" w:cs="宋体"/>
                <w:color w:val="auto"/>
                <w:kern w:val="0"/>
                <w:sz w:val="20"/>
                <w:szCs w:val="20"/>
                <w:highlight w:val="none"/>
                <w:shd w:val="clear" w:color="auto" w:fill="auto"/>
                <w:lang w:val="en-US" w:eastAsia="zh-CN"/>
              </w:rPr>
              <w:t>1302万元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FDFB9B">
            <w:pPr>
              <w:keepNext w:val="0"/>
              <w:keepLines w:val="0"/>
              <w:pageBreakBefore w:val="0"/>
              <w:widowControl/>
              <w:kinsoku/>
              <w:wordWrap/>
              <w:overflowPunct/>
              <w:topLinePunct w:val="0"/>
              <w:autoSpaceDE/>
              <w:autoSpaceDN/>
              <w:bidi w:val="0"/>
              <w:adjustRightInd/>
              <w:snapToGrid w:val="0"/>
              <w:spacing w:line="300" w:lineRule="exact"/>
              <w:ind w:left="0" w:leftChars="0"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2.5</w:t>
            </w:r>
          </w:p>
        </w:tc>
      </w:tr>
      <w:tr w14:paraId="61775EA3">
        <w:tblPrEx>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1BD619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865000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yellow"/>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CA30F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林地补偿费</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6755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Theme="minorEastAsia" w:hAnsiTheme="minorEastAsia" w:eastAsiaTheme="minorEastAsia" w:cstheme="minorEastAsia"/>
                <w:color w:val="auto"/>
                <w:kern w:val="0"/>
                <w:sz w:val="20"/>
                <w:szCs w:val="20"/>
                <w:highlight w:val="none"/>
                <w:shd w:val="clear" w:color="auto" w:fill="auto"/>
                <w:lang w:val="en-US" w:eastAsia="zh-CN"/>
              </w:rPr>
            </w:pPr>
            <w:r>
              <w:rPr>
                <w:rFonts w:hint="eastAsia" w:asciiTheme="minorEastAsia" w:hAnsiTheme="minorEastAsia" w:eastAsiaTheme="minorEastAsia" w:cstheme="minorEastAsia"/>
                <w:color w:val="auto"/>
                <w:kern w:val="0"/>
                <w:sz w:val="20"/>
                <w:szCs w:val="20"/>
                <w:highlight w:val="none"/>
                <w:shd w:val="clear" w:color="auto" w:fill="auto"/>
                <w:lang w:val="en-US" w:eastAsia="zh-CN"/>
              </w:rPr>
              <w:t>≤2074.43万元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11B7F">
            <w:pPr>
              <w:keepNext w:val="0"/>
              <w:keepLines w:val="0"/>
              <w:pageBreakBefore w:val="0"/>
              <w:widowControl/>
              <w:kinsoku/>
              <w:wordWrap/>
              <w:overflowPunct/>
              <w:topLinePunct w:val="0"/>
              <w:autoSpaceDE/>
              <w:autoSpaceDN/>
              <w:bidi w:val="0"/>
              <w:adjustRightInd/>
              <w:snapToGrid w:val="0"/>
              <w:spacing w:line="300" w:lineRule="exact"/>
              <w:ind w:left="0" w:leftChars="0" w:firstLine="0" w:firstLineChars="0"/>
              <w:jc w:val="center"/>
              <w:textAlignment w:val="auto"/>
              <w:rPr>
                <w:rFonts w:hint="eastAsia" w:asciiTheme="minorEastAsia" w:hAnsiTheme="minorEastAsia" w:eastAsiaTheme="minorEastAsia" w:cstheme="minorEastAsia"/>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20F081">
            <w:pPr>
              <w:keepNext w:val="0"/>
              <w:keepLines w:val="0"/>
              <w:pageBreakBefore w:val="0"/>
              <w:kinsoku/>
              <w:wordWrap/>
              <w:overflowPunct/>
              <w:topLinePunct w:val="0"/>
              <w:autoSpaceDE/>
              <w:autoSpaceDN/>
              <w:bidi w:val="0"/>
              <w:adjustRightInd/>
              <w:spacing w:line="300" w:lineRule="exact"/>
              <w:ind w:left="0" w:leftChars="0" w:firstLine="0" w:firstLineChars="0"/>
              <w:jc w:val="center"/>
              <w:textAlignment w:val="auto"/>
              <w:rPr>
                <w:color w:val="auto"/>
              </w:rPr>
            </w:pPr>
            <w:r>
              <w:rPr>
                <w:rFonts w:hint="eastAsia" w:asciiTheme="minorEastAsia" w:hAnsiTheme="minorEastAsia" w:eastAsiaTheme="minorEastAsia" w:cstheme="minorEastAsia"/>
                <w:color w:val="auto"/>
                <w:kern w:val="0"/>
                <w:sz w:val="20"/>
                <w:szCs w:val="20"/>
                <w:highlight w:val="none"/>
                <w:shd w:val="clear" w:color="auto" w:fill="auto"/>
                <w:lang w:val="en-US" w:eastAsia="zh-CN"/>
              </w:rPr>
              <w:t>2074.43万元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8E71A">
            <w:pPr>
              <w:keepNext w:val="0"/>
              <w:keepLines w:val="0"/>
              <w:pageBreakBefore w:val="0"/>
              <w:widowControl/>
              <w:kinsoku/>
              <w:wordWrap/>
              <w:overflowPunct/>
              <w:topLinePunct w:val="0"/>
              <w:autoSpaceDE/>
              <w:autoSpaceDN/>
              <w:bidi w:val="0"/>
              <w:adjustRightInd/>
              <w:snapToGrid w:val="0"/>
              <w:spacing w:line="300" w:lineRule="exact"/>
              <w:ind w:left="0" w:leftChars="0"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2.5</w:t>
            </w:r>
          </w:p>
        </w:tc>
      </w:tr>
      <w:tr w14:paraId="69711348">
        <w:tblPrEx>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E41D5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2AA630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yellow"/>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7B97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草地补偿费</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A4BC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Theme="minorEastAsia" w:hAnsiTheme="minorEastAsia" w:eastAsiaTheme="minorEastAsia" w:cstheme="minorEastAsia"/>
                <w:color w:val="auto"/>
                <w:kern w:val="0"/>
                <w:sz w:val="20"/>
                <w:szCs w:val="20"/>
                <w:highlight w:val="none"/>
                <w:shd w:val="clear" w:color="auto" w:fill="auto"/>
                <w:lang w:val="en-US" w:eastAsia="zh-CN"/>
              </w:rPr>
            </w:pPr>
            <w:r>
              <w:rPr>
                <w:rFonts w:hint="eastAsia" w:asciiTheme="minorEastAsia" w:hAnsiTheme="minorEastAsia" w:eastAsiaTheme="minorEastAsia" w:cstheme="minorEastAsia"/>
                <w:color w:val="auto"/>
                <w:kern w:val="0"/>
                <w:sz w:val="20"/>
                <w:szCs w:val="20"/>
                <w:highlight w:val="none"/>
                <w:shd w:val="clear" w:color="auto" w:fill="auto"/>
                <w:lang w:val="en-US" w:eastAsia="zh-CN"/>
              </w:rPr>
              <w:t>≤298.02万元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FD0A3">
            <w:pPr>
              <w:keepNext w:val="0"/>
              <w:keepLines w:val="0"/>
              <w:pageBreakBefore w:val="0"/>
              <w:widowControl/>
              <w:kinsoku/>
              <w:wordWrap/>
              <w:overflowPunct/>
              <w:topLinePunct w:val="0"/>
              <w:autoSpaceDE/>
              <w:autoSpaceDN/>
              <w:bidi w:val="0"/>
              <w:adjustRightInd/>
              <w:snapToGrid w:val="0"/>
              <w:spacing w:line="300" w:lineRule="exact"/>
              <w:ind w:left="0" w:leftChars="0" w:firstLine="0" w:firstLineChars="0"/>
              <w:jc w:val="center"/>
              <w:textAlignment w:val="auto"/>
              <w:rPr>
                <w:rFonts w:hint="eastAsia" w:asciiTheme="minorEastAsia" w:hAnsiTheme="minorEastAsia" w:eastAsiaTheme="minorEastAsia" w:cstheme="minorEastAsia"/>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4DB265">
            <w:pPr>
              <w:keepNext w:val="0"/>
              <w:keepLines w:val="0"/>
              <w:pageBreakBefore w:val="0"/>
              <w:kinsoku/>
              <w:wordWrap/>
              <w:overflowPunct/>
              <w:topLinePunct w:val="0"/>
              <w:autoSpaceDE/>
              <w:autoSpaceDN/>
              <w:bidi w:val="0"/>
              <w:adjustRightInd/>
              <w:spacing w:line="300" w:lineRule="exact"/>
              <w:ind w:left="0" w:leftChars="0" w:firstLine="0" w:firstLineChars="0"/>
              <w:jc w:val="center"/>
              <w:textAlignment w:val="auto"/>
              <w:rPr>
                <w:color w:val="auto"/>
              </w:rPr>
            </w:pPr>
            <w:r>
              <w:rPr>
                <w:rFonts w:hint="eastAsia" w:asciiTheme="minorEastAsia" w:hAnsiTheme="minorEastAsia" w:eastAsiaTheme="minorEastAsia" w:cstheme="minorEastAsia"/>
                <w:color w:val="auto"/>
                <w:kern w:val="0"/>
                <w:sz w:val="20"/>
                <w:szCs w:val="20"/>
                <w:highlight w:val="none"/>
                <w:shd w:val="clear" w:color="auto" w:fill="auto"/>
                <w:lang w:val="en-US" w:eastAsia="zh-CN"/>
              </w:rPr>
              <w:t>298.02万元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A88AC">
            <w:pPr>
              <w:keepNext w:val="0"/>
              <w:keepLines w:val="0"/>
              <w:pageBreakBefore w:val="0"/>
              <w:widowControl/>
              <w:kinsoku/>
              <w:wordWrap/>
              <w:overflowPunct/>
              <w:topLinePunct w:val="0"/>
              <w:autoSpaceDE/>
              <w:autoSpaceDN/>
              <w:bidi w:val="0"/>
              <w:adjustRightInd/>
              <w:snapToGrid w:val="0"/>
              <w:spacing w:line="300" w:lineRule="exact"/>
              <w:ind w:left="0" w:leftChars="0"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2.5</w:t>
            </w:r>
          </w:p>
        </w:tc>
      </w:tr>
      <w:tr w14:paraId="0CE05A9D">
        <w:tblPrEx>
          <w:tblCellMar>
            <w:top w:w="0" w:type="dxa"/>
            <w:left w:w="0" w:type="dxa"/>
            <w:bottom w:w="0" w:type="dxa"/>
            <w:right w:w="0" w:type="dxa"/>
          </w:tblCellMar>
        </w:tblPrEx>
        <w:trPr>
          <w:trHeight w:val="428"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61A4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9F44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yellow"/>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E9DB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其他补偿费</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8E97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Theme="minorEastAsia" w:hAnsiTheme="minorEastAsia" w:eastAsiaTheme="minorEastAsia" w:cstheme="minorEastAsia"/>
                <w:color w:val="auto"/>
                <w:kern w:val="0"/>
                <w:sz w:val="20"/>
                <w:szCs w:val="20"/>
                <w:highlight w:val="none"/>
                <w:shd w:val="clear" w:color="auto" w:fill="auto"/>
                <w:lang w:val="en-US" w:eastAsia="zh-CN"/>
              </w:rPr>
            </w:pPr>
            <w:r>
              <w:rPr>
                <w:rFonts w:hint="eastAsia" w:asciiTheme="minorEastAsia" w:hAnsiTheme="minorEastAsia" w:eastAsiaTheme="minorEastAsia" w:cstheme="minorEastAsia"/>
                <w:color w:val="auto"/>
                <w:kern w:val="0"/>
                <w:sz w:val="20"/>
                <w:szCs w:val="20"/>
                <w:highlight w:val="none"/>
                <w:shd w:val="clear" w:color="auto" w:fill="auto"/>
                <w:lang w:val="en-US" w:eastAsia="zh-CN"/>
              </w:rPr>
              <w:t>≤419.39万元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262ACF">
            <w:pPr>
              <w:keepNext w:val="0"/>
              <w:keepLines w:val="0"/>
              <w:pageBreakBefore w:val="0"/>
              <w:widowControl/>
              <w:kinsoku/>
              <w:wordWrap/>
              <w:overflowPunct/>
              <w:topLinePunct w:val="0"/>
              <w:autoSpaceDE/>
              <w:autoSpaceDN/>
              <w:bidi w:val="0"/>
              <w:adjustRightInd/>
              <w:snapToGrid w:val="0"/>
              <w:spacing w:line="300" w:lineRule="exact"/>
              <w:ind w:left="0" w:leftChars="0" w:firstLine="0" w:firstLineChars="0"/>
              <w:jc w:val="center"/>
              <w:textAlignment w:val="auto"/>
              <w:rPr>
                <w:rFonts w:hint="eastAsia" w:asciiTheme="minorEastAsia" w:hAnsiTheme="minorEastAsia" w:eastAsiaTheme="minorEastAsia" w:cstheme="minorEastAsia"/>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880D1">
            <w:pPr>
              <w:keepNext w:val="0"/>
              <w:keepLines w:val="0"/>
              <w:pageBreakBefore w:val="0"/>
              <w:kinsoku/>
              <w:wordWrap/>
              <w:overflowPunct/>
              <w:topLinePunct w:val="0"/>
              <w:autoSpaceDE/>
              <w:autoSpaceDN/>
              <w:bidi w:val="0"/>
              <w:adjustRightInd/>
              <w:spacing w:line="300" w:lineRule="exact"/>
              <w:ind w:left="0" w:leftChars="0" w:firstLine="0" w:firstLineChars="0"/>
              <w:jc w:val="center"/>
              <w:textAlignment w:val="auto"/>
              <w:rPr>
                <w:color w:val="auto"/>
              </w:rPr>
            </w:pPr>
            <w:r>
              <w:rPr>
                <w:rFonts w:hint="eastAsia" w:asciiTheme="minorEastAsia" w:hAnsiTheme="minorEastAsia" w:eastAsiaTheme="minorEastAsia" w:cstheme="minorEastAsia"/>
                <w:color w:val="auto"/>
                <w:kern w:val="0"/>
                <w:sz w:val="20"/>
                <w:szCs w:val="20"/>
                <w:highlight w:val="none"/>
                <w:shd w:val="clear" w:color="auto" w:fill="auto"/>
                <w:lang w:val="en-US" w:eastAsia="zh-CN"/>
              </w:rPr>
              <w:t>419.39万元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EA5CED">
            <w:pPr>
              <w:keepNext w:val="0"/>
              <w:keepLines w:val="0"/>
              <w:pageBreakBefore w:val="0"/>
              <w:widowControl/>
              <w:kinsoku/>
              <w:wordWrap/>
              <w:overflowPunct/>
              <w:topLinePunct w:val="0"/>
              <w:autoSpaceDE/>
              <w:autoSpaceDN/>
              <w:bidi w:val="0"/>
              <w:adjustRightInd/>
              <w:snapToGrid w:val="0"/>
              <w:spacing w:line="300" w:lineRule="exact"/>
              <w:ind w:left="0" w:leftChars="0"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2.5</w:t>
            </w:r>
          </w:p>
        </w:tc>
      </w:tr>
      <w:tr w14:paraId="10C27405">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3EF5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9948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1BF0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298AA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0C9E7C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FF0000"/>
          <w:sz w:val="32"/>
          <w:szCs w:val="32"/>
          <w:lang w:val="en-US" w:eastAsia="zh-CN"/>
        </w:rPr>
      </w:pPr>
      <w:bookmarkStart w:id="131" w:name="_Toc26689"/>
      <w:bookmarkStart w:id="132" w:name="_Toc11067"/>
      <w:r>
        <w:rPr>
          <w:rFonts w:hint="eastAsia" w:ascii="仿宋_GB2312" w:hAnsi="仿宋_GB2312" w:eastAsia="仿宋_GB2312" w:cs="仿宋_GB2312"/>
          <w:b/>
          <w:bCs/>
          <w:sz w:val="32"/>
          <w:szCs w:val="32"/>
          <w:lang w:val="en-US" w:eastAsia="zh-CN"/>
        </w:rPr>
        <w:t>1.数量指标完成情况</w:t>
      </w:r>
      <w:bookmarkEnd w:id="131"/>
      <w:bookmarkEnd w:id="132"/>
    </w:p>
    <w:p w14:paraId="02C9D29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完成初设报告数量</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指标，预期目标值为=1个，实际完成为1个。实际完成率=（1个/1个）×100%=100%，。</w:t>
      </w:r>
    </w:p>
    <w:p w14:paraId="007B8A9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补偿林地面积</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w:t>
      </w:r>
      <w:r>
        <w:rPr>
          <w:rFonts w:hint="default" w:ascii="Arial" w:hAnsi="Arial" w:eastAsia="仿宋_GB2312" w:cs="Arial"/>
          <w:color w:val="auto"/>
          <w:sz w:val="32"/>
          <w:szCs w:val="32"/>
          <w:lang w:val="en-US" w:eastAsia="zh-CN"/>
        </w:rPr>
        <w:t>≥</w:t>
      </w:r>
      <w:r>
        <w:rPr>
          <w:rFonts w:hint="eastAsia" w:ascii="仿宋_GB2312" w:hAnsi="仿宋_GB2312" w:eastAsia="仿宋_GB2312" w:cs="仿宋_GB2312"/>
          <w:color w:val="auto"/>
          <w:sz w:val="32"/>
          <w:szCs w:val="32"/>
          <w:lang w:val="en-US" w:eastAsia="zh-CN"/>
        </w:rPr>
        <w:t>59公顷，实际完成为59公顷。实际完成率=（59公顷/59公顷）×100%=100%。</w:t>
      </w:r>
    </w:p>
    <w:p w14:paraId="677128B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补偿草地面积</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w:t>
      </w:r>
      <w:r>
        <w:rPr>
          <w:rFonts w:hint="default" w:ascii="Arial" w:hAnsi="Arial" w:eastAsia="仿宋_GB2312" w:cs="Arial"/>
          <w:color w:val="auto"/>
          <w:sz w:val="32"/>
          <w:szCs w:val="32"/>
          <w:lang w:val="en-US" w:eastAsia="zh-CN"/>
        </w:rPr>
        <w:t>≥</w:t>
      </w:r>
      <w:r>
        <w:rPr>
          <w:rFonts w:hint="eastAsia" w:ascii="仿宋_GB2312" w:hAnsi="仿宋_GB2312" w:eastAsia="仿宋_GB2312" w:cs="仿宋_GB2312"/>
          <w:color w:val="auto"/>
          <w:sz w:val="32"/>
          <w:szCs w:val="32"/>
          <w:lang w:val="en-US" w:eastAsia="zh-CN"/>
        </w:rPr>
        <w:t>50公顷，实际完成为50公顷。实际完成率=（50公顷/50公顷）×100%=100%。</w:t>
      </w:r>
    </w:p>
    <w:p w14:paraId="044E756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地面实物补偿户数</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w:t>
      </w:r>
      <w:r>
        <w:rPr>
          <w:rFonts w:hint="default" w:ascii="Arial" w:hAnsi="Arial" w:eastAsia="仿宋_GB2312" w:cs="Arial"/>
          <w:color w:val="auto"/>
          <w:sz w:val="32"/>
          <w:szCs w:val="32"/>
          <w:lang w:val="en-US" w:eastAsia="zh-CN"/>
        </w:rPr>
        <w:t>≥</w:t>
      </w:r>
      <w:r>
        <w:rPr>
          <w:rFonts w:hint="eastAsia" w:ascii="仿宋_GB2312" w:hAnsi="仿宋_GB2312" w:eastAsia="仿宋_GB2312" w:cs="仿宋_GB2312"/>
          <w:color w:val="auto"/>
          <w:sz w:val="32"/>
          <w:szCs w:val="32"/>
          <w:lang w:val="en-US" w:eastAsia="zh-CN"/>
        </w:rPr>
        <w:t>34户，实际完成为34户。实际完成率=（34户/34户）×100%=100%。</w:t>
      </w:r>
    </w:p>
    <w:p w14:paraId="4DE6954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07DE3BCD">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33" w:name="_Toc31739"/>
      <w:bookmarkStart w:id="134" w:name="_Toc14255"/>
      <w:r>
        <w:rPr>
          <w:rFonts w:hint="eastAsia" w:ascii="仿宋_GB2312" w:hAnsi="仿宋_GB2312" w:eastAsia="仿宋_GB2312" w:cs="仿宋_GB2312"/>
          <w:b/>
          <w:bCs/>
          <w:color w:val="auto"/>
          <w:sz w:val="32"/>
          <w:szCs w:val="32"/>
          <w:lang w:val="en-US" w:eastAsia="zh-CN"/>
        </w:rPr>
        <w:t>2.</w:t>
      </w:r>
      <w:bookmarkEnd w:id="133"/>
      <w:r>
        <w:rPr>
          <w:rFonts w:hint="eastAsia" w:ascii="仿宋_GB2312" w:hAnsi="仿宋_GB2312" w:eastAsia="仿宋_GB2312" w:cs="仿宋_GB2312"/>
          <w:b/>
          <w:bCs/>
          <w:color w:val="auto"/>
          <w:sz w:val="32"/>
          <w:szCs w:val="32"/>
          <w:lang w:val="en-US" w:eastAsia="zh-CN"/>
        </w:rPr>
        <w:t>质量指标完成情况</w:t>
      </w:r>
      <w:bookmarkEnd w:id="134"/>
    </w:p>
    <w:p w14:paraId="3B3D9B6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初设审查通过率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指标，预期目标值为=100%，实际完成为100%。实际完成率100%。</w:t>
      </w:r>
    </w:p>
    <w:p w14:paraId="28B4B06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补偿资金使用合规率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指标，预期目标值为=100%，实际完成为100%。实际完成率100%。</w:t>
      </w:r>
    </w:p>
    <w:p w14:paraId="356BF58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12F5A513">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35" w:name="_Toc18307"/>
      <w:bookmarkStart w:id="136" w:name="_Toc28885"/>
      <w:r>
        <w:rPr>
          <w:rFonts w:hint="eastAsia" w:ascii="仿宋_GB2312" w:hAnsi="仿宋_GB2312" w:eastAsia="仿宋_GB2312" w:cs="仿宋_GB2312"/>
          <w:b/>
          <w:bCs/>
          <w:color w:val="auto"/>
          <w:sz w:val="32"/>
          <w:szCs w:val="32"/>
          <w:lang w:val="en-US" w:eastAsia="zh-CN"/>
        </w:rPr>
        <w:t>3.</w:t>
      </w:r>
      <w:bookmarkEnd w:id="135"/>
      <w:r>
        <w:rPr>
          <w:rFonts w:hint="eastAsia" w:ascii="仿宋_GB2312" w:hAnsi="仿宋_GB2312" w:eastAsia="仿宋_GB2312" w:cs="仿宋_GB2312"/>
          <w:b/>
          <w:bCs/>
          <w:color w:val="auto"/>
          <w:sz w:val="32"/>
          <w:szCs w:val="32"/>
          <w:lang w:val="en-US" w:eastAsia="zh-CN"/>
        </w:rPr>
        <w:t>时效指标完成情况</w:t>
      </w:r>
      <w:bookmarkEnd w:id="136"/>
    </w:p>
    <w:p w14:paraId="545516B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项目完成时间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指标，预期目标值为2024年12月，实际完成为2024年12月。实际完成率100%。</w:t>
      </w:r>
    </w:p>
    <w:p w14:paraId="3A520D2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15BB862C">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37" w:name="_Toc32765"/>
      <w:bookmarkStart w:id="138" w:name="_Toc20607"/>
      <w:r>
        <w:rPr>
          <w:rFonts w:hint="eastAsia" w:ascii="仿宋_GB2312" w:hAnsi="仿宋_GB2312" w:eastAsia="仿宋_GB2312" w:cs="仿宋_GB2312"/>
          <w:b/>
          <w:bCs/>
          <w:color w:val="auto"/>
          <w:sz w:val="32"/>
          <w:szCs w:val="32"/>
          <w:lang w:val="en-US" w:eastAsia="zh-CN"/>
        </w:rPr>
        <w:t>4.项目</w:t>
      </w:r>
      <w:bookmarkEnd w:id="137"/>
      <w:r>
        <w:rPr>
          <w:rFonts w:hint="eastAsia" w:ascii="仿宋_GB2312" w:hAnsi="仿宋_GB2312" w:eastAsia="仿宋_GB2312" w:cs="仿宋_GB2312"/>
          <w:b/>
          <w:bCs/>
          <w:color w:val="auto"/>
          <w:sz w:val="32"/>
          <w:szCs w:val="32"/>
          <w:lang w:val="en-US" w:eastAsia="zh-CN"/>
        </w:rPr>
        <w:t>成本情况</w:t>
      </w:r>
      <w:bookmarkEnd w:id="138"/>
    </w:p>
    <w:p w14:paraId="5E38C78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val="en-US" w:eastAsia="zh-CN"/>
        </w:rPr>
        <w:t>经济</w:t>
      </w:r>
      <w:r>
        <w:rPr>
          <w:rFonts w:hint="eastAsia" w:ascii="仿宋_GB2312" w:hAnsi="仿宋_GB2312" w:eastAsia="仿宋_GB2312" w:cs="仿宋_GB2312"/>
          <w:b/>
          <w:bCs/>
          <w:color w:val="auto"/>
          <w:sz w:val="32"/>
          <w:szCs w:val="32"/>
          <w:lang w:eastAsia="zh-CN"/>
        </w:rPr>
        <w:t>成本指标完成情况</w:t>
      </w:r>
    </w:p>
    <w:p w14:paraId="166C06C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设计费</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w:t>
      </w:r>
      <w:r>
        <w:rPr>
          <w:rFonts w:hint="default" w:ascii="Arial" w:hAnsi="Arial" w:eastAsia="仿宋_GB2312" w:cs="Arial"/>
          <w:color w:val="auto"/>
          <w:sz w:val="32"/>
          <w:szCs w:val="32"/>
          <w:lang w:val="en-US" w:eastAsia="zh-CN"/>
        </w:rPr>
        <w:t>≤</w:t>
      </w:r>
      <w:r>
        <w:rPr>
          <w:rFonts w:hint="eastAsia" w:ascii="仿宋_GB2312" w:hAnsi="仿宋_GB2312" w:eastAsia="仿宋_GB2312" w:cs="仿宋_GB2312"/>
          <w:color w:val="auto"/>
          <w:sz w:val="32"/>
          <w:szCs w:val="32"/>
          <w:lang w:val="en-US" w:eastAsia="zh-CN"/>
        </w:rPr>
        <w:t>1302万元，实际完成为1302万元。实际完成率=（1302万元/1302万元）×100%=100%。</w:t>
      </w:r>
    </w:p>
    <w:p w14:paraId="679A885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林地补偿费</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w:t>
      </w:r>
      <w:r>
        <w:rPr>
          <w:rFonts w:hint="default"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2074.43万元，实际完成为2074.43万元。实际完成率=（2074.43万元/2074.43万元）×100%=100%。</w:t>
      </w:r>
    </w:p>
    <w:p w14:paraId="5484AFE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草地补偿费</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w:t>
      </w:r>
      <w:r>
        <w:rPr>
          <w:rFonts w:hint="default"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298.02万元，实际完成为298.02万元。实际完成率=（298.02万元/298.02万元）×100%=100%。</w:t>
      </w:r>
    </w:p>
    <w:p w14:paraId="63704B1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其他补偿费</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w:t>
      </w:r>
      <w:r>
        <w:rPr>
          <w:rFonts w:hint="default"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419.39万元，实际完成为419.39万元。实际完成率=（419.39万元/419.39万元）×100%=100%。</w:t>
      </w:r>
    </w:p>
    <w:p w14:paraId="6FDC37D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3A0403B0">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39" w:name="_Toc19424"/>
      <w:r>
        <w:rPr>
          <w:rFonts w:hint="eastAsia" w:ascii="Times New Roman" w:hAnsi="Times New Roman" w:eastAsia="楷体_GB2312" w:cs="Times New Roman"/>
          <w:kern w:val="28"/>
          <w:sz w:val="32"/>
          <w:lang w:val="en-US" w:eastAsia="zh-CN"/>
        </w:rPr>
        <w:t>（四）项目效益情况</w:t>
      </w:r>
      <w:bookmarkEnd w:id="139"/>
    </w:p>
    <w:p w14:paraId="1A0C174E">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0F2BBFBB">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036E25A2">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57FCFA1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14:paraId="44ACAA6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65593F7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9C11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83635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14:paraId="4E1A5A8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3BDC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14:paraId="33D808F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5849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14:paraId="43BDCE6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F3B3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14:paraId="5836D24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7837C75E">
        <w:tblPrEx>
          <w:shd w:val="clear" w:color="auto" w:fill="auto"/>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76D9269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tcBorders>
              <w:top w:val="single" w:color="auto"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09471B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社会</w:t>
            </w:r>
            <w:r>
              <w:rPr>
                <w:rFonts w:hint="eastAsia" w:ascii="宋体" w:hAnsi="宋体" w:eastAsia="宋体" w:cs="宋体"/>
                <w:color w:val="auto"/>
                <w:kern w:val="0"/>
                <w:sz w:val="20"/>
                <w:szCs w:val="20"/>
                <w:highlight w:val="none"/>
                <w:shd w:val="clear" w:color="auto" w:fill="auto"/>
                <w:lang w:val="en-US" w:eastAsia="zh-CN"/>
              </w:rPr>
              <w:t>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1C4645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推进工程顺利开工</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FCE3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有效推进</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595A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D4C94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1132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7ABB5153">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13ED3C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0621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DD41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补偿户满意度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E57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Arial" w:hAnsi="Arial" w:eastAsia="宋体" w:cs="Arial"/>
                <w:color w:val="auto"/>
                <w:kern w:val="0"/>
                <w:sz w:val="20"/>
                <w:szCs w:val="20"/>
                <w:highlight w:val="none"/>
                <w:shd w:val="clear" w:color="auto" w:fill="auto"/>
                <w:lang w:val="en-US" w:eastAsia="zh-CN"/>
              </w:rPr>
              <w:t>≥</w:t>
            </w:r>
            <w:r>
              <w:rPr>
                <w:rFonts w:hint="eastAsia"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EDE9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13CD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8E96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7D1B05F9">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E543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BF82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B33E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2656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040ADADA">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40" w:name="_Toc27006"/>
      <w:bookmarkStart w:id="141" w:name="_Toc29606"/>
      <w:r>
        <w:rPr>
          <w:rFonts w:hint="eastAsia" w:ascii="仿宋_GB2312" w:hAnsi="仿宋_GB2312" w:eastAsia="仿宋_GB2312" w:cs="仿宋_GB2312"/>
          <w:b/>
          <w:bCs/>
          <w:sz w:val="32"/>
          <w:szCs w:val="32"/>
          <w:lang w:val="en-US" w:eastAsia="zh-CN"/>
        </w:rPr>
        <w:t>1.社会</w:t>
      </w:r>
      <w:r>
        <w:rPr>
          <w:rFonts w:hint="eastAsia" w:ascii="仿宋_GB2312" w:hAnsi="仿宋_GB2312" w:eastAsia="仿宋_GB2312" w:cs="仿宋_GB2312"/>
          <w:b/>
          <w:bCs/>
          <w:color w:val="auto"/>
          <w:sz w:val="32"/>
          <w:szCs w:val="32"/>
          <w:lang w:val="en-US" w:eastAsia="zh-CN"/>
        </w:rPr>
        <w:t>效益指标</w:t>
      </w:r>
      <w:bookmarkEnd w:id="140"/>
      <w:r>
        <w:rPr>
          <w:rFonts w:hint="eastAsia" w:ascii="仿宋_GB2312" w:hAnsi="仿宋_GB2312" w:eastAsia="仿宋_GB2312" w:cs="仿宋_GB2312"/>
          <w:b/>
          <w:bCs/>
          <w:color w:val="auto"/>
          <w:sz w:val="32"/>
          <w:szCs w:val="32"/>
          <w:lang w:val="en-US" w:eastAsia="zh-CN"/>
        </w:rPr>
        <w:t>完成情况</w:t>
      </w:r>
      <w:bookmarkEnd w:id="141"/>
    </w:p>
    <w:p w14:paraId="3CDA7330">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en-US" w:eastAsia="zh-CN"/>
        </w:rPr>
      </w:pP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推进工程顺利开工”指标，预期目标值为有效推进，实际完成为达到预期指标。</w:t>
      </w:r>
    </w:p>
    <w:p w14:paraId="62420075">
      <w:pPr>
        <w:pageBreakBefore w:val="0"/>
        <w:widowControl w:val="0"/>
        <w:kinsoku/>
        <w:wordWrap/>
        <w:overflowPunct/>
        <w:topLinePunct w:val="0"/>
        <w:autoSpaceDE/>
        <w:autoSpaceDN/>
        <w:bidi w:val="0"/>
        <w:adjustRightInd/>
        <w:spacing w:line="560" w:lineRule="exact"/>
        <w:ind w:firstLine="560"/>
        <w:jc w:val="left"/>
        <w:textAlignment w:val="auto"/>
        <w:rPr>
          <w:rFonts w:hint="default" w:ascii="仿宋_GB2312" w:hAnsi="仿宋_GB2312" w:eastAsia="仿宋_GB2312" w:cs="仿宋_GB2312"/>
          <w:color w:val="auto"/>
          <w:kern w:val="2"/>
          <w:sz w:val="32"/>
          <w:szCs w:val="32"/>
          <w:highlight w:val="none"/>
          <w:u w:color="000000"/>
          <w:shd w:val="clear" w:color="auto" w:fill="auto"/>
          <w:lang w:val="en-US" w:eastAsia="zh-CN"/>
        </w:rPr>
      </w:pPr>
      <w:r>
        <w:rPr>
          <w:rFonts w:hint="eastAsia" w:ascii="仿宋_GB2312" w:hAnsi="仿宋_GB2312" w:eastAsia="仿宋_GB2312" w:cs="仿宋_GB2312"/>
          <w:color w:val="auto"/>
          <w:kern w:val="2"/>
          <w:sz w:val="32"/>
          <w:szCs w:val="32"/>
          <w:highlight w:val="none"/>
          <w:u w:color="000000"/>
          <w:shd w:val="clear" w:color="auto" w:fill="auto"/>
          <w:lang w:val="en-US" w:eastAsia="zh-CN"/>
        </w:rPr>
        <w:t>通过项目的实施，确保阜康市四工河水库工程顺利开工。</w:t>
      </w:r>
    </w:p>
    <w:p w14:paraId="1050D96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21B935F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2"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2"/>
    </w:p>
    <w:p w14:paraId="0DDE817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“补偿户满意度”指标，预期目标值为</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90%，实际完成为90%。</w:t>
      </w:r>
    </w:p>
    <w:p w14:paraId="28EABC0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3267FB06">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43" w:name="_Toc6622"/>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析</w:t>
      </w:r>
      <w:bookmarkEnd w:id="143"/>
    </w:p>
    <w:p w14:paraId="00B0989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4" w:name="_Toc15449"/>
      <w:bookmarkStart w:id="145" w:name="_Toc28290"/>
      <w:bookmarkStart w:id="146" w:name="_Toc1921"/>
      <w:r>
        <w:rPr>
          <w:rFonts w:hint="eastAsia" w:ascii="Times New Roman" w:hAnsi="Times New Roman" w:eastAsia="楷体_GB2312" w:cs="Times New Roman"/>
          <w:b/>
          <w:bCs/>
          <w:kern w:val="28"/>
          <w:sz w:val="32"/>
          <w:highlight w:val="none"/>
          <w:lang w:val="en-US" w:eastAsia="zh-CN"/>
        </w:rPr>
        <w:t>（一）主要经验及做法</w:t>
      </w:r>
      <w:bookmarkEnd w:id="144"/>
    </w:p>
    <w:p w14:paraId="5902492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阜康市四工河水库工程</w:t>
      </w:r>
      <w:r>
        <w:rPr>
          <w:rFonts w:hint="eastAsia" w:ascii="仿宋_GB2312" w:hAnsi="仿宋_GB2312" w:eastAsia="仿宋_GB2312" w:cs="仿宋_GB2312"/>
          <w:color w:val="auto"/>
          <w:sz w:val="32"/>
          <w:szCs w:val="32"/>
          <w:lang w:eastAsia="zh-CN"/>
        </w:rPr>
        <w:t>20</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lang w:eastAsia="zh-CN"/>
        </w:rPr>
        <w:t>年预算</w:t>
      </w:r>
      <w:r>
        <w:rPr>
          <w:rFonts w:hint="eastAsia" w:ascii="仿宋_GB2312" w:hAnsi="仿宋_GB2312" w:eastAsia="仿宋_GB2312" w:cs="仿宋_GB2312"/>
          <w:color w:val="auto"/>
          <w:sz w:val="32"/>
          <w:szCs w:val="32"/>
          <w:lang w:val="en-US" w:eastAsia="zh-CN"/>
        </w:rPr>
        <w:t>数</w:t>
      </w:r>
      <w:r>
        <w:rPr>
          <w:rFonts w:hint="eastAsia" w:ascii="仿宋_GB2312" w:hAnsi="仿宋_GB2312" w:eastAsia="仿宋_GB2312" w:cs="仿宋_GB2312"/>
          <w:color w:val="auto"/>
          <w:sz w:val="32"/>
          <w:szCs w:val="32"/>
          <w:lang w:eastAsia="zh-CN"/>
        </w:rPr>
        <w:t>为</w:t>
      </w:r>
      <w:r>
        <w:rPr>
          <w:rFonts w:hint="eastAsia" w:ascii="仿宋_GB2312" w:hAnsi="仿宋_GB2312" w:eastAsia="仿宋_GB2312" w:cs="仿宋_GB2312"/>
          <w:color w:val="auto"/>
          <w:sz w:val="32"/>
          <w:szCs w:val="32"/>
          <w:lang w:val="en-US" w:eastAsia="zh-CN"/>
        </w:rPr>
        <w:t>4093.84万元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截至2024年12月31日共</w:t>
      </w:r>
      <w:r>
        <w:rPr>
          <w:rFonts w:hint="eastAsia" w:ascii="仿宋_GB2312" w:hAnsi="仿宋_GB2312" w:eastAsia="仿宋_GB2312" w:cs="仿宋_GB2312"/>
          <w:color w:val="auto"/>
          <w:sz w:val="32"/>
          <w:szCs w:val="32"/>
          <w:lang w:eastAsia="zh-CN"/>
        </w:rPr>
        <w:t>支出</w:t>
      </w:r>
      <w:r>
        <w:rPr>
          <w:rFonts w:hint="eastAsia" w:ascii="仿宋_GB2312" w:hAnsi="仿宋_GB2312" w:eastAsia="仿宋_GB2312" w:cs="仿宋_GB2312"/>
          <w:color w:val="auto"/>
          <w:sz w:val="32"/>
          <w:szCs w:val="32"/>
          <w:lang w:val="en-US" w:eastAsia="zh-CN"/>
        </w:rPr>
        <w:t>4093.84万元</w:t>
      </w:r>
      <w:r>
        <w:rPr>
          <w:rFonts w:hint="eastAsia" w:ascii="仿宋_GB2312" w:hAnsi="仿宋_GB2312" w:eastAsia="仿宋_GB2312" w:cs="仿宋_GB2312"/>
          <w:color w:val="auto"/>
          <w:sz w:val="32"/>
          <w:szCs w:val="32"/>
          <w:lang w:eastAsia="zh-CN"/>
        </w:rPr>
        <w:t>，预算</w:t>
      </w:r>
      <w:r>
        <w:rPr>
          <w:rFonts w:hint="eastAsia" w:ascii="仿宋_GB2312" w:hAnsi="仿宋_GB2312" w:eastAsia="仿宋_GB2312" w:cs="仿宋_GB2312"/>
          <w:color w:val="auto"/>
          <w:sz w:val="32"/>
          <w:szCs w:val="32"/>
          <w:lang w:val="en-US" w:eastAsia="zh-CN"/>
        </w:rPr>
        <w:t>执行</w:t>
      </w:r>
      <w:r>
        <w:rPr>
          <w:rFonts w:hint="eastAsia" w:ascii="仿宋_GB2312" w:hAnsi="仿宋_GB2312" w:eastAsia="仿宋_GB2312" w:cs="仿宋_GB2312"/>
          <w:color w:val="auto"/>
          <w:sz w:val="32"/>
          <w:szCs w:val="32"/>
          <w:lang w:eastAsia="zh-CN"/>
        </w:rPr>
        <w:t>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w:t>
      </w:r>
    </w:p>
    <w:p w14:paraId="1B05DA0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阜康市水利管理站</w:t>
      </w:r>
      <w:r>
        <w:rPr>
          <w:rFonts w:hint="eastAsia" w:ascii="仿宋_GB2312" w:hAnsi="仿宋_GB2312" w:eastAsia="仿宋_GB2312" w:cs="仿宋_GB2312"/>
          <w:color w:val="auto"/>
          <w:sz w:val="32"/>
          <w:szCs w:val="32"/>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lang w:val="en-US" w:eastAsia="zh-CN"/>
        </w:rPr>
        <w:t>阜康市水利管理站</w:t>
      </w:r>
      <w:r>
        <w:rPr>
          <w:rFonts w:hint="eastAsia" w:ascii="仿宋_GB2312" w:hAnsi="仿宋_GB2312" w:eastAsia="仿宋_GB2312" w:cs="仿宋_GB2312"/>
          <w:color w:val="auto"/>
          <w:sz w:val="32"/>
          <w:szCs w:val="32"/>
          <w:lang w:eastAsia="zh-CN"/>
        </w:rPr>
        <w:t>事业发展中关系民生与稳定的项目，切实优化资源配置，提高了资金使用的效率和效果。</w:t>
      </w:r>
    </w:p>
    <w:bookmarkEnd w:id="145"/>
    <w:bookmarkEnd w:id="146"/>
    <w:p w14:paraId="7C735B7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7" w:name="_Toc29168"/>
      <w:r>
        <w:rPr>
          <w:rFonts w:hint="eastAsia" w:ascii="Times New Roman" w:hAnsi="Times New Roman" w:eastAsia="楷体_GB2312" w:cs="Times New Roman"/>
          <w:b/>
          <w:bCs/>
          <w:kern w:val="28"/>
          <w:sz w:val="32"/>
          <w:highlight w:val="none"/>
          <w:lang w:val="en-US" w:eastAsia="zh-CN"/>
        </w:rPr>
        <w:t>（二）存在的问题及原因分析</w:t>
      </w:r>
      <w:bookmarkEnd w:id="147"/>
    </w:p>
    <w:p w14:paraId="421ADDC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bookmarkStart w:id="148" w:name="_Toc3333"/>
      <w:r>
        <w:rPr>
          <w:rFonts w:hint="eastAsia" w:ascii="仿宋_GB2312" w:hAnsi="仿宋_GB2312" w:eastAsia="仿宋_GB2312" w:cs="仿宋_GB2312"/>
          <w:color w:val="auto"/>
          <w:sz w:val="32"/>
          <w:szCs w:val="32"/>
          <w:lang w:val="en-US" w:eastAsia="zh-CN"/>
        </w:rPr>
        <w:t>1.项目人员业务能力与政策掌握不足。</w:t>
      </w:r>
      <w:r>
        <w:rPr>
          <w:rFonts w:hint="default" w:ascii="仿宋_GB2312" w:hAnsi="仿宋_GB2312" w:eastAsia="仿宋_GB2312" w:cs="仿宋_GB2312"/>
          <w:color w:val="auto"/>
          <w:sz w:val="32"/>
          <w:szCs w:val="32"/>
          <w:lang w:val="en-US" w:eastAsia="zh-CN"/>
        </w:rPr>
        <w:t>项目人员对前期工作手续缺乏足够熟悉度，未能及时跟进并深入理解最新政策要求。这导致在办理手续过程中，因对流程和政策细节把握不准，出现多次反复跑办的情况，严重影响了前期工作的推进效率，延长了项目启动的准备时间。</w:t>
      </w:r>
    </w:p>
    <w:p w14:paraId="3C0FCB2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default" w:ascii="仿宋_GB2312" w:hAnsi="仿宋_GB2312" w:eastAsia="仿宋_GB2312" w:cs="仿宋_GB2312"/>
          <w:color w:val="auto"/>
          <w:sz w:val="32"/>
          <w:szCs w:val="32"/>
          <w:lang w:val="en-US" w:eastAsia="zh-CN"/>
        </w:rPr>
        <w:t>沟通协调机制不完善</w:t>
      </w:r>
      <w:r>
        <w:rPr>
          <w:rFonts w:hint="eastAsia" w:ascii="仿宋_GB2312" w:hAnsi="仿宋_GB2312" w:eastAsia="仿宋_GB2312" w:cs="仿宋_GB2312"/>
          <w:color w:val="auto"/>
          <w:sz w:val="32"/>
          <w:szCs w:val="32"/>
          <w:lang w:val="en-US" w:eastAsia="zh-CN"/>
        </w:rPr>
        <w:t>。</w:t>
      </w:r>
      <w:r>
        <w:rPr>
          <w:rFonts w:hint="default" w:ascii="仿宋_GB2312" w:hAnsi="仿宋_GB2312" w:eastAsia="仿宋_GB2312" w:cs="仿宋_GB2312"/>
          <w:color w:val="auto"/>
          <w:sz w:val="32"/>
          <w:szCs w:val="32"/>
          <w:lang w:val="en-US" w:eastAsia="zh-CN"/>
        </w:rPr>
        <w:t>项目人员与外部审批部门之间缺乏有效的沟通协调机制。信息传递存在不及时、不准确的问题，使得双方在手续办理过程中容易产生误解。这种沟通障碍不仅导致手续办理出现延误，还可能引发不必要的返工和重复工作，进一步拉长了前期工作的时间周期，对项目整体进度造成不利影响。</w:t>
      </w:r>
    </w:p>
    <w:p w14:paraId="7558EFE6">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六</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、有关建议</w:t>
      </w:r>
      <w:bookmarkEnd w:id="148"/>
    </w:p>
    <w:p w14:paraId="073B478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bookmarkStart w:id="149" w:name="_Toc14256"/>
      <w:r>
        <w:rPr>
          <w:rFonts w:hint="eastAsia" w:ascii="仿宋_GB2312" w:hAnsi="仿宋_GB2312" w:eastAsia="仿宋_GB2312" w:cs="仿宋_GB2312"/>
          <w:color w:val="auto"/>
          <w:sz w:val="32"/>
          <w:szCs w:val="32"/>
          <w:lang w:val="en-US" w:eastAsia="zh-CN"/>
        </w:rPr>
        <w:t>（一）强化业务培训与学习。</w:t>
      </w:r>
      <w:r>
        <w:rPr>
          <w:rFonts w:hint="default" w:ascii="仿宋_GB2312" w:hAnsi="仿宋_GB2312" w:eastAsia="仿宋_GB2312" w:cs="仿宋_GB2312"/>
          <w:color w:val="auto"/>
          <w:sz w:val="32"/>
          <w:szCs w:val="32"/>
          <w:lang w:val="en-US" w:eastAsia="zh-CN"/>
        </w:rPr>
        <w:t>建议我单位高度重视项目技术人员的业务能力提升，定期组织涵盖前期工作手续办理、最新政策解读等多方面的业务学习培训活动。通过邀请行业专家授课、开展内部经验分享会、组织实地考察学习等方式，不断拓宽项目人员的知识面，提高其业务水平和综合素质，从而有效提高前期工作效率，减少因业务不熟和政策理解偏差导致的时间浪费。</w:t>
      </w:r>
    </w:p>
    <w:p w14:paraId="0403A04C">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w:t>
      </w:r>
      <w:r>
        <w:rPr>
          <w:rFonts w:hint="default" w:ascii="仿宋_GB2312" w:hAnsi="仿宋_GB2312" w:eastAsia="仿宋_GB2312" w:cs="仿宋_GB2312"/>
          <w:color w:val="auto"/>
          <w:sz w:val="32"/>
          <w:szCs w:val="32"/>
          <w:lang w:val="en-US" w:eastAsia="zh-CN"/>
        </w:rPr>
        <w:t>构建高效沟通协作平台与规范</w:t>
      </w:r>
      <w:r>
        <w:rPr>
          <w:rFonts w:hint="eastAsia" w:ascii="仿宋_GB2312" w:hAnsi="仿宋_GB2312" w:eastAsia="仿宋_GB2312" w:cs="仿宋_GB2312"/>
          <w:color w:val="auto"/>
          <w:sz w:val="32"/>
          <w:szCs w:val="32"/>
          <w:lang w:val="en-US" w:eastAsia="zh-CN"/>
        </w:rPr>
        <w:t>。</w:t>
      </w:r>
      <w:r>
        <w:rPr>
          <w:rFonts w:hint="default" w:ascii="仿宋_GB2312" w:hAnsi="仿宋_GB2312" w:eastAsia="仿宋_GB2312" w:cs="仿宋_GB2312"/>
          <w:color w:val="auto"/>
          <w:sz w:val="32"/>
          <w:szCs w:val="32"/>
          <w:lang w:val="en-US" w:eastAsia="zh-CN"/>
        </w:rPr>
        <w:t>建议我单位积极构建与外部审批部门的精准沟通协作平台，如建立线上沟通群组、专用信息共享平台等，确保信息传递的及时性和准确性。同时，制定详细的沟通规范，明确沟通的频率、方式、内容要求以及责任分工等，规范双方在手续办理过程中的沟通行为。通过定期召开沟通协调会议、建立问题反馈与解决机制等方式，加强双方的合作与配合，及时解决手续办理过程中出现的问题，避免因沟通不畅导致的误解和延误，保障项目前期工作顺利进行。</w:t>
      </w:r>
    </w:p>
    <w:p w14:paraId="7B2623EC">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七</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、其他需要说明的问题</w:t>
      </w:r>
      <w:bookmarkEnd w:id="149"/>
    </w:p>
    <w:p w14:paraId="0B6DF16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无其他需要说明的问题。</w:t>
      </w:r>
    </w:p>
    <w:p w14:paraId="54E2AE78">
      <w:pPr>
        <w:pageBreakBefore w:val="0"/>
        <w:kinsoku/>
        <w:wordWrap/>
        <w:overflowPunct/>
        <w:topLinePunct w:val="0"/>
        <w:autoSpaceDE/>
        <w:autoSpaceDN/>
        <w:bidi w:val="0"/>
        <w:adjustRightInd/>
        <w:spacing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cols w:space="720" w:num="1"/>
          <w:docGrid w:type="lines" w:linePitch="408" w:charSpace="0"/>
        </w:sectPr>
      </w:pPr>
    </w:p>
    <w:p w14:paraId="5413DFD8">
      <w:pPr>
        <w:pStyle w:val="3"/>
        <w:pageBreakBefore w:val="0"/>
        <w:numPr>
          <w:ilvl w:val="0"/>
          <w:numId w:val="0"/>
        </w:numPr>
        <w:kinsoku/>
        <w:wordWrap/>
        <w:overflowPunct/>
        <w:topLinePunct w:val="0"/>
        <w:autoSpaceDE/>
        <w:autoSpaceDN/>
        <w:bidi w:val="0"/>
        <w:adjustRightInd/>
        <w:spacing w:beforeLines="0" w:afterLines="0" w:line="560" w:lineRule="exact"/>
        <w:textAlignment w:val="auto"/>
      </w:pPr>
      <w:bookmarkStart w:id="150" w:name="_Toc11349"/>
      <w:bookmarkStart w:id="151" w:name="_Toc28971"/>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50"/>
      <w:bookmarkEnd w:id="151"/>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1"/>
        <w:gridCol w:w="861"/>
        <w:gridCol w:w="861"/>
        <w:gridCol w:w="861"/>
        <w:gridCol w:w="1253"/>
        <w:gridCol w:w="1410"/>
        <w:gridCol w:w="1331"/>
        <w:gridCol w:w="1018"/>
        <w:gridCol w:w="1174"/>
        <w:gridCol w:w="862"/>
        <w:gridCol w:w="862"/>
        <w:gridCol w:w="862"/>
        <w:gridCol w:w="862"/>
        <w:gridCol w:w="1096"/>
      </w:tblGrid>
      <w:tr w14:paraId="05947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70EDC642">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3CCC0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10481E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44858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23BF359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3"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294D4F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新疆阜康市四工河水库工程（前期费）</w:t>
            </w:r>
          </w:p>
        </w:tc>
      </w:tr>
      <w:tr w14:paraId="597E8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3762E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DFC00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阜康市水利局</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BC1F9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8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068C4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阜康市水利管理站</w:t>
            </w:r>
          </w:p>
        </w:tc>
      </w:tr>
      <w:tr w14:paraId="79B127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B626B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60AB29">
            <w:pPr>
              <w:jc w:val="center"/>
              <w:rPr>
                <w:rFonts w:hint="eastAsia" w:ascii="宋体" w:hAnsi="宋体" w:eastAsia="宋体" w:cs="宋体"/>
                <w:b/>
                <w:bCs/>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AD15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B3296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E70BB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D2FE9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BD0D5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6C17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54E7C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2618A2">
            <w:pPr>
              <w:jc w:val="center"/>
              <w:rPr>
                <w:rFonts w:hint="eastAsia" w:ascii="宋体" w:hAnsi="宋体" w:eastAsia="宋体" w:cs="宋体"/>
                <w:b/>
                <w:bCs/>
                <w:i w:val="0"/>
                <w:iCs w:val="0"/>
                <w:color w:val="000000"/>
                <w:sz w:val="18"/>
                <w:szCs w:val="18"/>
                <w:u w:val="none"/>
              </w:rPr>
            </w:pPr>
          </w:p>
        </w:tc>
        <w:tc>
          <w:tcPr>
            <w:tcW w:w="7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E4B9F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D1B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4093.84</w:t>
            </w:r>
          </w:p>
        </w:tc>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0503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4093.84</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0418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4093.84</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C3C4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C5D1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A54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13185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895561">
            <w:pPr>
              <w:jc w:val="center"/>
              <w:rPr>
                <w:rFonts w:hint="eastAsia" w:ascii="宋体" w:hAnsi="宋体" w:eastAsia="宋体" w:cs="宋体"/>
                <w:b/>
                <w:bCs/>
                <w:i w:val="0"/>
                <w:iCs w:val="0"/>
                <w:color w:val="000000"/>
                <w:sz w:val="18"/>
                <w:szCs w:val="18"/>
                <w:u w:val="none"/>
              </w:rPr>
            </w:pPr>
          </w:p>
        </w:tc>
        <w:tc>
          <w:tcPr>
            <w:tcW w:w="7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42A61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62A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3641.97</w:t>
            </w:r>
          </w:p>
        </w:tc>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5608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3641.97</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D8BC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3641.97</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767B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B987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511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4F822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B28F1A">
            <w:pPr>
              <w:jc w:val="center"/>
              <w:rPr>
                <w:rFonts w:hint="eastAsia" w:ascii="宋体" w:hAnsi="宋体" w:eastAsia="宋体" w:cs="宋体"/>
                <w:b/>
                <w:bCs/>
                <w:i w:val="0"/>
                <w:iCs w:val="0"/>
                <w:color w:val="000000"/>
                <w:sz w:val="18"/>
                <w:szCs w:val="18"/>
                <w:u w:val="none"/>
              </w:rPr>
            </w:pPr>
          </w:p>
        </w:tc>
        <w:tc>
          <w:tcPr>
            <w:tcW w:w="7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48CDE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4E8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451.87</w:t>
            </w:r>
          </w:p>
        </w:tc>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A042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451.87</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85E9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451.87</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4747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4237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577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0706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979D3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6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5CEA0F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3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50E940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2D5B1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A865E0">
            <w:pPr>
              <w:jc w:val="center"/>
              <w:rPr>
                <w:rFonts w:hint="eastAsia" w:ascii="宋体" w:hAnsi="宋体" w:eastAsia="宋体" w:cs="宋体"/>
                <w:b/>
                <w:bCs/>
                <w:i w:val="0"/>
                <w:iCs w:val="0"/>
                <w:color w:val="000000"/>
                <w:sz w:val="18"/>
                <w:szCs w:val="18"/>
                <w:u w:val="none"/>
              </w:rPr>
            </w:pPr>
          </w:p>
        </w:tc>
        <w:tc>
          <w:tcPr>
            <w:tcW w:w="196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FB80C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1.通过阜康市四工河水库工程前期初设阶段审批工作，计划完成初设报告1个；</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2.计划征收补偿林地≥59公顷、征收补偿草地≥50公顷，征收补偿农户地面实物≥34户；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3.通过前期工作的完成，保证四工河水库工程顺利开工。</w:t>
            </w:r>
          </w:p>
        </w:tc>
        <w:tc>
          <w:tcPr>
            <w:tcW w:w="283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31FE4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截至2024年12月31日，本项目完成初设报告1个，征收补偿林地59公顷、征收补偿草地50公顷，征收补偿农户地面实物34户，共计金额4093.84万元，通过前期工作的实施，工程于2024年12月顺利开工。</w:t>
            </w:r>
          </w:p>
        </w:tc>
      </w:tr>
      <w:tr w14:paraId="79493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33CB4A">
            <w:pPr>
              <w:jc w:val="center"/>
              <w:rPr>
                <w:rFonts w:hint="eastAsia" w:ascii="宋体" w:hAnsi="宋体" w:eastAsia="宋体" w:cs="宋体"/>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2C594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187B4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D12ED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A3380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4D9FA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19881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32121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DF0E3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983C9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8B695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6891E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13491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C41DC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27E43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D9B2C3">
            <w:pPr>
              <w:jc w:val="center"/>
              <w:rPr>
                <w:rFonts w:hint="eastAsia" w:ascii="宋体" w:hAnsi="宋体" w:eastAsia="宋体" w:cs="宋体"/>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A30725">
            <w:pPr>
              <w:jc w:val="center"/>
              <w:rPr>
                <w:rFonts w:hint="eastAsia" w:ascii="宋体" w:hAnsi="宋体" w:eastAsia="宋体" w:cs="宋体"/>
                <w:b/>
                <w:bCs/>
                <w:i w:val="0"/>
                <w:iCs w:val="0"/>
                <w:color w:val="000000"/>
                <w:sz w:val="18"/>
                <w:szCs w:val="18"/>
                <w:u w:val="none"/>
              </w:rPr>
            </w:pPr>
          </w:p>
        </w:tc>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21673A">
            <w:pPr>
              <w:jc w:val="center"/>
              <w:rPr>
                <w:rFonts w:hint="eastAsia" w:ascii="宋体" w:hAnsi="宋体" w:eastAsia="宋体" w:cs="宋体"/>
                <w:b/>
                <w:bCs/>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761DB3">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47C713">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2B0559">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BD103B">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D12AA4">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727B30">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FEA442">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86A59A">
            <w:pPr>
              <w:jc w:val="center"/>
              <w:rPr>
                <w:rFonts w:hint="eastAsia" w:ascii="宋体" w:hAnsi="宋体" w:eastAsia="宋体" w:cs="宋体"/>
                <w:b/>
                <w:bCs/>
                <w:i w:val="0"/>
                <w:iCs w:val="0"/>
                <w:color w:val="000000"/>
                <w:sz w:val="18"/>
                <w:szCs w:val="18"/>
                <w:u w:val="none"/>
              </w:rPr>
            </w:pPr>
          </w:p>
        </w:tc>
        <w:tc>
          <w:tcPr>
            <w:tcW w:w="3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DC83E3">
            <w:pPr>
              <w:jc w:val="center"/>
              <w:rPr>
                <w:rFonts w:hint="eastAsia" w:ascii="宋体" w:hAnsi="宋体" w:eastAsia="宋体" w:cs="宋体"/>
                <w:b/>
                <w:bCs/>
                <w:i w:val="0"/>
                <w:iCs w:val="0"/>
                <w:color w:val="000000"/>
                <w:sz w:val="18"/>
                <w:szCs w:val="18"/>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6E9B8D">
            <w:pPr>
              <w:jc w:val="center"/>
              <w:rPr>
                <w:rFonts w:hint="eastAsia" w:ascii="宋体" w:hAnsi="宋体" w:eastAsia="宋体" w:cs="宋体"/>
                <w:b/>
                <w:bCs/>
                <w:i w:val="0"/>
                <w:iCs w:val="0"/>
                <w:color w:val="000000"/>
                <w:sz w:val="18"/>
                <w:szCs w:val="18"/>
                <w:u w:val="none"/>
              </w:rPr>
            </w:pPr>
          </w:p>
        </w:tc>
        <w:tc>
          <w:tcPr>
            <w:tcW w:w="8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72871">
            <w:pPr>
              <w:jc w:val="center"/>
              <w:rPr>
                <w:rFonts w:hint="eastAsia" w:ascii="宋体" w:hAnsi="宋体" w:eastAsia="宋体" w:cs="宋体"/>
                <w:b/>
                <w:bCs/>
                <w:i w:val="0"/>
                <w:iCs w:val="0"/>
                <w:color w:val="000000"/>
                <w:sz w:val="18"/>
                <w:szCs w:val="18"/>
                <w:u w:val="none"/>
              </w:rPr>
            </w:pPr>
          </w:p>
        </w:tc>
      </w:tr>
      <w:tr w14:paraId="31666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67ECE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933B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84C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A4F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完成初设报告数量</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FA1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421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=1个</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9EB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=1个</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8B38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CE3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590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DEF19">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65E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B92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1FFCD">
            <w:pPr>
              <w:jc w:val="center"/>
              <w:rPr>
                <w:rFonts w:hint="eastAsia" w:ascii="宋体" w:hAnsi="宋体" w:eastAsia="宋体" w:cs="宋体"/>
                <w:i w:val="0"/>
                <w:iCs w:val="0"/>
                <w:color w:val="000000"/>
                <w:sz w:val="18"/>
                <w:szCs w:val="18"/>
                <w:u w:val="none"/>
              </w:rPr>
            </w:pPr>
          </w:p>
        </w:tc>
      </w:tr>
      <w:tr w14:paraId="4909F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92FCF6">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517D4E">
            <w:pPr>
              <w:jc w:val="center"/>
              <w:rPr>
                <w:rFonts w:hint="eastAsia" w:ascii="宋体" w:hAnsi="宋体" w:eastAsia="宋体" w:cs="宋体"/>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6B6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A2E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补偿林地面积</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996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855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&gt;=59公顷</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A86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=59公顷</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F25C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C43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949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04C9F">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428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01A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6B80A">
            <w:pPr>
              <w:jc w:val="center"/>
              <w:rPr>
                <w:rFonts w:hint="eastAsia" w:ascii="宋体" w:hAnsi="宋体" w:eastAsia="宋体" w:cs="宋体"/>
                <w:i w:val="0"/>
                <w:iCs w:val="0"/>
                <w:color w:val="000000"/>
                <w:sz w:val="18"/>
                <w:szCs w:val="18"/>
                <w:u w:val="none"/>
              </w:rPr>
            </w:pPr>
          </w:p>
        </w:tc>
      </w:tr>
      <w:tr w14:paraId="3C12D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DD2EBE">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28EF60">
            <w:pPr>
              <w:jc w:val="center"/>
              <w:rPr>
                <w:rFonts w:hint="eastAsia" w:ascii="宋体" w:hAnsi="宋体" w:eastAsia="宋体" w:cs="宋体"/>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689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AEF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补偿草地面积</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698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178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&gt;=50公顷</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0F1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=50公顷</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3934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A79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5B6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ED7C6">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819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E1A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B1521">
            <w:pPr>
              <w:jc w:val="center"/>
              <w:rPr>
                <w:rFonts w:hint="eastAsia" w:ascii="宋体" w:hAnsi="宋体" w:eastAsia="宋体" w:cs="宋体"/>
                <w:i w:val="0"/>
                <w:iCs w:val="0"/>
                <w:color w:val="000000"/>
                <w:sz w:val="18"/>
                <w:szCs w:val="18"/>
                <w:u w:val="none"/>
              </w:rPr>
            </w:pPr>
          </w:p>
        </w:tc>
      </w:tr>
      <w:tr w14:paraId="05232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092469">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6BCE7A">
            <w:pPr>
              <w:jc w:val="center"/>
              <w:rPr>
                <w:rFonts w:hint="eastAsia" w:ascii="宋体" w:hAnsi="宋体" w:eastAsia="宋体" w:cs="宋体"/>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9EC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7AE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地面实物补偿户数</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C90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8B8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&gt;=34户</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323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=34户</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3B03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590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1C5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BECCA">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4C8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E41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231E8">
            <w:pPr>
              <w:jc w:val="center"/>
              <w:rPr>
                <w:rFonts w:hint="eastAsia" w:ascii="宋体" w:hAnsi="宋体" w:eastAsia="宋体" w:cs="宋体"/>
                <w:i w:val="0"/>
                <w:iCs w:val="0"/>
                <w:color w:val="000000"/>
                <w:sz w:val="18"/>
                <w:szCs w:val="18"/>
                <w:u w:val="none"/>
              </w:rPr>
            </w:pPr>
          </w:p>
        </w:tc>
      </w:tr>
      <w:tr w14:paraId="35E40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4417F4">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ECF3D8">
            <w:pPr>
              <w:jc w:val="center"/>
              <w:rPr>
                <w:rFonts w:hint="eastAsia" w:ascii="宋体" w:hAnsi="宋体" w:eastAsia="宋体" w:cs="宋体"/>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2E5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B5C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初设审查通过率</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365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7D6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DE2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CE3F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D84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888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0A4BF">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584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A12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667C9">
            <w:pPr>
              <w:jc w:val="center"/>
              <w:rPr>
                <w:rFonts w:hint="eastAsia" w:ascii="宋体" w:hAnsi="宋体" w:eastAsia="宋体" w:cs="宋体"/>
                <w:i w:val="0"/>
                <w:iCs w:val="0"/>
                <w:color w:val="000000"/>
                <w:sz w:val="18"/>
                <w:szCs w:val="18"/>
                <w:u w:val="none"/>
              </w:rPr>
            </w:pPr>
          </w:p>
        </w:tc>
      </w:tr>
      <w:tr w14:paraId="302BD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73E7E9">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E3FE03">
            <w:pPr>
              <w:jc w:val="center"/>
              <w:rPr>
                <w:rFonts w:hint="eastAsia" w:ascii="宋体" w:hAnsi="宋体" w:eastAsia="宋体" w:cs="宋体"/>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355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A59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补偿资金使用合规率</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742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A0C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26F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01CB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083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10D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75F0C">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80E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C8A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88C65">
            <w:pPr>
              <w:jc w:val="center"/>
              <w:rPr>
                <w:rFonts w:hint="eastAsia" w:ascii="宋体" w:hAnsi="宋体" w:eastAsia="宋体" w:cs="宋体"/>
                <w:i w:val="0"/>
                <w:iCs w:val="0"/>
                <w:color w:val="000000"/>
                <w:sz w:val="18"/>
                <w:szCs w:val="18"/>
                <w:u w:val="none"/>
              </w:rPr>
            </w:pPr>
          </w:p>
        </w:tc>
      </w:tr>
      <w:tr w14:paraId="25FCB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4B1C1F">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54134A">
            <w:pPr>
              <w:jc w:val="center"/>
              <w:rPr>
                <w:rFonts w:hint="eastAsia" w:ascii="宋体" w:hAnsi="宋体" w:eastAsia="宋体" w:cs="宋体"/>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304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885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项目完成时间</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B5B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6A2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=2024年12月</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12E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2024年8月</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D48B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849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4D5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5772F">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BEB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CB9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0DA56">
            <w:pPr>
              <w:jc w:val="center"/>
              <w:rPr>
                <w:rFonts w:hint="eastAsia" w:ascii="宋体" w:hAnsi="宋体" w:eastAsia="宋体" w:cs="宋体"/>
                <w:i w:val="0"/>
                <w:iCs w:val="0"/>
                <w:color w:val="000000"/>
                <w:sz w:val="18"/>
                <w:szCs w:val="18"/>
                <w:u w:val="none"/>
              </w:rPr>
            </w:pPr>
          </w:p>
        </w:tc>
      </w:tr>
      <w:tr w14:paraId="68364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DB45F3">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0C57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CF0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E57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设计费</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421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DBA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&lt;=1302万元</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084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=1302万元</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9D4D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6AD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C59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080D8">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D8B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441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3EE75">
            <w:pPr>
              <w:jc w:val="center"/>
              <w:rPr>
                <w:rFonts w:hint="eastAsia" w:ascii="宋体" w:hAnsi="宋体" w:eastAsia="宋体" w:cs="宋体"/>
                <w:i w:val="0"/>
                <w:iCs w:val="0"/>
                <w:color w:val="000000"/>
                <w:sz w:val="18"/>
                <w:szCs w:val="18"/>
                <w:u w:val="none"/>
              </w:rPr>
            </w:pPr>
          </w:p>
        </w:tc>
      </w:tr>
      <w:tr w14:paraId="5E8F9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DCD9AC">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4F904D">
            <w:pPr>
              <w:jc w:val="center"/>
              <w:rPr>
                <w:rFonts w:hint="eastAsia" w:ascii="宋体" w:hAnsi="宋体" w:eastAsia="宋体" w:cs="宋体"/>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A03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6BC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林地补偿费</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131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CF6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&lt;=2074.43万元</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82F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=2074.43万元</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10B4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5EE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416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C7D01">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286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EA6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66BE1">
            <w:pPr>
              <w:jc w:val="center"/>
              <w:rPr>
                <w:rFonts w:hint="eastAsia" w:ascii="宋体" w:hAnsi="宋体" w:eastAsia="宋体" w:cs="宋体"/>
                <w:i w:val="0"/>
                <w:iCs w:val="0"/>
                <w:color w:val="000000"/>
                <w:sz w:val="18"/>
                <w:szCs w:val="18"/>
                <w:u w:val="none"/>
              </w:rPr>
            </w:pPr>
          </w:p>
        </w:tc>
      </w:tr>
      <w:tr w14:paraId="67846D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64062">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D63D83">
            <w:pPr>
              <w:jc w:val="center"/>
              <w:rPr>
                <w:rFonts w:hint="eastAsia" w:ascii="宋体" w:hAnsi="宋体" w:eastAsia="宋体" w:cs="宋体"/>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C23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799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草地补偿费</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3EA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C83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&lt;=298.02万元</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8F4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=298.02万元</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AC43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D55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174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4AF07">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FDE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DEF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B0B73">
            <w:pPr>
              <w:jc w:val="center"/>
              <w:rPr>
                <w:rFonts w:hint="eastAsia" w:ascii="宋体" w:hAnsi="宋体" w:eastAsia="宋体" w:cs="宋体"/>
                <w:i w:val="0"/>
                <w:iCs w:val="0"/>
                <w:color w:val="000000"/>
                <w:sz w:val="18"/>
                <w:szCs w:val="18"/>
                <w:u w:val="none"/>
              </w:rPr>
            </w:pPr>
          </w:p>
        </w:tc>
      </w:tr>
      <w:tr w14:paraId="43A66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00BA3E">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AE02DC">
            <w:pPr>
              <w:jc w:val="center"/>
              <w:rPr>
                <w:rFonts w:hint="eastAsia" w:ascii="宋体" w:hAnsi="宋体" w:eastAsia="宋体" w:cs="宋体"/>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D4F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767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其他补偿费</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A08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F15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&lt;=419.39万元</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A9B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=419.39万元</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373A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65A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DE9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AA245">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0CB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E73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4574E">
            <w:pPr>
              <w:jc w:val="center"/>
              <w:rPr>
                <w:rFonts w:hint="eastAsia" w:ascii="宋体" w:hAnsi="宋体" w:eastAsia="宋体" w:cs="宋体"/>
                <w:i w:val="0"/>
                <w:iCs w:val="0"/>
                <w:color w:val="000000"/>
                <w:sz w:val="18"/>
                <w:szCs w:val="18"/>
                <w:u w:val="none"/>
              </w:rPr>
            </w:pPr>
          </w:p>
        </w:tc>
      </w:tr>
      <w:tr w14:paraId="6CDF0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55BB4E">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2B9EB6">
            <w:pPr>
              <w:jc w:val="center"/>
              <w:rPr>
                <w:rFonts w:hint="eastAsia" w:ascii="宋体" w:hAnsi="宋体" w:eastAsia="宋体" w:cs="宋体"/>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E7B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9CEBC">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0D194">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17BA7">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63191">
            <w:pPr>
              <w:jc w:val="center"/>
              <w:rPr>
                <w:rFonts w:hint="eastAsia" w:ascii="宋体" w:hAnsi="宋体" w:eastAsia="宋体" w:cs="宋体"/>
                <w:i w:val="0"/>
                <w:iCs w:val="0"/>
                <w:color w:val="000000"/>
                <w:sz w:val="18"/>
                <w:szCs w:val="18"/>
                <w:u w:val="none"/>
              </w:rPr>
            </w:pP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374D8">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D129A">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7529F">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3DCAB">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233E2">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F7D60">
            <w:pPr>
              <w:jc w:val="cente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6DE81">
            <w:pPr>
              <w:jc w:val="center"/>
              <w:rPr>
                <w:rFonts w:hint="eastAsia" w:ascii="宋体" w:hAnsi="宋体" w:eastAsia="宋体" w:cs="宋体"/>
                <w:i w:val="0"/>
                <w:iCs w:val="0"/>
                <w:color w:val="000000"/>
                <w:sz w:val="18"/>
                <w:szCs w:val="18"/>
                <w:u w:val="none"/>
              </w:rPr>
            </w:pPr>
          </w:p>
        </w:tc>
      </w:tr>
      <w:tr w14:paraId="43504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D502C1">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15E322">
            <w:pPr>
              <w:jc w:val="center"/>
              <w:rPr>
                <w:rFonts w:hint="eastAsia" w:ascii="宋体" w:hAnsi="宋体" w:eastAsia="宋体" w:cs="宋体"/>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50A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2AFA0">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72D76">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E548A">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4EA71">
            <w:pPr>
              <w:jc w:val="center"/>
              <w:rPr>
                <w:rFonts w:hint="eastAsia" w:ascii="宋体" w:hAnsi="宋体" w:eastAsia="宋体" w:cs="宋体"/>
                <w:i w:val="0"/>
                <w:iCs w:val="0"/>
                <w:color w:val="000000"/>
                <w:sz w:val="18"/>
                <w:szCs w:val="18"/>
                <w:u w:val="none"/>
              </w:rPr>
            </w:pP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666C7">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B347F">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11933">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74040">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C73A9">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82F38">
            <w:pPr>
              <w:jc w:val="cente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725DA">
            <w:pPr>
              <w:jc w:val="center"/>
              <w:rPr>
                <w:rFonts w:hint="eastAsia" w:ascii="宋体" w:hAnsi="宋体" w:eastAsia="宋体" w:cs="宋体"/>
                <w:i w:val="0"/>
                <w:iCs w:val="0"/>
                <w:color w:val="000000"/>
                <w:sz w:val="18"/>
                <w:szCs w:val="18"/>
                <w:u w:val="none"/>
              </w:rPr>
            </w:pPr>
          </w:p>
        </w:tc>
      </w:tr>
      <w:tr w14:paraId="787CE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176A78">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4F5F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D59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92CD5">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54AD1">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B6566">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3C6A6">
            <w:pPr>
              <w:jc w:val="center"/>
              <w:rPr>
                <w:rFonts w:hint="eastAsia" w:ascii="宋体" w:hAnsi="宋体" w:eastAsia="宋体" w:cs="宋体"/>
                <w:i w:val="0"/>
                <w:iCs w:val="0"/>
                <w:color w:val="000000"/>
                <w:sz w:val="18"/>
                <w:szCs w:val="18"/>
                <w:u w:val="none"/>
              </w:rPr>
            </w:pP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69869">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D936C">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B7BE7">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C8CFA">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8E3B4">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39AF4">
            <w:pPr>
              <w:jc w:val="cente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8DD90">
            <w:pPr>
              <w:jc w:val="center"/>
              <w:rPr>
                <w:rFonts w:hint="eastAsia" w:ascii="宋体" w:hAnsi="宋体" w:eastAsia="宋体" w:cs="宋体"/>
                <w:i w:val="0"/>
                <w:iCs w:val="0"/>
                <w:color w:val="000000"/>
                <w:sz w:val="18"/>
                <w:szCs w:val="18"/>
                <w:u w:val="none"/>
              </w:rPr>
            </w:pPr>
          </w:p>
        </w:tc>
      </w:tr>
      <w:tr w14:paraId="1B801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4683BB">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8F75F6">
            <w:pPr>
              <w:jc w:val="center"/>
              <w:rPr>
                <w:rFonts w:hint="eastAsia" w:ascii="宋体" w:hAnsi="宋体" w:eastAsia="宋体" w:cs="宋体"/>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485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DF3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推进工程顺利开工</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DE5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DBD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有效推进</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75D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E13F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ACA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597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2B4E3">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FB6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A96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16B40">
            <w:pPr>
              <w:jc w:val="center"/>
              <w:rPr>
                <w:rFonts w:hint="eastAsia" w:ascii="宋体" w:hAnsi="宋体" w:eastAsia="宋体" w:cs="宋体"/>
                <w:i w:val="0"/>
                <w:iCs w:val="0"/>
                <w:color w:val="000000"/>
                <w:sz w:val="18"/>
                <w:szCs w:val="18"/>
                <w:u w:val="none"/>
              </w:rPr>
            </w:pPr>
          </w:p>
        </w:tc>
      </w:tr>
      <w:tr w14:paraId="0A2AE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DAE4A1">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B62DA1">
            <w:pPr>
              <w:jc w:val="center"/>
              <w:rPr>
                <w:rFonts w:hint="eastAsia" w:ascii="宋体" w:hAnsi="宋体" w:eastAsia="宋体" w:cs="宋体"/>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216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46E32">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73638">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BA312">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DBCC0">
            <w:pPr>
              <w:jc w:val="center"/>
              <w:rPr>
                <w:rFonts w:hint="eastAsia" w:ascii="宋体" w:hAnsi="宋体" w:eastAsia="宋体" w:cs="宋体"/>
                <w:i w:val="0"/>
                <w:iCs w:val="0"/>
                <w:color w:val="000000"/>
                <w:sz w:val="18"/>
                <w:szCs w:val="18"/>
                <w:u w:val="none"/>
              </w:rPr>
            </w:pP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C03E0">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B5142">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E8CEB">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2CAA0">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F9ED8">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3CEBF">
            <w:pPr>
              <w:jc w:val="cente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EBB0D">
            <w:pPr>
              <w:jc w:val="center"/>
              <w:rPr>
                <w:rFonts w:hint="eastAsia" w:ascii="宋体" w:hAnsi="宋体" w:eastAsia="宋体" w:cs="宋体"/>
                <w:i w:val="0"/>
                <w:iCs w:val="0"/>
                <w:color w:val="000000"/>
                <w:sz w:val="18"/>
                <w:szCs w:val="18"/>
                <w:u w:val="none"/>
              </w:rPr>
            </w:pPr>
          </w:p>
        </w:tc>
      </w:tr>
      <w:tr w14:paraId="654BB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B2A2C2">
            <w:pPr>
              <w:jc w:val="center"/>
              <w:rPr>
                <w:rFonts w:hint="eastAsia" w:ascii="宋体" w:hAnsi="宋体" w:eastAsia="宋体" w:cs="宋体"/>
                <w:b/>
                <w:bCs/>
                <w:i w:val="0"/>
                <w:iCs w:val="0"/>
                <w:color w:val="000000"/>
                <w:sz w:val="18"/>
                <w:szCs w:val="18"/>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173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552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FCB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补偿户满意度</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E66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F22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304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FCEB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26F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39F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8910C">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C9F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4D6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6F9AE">
            <w:pPr>
              <w:jc w:val="center"/>
              <w:rPr>
                <w:rFonts w:hint="eastAsia" w:ascii="宋体" w:hAnsi="宋体" w:eastAsia="宋体" w:cs="宋体"/>
                <w:i w:val="0"/>
                <w:iCs w:val="0"/>
                <w:color w:val="000000"/>
                <w:sz w:val="18"/>
                <w:szCs w:val="18"/>
                <w:u w:val="none"/>
              </w:rPr>
            </w:pPr>
          </w:p>
        </w:tc>
      </w:tr>
      <w:tr w14:paraId="387BF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98" w:type="pct"/>
            <w:gridSpan w:val="4"/>
            <w:tcBorders>
              <w:top w:val="single" w:color="000000" w:sz="4" w:space="0"/>
              <w:left w:val="single" w:color="000000" w:sz="4" w:space="0"/>
              <w:bottom w:val="single" w:color="000000" w:sz="4" w:space="0"/>
              <w:right w:val="nil"/>
            </w:tcBorders>
            <w:shd w:val="clear" w:color="auto" w:fill="auto"/>
            <w:vAlign w:val="center"/>
          </w:tcPr>
          <w:p w14:paraId="60402F1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DA9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nil"/>
              <w:bottom w:val="single" w:color="000000" w:sz="4" w:space="0"/>
              <w:right w:val="single" w:color="000000" w:sz="4" w:space="0"/>
            </w:tcBorders>
            <w:shd w:val="clear" w:color="auto" w:fill="auto"/>
            <w:vAlign w:val="center"/>
          </w:tcPr>
          <w:p w14:paraId="220DA560">
            <w:pPr>
              <w:rPr>
                <w:rFonts w:hint="eastAsia" w:ascii="宋体" w:hAnsi="宋体" w:eastAsia="宋体" w:cs="宋体"/>
                <w:b/>
                <w:bCs/>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6309C">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82171">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F8F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bookmarkStart w:id="154" w:name="_GoBack"/>
            <w:bookmarkEnd w:id="154"/>
            <w:r>
              <w:rPr>
                <w:rFonts w:hint="eastAsia" w:ascii="宋体" w:hAnsi="宋体" w:eastAsia="宋体" w:cs="宋体"/>
                <w:i w:val="0"/>
                <w:iCs w:val="0"/>
                <w:color w:val="000000"/>
                <w:kern w:val="0"/>
                <w:sz w:val="18"/>
                <w:szCs w:val="18"/>
                <w:u w:val="none"/>
                <w:lang w:val="en-US" w:eastAsia="zh-CN" w:bidi="ar"/>
              </w:rPr>
              <w:t>100.00分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F9BF9">
            <w:pP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A241C">
            <w:pP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CA2E6">
            <w:pP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EE560">
            <w:pP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2C475">
            <w:pPr>
              <w:rPr>
                <w:rFonts w:hint="eastAsia" w:ascii="宋体" w:hAnsi="宋体" w:eastAsia="宋体" w:cs="宋体"/>
                <w:i w:val="0"/>
                <w:iCs w:val="0"/>
                <w:color w:val="000000"/>
                <w:sz w:val="18"/>
                <w:szCs w:val="18"/>
                <w:u w:val="none"/>
              </w:rPr>
            </w:pPr>
          </w:p>
        </w:tc>
      </w:tr>
    </w:tbl>
    <w:p w14:paraId="71ACCEA0">
      <w:pPr>
        <w:ind w:left="0" w:leftChars="0" w:firstLine="0" w:firstLineChars="0"/>
      </w:pPr>
      <w:r>
        <w:br w:type="page"/>
      </w:r>
    </w:p>
    <w:p w14:paraId="5528DA03">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52" w:name="_Toc15067"/>
      <w:bookmarkStart w:id="153" w:name="_Toc11223"/>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52"/>
      <w:bookmarkEnd w:id="153"/>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521194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692" w:hRule="atLeast"/>
          <w:tblHeader/>
          <w:jc w:val="center"/>
        </w:trPr>
        <w:tc>
          <w:tcPr>
            <w:tcW w:w="861" w:type="dxa"/>
            <w:shd w:val="clear" w:color="auto" w:fill="auto"/>
            <w:noWrap w:val="0"/>
            <w:vAlign w:val="center"/>
          </w:tcPr>
          <w:p w14:paraId="5E85C96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auto"/>
            <w:noWrap w:val="0"/>
            <w:vAlign w:val="center"/>
          </w:tcPr>
          <w:p w14:paraId="3C72AA1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auto"/>
            <w:noWrap w:val="0"/>
            <w:vAlign w:val="center"/>
          </w:tcPr>
          <w:p w14:paraId="3A4F0C1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auto"/>
            <w:noWrap w:val="0"/>
            <w:vAlign w:val="center"/>
          </w:tcPr>
          <w:p w14:paraId="61EDE07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auto"/>
            <w:noWrap w:val="0"/>
            <w:vAlign w:val="center"/>
          </w:tcPr>
          <w:p w14:paraId="3572680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auto"/>
            <w:noWrap w:val="0"/>
            <w:vAlign w:val="center"/>
          </w:tcPr>
          <w:p w14:paraId="5150973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auto"/>
            <w:noWrap w:val="0"/>
            <w:vAlign w:val="center"/>
          </w:tcPr>
          <w:p w14:paraId="08B5059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14:paraId="03A67D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44EFCB2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14:paraId="6042CD9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6316D6E3">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auto"/>
            <w:noWrap w:val="0"/>
            <w:vAlign w:val="center"/>
          </w:tcPr>
          <w:p w14:paraId="09215A5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auto"/>
            <w:noWrap w:val="0"/>
            <w:vAlign w:val="center"/>
          </w:tcPr>
          <w:p w14:paraId="48AA4AB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14:paraId="0E077F5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auto"/>
            <w:noWrap w:val="0"/>
            <w:vAlign w:val="center"/>
          </w:tcPr>
          <w:p w14:paraId="184108D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auto"/>
            <w:noWrap w:val="0"/>
            <w:vAlign w:val="center"/>
          </w:tcPr>
          <w:p w14:paraId="6C3D51B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25F0DD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14:paraId="57212FC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14:paraId="22FBFA1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14:paraId="210C1BA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14:paraId="1FACD5DE">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auto"/>
            <w:noWrap w:val="0"/>
            <w:vAlign w:val="center"/>
          </w:tcPr>
          <w:p w14:paraId="044ED1E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2F7B1652">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5C6FD3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2D22CCB8">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3A5377F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4291C62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14:paraId="60D8028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auto"/>
            <w:noWrap w:val="0"/>
            <w:vAlign w:val="center"/>
          </w:tcPr>
          <w:p w14:paraId="7CCB5D3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auto"/>
            <w:noWrap w:val="0"/>
            <w:vAlign w:val="center"/>
          </w:tcPr>
          <w:p w14:paraId="16124E3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84FBC5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14:paraId="7D9A08A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14:paraId="53272745">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auto"/>
            <w:noWrap w:val="0"/>
            <w:vAlign w:val="center"/>
          </w:tcPr>
          <w:p w14:paraId="195830F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5E4E3723">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2.8</w:t>
            </w:r>
          </w:p>
        </w:tc>
      </w:tr>
      <w:tr w14:paraId="60D14B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1AC39DE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shd w:val="clear" w:color="auto" w:fill="auto"/>
            <w:noWrap w:val="0"/>
            <w:vAlign w:val="center"/>
          </w:tcPr>
          <w:p w14:paraId="31E3096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auto"/>
            <w:noWrap w:val="0"/>
            <w:vAlign w:val="center"/>
          </w:tcPr>
          <w:p w14:paraId="4A92835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14:paraId="0516610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70F1330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704DCF0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73896D1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14:paraId="158FB91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14:paraId="2271354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14:paraId="4364C02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14:paraId="18A2B400">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auto" w:fill="auto"/>
            <w:noWrap w:val="0"/>
            <w:vAlign w:val="center"/>
          </w:tcPr>
          <w:p w14:paraId="7D210F2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44860AE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44C8CB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46E9D23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auto"/>
            <w:noWrap w:val="0"/>
            <w:vAlign w:val="center"/>
          </w:tcPr>
          <w:p w14:paraId="6FB76F0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auto"/>
            <w:noWrap w:val="0"/>
            <w:vAlign w:val="center"/>
          </w:tcPr>
          <w:p w14:paraId="3C6F737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14:paraId="2CB78EE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auto" w:fill="auto"/>
            <w:noWrap w:val="0"/>
            <w:vAlign w:val="center"/>
          </w:tcPr>
          <w:p w14:paraId="40EA19E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auto" w:fill="auto"/>
            <w:noWrap w:val="0"/>
            <w:vAlign w:val="center"/>
          </w:tcPr>
          <w:p w14:paraId="18D41BD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F9E163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14:paraId="63D3A79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14:paraId="1900197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14:paraId="2545230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tc>
        <w:tc>
          <w:tcPr>
            <w:tcW w:w="785" w:type="dxa"/>
            <w:shd w:val="clear" w:color="auto" w:fill="auto"/>
            <w:noWrap w:val="0"/>
            <w:vAlign w:val="center"/>
          </w:tcPr>
          <w:p w14:paraId="14C7795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3E31AD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1155D3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18A51EC3">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173E3D1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14:paraId="5389B22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799ECF8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14:paraId="4680825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auto"/>
            <w:noWrap w:val="0"/>
            <w:vAlign w:val="center"/>
          </w:tcPr>
          <w:p w14:paraId="66E0AD4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7B7CB48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2C09C6E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14:paraId="37F81EA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14:paraId="5D960F2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14:paraId="10104A1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auto"/>
            <w:noWrap w:val="0"/>
            <w:vAlign w:val="center"/>
          </w:tcPr>
          <w:p w14:paraId="35DCC9D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6F0C493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6015AE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4A1D6E4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327A518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1AC59DC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14:paraId="31A1940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3BEA997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747B579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520ACBF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14:paraId="5A6A465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auto"/>
            <w:noWrap w:val="0"/>
            <w:vAlign w:val="center"/>
          </w:tcPr>
          <w:p w14:paraId="114E204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42FA4E3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14:paraId="1AD800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3A1985DE">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auto"/>
            <w:noWrap w:val="0"/>
            <w:vAlign w:val="center"/>
          </w:tcPr>
          <w:p w14:paraId="04436E2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677CB92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auto" w:fill="auto"/>
            <w:noWrap w:val="0"/>
            <w:vAlign w:val="center"/>
          </w:tcPr>
          <w:p w14:paraId="69EF34C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auto" w:fill="auto"/>
            <w:noWrap w:val="0"/>
            <w:vAlign w:val="center"/>
          </w:tcPr>
          <w:p w14:paraId="14357A2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p w14:paraId="2A40CD6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实际到位资金/预算资金）×100%。</w:t>
            </w:r>
          </w:p>
          <w:p w14:paraId="6753CD3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14:paraId="3C3A482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auto" w:fill="auto"/>
            <w:noWrap w:val="0"/>
            <w:vAlign w:val="center"/>
          </w:tcPr>
          <w:p w14:paraId="6F45782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3D3A2B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5A11AD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5F898A5A">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727" w:type="dxa"/>
            <w:vMerge w:val="continue"/>
            <w:shd w:val="clear" w:color="auto" w:fill="auto"/>
            <w:noWrap w:val="0"/>
            <w:vAlign w:val="center"/>
          </w:tcPr>
          <w:p w14:paraId="7DC57AFC">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820" w:type="dxa"/>
            <w:shd w:val="clear" w:color="auto" w:fill="auto"/>
            <w:noWrap w:val="0"/>
            <w:vAlign w:val="center"/>
          </w:tcPr>
          <w:p w14:paraId="4CFE911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auto"/>
            <w:noWrap w:val="0"/>
            <w:vAlign w:val="center"/>
          </w:tcPr>
          <w:p w14:paraId="75F135C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auto"/>
            <w:noWrap w:val="0"/>
            <w:vAlign w:val="center"/>
          </w:tcPr>
          <w:p w14:paraId="050E624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预算执行率=（实际支出资金/实际到位资金）×100%。</w:t>
            </w:r>
          </w:p>
          <w:p w14:paraId="4BDAC66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auto"/>
            <w:noWrap w:val="0"/>
            <w:vAlign w:val="center"/>
          </w:tcPr>
          <w:p w14:paraId="30F3633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7A0A7B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368A16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3E4F5ED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32D69643">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auto"/>
            <w:noWrap w:val="0"/>
            <w:vAlign w:val="center"/>
          </w:tcPr>
          <w:p w14:paraId="4DD2EF4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5B81D26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14:paraId="1B68896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auto" w:fill="auto"/>
            <w:noWrap w:val="0"/>
            <w:vAlign w:val="center"/>
          </w:tcPr>
          <w:p w14:paraId="7A3B3DB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auto" w:fill="auto"/>
            <w:noWrap w:val="0"/>
            <w:vAlign w:val="center"/>
          </w:tcPr>
          <w:p w14:paraId="163F803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5C3A640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①是否符合国家财经法规和财务管理制度以及有关专项资金管理办法的规定；</w:t>
            </w:r>
          </w:p>
          <w:p w14:paraId="1F1626D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②资金的拨付是否有完整的审批程序和手续；</w:t>
            </w:r>
          </w:p>
          <w:p w14:paraId="5C0EEA0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③是否符合项目预算批复或合同规定的用途；</w:t>
            </w:r>
          </w:p>
          <w:p w14:paraId="51750B5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④是否存在截留、挤占、挪用、虚列支出等情况。</w:t>
            </w:r>
          </w:p>
        </w:tc>
        <w:tc>
          <w:tcPr>
            <w:tcW w:w="785" w:type="dxa"/>
            <w:shd w:val="clear" w:color="auto" w:fill="auto"/>
            <w:noWrap w:val="0"/>
            <w:vAlign w:val="center"/>
          </w:tcPr>
          <w:p w14:paraId="3461803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32A0E2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70D441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15D0BC9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3970FF8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14:paraId="5277E714">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08EB3A2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14:paraId="00B1EEA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auto" w:fill="auto"/>
            <w:noWrap w:val="0"/>
            <w:vAlign w:val="center"/>
          </w:tcPr>
          <w:p w14:paraId="6DFA097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02A28F3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20B5BB9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①是否已制定或具有相应的财务和业务管理制度；</w:t>
            </w:r>
          </w:p>
          <w:p w14:paraId="14E33A7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②财务和业务管理制度是否合法、合规、完整。</w:t>
            </w:r>
          </w:p>
        </w:tc>
        <w:tc>
          <w:tcPr>
            <w:tcW w:w="785" w:type="dxa"/>
            <w:shd w:val="clear" w:color="auto" w:fill="auto"/>
            <w:noWrap w:val="0"/>
            <w:vAlign w:val="center"/>
          </w:tcPr>
          <w:p w14:paraId="3F1D2D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10FA29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576F02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5930E30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1D10C5E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392D661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14:paraId="666D039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141" w:type="dxa"/>
            <w:shd w:val="clear" w:color="auto" w:fill="auto"/>
            <w:noWrap w:val="0"/>
            <w:vAlign w:val="center"/>
          </w:tcPr>
          <w:p w14:paraId="7D0C3E6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21" w:type="dxa"/>
            <w:shd w:val="clear" w:color="auto" w:fill="auto"/>
            <w:noWrap w:val="0"/>
            <w:vAlign w:val="center"/>
          </w:tcPr>
          <w:p w14:paraId="7D371BE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5516CB8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①是否遵守相关法律法规和相关管理规定；</w:t>
            </w:r>
          </w:p>
          <w:p w14:paraId="6580634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②项目调整及支出调整手续是否完备；</w:t>
            </w:r>
          </w:p>
          <w:p w14:paraId="3936C83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③项目合同书、验收报告、技术鉴定等资料是否齐全并及时归档；</w:t>
            </w:r>
          </w:p>
          <w:p w14:paraId="6506946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auto" w:fill="auto"/>
            <w:noWrap w:val="0"/>
            <w:vAlign w:val="center"/>
          </w:tcPr>
          <w:p w14:paraId="6055F44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7DC2F8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7E2D50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03544A4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shd w:val="clear" w:color="auto" w:fill="auto"/>
            <w:noWrap w:val="0"/>
            <w:vAlign w:val="center"/>
          </w:tcPr>
          <w:p w14:paraId="37D35B8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820" w:type="dxa"/>
            <w:shd w:val="clear" w:color="auto" w:fill="auto"/>
            <w:noWrap w:val="0"/>
            <w:vAlign w:val="center"/>
          </w:tcPr>
          <w:p w14:paraId="0854FCC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2141" w:type="dxa"/>
            <w:shd w:val="clear" w:color="auto" w:fill="auto"/>
            <w:noWrap w:val="0"/>
            <w:vAlign w:val="center"/>
          </w:tcPr>
          <w:p w14:paraId="33C82FD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52609B3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实际完成率=（实际产出数/计划产出数）×100%。</w:t>
            </w:r>
          </w:p>
          <w:p w14:paraId="25CA1D3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实际产出数：一定时期（本年度或项目期）内项目实际产出的产品或提供的服务数量。</w:t>
            </w:r>
          </w:p>
          <w:p w14:paraId="35338EA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7D8194E3">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auto" w:fill="auto"/>
            <w:noWrap w:val="0"/>
            <w:vAlign w:val="center"/>
          </w:tcPr>
          <w:p w14:paraId="204E837F">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r w14:paraId="6A4D61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1838B46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shd w:val="clear" w:color="auto" w:fill="auto"/>
            <w:noWrap w:val="0"/>
            <w:vAlign w:val="center"/>
          </w:tcPr>
          <w:p w14:paraId="788DDB7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产出质量</w:t>
            </w:r>
          </w:p>
        </w:tc>
        <w:tc>
          <w:tcPr>
            <w:tcW w:w="820" w:type="dxa"/>
            <w:shd w:val="clear" w:color="auto" w:fill="auto"/>
            <w:noWrap w:val="0"/>
            <w:vAlign w:val="center"/>
          </w:tcPr>
          <w:p w14:paraId="71FC98F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2141" w:type="dxa"/>
            <w:shd w:val="clear" w:color="auto" w:fill="auto"/>
            <w:noWrap w:val="0"/>
            <w:vAlign w:val="center"/>
          </w:tcPr>
          <w:p w14:paraId="5E0752A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3AECB76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质量达标率=（质量达标产出数/实际产出数）×100%。</w:t>
            </w:r>
          </w:p>
          <w:p w14:paraId="50C1A32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17624A15">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auto" w:fill="auto"/>
            <w:noWrap w:val="0"/>
            <w:vAlign w:val="center"/>
          </w:tcPr>
          <w:p w14:paraId="2DB78C48">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r w14:paraId="7E10A6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3D0AE53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14:paraId="7FCC435C">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产出时效</w:t>
            </w:r>
          </w:p>
        </w:tc>
        <w:tc>
          <w:tcPr>
            <w:tcW w:w="820" w:type="dxa"/>
            <w:shd w:val="clear" w:color="auto" w:fill="auto"/>
            <w:noWrap w:val="0"/>
            <w:vAlign w:val="center"/>
          </w:tcPr>
          <w:p w14:paraId="1253A1C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2141" w:type="dxa"/>
            <w:shd w:val="clear" w:color="auto" w:fill="auto"/>
            <w:noWrap w:val="0"/>
            <w:vAlign w:val="center"/>
          </w:tcPr>
          <w:p w14:paraId="7E6C1F5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7726DEE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实际完成时间：项目实施单位完成该项目实际所耗用的时间。</w:t>
            </w:r>
          </w:p>
          <w:p w14:paraId="3056B4C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5E178684">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auto" w:fill="auto"/>
            <w:noWrap w:val="0"/>
            <w:vAlign w:val="center"/>
          </w:tcPr>
          <w:p w14:paraId="255498E2">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r w14:paraId="441F6D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7C79F34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效益　</w:t>
            </w:r>
          </w:p>
        </w:tc>
        <w:tc>
          <w:tcPr>
            <w:tcW w:w="727" w:type="dxa"/>
            <w:vMerge w:val="restart"/>
            <w:shd w:val="clear" w:color="auto" w:fill="auto"/>
            <w:noWrap w:val="0"/>
            <w:vAlign w:val="center"/>
          </w:tcPr>
          <w:p w14:paraId="2A15D1A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项目效益　</w:t>
            </w:r>
          </w:p>
        </w:tc>
        <w:tc>
          <w:tcPr>
            <w:tcW w:w="820" w:type="dxa"/>
            <w:shd w:val="clear" w:color="auto" w:fill="auto"/>
            <w:noWrap w:val="0"/>
            <w:vAlign w:val="center"/>
          </w:tcPr>
          <w:p w14:paraId="43257BC7">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社会效益</w:t>
            </w:r>
          </w:p>
        </w:tc>
        <w:tc>
          <w:tcPr>
            <w:tcW w:w="2141" w:type="dxa"/>
            <w:shd w:val="clear" w:color="auto" w:fill="auto"/>
            <w:noWrap w:val="0"/>
            <w:vAlign w:val="center"/>
          </w:tcPr>
          <w:p w14:paraId="61AA2F05">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项目实施所产生的效益。</w:t>
            </w:r>
          </w:p>
        </w:tc>
        <w:tc>
          <w:tcPr>
            <w:tcW w:w="7821" w:type="dxa"/>
            <w:shd w:val="clear" w:color="auto" w:fill="auto"/>
            <w:noWrap w:val="0"/>
            <w:vAlign w:val="center"/>
          </w:tcPr>
          <w:p w14:paraId="2598B51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23F8456E">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3B11ED4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0FF945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4B38D5A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22350C5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3A8F63FD">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满意度</w:t>
            </w:r>
          </w:p>
        </w:tc>
        <w:tc>
          <w:tcPr>
            <w:tcW w:w="2141" w:type="dxa"/>
            <w:shd w:val="clear" w:color="auto" w:fill="auto"/>
            <w:noWrap w:val="0"/>
            <w:vAlign w:val="center"/>
          </w:tcPr>
          <w:p w14:paraId="01FB5E1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社会公众或服务对象对项目实施效果的满意程度。</w:t>
            </w:r>
          </w:p>
        </w:tc>
        <w:tc>
          <w:tcPr>
            <w:tcW w:w="7821" w:type="dxa"/>
            <w:shd w:val="clear" w:color="auto" w:fill="auto"/>
            <w:noWrap w:val="0"/>
            <w:vAlign w:val="center"/>
          </w:tcPr>
          <w:p w14:paraId="789DF47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33C382B3">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0ABA7E89">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5E35BF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4B67BFE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合计</w:t>
            </w:r>
          </w:p>
        </w:tc>
        <w:tc>
          <w:tcPr>
            <w:tcW w:w="7821" w:type="dxa"/>
            <w:shd w:val="clear" w:color="auto" w:fill="auto"/>
            <w:noWrap w:val="0"/>
            <w:vAlign w:val="center"/>
          </w:tcPr>
          <w:p w14:paraId="11CF7B2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p>
        </w:tc>
        <w:tc>
          <w:tcPr>
            <w:tcW w:w="785" w:type="dxa"/>
            <w:shd w:val="clear" w:color="auto" w:fill="auto"/>
            <w:noWrap w:val="0"/>
            <w:vAlign w:val="center"/>
          </w:tcPr>
          <w:p w14:paraId="65AD4504">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100</w:t>
            </w:r>
          </w:p>
        </w:tc>
        <w:tc>
          <w:tcPr>
            <w:tcW w:w="769" w:type="dxa"/>
            <w:shd w:val="clear" w:color="auto" w:fill="auto"/>
            <w:noWrap w:val="0"/>
            <w:vAlign w:val="center"/>
          </w:tcPr>
          <w:p w14:paraId="4806FF1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99.8</w:t>
            </w:r>
          </w:p>
        </w:tc>
      </w:tr>
    </w:tbl>
    <w:p w14:paraId="4340DA8B">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sz w:val="30"/>
          <w:szCs w:val="24"/>
        </w:rPr>
      </w:pPr>
    </w:p>
    <w:p w14:paraId="1D7FF766">
      <w:pPr>
        <w:pageBreakBefore w:val="0"/>
        <w:kinsoku/>
        <w:wordWrap/>
        <w:overflowPunct/>
        <w:topLinePunct w:val="0"/>
        <w:autoSpaceDE/>
        <w:autoSpaceDN/>
        <w:bidi w:val="0"/>
        <w:spacing w:line="560" w:lineRule="exact"/>
        <w:textAlignment w:val="auto"/>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7E1A9">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271CA4">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D271CA4">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2200440"/>
    <w:rsid w:val="02284B43"/>
    <w:rsid w:val="02B015E2"/>
    <w:rsid w:val="02DC08FA"/>
    <w:rsid w:val="033B569D"/>
    <w:rsid w:val="039C3BA0"/>
    <w:rsid w:val="03A845BB"/>
    <w:rsid w:val="03B45AD1"/>
    <w:rsid w:val="04D12EE4"/>
    <w:rsid w:val="04D63993"/>
    <w:rsid w:val="05493B5A"/>
    <w:rsid w:val="07890F4F"/>
    <w:rsid w:val="08892439"/>
    <w:rsid w:val="08EB30F3"/>
    <w:rsid w:val="09237408"/>
    <w:rsid w:val="09781BD6"/>
    <w:rsid w:val="09F359DF"/>
    <w:rsid w:val="0A575E65"/>
    <w:rsid w:val="0ACA0AB6"/>
    <w:rsid w:val="0C032502"/>
    <w:rsid w:val="0C27698C"/>
    <w:rsid w:val="0D4452F3"/>
    <w:rsid w:val="0F5E5042"/>
    <w:rsid w:val="0FE95707"/>
    <w:rsid w:val="10500051"/>
    <w:rsid w:val="10510571"/>
    <w:rsid w:val="10787A20"/>
    <w:rsid w:val="108672DE"/>
    <w:rsid w:val="10EC685A"/>
    <w:rsid w:val="11FA6155"/>
    <w:rsid w:val="12CF0947"/>
    <w:rsid w:val="12F1313F"/>
    <w:rsid w:val="136C678E"/>
    <w:rsid w:val="13EB2FF5"/>
    <w:rsid w:val="14ED4CAC"/>
    <w:rsid w:val="14F46542"/>
    <w:rsid w:val="15A46B04"/>
    <w:rsid w:val="165825BC"/>
    <w:rsid w:val="16BC5D73"/>
    <w:rsid w:val="176F36D7"/>
    <w:rsid w:val="1795226D"/>
    <w:rsid w:val="18456B1E"/>
    <w:rsid w:val="1C1171C5"/>
    <w:rsid w:val="1D0932D2"/>
    <w:rsid w:val="1D265138"/>
    <w:rsid w:val="1D7B6BCA"/>
    <w:rsid w:val="1DA41A79"/>
    <w:rsid w:val="1DF53469"/>
    <w:rsid w:val="1E2F24F2"/>
    <w:rsid w:val="1E58492F"/>
    <w:rsid w:val="1E5B6757"/>
    <w:rsid w:val="1E8544F0"/>
    <w:rsid w:val="1ED10AC6"/>
    <w:rsid w:val="1F89225F"/>
    <w:rsid w:val="1F900A1F"/>
    <w:rsid w:val="1FC0575D"/>
    <w:rsid w:val="206132C7"/>
    <w:rsid w:val="21B00C1D"/>
    <w:rsid w:val="23031BEB"/>
    <w:rsid w:val="23917691"/>
    <w:rsid w:val="244D65B8"/>
    <w:rsid w:val="245E1E24"/>
    <w:rsid w:val="25AD5E5D"/>
    <w:rsid w:val="2732478D"/>
    <w:rsid w:val="27661469"/>
    <w:rsid w:val="27900EAD"/>
    <w:rsid w:val="279B538A"/>
    <w:rsid w:val="286F545C"/>
    <w:rsid w:val="29314FBC"/>
    <w:rsid w:val="2AA2081A"/>
    <w:rsid w:val="2C024B86"/>
    <w:rsid w:val="2C927671"/>
    <w:rsid w:val="2CC6306F"/>
    <w:rsid w:val="2D7C5CD6"/>
    <w:rsid w:val="2E483E7E"/>
    <w:rsid w:val="2E690493"/>
    <w:rsid w:val="2E9854BD"/>
    <w:rsid w:val="2F0D407F"/>
    <w:rsid w:val="2F454B19"/>
    <w:rsid w:val="2FC0630A"/>
    <w:rsid w:val="310224D9"/>
    <w:rsid w:val="31B4621C"/>
    <w:rsid w:val="31E3230A"/>
    <w:rsid w:val="330957E0"/>
    <w:rsid w:val="33356F64"/>
    <w:rsid w:val="33944516"/>
    <w:rsid w:val="34B62907"/>
    <w:rsid w:val="368E00A3"/>
    <w:rsid w:val="36BD137C"/>
    <w:rsid w:val="38053EDF"/>
    <w:rsid w:val="380812A4"/>
    <w:rsid w:val="38440589"/>
    <w:rsid w:val="385D37E7"/>
    <w:rsid w:val="38782EDD"/>
    <w:rsid w:val="3B42664A"/>
    <w:rsid w:val="3CAD1E92"/>
    <w:rsid w:val="3D836A4E"/>
    <w:rsid w:val="3EA37E97"/>
    <w:rsid w:val="3F631D44"/>
    <w:rsid w:val="3FBE0BC5"/>
    <w:rsid w:val="4048103A"/>
    <w:rsid w:val="40736643"/>
    <w:rsid w:val="40D24A7A"/>
    <w:rsid w:val="42621029"/>
    <w:rsid w:val="435241E2"/>
    <w:rsid w:val="43975C51"/>
    <w:rsid w:val="439E3FA7"/>
    <w:rsid w:val="44B32266"/>
    <w:rsid w:val="44FC64F4"/>
    <w:rsid w:val="467F4585"/>
    <w:rsid w:val="470628CB"/>
    <w:rsid w:val="4729480B"/>
    <w:rsid w:val="47555BD4"/>
    <w:rsid w:val="47BC2DB1"/>
    <w:rsid w:val="47E96399"/>
    <w:rsid w:val="47F76025"/>
    <w:rsid w:val="486E33F5"/>
    <w:rsid w:val="48E12B50"/>
    <w:rsid w:val="499441BE"/>
    <w:rsid w:val="499A6C1C"/>
    <w:rsid w:val="4A195607"/>
    <w:rsid w:val="4A2138F0"/>
    <w:rsid w:val="4A583887"/>
    <w:rsid w:val="4B9F6E02"/>
    <w:rsid w:val="4C89637B"/>
    <w:rsid w:val="4E6E48A8"/>
    <w:rsid w:val="4EEC036B"/>
    <w:rsid w:val="4F714FA1"/>
    <w:rsid w:val="501D2673"/>
    <w:rsid w:val="50C80BF1"/>
    <w:rsid w:val="51852833"/>
    <w:rsid w:val="52F11AC8"/>
    <w:rsid w:val="534F49D9"/>
    <w:rsid w:val="53524D7B"/>
    <w:rsid w:val="53555F0F"/>
    <w:rsid w:val="535D23D5"/>
    <w:rsid w:val="56F4341A"/>
    <w:rsid w:val="5739073E"/>
    <w:rsid w:val="575A7321"/>
    <w:rsid w:val="580C3AB9"/>
    <w:rsid w:val="583C7AE0"/>
    <w:rsid w:val="585E68D0"/>
    <w:rsid w:val="586C1E9A"/>
    <w:rsid w:val="586E0800"/>
    <w:rsid w:val="591E3D80"/>
    <w:rsid w:val="59216F96"/>
    <w:rsid w:val="598C4145"/>
    <w:rsid w:val="59957D1B"/>
    <w:rsid w:val="59D4294E"/>
    <w:rsid w:val="5B634312"/>
    <w:rsid w:val="5B9D2CCD"/>
    <w:rsid w:val="5B9E71EA"/>
    <w:rsid w:val="5E226FBC"/>
    <w:rsid w:val="5FE71B38"/>
    <w:rsid w:val="5FE72BD2"/>
    <w:rsid w:val="60120613"/>
    <w:rsid w:val="618D5292"/>
    <w:rsid w:val="622E78FA"/>
    <w:rsid w:val="63343F70"/>
    <w:rsid w:val="64296E1C"/>
    <w:rsid w:val="64386FCC"/>
    <w:rsid w:val="649E64A2"/>
    <w:rsid w:val="65E5270A"/>
    <w:rsid w:val="663D3C54"/>
    <w:rsid w:val="667A6962"/>
    <w:rsid w:val="66862C89"/>
    <w:rsid w:val="66BB486D"/>
    <w:rsid w:val="67394C7D"/>
    <w:rsid w:val="68126B38"/>
    <w:rsid w:val="68291A1A"/>
    <w:rsid w:val="68352BB8"/>
    <w:rsid w:val="691327EB"/>
    <w:rsid w:val="691B1594"/>
    <w:rsid w:val="693A016B"/>
    <w:rsid w:val="6A17429C"/>
    <w:rsid w:val="6A567EA3"/>
    <w:rsid w:val="6B4B4368"/>
    <w:rsid w:val="6B79100E"/>
    <w:rsid w:val="6C844C00"/>
    <w:rsid w:val="6E10212C"/>
    <w:rsid w:val="6E43561A"/>
    <w:rsid w:val="6E557973"/>
    <w:rsid w:val="6E9568DB"/>
    <w:rsid w:val="6F0D6C22"/>
    <w:rsid w:val="6F47657F"/>
    <w:rsid w:val="6FAF23D9"/>
    <w:rsid w:val="70635CF6"/>
    <w:rsid w:val="70670707"/>
    <w:rsid w:val="720E3691"/>
    <w:rsid w:val="7249173A"/>
    <w:rsid w:val="724E244C"/>
    <w:rsid w:val="72DA6946"/>
    <w:rsid w:val="732764B3"/>
    <w:rsid w:val="74026044"/>
    <w:rsid w:val="74325A77"/>
    <w:rsid w:val="74746410"/>
    <w:rsid w:val="755E0416"/>
    <w:rsid w:val="75C8506C"/>
    <w:rsid w:val="75E5007C"/>
    <w:rsid w:val="77636B63"/>
    <w:rsid w:val="77813724"/>
    <w:rsid w:val="77861774"/>
    <w:rsid w:val="78F31435"/>
    <w:rsid w:val="79300B45"/>
    <w:rsid w:val="794D3E18"/>
    <w:rsid w:val="79F3729A"/>
    <w:rsid w:val="7A880722"/>
    <w:rsid w:val="7ABE6120"/>
    <w:rsid w:val="7ACB0498"/>
    <w:rsid w:val="7AED0B4D"/>
    <w:rsid w:val="7C1E4487"/>
    <w:rsid w:val="7C215E02"/>
    <w:rsid w:val="7CF23764"/>
    <w:rsid w:val="7D851A94"/>
    <w:rsid w:val="7E797F74"/>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20"/>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6">
    <w:name w:val="annotation text"/>
    <w:basedOn w:val="1"/>
    <w:qFormat/>
    <w:uiPriority w:val="0"/>
    <w:pPr>
      <w:jc w:val="left"/>
    </w:p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character" w:styleId="18">
    <w:name w:val="Strong"/>
    <w:basedOn w:val="17"/>
    <w:qFormat/>
    <w:uiPriority w:val="0"/>
    <w:rPr>
      <w:b/>
    </w:rPr>
  </w:style>
  <w:style w:type="paragraph" w:customStyle="1" w:styleId="19">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0">
    <w:name w:val="标题 2 Char"/>
    <w:link w:val="4"/>
    <w:qFormat/>
    <w:uiPriority w:val="0"/>
    <w:rPr>
      <w:rFonts w:ascii="Arial" w:hAnsi="Arial" w:eastAsia="楷体"/>
      <w:b/>
      <w:sz w:val="32"/>
    </w:rPr>
  </w:style>
  <w:style w:type="paragraph" w:customStyle="1" w:styleId="21">
    <w:name w:val="WPSOffice手动目录 1"/>
    <w:qFormat/>
    <w:uiPriority w:val="0"/>
    <w:pPr>
      <w:ind w:leftChars="0"/>
    </w:pPr>
    <w:rPr>
      <w:rFonts w:ascii="Times New Roman" w:hAnsi="Times New Roman" w:eastAsia="宋体" w:cs="Times New Roman"/>
      <w:sz w:val="20"/>
      <w:szCs w:val="20"/>
    </w:rPr>
  </w:style>
  <w:style w:type="paragraph" w:customStyle="1" w:styleId="22">
    <w:name w:val="WPSOffice手动目录 2"/>
    <w:qFormat/>
    <w:uiPriority w:val="0"/>
    <w:pPr>
      <w:ind w:leftChars="200"/>
    </w:pPr>
    <w:rPr>
      <w:rFonts w:ascii="Times New Roman" w:hAnsi="Times New Roman" w:eastAsia="宋体" w:cs="Times New Roman"/>
      <w:sz w:val="20"/>
      <w:szCs w:val="20"/>
    </w:rPr>
  </w:style>
  <w:style w:type="paragraph" w:customStyle="1" w:styleId="23">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11620</Words>
  <Characters>12433</Characters>
  <Lines>0</Lines>
  <Paragraphs>0</Paragraphs>
  <TotalTime>0</TotalTime>
  <ScaleCrop>false</ScaleCrop>
  <LinksUpToDate>false</LinksUpToDate>
  <CharactersWithSpaces>12503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2025-10-23T10:01:48Z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