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25575"/>
      <w:bookmarkStart w:id="1" w:name="_Toc29123"/>
      <w:bookmarkStart w:id="2" w:name="_Toc15679"/>
      <w:bookmarkStart w:id="3" w:name="_Toc1949"/>
      <w:r>
        <w:rPr>
          <w:rFonts w:hint="eastAsia" w:cs="宋体"/>
          <w:b/>
          <w:bCs/>
          <w:color w:val="auto"/>
          <w:sz w:val="40"/>
          <w:szCs w:val="40"/>
          <w:highlight w:val="none"/>
          <w:shd w:val="clear" w:color="auto" w:fill="auto"/>
          <w:lang w:val="en-US" w:eastAsia="zh-CN"/>
        </w:rPr>
        <w:t>2023年阳光食品建设</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项目名称：</w:t>
      </w:r>
      <w:r>
        <w:rPr>
          <w:rFonts w:hint="eastAsia" w:ascii="黑体" w:hAnsi="Times New Roman" w:eastAsia="黑体"/>
          <w:b w:val="0"/>
          <w:bCs/>
          <w:color w:val="000000"/>
          <w:sz w:val="30"/>
          <w:szCs w:val="30"/>
          <w:lang w:val="en-US" w:eastAsia="zh-CN"/>
        </w:rPr>
        <w:t>2023年阳光食品建设项目</w:t>
      </w:r>
    </w:p>
    <w:p w14:paraId="7CB8A243">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eastAsia="zh-CN"/>
        </w:rPr>
        <w:t>市场监督管理局</w:t>
      </w:r>
    </w:p>
    <w:p w14:paraId="1CD13478">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eastAsia="zh-CN"/>
        </w:rPr>
        <w:t>市场监督管理局</w:t>
      </w:r>
    </w:p>
    <w:p w14:paraId="065BEE39">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lang w:eastAsia="zh-CN"/>
        </w:rPr>
        <w:t>项目负责人：付晓亮</w:t>
      </w:r>
    </w:p>
    <w:p w14:paraId="50706B4B">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5E9F2796">
      <w:pPr>
        <w:pStyle w:val="16"/>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A85C49B">
          <w:pPr>
            <w:pStyle w:val="13"/>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3912E34D">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7B41E73">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7F756E6">
          <w:pPr>
            <w:pStyle w:val="13"/>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1477607">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556FEB0C">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13</w:t>
          </w:r>
          <w:r>
            <w:fldChar w:fldCharType="end"/>
          </w:r>
          <w:r>
            <w:rPr>
              <w:rFonts w:hint="eastAsia"/>
              <w:szCs w:val="28"/>
              <w:lang w:val="en-US" w:eastAsia="zh-CN"/>
            </w:rPr>
            <w:fldChar w:fldCharType="end"/>
          </w:r>
        </w:p>
        <w:p w14:paraId="3B815655">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15</w:t>
          </w:r>
          <w:r>
            <w:fldChar w:fldCharType="end"/>
          </w:r>
          <w:r>
            <w:rPr>
              <w:rFonts w:hint="eastAsia"/>
              <w:szCs w:val="28"/>
              <w:lang w:val="en-US" w:eastAsia="zh-CN"/>
            </w:rPr>
            <w:fldChar w:fldCharType="end"/>
          </w:r>
        </w:p>
        <w:p w14:paraId="0A9E6E01">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15</w:t>
          </w:r>
          <w:r>
            <w:fldChar w:fldCharType="end"/>
          </w:r>
          <w:r>
            <w:rPr>
              <w:rFonts w:hint="eastAsia"/>
              <w:szCs w:val="28"/>
              <w:lang w:val="en-US" w:eastAsia="zh-CN"/>
            </w:rPr>
            <w:fldChar w:fldCharType="end"/>
          </w:r>
        </w:p>
        <w:p w14:paraId="59A17E56">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41287B22">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16</w:t>
          </w:r>
          <w:r>
            <w:fldChar w:fldCharType="end"/>
          </w:r>
          <w:r>
            <w:rPr>
              <w:rFonts w:hint="eastAsia"/>
              <w:szCs w:val="28"/>
              <w:lang w:val="en-US" w:eastAsia="zh-CN"/>
            </w:rPr>
            <w:fldChar w:fldCharType="end"/>
          </w:r>
        </w:p>
        <w:p w14:paraId="4403B4F1">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16</w:t>
          </w:r>
          <w:r>
            <w:fldChar w:fldCharType="end"/>
          </w:r>
          <w:r>
            <w:rPr>
              <w:rFonts w:hint="eastAsia"/>
              <w:szCs w:val="28"/>
              <w:lang w:val="en-US" w:eastAsia="zh-CN"/>
            </w:rPr>
            <w:fldChar w:fldCharType="end"/>
          </w:r>
        </w:p>
        <w:p w14:paraId="5BC5DC5C">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19</w:t>
          </w:r>
          <w:r>
            <w:fldChar w:fldCharType="end"/>
          </w:r>
          <w:r>
            <w:rPr>
              <w:rFonts w:hint="eastAsia"/>
              <w:szCs w:val="28"/>
              <w:lang w:val="en-US" w:eastAsia="zh-CN"/>
            </w:rPr>
            <w:fldChar w:fldCharType="end"/>
          </w:r>
        </w:p>
        <w:p w14:paraId="639A1B48">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22</w:t>
          </w:r>
          <w:r>
            <w:fldChar w:fldCharType="end"/>
          </w:r>
          <w:r>
            <w:rPr>
              <w:rFonts w:hint="eastAsia"/>
              <w:szCs w:val="28"/>
              <w:lang w:val="en-US" w:eastAsia="zh-CN"/>
            </w:rPr>
            <w:fldChar w:fldCharType="end"/>
          </w:r>
        </w:p>
        <w:p w14:paraId="285AC912">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24</w:t>
          </w:r>
          <w:r>
            <w:fldChar w:fldCharType="end"/>
          </w:r>
          <w:r>
            <w:rPr>
              <w:rFonts w:hint="eastAsia"/>
              <w:szCs w:val="28"/>
              <w:lang w:val="en-US" w:eastAsia="zh-CN"/>
            </w:rPr>
            <w:fldChar w:fldCharType="end"/>
          </w:r>
        </w:p>
        <w:p w14:paraId="28EABBB7">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24</w:t>
          </w:r>
          <w:r>
            <w:fldChar w:fldCharType="end"/>
          </w:r>
          <w:r>
            <w:rPr>
              <w:rFonts w:hint="eastAsia"/>
              <w:szCs w:val="28"/>
              <w:lang w:val="en-US" w:eastAsia="zh-CN"/>
            </w:rPr>
            <w:fldChar w:fldCharType="end"/>
          </w:r>
        </w:p>
        <w:p w14:paraId="1E847F20">
          <w:pPr>
            <w:pStyle w:val="13"/>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F56B39E">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24</w:t>
          </w:r>
          <w:r>
            <w:fldChar w:fldCharType="end"/>
          </w:r>
          <w:r>
            <w:rPr>
              <w:rFonts w:hint="eastAsia"/>
              <w:szCs w:val="28"/>
              <w:lang w:val="en-US" w:eastAsia="zh-CN"/>
            </w:rPr>
            <w:fldChar w:fldCharType="end"/>
          </w:r>
        </w:p>
        <w:p w14:paraId="1991B234">
          <w:pPr>
            <w:pStyle w:val="13"/>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25</w:t>
          </w:r>
          <w:r>
            <w:fldChar w:fldCharType="end"/>
          </w:r>
          <w:r>
            <w:rPr>
              <w:rFonts w:hint="eastAsia"/>
              <w:szCs w:val="28"/>
              <w:lang w:val="en-US" w:eastAsia="zh-CN"/>
            </w:rPr>
            <w:fldChar w:fldCharType="end"/>
          </w:r>
        </w:p>
        <w:p w14:paraId="740F1495">
          <w:pPr>
            <w:pStyle w:val="13"/>
            <w:tabs>
              <w:tab w:val="right" w:leader="dot" w:pos="8844"/>
            </w:tabs>
            <w:rPr>
              <w:rFonts w:hint="default" w:ascii="黑体" w:hAnsi="黑体" w:eastAsia="黑体" w:cs="黑体"/>
              <w:lang w:val="en-US"/>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lang w:val="en-US" w:eastAsia="zh-CN"/>
            </w:rPr>
            <w:t>2</w:t>
          </w:r>
          <w:r>
            <w:rPr>
              <w:rFonts w:hint="eastAsia" w:ascii="黑体" w:hAnsi="黑体" w:eastAsia="黑体" w:cs="黑体"/>
              <w:szCs w:val="28"/>
              <w:lang w:val="en-US" w:eastAsia="zh-CN"/>
            </w:rPr>
            <w:fldChar w:fldCharType="end"/>
          </w:r>
          <w:r>
            <w:rPr>
              <w:rFonts w:hint="eastAsia" w:ascii="黑体" w:hAnsi="黑体" w:eastAsia="黑体" w:cs="黑体"/>
              <w:szCs w:val="28"/>
              <w:lang w:val="en-US" w:eastAsia="zh-CN"/>
            </w:rPr>
            <w:t>5</w:t>
          </w:r>
        </w:p>
        <w:p w14:paraId="2DBAE4F1">
          <w:pPr>
            <w:pStyle w:val="13"/>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3"/>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3"/>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31</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pPr>
      <w:bookmarkStart w:id="4" w:name="_Toc22946"/>
      <w:bookmarkStart w:id="5" w:name="_Toc1194"/>
      <w:bookmarkStart w:id="6" w:name="_Toc3663"/>
      <w:bookmarkStart w:id="7" w:name="_Toc20432"/>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2023年阳光食品建设项目支出支出绩效评价报告</w:t>
      </w:r>
      <w:bookmarkEnd w:id="4"/>
      <w:bookmarkEnd w:id="5"/>
      <w:bookmarkEnd w:id="6"/>
      <w:bookmarkEnd w:id="7"/>
    </w:p>
    <w:p w14:paraId="6F6F00A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bCs/>
          <w:color w:val="auto"/>
          <w:sz w:val="32"/>
          <w:szCs w:val="32"/>
          <w:highlight w:val="none"/>
          <w:shd w:val="clear" w:color="auto" w:fill="auto"/>
          <w:lang w:val="en-US" w:eastAsia="zh-CN"/>
        </w:rPr>
      </w:pPr>
      <w:bookmarkStart w:id="8" w:name="_Toc18485"/>
      <w:r>
        <w:rPr>
          <w:rFonts w:hint="eastAsia" w:ascii="黑体" w:hAnsi="黑体" w:eastAsia="黑体" w:cs="黑体"/>
          <w:b/>
          <w:bCs/>
          <w:color w:val="auto"/>
          <w:sz w:val="32"/>
          <w:szCs w:val="32"/>
          <w:highlight w:val="none"/>
          <w:shd w:val="clear" w:color="auto" w:fill="auto"/>
          <w:lang w:val="en-US" w:eastAsia="zh-CN"/>
        </w:rPr>
        <w:t>一、基本情况</w:t>
      </w:r>
      <w:bookmarkEnd w:id="8"/>
    </w:p>
    <w:p w14:paraId="57D21E5B">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9" w:name="_Toc23184"/>
      <w:r>
        <w:rPr>
          <w:rFonts w:hint="eastAsia" w:ascii="Times New Roman" w:hAnsi="Times New Roman" w:eastAsia="楷体_GB2312" w:cs="Times New Roman"/>
          <w:kern w:val="28"/>
          <w:sz w:val="32"/>
          <w:highlight w:val="none"/>
          <w:lang w:val="en-US" w:eastAsia="zh-CN"/>
        </w:rPr>
        <w:t>（一）项目概况</w:t>
      </w:r>
      <w:bookmarkEnd w:id="9"/>
    </w:p>
    <w:p w14:paraId="625E81A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32"/>
          <w:szCs w:val="32"/>
          <w:highlight w:val="none"/>
          <w:shd w:val="clear" w:color="auto" w:fill="auto"/>
          <w:lang w:val="en-US" w:eastAsia="zh-CN"/>
        </w:rPr>
      </w:pPr>
      <w:bookmarkStart w:id="10" w:name="_Toc10645"/>
      <w:bookmarkStart w:id="11" w:name="_Toc29812"/>
      <w:bookmarkStart w:id="12" w:name="_Toc22346"/>
      <w:bookmarkStart w:id="13" w:name="_Toc5043"/>
      <w:r>
        <w:rPr>
          <w:rFonts w:hint="eastAsia" w:ascii="仿宋_GB2312" w:hAnsi="仿宋_GB2312" w:eastAsia="仿宋_GB2312" w:cs="仿宋_GB2312"/>
          <w:b/>
          <w:bCs/>
          <w:color w:val="auto"/>
          <w:sz w:val="32"/>
          <w:szCs w:val="32"/>
          <w:highlight w:val="none"/>
          <w:shd w:val="clear" w:color="auto" w:fill="auto"/>
          <w:lang w:val="en-US" w:eastAsia="zh-CN"/>
        </w:rPr>
        <w:t>1.项目背景</w:t>
      </w:r>
      <w:bookmarkEnd w:id="10"/>
      <w:bookmarkEnd w:id="11"/>
      <w:bookmarkEnd w:id="12"/>
      <w:bookmarkEnd w:id="13"/>
    </w:p>
    <w:p w14:paraId="42260FE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昌吉州“阳光食品（阳光厨房）”项目建设从2017年起实施至2031年结束，共15年完成。该项目经昌吉州人民政府授权昌吉州食品药品监督管理局为实施机构（甲方），并于2017年与新疆安飞智能科技发展有限公司（乙方）签订了PPP项目合同，合同规定：“项目建设期最长不超过2年，运行维护期为13年。”“在项目合作第二年，甲方向乙方支付的政府补贴固定为607万。”</w:t>
      </w:r>
    </w:p>
    <w:p w14:paraId="4F5AE66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32"/>
          <w:szCs w:val="32"/>
          <w:highlight w:val="none"/>
          <w:shd w:val="clear" w:color="auto" w:fill="auto"/>
          <w:lang w:val="en-US" w:eastAsia="zh-CN"/>
        </w:rPr>
      </w:pPr>
      <w:bookmarkStart w:id="14" w:name="_Toc10730"/>
      <w:bookmarkStart w:id="15" w:name="_Toc27343"/>
      <w:bookmarkStart w:id="16" w:name="_Toc17880"/>
      <w:bookmarkStart w:id="17" w:name="_Toc1630"/>
      <w:r>
        <w:rPr>
          <w:rFonts w:hint="eastAsia" w:ascii="仿宋_GB2312" w:hAnsi="仿宋_GB2312" w:eastAsia="仿宋_GB2312" w:cs="仿宋_GB2312"/>
          <w:b/>
          <w:bCs/>
          <w:color w:val="auto"/>
          <w:sz w:val="32"/>
          <w:szCs w:val="32"/>
          <w:highlight w:val="none"/>
          <w:shd w:val="clear" w:color="auto" w:fill="auto"/>
          <w:lang w:val="en-US" w:eastAsia="zh-CN"/>
        </w:rPr>
        <w:t>2.主要内容及实施情况</w:t>
      </w:r>
      <w:bookmarkEnd w:id="14"/>
      <w:bookmarkEnd w:id="15"/>
      <w:bookmarkEnd w:id="16"/>
      <w:bookmarkEnd w:id="17"/>
    </w:p>
    <w:p w14:paraId="6382C34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8" w:name="_Toc27245"/>
      <w:bookmarkStart w:id="19" w:name="_Toc27409"/>
      <w:bookmarkStart w:id="20" w:name="_Toc16592"/>
      <w:bookmarkStart w:id="21" w:name="_Toc21898"/>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color w:val="auto"/>
          <w:sz w:val="32"/>
          <w:szCs w:val="32"/>
          <w:highlight w:val="none"/>
          <w:shd w:val="clear" w:color="auto" w:fill="auto"/>
          <w:lang w:val="en-US" w:eastAsia="zh-CN"/>
        </w:rPr>
        <w:t>阜康市2023年阳光食品项目建设主要任务为：到2023年底，新安装企业125家，安装设备128台；完成阜康市阳光食品视频云调试上线,阳光食品监控指挥中心每月巡检维护。</w:t>
      </w:r>
    </w:p>
    <w:p w14:paraId="25DF43E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满足人民群众美好生活对安全健康食品的需要，巩固食品安全稳定向好的态势，促进食品产业有序健康发展。巩固食品安全稳定向好的态势，促进食品产业有序健康发展。</w:t>
      </w:r>
    </w:p>
    <w:p w14:paraId="3DD1638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实施情况：本项目自2017年6月6日经阜康市食品委员会文件批复，经阜康市食品安全委员会会议，确定了项目领导小组，明确了责任分工：组长为董英，副组长为徐建新，项目负责人为袁鹏,组员为杨盼、艾西江、加勒别克，其中：杨盼负责监管工作，艾西江负责项目档案资料，加勒别克负责资金拨付工作。</w:t>
      </w:r>
    </w:p>
    <w:p w14:paraId="048FBE1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32"/>
          <w:szCs w:val="32"/>
          <w:highlight w:val="none"/>
          <w:shd w:val="clear" w:color="auto" w:fill="auto"/>
          <w:lang w:val="en-US" w:eastAsia="zh-CN"/>
        </w:rPr>
      </w:pPr>
      <w:bookmarkStart w:id="22" w:name="_Toc1858"/>
      <w:bookmarkStart w:id="23" w:name="_Toc12348"/>
      <w:bookmarkStart w:id="24" w:name="_Toc569"/>
      <w:bookmarkStart w:id="25" w:name="_Toc10240"/>
      <w:r>
        <w:rPr>
          <w:rFonts w:hint="eastAsia" w:ascii="仿宋_GB2312" w:hAnsi="仿宋_GB2312" w:eastAsia="仿宋_GB2312" w:cs="仿宋_GB2312"/>
          <w:b/>
          <w:bCs/>
          <w:color w:val="auto"/>
          <w:sz w:val="32"/>
          <w:szCs w:val="32"/>
          <w:highlight w:val="none"/>
          <w:shd w:val="clear" w:color="auto" w:fill="auto"/>
          <w:lang w:val="en-US" w:eastAsia="zh-CN"/>
        </w:rPr>
        <w:t>3.资金投入和使用情况</w:t>
      </w:r>
      <w:bookmarkEnd w:id="22"/>
      <w:bookmarkEnd w:id="23"/>
      <w:bookmarkEnd w:id="24"/>
      <w:bookmarkEnd w:id="25"/>
    </w:p>
    <w:p w14:paraId="1943662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6" w:name="_Toc23509"/>
      <w:bookmarkStart w:id="27" w:name="_Toc694"/>
      <w:bookmarkStart w:id="28" w:name="_Toc26369"/>
      <w:r>
        <w:rPr>
          <w:rFonts w:hint="eastAsia" w:ascii="仿宋_GB2312" w:hAnsi="仿宋_GB2312" w:eastAsia="仿宋_GB2312" w:cs="仿宋_GB2312"/>
          <w:color w:val="auto"/>
          <w:sz w:val="32"/>
          <w:szCs w:val="32"/>
          <w:highlight w:val="none"/>
          <w:shd w:val="clear" w:color="auto" w:fill="auto"/>
          <w:lang w:val="en-US" w:eastAsia="zh-CN"/>
        </w:rPr>
        <w:t>（1）资金投入情况</w:t>
      </w:r>
      <w:bookmarkEnd w:id="26"/>
      <w:bookmarkEnd w:id="27"/>
      <w:bookmarkEnd w:id="28"/>
    </w:p>
    <w:p w14:paraId="5F41803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bookmarkStart w:id="29" w:name="_Toc9464"/>
      <w:bookmarkStart w:id="30" w:name="_Toc5573"/>
      <w:bookmarkStart w:id="31" w:name="_Toc29190"/>
      <w:r>
        <w:rPr>
          <w:rFonts w:hint="eastAsia" w:ascii="仿宋_GB2312" w:hAnsi="仿宋_GB2312" w:eastAsia="仿宋_GB2312" w:cs="仿宋_GB2312"/>
          <w:b w:val="0"/>
          <w:bCs w:val="0"/>
          <w:color w:val="auto"/>
          <w:sz w:val="32"/>
          <w:szCs w:val="32"/>
          <w:highlight w:val="none"/>
          <w:shd w:val="clear" w:color="auto" w:fill="auto"/>
          <w:lang w:val="en-US" w:eastAsia="zh-CN"/>
        </w:rPr>
        <w:t>该项目年初预算数48.10万元，全年预算数48.10万元，该项目资金已全部落实到位，资金来源为财政拨款。</w:t>
      </w:r>
      <w:bookmarkEnd w:id="29"/>
      <w:bookmarkEnd w:id="30"/>
      <w:bookmarkEnd w:id="31"/>
      <w:bookmarkStart w:id="32" w:name="_Toc1166"/>
      <w:bookmarkStart w:id="33" w:name="_Toc3409"/>
      <w:bookmarkStart w:id="34" w:name="_Toc28187"/>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 w:cs="仿宋_GB2312"/>
          <w:sz w:val="32"/>
          <w:szCs w:val="32"/>
          <w:highlight w:val="none"/>
          <w:lang w:val="en-US" w:eastAsia="zh-CN"/>
        </w:rPr>
      </w:pPr>
      <w:r>
        <w:rPr>
          <w:rFonts w:hint="eastAsia" w:ascii="仿宋_GB2312" w:hAnsi="仿宋_GB2312" w:eastAsia="仿宋" w:cs="仿宋_GB2312"/>
          <w:sz w:val="32"/>
          <w:szCs w:val="32"/>
          <w:highlight w:val="none"/>
          <w:lang w:val="en-US" w:eastAsia="zh-CN"/>
        </w:rPr>
        <w:t>（2）资金使用情况</w:t>
      </w:r>
      <w:bookmarkEnd w:id="32"/>
      <w:bookmarkEnd w:id="33"/>
      <w:bookmarkEnd w:id="34"/>
    </w:p>
    <w:p w14:paraId="0457426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5" w:name="_Toc11647"/>
      <w:bookmarkStart w:id="36" w:name="_Toc1430"/>
      <w:bookmarkStart w:id="37" w:name="_Toc29121"/>
      <w:r>
        <w:rPr>
          <w:rFonts w:hint="eastAsia" w:ascii="仿宋_GB2312" w:hAnsi="仿宋_GB2312" w:eastAsia="仿宋_GB2312" w:cs="仿宋_GB2312"/>
          <w:color w:val="auto"/>
          <w:sz w:val="32"/>
          <w:szCs w:val="32"/>
          <w:highlight w:val="none"/>
          <w:shd w:val="clear" w:color="auto" w:fill="auto"/>
          <w:lang w:val="en-US" w:eastAsia="zh-CN"/>
        </w:rPr>
        <w:t>该项目年初预算数48.10万元，全年预算数48.10万元，截至2024年12月31日，全年执行数48.10万元，预算执行率为100%，主要用于：平台升级、维护等方面。</w:t>
      </w:r>
      <w:bookmarkEnd w:id="35"/>
      <w:bookmarkEnd w:id="36"/>
      <w:bookmarkEnd w:id="37"/>
    </w:p>
    <w:p w14:paraId="2DCACF36">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99BBCD3">
      <w:pPr>
        <w:pStyle w:val="7"/>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2547"/>
      <w:bookmarkStart w:id="40" w:name="_Toc10047"/>
      <w:bookmarkStart w:id="41" w:name="_Toc8528"/>
      <w:bookmarkStart w:id="42"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B8735D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2023年阳光食品建设项目绩效总体目标为：负责食品生产、流通、餐饮服务的安全监督管理、负责食品安全综合协调，推生产、流通、使用环节的监督管理和质量管理规范的监督实施、负责保健食品、经营的监督管理、负责产品质量安全监督管理、市场经营秩序的规范管理和监督；负责质量管理工作、负责标准化管理工作、负责监督管理计量工作、负责认证认可工作。2024年工作计划 1、新安装企业125家，安装设备128台；2、完成阜康市阳光食品视频云调试上线,上线率达到100%；3、完成阳光食品项目软硬件设备的日常维护工作。达到业务保障能力提升,市场持续监管服务能力提升的效益。</w:t>
      </w:r>
    </w:p>
    <w:p w14:paraId="37B75223">
      <w:pPr>
        <w:pStyle w:val="7"/>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4007"/>
      <w:bookmarkStart w:id="44" w:name="_Toc4487"/>
      <w:bookmarkStart w:id="45" w:name="_Toc3255"/>
      <w:bookmarkStart w:id="46" w:name="_Toc89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根据《预算法》《财政支出绩效评价管理暂行办法》（财预〔2020〕10号）等文件的规定，结合项目实施单位的规章制度以及财务相关资料，评价小组对项目绩效目标进行了进一步的完善，完善后绩效目标如下：</w:t>
      </w:r>
    </w:p>
    <w:p w14:paraId="7C0DB6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（1）项目产出目标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“新安装企业数量(个)”指标，预期目标值为≥125家；</w:t>
      </w:r>
    </w:p>
    <w:p w14:paraId="41AB33F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“新安装企业设备数量(台)”指标，预期目标值为≥128台；</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“视频云调试上线合格率（%）”指标，预期目标值为'=100%；</w:t>
      </w:r>
    </w:p>
    <w:p w14:paraId="4EEFF1D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“设备维护率（%）”指标，预期目标值为≥95%；</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539DAFB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“项目按时完成率”指标，预期目标值为=100%；</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“设备安装成本”指标，预期目标值为≤19.24万元；</w:t>
      </w:r>
    </w:p>
    <w:p w14:paraId="1A969B6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“明厨亮灶服务成本”指标，预期目标值为≤28.86万元；</w:t>
      </w:r>
    </w:p>
    <w:p w14:paraId="19C8598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（3）项目效益目标</w:t>
      </w:r>
    </w:p>
    <w:p w14:paraId="6508294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2460CB5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本项目不存在经济效益指标</w:t>
      </w:r>
    </w:p>
    <w:p w14:paraId="4BF678F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1262EB1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“业务保障能力提升情况”指标，预期目标值为提升；</w:t>
      </w:r>
    </w:p>
    <w:p w14:paraId="198AC47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0A708DE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本项目不存在生态效益指标</w:t>
      </w:r>
    </w:p>
    <w:p w14:paraId="7FD2ACB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642C8BB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本项目不存在可持续影响指标</w:t>
      </w:r>
    </w:p>
    <w:p w14:paraId="0664C7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61D423F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本项目不存在满意度指标。</w:t>
      </w:r>
    </w:p>
    <w:p w14:paraId="123E4843">
      <w:pPr>
        <w:pStyle w:val="5"/>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6632"/>
      <w:bookmarkStart w:id="49" w:name="_Toc22169_WPSOffice_Level2"/>
      <w:bookmarkStart w:id="50" w:name="_Toc22922"/>
      <w:bookmarkStart w:id="51" w:name="_Toc480473081"/>
      <w:bookmarkStart w:id="52" w:name="_Toc21664"/>
      <w:bookmarkStart w:id="53" w:name="_Toc12868"/>
      <w:bookmarkStart w:id="54" w:name="_Toc5258"/>
      <w:bookmarkStart w:id="55" w:name="_Toc5462343"/>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8BEEC9">
      <w:pPr>
        <w:pStyle w:val="16"/>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7"/>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21770"/>
      <w:bookmarkStart w:id="59"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E225F3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bookmarkStart w:id="60" w:name="_Toc30609"/>
      <w:r>
        <w:rPr>
          <w:rFonts w:hint="default" w:ascii="仿宋_GB2312" w:hAnsi="仿宋_GB2312" w:eastAsia="仿宋_GB2312" w:cs="仿宋_GB2312"/>
          <w:color w:val="auto"/>
          <w:sz w:val="32"/>
          <w:szCs w:val="32"/>
          <w:highlight w:val="none"/>
          <w:shd w:val="clear" w:color="auto" w:fill="auto"/>
          <w:lang w:val="en-US" w:eastAsia="zh-CN"/>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7"/>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31970"/>
      <w:bookmarkStart w:id="62" w:name="_Toc16346"/>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此次我单位根据《财政支出绩效评价管理暂行办法》（财预〔2020〕10号）文件要求对2024年度我单位实施的2023年阳光食品建设项目</w:t>
      </w:r>
      <w:r>
        <w:rPr>
          <w:rFonts w:hint="default" w:ascii="仿宋_GB2312" w:hAnsi="仿宋_GB2312" w:eastAsia="仿宋_GB2312" w:cs="仿宋_GB2312"/>
          <w:color w:val="auto"/>
          <w:sz w:val="32"/>
          <w:szCs w:val="32"/>
          <w:highlight w:val="none"/>
          <w:shd w:val="clear" w:color="auto" w:fill="auto"/>
          <w:lang w:val="en-US" w:eastAsia="zh-CN"/>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该项目由</w:t>
      </w:r>
      <w:r>
        <w:rPr>
          <w:rFonts w:hint="eastAsia" w:ascii="仿宋_GB2312" w:hAnsi="仿宋_GB2312" w:eastAsia="仿宋_GB2312" w:cs="仿宋_GB2312"/>
          <w:color w:val="auto"/>
          <w:sz w:val="32"/>
          <w:szCs w:val="32"/>
          <w:highlight w:val="none"/>
          <w:shd w:val="clear" w:color="auto" w:fill="auto"/>
          <w:lang w:val="en-US" w:eastAsia="zh-CN"/>
        </w:rPr>
        <w:t>市场监督管理局</w:t>
      </w:r>
      <w:r>
        <w:rPr>
          <w:rFonts w:hint="default" w:ascii="仿宋_GB2312" w:hAnsi="仿宋_GB2312" w:eastAsia="仿宋_GB2312" w:cs="仿宋_GB2312"/>
          <w:color w:val="auto"/>
          <w:sz w:val="32"/>
          <w:szCs w:val="32"/>
          <w:highlight w:val="none"/>
          <w:shd w:val="clear" w:color="auto" w:fill="auto"/>
          <w:lang w:val="en-US" w:eastAsia="zh-CN"/>
        </w:rPr>
        <w:t>负责实施，旨在</w:t>
      </w:r>
      <w:r>
        <w:rPr>
          <w:rFonts w:hint="eastAsia" w:ascii="仿宋_GB2312" w:hAnsi="仿宋_GB2312" w:eastAsia="仿宋_GB2312" w:cs="仿宋_GB2312"/>
          <w:color w:val="auto"/>
          <w:sz w:val="32"/>
          <w:szCs w:val="32"/>
          <w:highlight w:val="none"/>
          <w:shd w:val="clear" w:color="auto" w:fill="auto"/>
          <w:lang w:val="en-US" w:eastAsia="zh-CN"/>
        </w:rPr>
        <w:t>（</w:t>
      </w:r>
      <w:r>
        <w:rPr>
          <w:rFonts w:hint="default" w:ascii="仿宋_GB2312" w:hAnsi="仿宋_GB2312" w:eastAsia="仿宋_GB2312" w:cs="仿宋_GB2312"/>
          <w:color w:val="auto"/>
          <w:sz w:val="32"/>
          <w:szCs w:val="32"/>
          <w:highlight w:val="none"/>
          <w:shd w:val="clear" w:color="auto" w:fill="auto"/>
          <w:lang w:val="en-US" w:eastAsia="zh-CN"/>
        </w:rPr>
        <w:t>简述项目目标或预期成果</w:t>
      </w:r>
      <w:r>
        <w:rPr>
          <w:rFonts w:hint="eastAsia" w:ascii="仿宋_GB2312" w:hAnsi="仿宋_GB2312" w:eastAsia="仿宋_GB2312" w:cs="仿宋_GB2312"/>
          <w:color w:val="auto"/>
          <w:sz w:val="32"/>
          <w:szCs w:val="32"/>
          <w:highlight w:val="none"/>
          <w:shd w:val="clear" w:color="auto" w:fill="auto"/>
          <w:lang w:val="en-US" w:eastAsia="zh-CN"/>
        </w:rPr>
        <w:t>）</w:t>
      </w:r>
      <w:r>
        <w:rPr>
          <w:rFonts w:hint="default" w:ascii="仿宋_GB2312" w:hAnsi="仿宋_GB2312" w:eastAsia="仿宋_GB2312" w:cs="仿宋_GB2312"/>
          <w:color w:val="auto"/>
          <w:sz w:val="32"/>
          <w:szCs w:val="32"/>
          <w:highlight w:val="none"/>
          <w:shd w:val="clear" w:color="auto" w:fill="auto"/>
          <w:lang w:val="en-US" w:eastAsia="zh-CN"/>
        </w:rPr>
        <w:t>。项目预算涵盖从</w:t>
      </w:r>
      <w:r>
        <w:rPr>
          <w:rFonts w:hint="eastAsia" w:ascii="仿宋_GB2312" w:hAnsi="仿宋_GB2312" w:eastAsia="仿宋_GB2312" w:cs="仿宋_GB2312"/>
          <w:color w:val="auto"/>
          <w:sz w:val="32"/>
          <w:szCs w:val="32"/>
          <w:highlight w:val="none"/>
          <w:shd w:val="clear" w:color="auto" w:fill="auto"/>
          <w:lang w:val="en-US" w:eastAsia="zh-CN"/>
        </w:rPr>
        <w:t>2024年1月1日</w:t>
      </w:r>
      <w:r>
        <w:rPr>
          <w:rFonts w:hint="default" w:ascii="仿宋_GB2312" w:hAnsi="仿宋_GB2312" w:eastAsia="仿宋_GB2312" w:cs="仿宋_GB2312"/>
          <w:color w:val="auto"/>
          <w:sz w:val="32"/>
          <w:szCs w:val="32"/>
          <w:highlight w:val="none"/>
          <w:shd w:val="clear" w:color="auto" w:fill="auto"/>
          <w:lang w:val="en-US" w:eastAsia="zh-CN"/>
        </w:rPr>
        <w:t>至</w:t>
      </w:r>
      <w:r>
        <w:rPr>
          <w:rFonts w:hint="eastAsia" w:ascii="仿宋_GB2312" w:hAnsi="仿宋_GB2312" w:eastAsia="仿宋_GB2312" w:cs="仿宋_GB2312"/>
          <w:color w:val="auto"/>
          <w:sz w:val="32"/>
          <w:szCs w:val="32"/>
          <w:highlight w:val="none"/>
          <w:shd w:val="clear" w:color="auto" w:fill="auto"/>
          <w:lang w:val="en-US" w:eastAsia="zh-CN"/>
        </w:rPr>
        <w:t>2024年12月31日</w:t>
      </w:r>
      <w:r>
        <w:rPr>
          <w:rFonts w:hint="default" w:ascii="仿宋_GB2312" w:hAnsi="仿宋_GB2312" w:eastAsia="仿宋_GB2312" w:cs="仿宋_GB2312"/>
          <w:color w:val="auto"/>
          <w:sz w:val="32"/>
          <w:szCs w:val="32"/>
          <w:highlight w:val="none"/>
          <w:shd w:val="clear" w:color="auto" w:fill="auto"/>
          <w:lang w:val="en-US" w:eastAsia="zh-CN"/>
        </w:rPr>
        <w:t>的全部资金投入与支出，涉及资金总额为</w:t>
      </w:r>
      <w:r>
        <w:rPr>
          <w:rFonts w:hint="eastAsia" w:ascii="仿宋_GB2312" w:hAnsi="仿宋_GB2312" w:eastAsia="仿宋_GB2312" w:cs="仿宋_GB2312"/>
          <w:color w:val="auto"/>
          <w:sz w:val="32"/>
          <w:szCs w:val="32"/>
          <w:highlight w:val="none"/>
          <w:shd w:val="clear" w:color="auto" w:fill="auto"/>
          <w:lang w:val="en-US" w:eastAsia="zh-CN"/>
        </w:rPr>
        <w:t>48.1</w:t>
      </w:r>
      <w:r>
        <w:rPr>
          <w:rFonts w:hint="default" w:ascii="仿宋_GB2312" w:hAnsi="仿宋_GB2312" w:eastAsia="仿宋_GB2312" w:cs="仿宋_GB2312"/>
          <w:color w:val="auto"/>
          <w:sz w:val="32"/>
          <w:szCs w:val="32"/>
          <w:highlight w:val="none"/>
          <w:shd w:val="clear" w:color="auto" w:fill="auto"/>
          <w:lang w:val="en-US" w:eastAsia="zh-CN"/>
        </w:rPr>
        <w:t>万元。</w:t>
      </w:r>
    </w:p>
    <w:p w14:paraId="4A012542">
      <w:pPr>
        <w:pStyle w:val="7"/>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11666"/>
      <w:bookmarkStart w:id="64"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本项目预算绩效评价报告的评价范围广泛而全面，涵盖了从项目立项至评价时点期间的所有关键预算活动和财务流程。具体而言，评价范围包括但不限于以下几个方面：</w:t>
      </w:r>
    </w:p>
    <w:p w14:paraId="19EB23D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项目预算编制与执行：全面审视项目预算的编制依据、合理性、科学性以及实际执行情况，包括预算调整的原因和效果。</w:t>
      </w:r>
    </w:p>
    <w:p w14:paraId="267E8AE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资金管理：深入分析项目资金的分配、使用和监管情况，确保资金使用的合规性、高效性和透明度。</w:t>
      </w:r>
    </w:p>
    <w:p w14:paraId="19E01C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项目实施进度与产出：评估项目是否按照既定计划顺利推进，各项任务是否按时完成，以及项目产出的数量、质量和时效性是否符合预期。</w:t>
      </w:r>
    </w:p>
    <w:p w14:paraId="1E59BB3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（4）社会影响：考察项目对社会方面的综合影响。</w:t>
      </w:r>
    </w:p>
    <w:p w14:paraId="01C5BF3E">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1286"/>
      <w:bookmarkStart w:id="66"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7"/>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5354"/>
      <w:bookmarkStart w:id="68" w:name="_Toc13694"/>
      <w:bookmarkStart w:id="69" w:name="_Toc24506"/>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依据《财政支出绩效评价管理暂行办法》（财预〔2020〕10号）本次绩效评价秉承科学规范、公正公开、分级分类、绩效相关等原则，按照从投入、过程到产出效果和影响的绩效逻辑路径，结合2023年阳光食品建设项目实际开展情况，运用定量和定性分析相结合的方法，总结经验做法，反思项目实施和管理中的问题，以切实提升财政资金管理的科学化、规范化和精细化水平。</w:t>
      </w:r>
    </w:p>
    <w:p w14:paraId="7860D5D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根据以上原则，绩效评价应遵循如下要求：</w:t>
      </w:r>
    </w:p>
    <w:p w14:paraId="5280BE6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（1）科学公正。绩效评价应当运用科学合理的方法，按照规范的程序，对项目绩效进行客观、公正的反映。</w:t>
      </w:r>
    </w:p>
    <w:p w14:paraId="48CD034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（2）统筹兼顾。单位自评、部门评价和财政评价应职责明确，各有侧重，相互衔接。单位自评应由项目单位自主实施，即“谁支出、谁自评”。</w:t>
      </w:r>
    </w:p>
    <w:p w14:paraId="50F6CF1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（3）激励约束。绩效评价结果应与预算安排、政策调整、改进管理实质性挂钩，体现奖优罚劣和激励相容导向，有效要安排、低效要压减、无效要问责。</w:t>
      </w:r>
    </w:p>
    <w:p w14:paraId="273EE92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1913"/>
      <w:bookmarkStart w:id="71" w:name="_Toc419984722"/>
      <w:bookmarkStart w:id="72" w:name="_Toc24396"/>
      <w:bookmarkStart w:id="73" w:name="_Toc428278230"/>
      <w:bookmarkStart w:id="74" w:name="_Toc26131"/>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5" w:name="_Toc9941"/>
      <w:r>
        <w:rPr>
          <w:rFonts w:hint="eastAsia" w:ascii="仿宋_GB2312" w:hAnsi="仿宋_GB2312" w:eastAsia="仿宋_GB2312" w:cs="仿宋_GB2312"/>
          <w:color w:val="auto"/>
          <w:sz w:val="32"/>
          <w:szCs w:val="32"/>
          <w:highlight w:val="none"/>
          <w:shd w:val="clear" w:color="auto" w:fill="auto"/>
          <w:lang w:val="en-US" w:eastAsia="zh-CN"/>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我单位</w:t>
      </w:r>
      <w:r>
        <w:rPr>
          <w:rFonts w:hint="eastAsia" w:ascii="仿宋_GB2312" w:hAnsi="仿宋_GB2312" w:eastAsia="仿宋_GB2312" w:cs="仿宋_GB2312"/>
          <w:color w:val="auto"/>
          <w:sz w:val="32"/>
          <w:szCs w:val="32"/>
          <w:highlight w:val="none"/>
          <w:shd w:val="clear" w:color="auto" w:fill="auto"/>
          <w:lang w:val="zh-TW" w:eastAsia="zh-TW"/>
        </w:rPr>
        <w:t>根据项目的</w:t>
      </w:r>
      <w:r>
        <w:rPr>
          <w:rFonts w:hint="eastAsia" w:ascii="仿宋_GB2312" w:hAnsi="仿宋_GB2312" w:eastAsia="仿宋_GB2312" w:cs="仿宋_GB2312"/>
          <w:color w:val="auto"/>
          <w:sz w:val="32"/>
          <w:szCs w:val="32"/>
          <w:highlight w:val="none"/>
          <w:shd w:val="clear" w:color="auto" w:fill="auto"/>
          <w:lang w:val="en-US" w:eastAsia="zh-CN"/>
        </w:rPr>
        <w:t>实施</w:t>
      </w:r>
      <w:r>
        <w:rPr>
          <w:rFonts w:hint="eastAsia" w:ascii="仿宋_GB2312" w:hAnsi="仿宋_GB2312" w:eastAsia="仿宋_GB2312" w:cs="仿宋_GB2312"/>
          <w:color w:val="auto"/>
          <w:sz w:val="32"/>
          <w:szCs w:val="32"/>
          <w:highlight w:val="none"/>
          <w:shd w:val="clear" w:color="auto" w:fill="auto"/>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详见上传的附件二。</w:t>
      </w:r>
    </w:p>
    <w:p w14:paraId="2FEBA0E2">
      <w:pPr>
        <w:pStyle w:val="7"/>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8" w:name="_Toc25391"/>
      <w:r>
        <w:rPr>
          <w:rFonts w:hint="eastAsia" w:ascii="仿宋_GB2312" w:hAnsi="仿宋_GB2312" w:eastAsia="仿宋_GB2312" w:cs="仿宋_GB2312"/>
          <w:color w:val="auto"/>
          <w:sz w:val="32"/>
          <w:szCs w:val="32"/>
          <w:highlight w:val="none"/>
          <w:shd w:val="clear" w:color="auto" w:fill="auto"/>
          <w:lang w:val="en-US" w:eastAsia="zh-CN"/>
        </w:rPr>
        <w:t>绩效评价从项目决策、项目过程、项目产出、项目效益四个维度进行评价。评价对象为项目目标实施情况，评价核心为资金的支出完成情况和项目的产出效益。</w:t>
      </w:r>
    </w:p>
    <w:p w14:paraId="044ECC2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本次评价指标中，既有定性指标又有定量指标，各类指标因考核内容不同和客观标准不同存在较大差异，因此核定具体指标时采用了不同方法，具体评价方法如下：</w:t>
      </w:r>
    </w:p>
    <w:p w14:paraId="192B2D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default" w:ascii="仿宋_GB2312" w:hAnsi="仿宋_GB2312" w:eastAsia="仿宋_GB2312" w:cs="仿宋_GB2312"/>
          <w:color w:val="auto"/>
          <w:sz w:val="32"/>
          <w:szCs w:val="32"/>
          <w:highlight w:val="none"/>
          <w:shd w:val="clear" w:color="auto" w:fill="auto"/>
          <w:lang w:val="en-US" w:eastAsia="zh-CN"/>
        </w:rPr>
        <w:t>）成本效益分析法。是指将投入与产出、效益进行关联性分析的方法。</w:t>
      </w:r>
    </w:p>
    <w:p w14:paraId="525E179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2</w:t>
      </w:r>
      <w:r>
        <w:rPr>
          <w:rFonts w:hint="default" w:ascii="仿宋_GB2312" w:hAnsi="仿宋_GB2312" w:eastAsia="仿宋_GB2312" w:cs="仿宋_GB2312"/>
          <w:color w:val="auto"/>
          <w:sz w:val="32"/>
          <w:szCs w:val="32"/>
          <w:highlight w:val="none"/>
          <w:shd w:val="clear" w:color="auto" w:fill="auto"/>
          <w:lang w:val="en-US" w:eastAsia="zh-CN"/>
        </w:rPr>
        <w:t>）因素分析法。是指综合分析影响绩效目标实现、实施效果的内外部因素的方法。</w:t>
      </w:r>
    </w:p>
    <w:p w14:paraId="1BCF9B2D">
      <w:pPr>
        <w:pStyle w:val="7"/>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25651"/>
      <w:bookmarkStart w:id="80" w:name="_Toc608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3327568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绩效评价标准通常包括计划标准、行业标准、历史标准等，用于对绩效指标完成情况进行比较、分析、评价。本次评价主要采用了</w:t>
      </w:r>
    </w:p>
    <w:p w14:paraId="6732266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（1）计划标准。指以预先制定的目标、计划、预算、定额等作为评价标准。</w:t>
      </w:r>
    </w:p>
    <w:p w14:paraId="200FF26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2</w:t>
      </w:r>
      <w:r>
        <w:rPr>
          <w:rFonts w:hint="default" w:ascii="仿宋_GB2312" w:hAnsi="仿宋_GB2312" w:eastAsia="仿宋_GB2312" w:cs="仿宋_GB2312"/>
          <w:color w:val="auto"/>
          <w:sz w:val="32"/>
          <w:szCs w:val="32"/>
          <w:highlight w:val="none"/>
          <w:shd w:val="clear" w:color="auto" w:fill="auto"/>
          <w:lang w:val="en-US" w:eastAsia="zh-CN"/>
        </w:rPr>
        <w:t>）财政部门和预算部门确认或认可的其他标准。</w:t>
      </w:r>
    </w:p>
    <w:p w14:paraId="692A02F9">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（1）成立绩效评价项目小组</w:t>
      </w:r>
    </w:p>
    <w:p w14:paraId="445CAE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14:paraId="517C9A9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3" w:name="_Toc31571"/>
      <w:r>
        <w:rPr>
          <w:rFonts w:hint="eastAsia" w:ascii="仿宋_GB2312" w:hAnsi="仿宋_GB2312" w:eastAsia="仿宋_GB2312" w:cs="仿宋_GB2312"/>
          <w:color w:val="auto"/>
          <w:sz w:val="32"/>
          <w:szCs w:val="32"/>
          <w:highlight w:val="none"/>
          <w:shd w:val="clear" w:color="auto" w:fill="auto"/>
          <w:lang w:val="en-US" w:eastAsia="zh-CN"/>
        </w:rPr>
        <w:t>（2）开展前期调研</w:t>
      </w:r>
      <w:bookmarkEnd w:id="83"/>
    </w:p>
    <w:p w14:paraId="621EA8E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4" w:name="_Toc21240"/>
      <w:r>
        <w:rPr>
          <w:rFonts w:hint="eastAsia" w:ascii="仿宋_GB2312" w:hAnsi="仿宋_GB2312" w:eastAsia="仿宋_GB2312" w:cs="仿宋_GB2312"/>
          <w:color w:val="auto"/>
          <w:sz w:val="32"/>
          <w:szCs w:val="32"/>
          <w:highlight w:val="none"/>
          <w:shd w:val="clear" w:color="auto" w:fill="auto"/>
          <w:lang w:val="en-US" w:eastAsia="zh-CN"/>
        </w:rPr>
        <w:t>绩效评价项目小组依据此次绩效评价受委托内容，对拟评价的项目实施前期调研。通过调研对2023年阳光食品建设项目实施内容、目标信息、预算信息以及其他的一些项目基本信息，有了初步了解，为制定绩效评价工作方案做好准备。</w:t>
      </w:r>
      <w:bookmarkEnd w:id="84"/>
    </w:p>
    <w:p w14:paraId="3DD54E1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5" w:name="_Toc27977"/>
      <w:r>
        <w:rPr>
          <w:rFonts w:hint="eastAsia" w:ascii="仿宋_GB2312" w:hAnsi="仿宋_GB2312" w:eastAsia="仿宋_GB2312" w:cs="仿宋_GB2312"/>
          <w:color w:val="auto"/>
          <w:sz w:val="32"/>
          <w:szCs w:val="32"/>
          <w:highlight w:val="none"/>
          <w:shd w:val="clear" w:color="auto" w:fill="auto"/>
          <w:lang w:val="en-US" w:eastAsia="zh-CN"/>
        </w:rPr>
        <w:t>（3）制订绩效评价工作方案</w:t>
      </w:r>
      <w:bookmarkEnd w:id="85"/>
    </w:p>
    <w:p w14:paraId="6C3C670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6" w:name="_Toc19659"/>
      <w:r>
        <w:rPr>
          <w:rFonts w:hint="eastAsia" w:ascii="仿宋_GB2312" w:hAnsi="仿宋_GB2312" w:eastAsia="仿宋_GB2312" w:cs="仿宋_GB2312"/>
          <w:color w:val="auto"/>
          <w:sz w:val="32"/>
          <w:szCs w:val="32"/>
          <w:highlight w:val="none"/>
          <w:shd w:val="clear" w:color="auto" w:fill="auto"/>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8" w:name="_Toc14111"/>
      <w:r>
        <w:rPr>
          <w:rFonts w:hint="eastAsia" w:ascii="仿宋_GB2312" w:hAnsi="仿宋_GB2312" w:eastAsia="仿宋_GB2312" w:cs="仿宋_GB2312"/>
          <w:color w:val="auto"/>
          <w:sz w:val="32"/>
          <w:szCs w:val="32"/>
          <w:highlight w:val="none"/>
          <w:shd w:val="clear" w:color="auto" w:fill="auto"/>
          <w:lang w:val="en-US" w:eastAsia="zh-CN"/>
        </w:rPr>
        <w:t>（1）收集基础资料</w:t>
      </w:r>
      <w:bookmarkEnd w:id="88"/>
    </w:p>
    <w:p w14:paraId="5AEB6F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9" w:name="_Toc28524"/>
      <w:r>
        <w:rPr>
          <w:rFonts w:hint="eastAsia" w:ascii="仿宋_GB2312" w:hAnsi="仿宋_GB2312" w:eastAsia="仿宋_GB2312" w:cs="仿宋_GB2312"/>
          <w:color w:val="auto"/>
          <w:sz w:val="32"/>
          <w:szCs w:val="32"/>
          <w:highlight w:val="none"/>
          <w:shd w:val="clear" w:color="auto" w:fill="auto"/>
          <w:lang w:val="en-US" w:eastAsia="zh-CN"/>
        </w:rPr>
        <w:t>根据评价工作的需要和要求，在前期调研的基础上，通过多种渠道全面收集项目基础信息资料，主要包括：</w:t>
      </w:r>
      <w:bookmarkEnd w:id="89"/>
    </w:p>
    <w:p w14:paraId="2967327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0" w:name="_Toc32216"/>
      <w:r>
        <w:rPr>
          <w:rFonts w:hint="eastAsia" w:ascii="仿宋_GB2312" w:hAnsi="仿宋_GB2312" w:eastAsia="仿宋_GB2312" w:cs="仿宋_GB2312"/>
          <w:color w:val="auto"/>
          <w:sz w:val="32"/>
          <w:szCs w:val="32"/>
          <w:highlight w:val="none"/>
          <w:shd w:val="clear" w:color="auto" w:fill="auto"/>
          <w:lang w:val="en-US" w:eastAsia="zh-CN"/>
        </w:rPr>
        <w:t>①被评价单位基本概况，如单位职能、事业发展规划、预决算情况、项目立项依据等；</w:t>
      </w:r>
      <w:bookmarkEnd w:id="90"/>
    </w:p>
    <w:p w14:paraId="6B9C66C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1" w:name="_Toc10505"/>
      <w:r>
        <w:rPr>
          <w:rFonts w:hint="eastAsia" w:ascii="仿宋_GB2312" w:hAnsi="仿宋_GB2312" w:eastAsia="仿宋_GB2312" w:cs="仿宋_GB2312"/>
          <w:color w:val="auto"/>
          <w:sz w:val="32"/>
          <w:szCs w:val="32"/>
          <w:highlight w:val="none"/>
          <w:shd w:val="clear" w:color="auto" w:fill="auto"/>
          <w:lang w:val="en-US" w:eastAsia="zh-CN"/>
        </w:rPr>
        <w:t>②绩效目标及其设立依据和调整情况；</w:t>
      </w:r>
      <w:bookmarkEnd w:id="91"/>
    </w:p>
    <w:p w14:paraId="57EE145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2" w:name="_Toc28365"/>
      <w:r>
        <w:rPr>
          <w:rFonts w:hint="eastAsia" w:ascii="仿宋_GB2312" w:hAnsi="仿宋_GB2312" w:eastAsia="仿宋_GB2312" w:cs="仿宋_GB2312"/>
          <w:color w:val="auto"/>
          <w:sz w:val="32"/>
          <w:szCs w:val="32"/>
          <w:highlight w:val="none"/>
          <w:shd w:val="clear" w:color="auto" w:fill="auto"/>
          <w:lang w:val="en-US" w:eastAsia="zh-CN"/>
        </w:rPr>
        <w:t>③管理措施及组织实施情况；</w:t>
      </w:r>
      <w:bookmarkEnd w:id="92"/>
    </w:p>
    <w:p w14:paraId="1827BE1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3" w:name="_Toc10091"/>
      <w:r>
        <w:rPr>
          <w:rFonts w:hint="eastAsia" w:ascii="仿宋_GB2312" w:hAnsi="仿宋_GB2312" w:eastAsia="仿宋_GB2312" w:cs="仿宋_GB2312"/>
          <w:color w:val="auto"/>
          <w:sz w:val="32"/>
          <w:szCs w:val="32"/>
          <w:highlight w:val="none"/>
          <w:shd w:val="clear" w:color="auto" w:fill="auto"/>
          <w:lang w:val="en-US" w:eastAsia="zh-CN"/>
        </w:rPr>
        <w:t>④被评价单位总结分析的绩效目标完成情况及绩效报告；</w:t>
      </w:r>
      <w:bookmarkEnd w:id="93"/>
    </w:p>
    <w:p w14:paraId="6550E0F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4" w:name="_Toc1"/>
      <w:r>
        <w:rPr>
          <w:rFonts w:hint="eastAsia" w:ascii="仿宋_GB2312" w:hAnsi="仿宋_GB2312" w:eastAsia="仿宋_GB2312" w:cs="仿宋_GB2312"/>
          <w:color w:val="auto"/>
          <w:sz w:val="32"/>
          <w:szCs w:val="32"/>
          <w:highlight w:val="none"/>
          <w:shd w:val="clear" w:color="auto" w:fill="auto"/>
          <w:lang w:val="en-US" w:eastAsia="zh-CN"/>
        </w:rPr>
        <w:t>⑤与绩效评价相关的计划标准、行业标准、历史标准等；</w:t>
      </w:r>
      <w:bookmarkEnd w:id="94"/>
    </w:p>
    <w:p w14:paraId="61B742B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5" w:name="_Toc20059"/>
      <w:r>
        <w:rPr>
          <w:rFonts w:hint="eastAsia" w:ascii="仿宋_GB2312" w:hAnsi="仿宋_GB2312" w:eastAsia="仿宋_GB2312" w:cs="仿宋_GB2312"/>
          <w:color w:val="auto"/>
          <w:sz w:val="32"/>
          <w:szCs w:val="32"/>
          <w:highlight w:val="none"/>
          <w:shd w:val="clear" w:color="auto" w:fill="auto"/>
          <w:lang w:val="en-US" w:eastAsia="zh-CN"/>
        </w:rPr>
        <w:t>⑥其他必要的相关资料等。</w:t>
      </w:r>
      <w:bookmarkEnd w:id="95"/>
    </w:p>
    <w:p w14:paraId="4F57C6E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6" w:name="_Toc31911"/>
      <w:r>
        <w:rPr>
          <w:rFonts w:hint="eastAsia" w:ascii="仿宋_GB2312" w:hAnsi="仿宋_GB2312" w:eastAsia="仿宋_GB2312" w:cs="仿宋_GB2312"/>
          <w:color w:val="auto"/>
          <w:sz w:val="32"/>
          <w:szCs w:val="32"/>
          <w:highlight w:val="none"/>
          <w:shd w:val="clear" w:color="auto" w:fill="auto"/>
          <w:lang w:val="en-US" w:eastAsia="zh-CN"/>
        </w:rPr>
        <w:t>（2）整理、研读基础资料</w:t>
      </w:r>
      <w:bookmarkEnd w:id="96"/>
    </w:p>
    <w:p w14:paraId="6C9CEE8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7" w:name="_Toc167"/>
      <w:r>
        <w:rPr>
          <w:rFonts w:hint="eastAsia" w:ascii="仿宋_GB2312" w:hAnsi="仿宋_GB2312" w:eastAsia="仿宋_GB2312" w:cs="仿宋_GB2312"/>
          <w:color w:val="auto"/>
          <w:sz w:val="32"/>
          <w:szCs w:val="32"/>
          <w:highlight w:val="none"/>
          <w:shd w:val="clear" w:color="auto" w:fill="auto"/>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9" w:name="_Toc15974"/>
      <w:r>
        <w:rPr>
          <w:rFonts w:hint="eastAsia" w:ascii="仿宋_GB2312" w:hAnsi="仿宋_GB2312" w:eastAsia="仿宋_GB2312" w:cs="仿宋_GB2312"/>
          <w:color w:val="auto"/>
          <w:sz w:val="32"/>
          <w:szCs w:val="32"/>
          <w:highlight w:val="none"/>
          <w:shd w:val="clear" w:color="auto" w:fill="auto"/>
          <w:lang w:val="en-US" w:eastAsia="zh-CN"/>
        </w:rPr>
        <w:t>（1）综合分析评价</w:t>
      </w:r>
      <w:bookmarkEnd w:id="99"/>
    </w:p>
    <w:p w14:paraId="13CACCD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00" w:name="_Toc4352"/>
      <w:r>
        <w:rPr>
          <w:rFonts w:hint="eastAsia" w:ascii="仿宋_GB2312" w:hAnsi="仿宋_GB2312" w:eastAsia="仿宋_GB2312" w:cs="仿宋_GB2312"/>
          <w:color w:val="auto"/>
          <w:sz w:val="32"/>
          <w:szCs w:val="32"/>
          <w:highlight w:val="none"/>
          <w:shd w:val="clear" w:color="auto" w:fill="auto"/>
          <w:lang w:val="en-US" w:eastAsia="zh-CN"/>
        </w:rPr>
        <w:t>①根据所收集的基础资料，结合现场核查的有关情况，整理出绩效评价所需的项目材料和基础数据。</w:t>
      </w:r>
      <w:bookmarkEnd w:id="100"/>
    </w:p>
    <w:p w14:paraId="6CD1F84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01" w:name="_Toc26231"/>
      <w:r>
        <w:rPr>
          <w:rFonts w:hint="eastAsia" w:ascii="仿宋_GB2312" w:hAnsi="仿宋_GB2312" w:eastAsia="仿宋_GB2312" w:cs="仿宋_GB2312"/>
          <w:color w:val="auto"/>
          <w:sz w:val="32"/>
          <w:szCs w:val="32"/>
          <w:highlight w:val="none"/>
          <w:shd w:val="clear" w:color="auto" w:fill="auto"/>
          <w:lang w:val="en-US" w:eastAsia="zh-CN"/>
        </w:rPr>
        <w:t>②将初步评价结论、调整事项、专家咨询意见和有关说明等提交单位内部讨论并征求意见。之后，对所征求的意见及时地进行收集和整理。</w:t>
      </w:r>
      <w:bookmarkEnd w:id="101"/>
    </w:p>
    <w:p w14:paraId="245EACF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02" w:name="_Toc27759"/>
      <w:r>
        <w:rPr>
          <w:rFonts w:hint="eastAsia" w:ascii="仿宋_GB2312" w:hAnsi="仿宋_GB2312" w:eastAsia="仿宋_GB2312" w:cs="仿宋_GB2312"/>
          <w:color w:val="auto"/>
          <w:sz w:val="32"/>
          <w:szCs w:val="32"/>
          <w:highlight w:val="none"/>
          <w:shd w:val="clear" w:color="auto" w:fill="auto"/>
          <w:lang w:val="en-US" w:eastAsia="zh-CN"/>
        </w:rPr>
        <w:t>（2）撰写报告</w:t>
      </w:r>
      <w:bookmarkEnd w:id="102"/>
    </w:p>
    <w:p w14:paraId="27760C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03" w:name="_Toc15579"/>
      <w:r>
        <w:rPr>
          <w:rFonts w:hint="eastAsia" w:ascii="仿宋_GB2312" w:hAnsi="仿宋_GB2312" w:eastAsia="仿宋_GB2312" w:cs="仿宋_GB2312"/>
          <w:color w:val="auto"/>
          <w:sz w:val="32"/>
          <w:szCs w:val="32"/>
          <w:highlight w:val="none"/>
          <w:shd w:val="clear" w:color="auto" w:fill="auto"/>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5"/>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2023年阳光食品建设项目</w:t>
      </w:r>
      <w:r>
        <w:rPr>
          <w:rFonts w:hint="default" w:ascii="仿宋_GB2312" w:hAnsi="仿宋_GB2312" w:eastAsia="仿宋_GB2312" w:cs="仿宋_GB2312"/>
          <w:color w:val="auto"/>
          <w:sz w:val="32"/>
          <w:szCs w:val="32"/>
          <w:highlight w:val="none"/>
          <w:shd w:val="clear" w:color="auto" w:fill="auto"/>
          <w:lang w:val="en-US" w:eastAsia="zh-CN"/>
        </w:rPr>
        <w:t>在</w:t>
      </w:r>
      <w:r>
        <w:rPr>
          <w:rFonts w:hint="eastAsia" w:ascii="仿宋_GB2312" w:hAnsi="仿宋_GB2312" w:eastAsia="仿宋_GB2312" w:cs="仿宋_GB2312"/>
          <w:color w:val="auto"/>
          <w:sz w:val="32"/>
          <w:szCs w:val="32"/>
          <w:highlight w:val="none"/>
          <w:shd w:val="clear" w:color="auto" w:fill="auto"/>
          <w:lang w:val="en-US" w:eastAsia="zh-CN"/>
        </w:rPr>
        <w:t>项目产出方面完成较好</w:t>
      </w:r>
      <w:r>
        <w:rPr>
          <w:rFonts w:hint="default" w:ascii="仿宋_GB2312" w:hAnsi="仿宋_GB2312" w:eastAsia="仿宋_GB2312" w:cs="仿宋_GB2312"/>
          <w:color w:val="auto"/>
          <w:sz w:val="32"/>
          <w:szCs w:val="32"/>
          <w:highlight w:val="none"/>
          <w:shd w:val="clear" w:color="auto" w:fill="auto"/>
          <w:lang w:val="en-US" w:eastAsia="zh-CN"/>
        </w:rPr>
        <w:t>，达到了预期的标准与要求。</w:t>
      </w:r>
    </w:p>
    <w:p w14:paraId="5D343ED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在项目管理方面，</w:t>
      </w:r>
      <w:r>
        <w:rPr>
          <w:rFonts w:hint="eastAsia" w:ascii="仿宋_GB2312" w:hAnsi="仿宋_GB2312" w:eastAsia="仿宋_GB2312" w:cs="仿宋_GB2312"/>
          <w:color w:val="auto"/>
          <w:sz w:val="32"/>
          <w:szCs w:val="32"/>
          <w:highlight w:val="none"/>
          <w:shd w:val="clear" w:color="auto" w:fill="auto"/>
          <w:lang w:val="en-US" w:eastAsia="zh-CN"/>
        </w:rPr>
        <w:t>市场监督管理局</w:t>
      </w:r>
      <w:r>
        <w:rPr>
          <w:rFonts w:hint="default" w:ascii="仿宋_GB2312" w:hAnsi="仿宋_GB2312" w:eastAsia="仿宋_GB2312" w:cs="仿宋_GB2312"/>
          <w:color w:val="auto"/>
          <w:sz w:val="32"/>
          <w:szCs w:val="32"/>
          <w:highlight w:val="none"/>
          <w:shd w:val="clear" w:color="auto" w:fill="auto"/>
          <w:lang w:val="en-US" w:eastAsia="zh-CN"/>
        </w:rPr>
        <w:t>通过有效的规划、组织与协调，项目得以顺利实施，并在预算与时间上保持了良好的控制。</w:t>
      </w:r>
    </w:p>
    <w:p w14:paraId="7AA1D55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从项目效益的角度来看，本项目不仅实现了预期的社会效益等方面产生了积极的影响。具体而言，</w:t>
      </w:r>
      <w:r>
        <w:rPr>
          <w:rFonts w:hint="eastAsia" w:ascii="仿宋_GB2312" w:hAnsi="仿宋_GB2312" w:eastAsia="仿宋_GB2312" w:cs="仿宋_GB2312"/>
          <w:color w:val="auto"/>
          <w:sz w:val="32"/>
          <w:szCs w:val="32"/>
          <w:highlight w:val="none"/>
          <w:shd w:val="clear" w:color="auto" w:fill="auto"/>
          <w:lang w:val="en-US" w:eastAsia="zh-CN"/>
        </w:rPr>
        <w:t>业务保障能力、市场主体管理</w:t>
      </w:r>
      <w:r>
        <w:rPr>
          <w:rFonts w:hint="default" w:ascii="仿宋_GB2312" w:hAnsi="仿宋_GB2312" w:eastAsia="仿宋_GB2312" w:cs="仿宋_GB2312"/>
          <w:color w:val="auto"/>
          <w:sz w:val="32"/>
          <w:szCs w:val="32"/>
          <w:highlight w:val="none"/>
          <w:shd w:val="clear" w:color="auto" w:fill="auto"/>
          <w:lang w:val="en-US" w:eastAsia="zh-CN"/>
        </w:rPr>
        <w:t>等方面的提升，为项目的利益相关者带来了实实在在的利益。</w:t>
      </w:r>
    </w:p>
    <w:p w14:paraId="6587123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综上所述，</w:t>
      </w:r>
      <w:r>
        <w:rPr>
          <w:rFonts w:hint="eastAsia" w:ascii="仿宋_GB2312" w:hAnsi="仿宋_GB2312" w:eastAsia="仿宋_GB2312" w:cs="仿宋_GB2312"/>
          <w:color w:val="auto"/>
          <w:sz w:val="32"/>
          <w:szCs w:val="32"/>
          <w:highlight w:val="none"/>
          <w:shd w:val="clear" w:color="auto" w:fill="auto"/>
          <w:lang w:val="en-US" w:eastAsia="zh-CN"/>
        </w:rPr>
        <w:t>2023年阳光食品建设项目</w:t>
      </w:r>
      <w:r>
        <w:rPr>
          <w:rFonts w:hint="default" w:ascii="仿宋_GB2312" w:hAnsi="仿宋_GB2312" w:eastAsia="仿宋_GB2312" w:cs="仿宋_GB2312"/>
          <w:color w:val="auto"/>
          <w:sz w:val="32"/>
          <w:szCs w:val="32"/>
          <w:highlight w:val="none"/>
          <w:shd w:val="clear" w:color="auto" w:fill="auto"/>
          <w:lang w:val="en-US" w:eastAsia="zh-CN"/>
        </w:rPr>
        <w:t>在绩效评价中表现出色，达到了项目的预期目标，并在多个方面取得了显著的成效</w:t>
      </w:r>
      <w:r>
        <w:rPr>
          <w:rFonts w:hint="eastAsia" w:ascii="仿宋_GB2312" w:hAnsi="仿宋_GB2312" w:eastAsia="仿宋_GB2312" w:cs="仿宋_GB2312"/>
          <w:color w:val="auto"/>
          <w:sz w:val="32"/>
          <w:szCs w:val="32"/>
          <w:highlight w:val="none"/>
          <w:shd w:val="clear" w:color="auto" w:fill="auto"/>
          <w:lang w:val="en-US" w:eastAsia="zh-CN"/>
        </w:rPr>
        <w:t>，评价等级为优</w:t>
      </w:r>
      <w:r>
        <w:rPr>
          <w:rFonts w:hint="default" w:ascii="仿宋_GB2312" w:hAnsi="仿宋_GB2312" w:eastAsia="仿宋_GB2312" w:cs="仿宋_GB2312"/>
          <w:color w:val="auto"/>
          <w:sz w:val="32"/>
          <w:szCs w:val="32"/>
          <w:highlight w:val="none"/>
          <w:shd w:val="clear" w:color="auto" w:fill="auto"/>
          <w:lang w:val="en-US" w:eastAsia="zh-CN"/>
        </w:rPr>
        <w:t>。</w:t>
      </w:r>
    </w:p>
    <w:p w14:paraId="2E2A7084">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4DD2BB4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zh-TW" w:eastAsia="zh-TW"/>
        </w:rPr>
      </w:pPr>
      <w:r>
        <w:rPr>
          <w:rFonts w:hint="eastAsia" w:ascii="仿宋_GB2312" w:hAnsi="仿宋_GB2312" w:eastAsia="仿宋_GB2312" w:cs="仿宋_GB2312"/>
          <w:color w:val="auto"/>
          <w:sz w:val="32"/>
          <w:szCs w:val="32"/>
          <w:highlight w:val="none"/>
          <w:shd w:val="clear" w:color="auto" w:fill="auto"/>
          <w:lang w:val="en-US" w:eastAsia="zh-CN"/>
        </w:rPr>
        <w:t>此次绩效评价</w:t>
      </w:r>
      <w:r>
        <w:rPr>
          <w:rFonts w:hint="eastAsia" w:ascii="仿宋_GB2312" w:hAnsi="仿宋_GB2312" w:eastAsia="仿宋_GB2312" w:cs="仿宋_GB2312"/>
          <w:color w:val="auto"/>
          <w:sz w:val="32"/>
          <w:szCs w:val="32"/>
          <w:highlight w:val="none"/>
          <w:shd w:val="clear" w:color="auto" w:fill="auto"/>
          <w:lang w:val="zh-TW" w:eastAsia="zh-TW"/>
        </w:rPr>
        <w:t>通过组论证的评价指标体系及评分标准，</w:t>
      </w:r>
      <w:r>
        <w:rPr>
          <w:rFonts w:hint="eastAsia" w:ascii="仿宋_GB2312" w:hAnsi="仿宋_GB2312" w:eastAsia="仿宋_GB2312" w:cs="仿宋_GB2312"/>
          <w:color w:val="auto"/>
          <w:sz w:val="32"/>
          <w:szCs w:val="32"/>
          <w:highlight w:val="none"/>
          <w:shd w:val="clear" w:color="auto" w:fill="auto"/>
          <w:lang w:val="en-US" w:eastAsia="zh-CN"/>
        </w:rPr>
        <w:t>采用的方法比较法、因素分析法、公众评判法，</w:t>
      </w:r>
      <w:r>
        <w:rPr>
          <w:rFonts w:hint="eastAsia" w:ascii="仿宋_GB2312" w:hAnsi="仿宋_GB2312" w:eastAsia="仿宋_GB2312" w:cs="仿宋_GB2312"/>
          <w:color w:val="auto"/>
          <w:sz w:val="32"/>
          <w:szCs w:val="32"/>
          <w:highlight w:val="none"/>
          <w:shd w:val="clear" w:color="auto" w:fill="auto"/>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2023年阳光食品建设项目</w:t>
      </w:r>
      <w:r>
        <w:rPr>
          <w:rFonts w:hint="eastAsia" w:ascii="仿宋_GB2312" w:hAnsi="仿宋_GB2312" w:eastAsia="仿宋_GB2312" w:cs="仿宋_GB2312"/>
          <w:color w:val="auto"/>
          <w:sz w:val="32"/>
          <w:szCs w:val="32"/>
          <w:highlight w:val="none"/>
          <w:shd w:val="clear" w:color="auto" w:fill="auto"/>
          <w:lang w:val="zh-TW" w:eastAsia="zh-TW"/>
        </w:rPr>
        <w:t>绩效进行客观评价，最终评分结果：</w:t>
      </w:r>
      <w:r>
        <w:rPr>
          <w:rFonts w:hint="default" w:ascii="仿宋_GB2312" w:hAnsi="仿宋_GB2312" w:eastAsia="仿宋_GB2312" w:cs="仿宋_GB2312"/>
          <w:color w:val="auto"/>
          <w:sz w:val="32"/>
          <w:szCs w:val="32"/>
          <w:highlight w:val="none"/>
          <w:shd w:val="clear" w:color="auto" w:fill="auto"/>
          <w:lang w:val="en-US" w:eastAsia="zh-CN"/>
        </w:rPr>
        <w:t>总得分为</w:t>
      </w:r>
      <w:r>
        <w:rPr>
          <w:rFonts w:hint="eastAsia" w:ascii="仿宋_GB2312" w:hAnsi="仿宋_GB2312" w:eastAsia="仿宋_GB2312" w:cs="仿宋_GB2312"/>
          <w:color w:val="auto"/>
          <w:sz w:val="32"/>
          <w:szCs w:val="32"/>
          <w:highlight w:val="none"/>
          <w:shd w:val="clear" w:color="auto" w:fill="auto"/>
          <w:lang w:val="en-US" w:eastAsia="zh-CN"/>
        </w:rPr>
        <w:t>100</w:t>
      </w:r>
      <w:r>
        <w:rPr>
          <w:rFonts w:hint="default" w:ascii="仿宋_GB2312" w:hAnsi="仿宋_GB2312" w:eastAsia="仿宋_GB2312" w:cs="仿宋_GB2312"/>
          <w:color w:val="auto"/>
          <w:sz w:val="32"/>
          <w:szCs w:val="32"/>
          <w:highlight w:val="none"/>
          <w:shd w:val="clear" w:color="auto" w:fill="auto"/>
          <w:lang w:val="en-US" w:eastAsia="zh-CN"/>
        </w:rPr>
        <w:t>分，属于“优”。其中，项目决策类指标权重为20分，得分为</w:t>
      </w:r>
      <w:r>
        <w:rPr>
          <w:rFonts w:hint="eastAsia" w:ascii="仿宋_GB2312" w:hAnsi="仿宋_GB2312" w:eastAsia="仿宋_GB2312" w:cs="仿宋_GB2312"/>
          <w:color w:val="auto"/>
          <w:sz w:val="32"/>
          <w:szCs w:val="32"/>
          <w:highlight w:val="none"/>
          <w:shd w:val="clear" w:color="auto" w:fill="auto"/>
          <w:lang w:val="en-US" w:eastAsia="zh-CN"/>
        </w:rPr>
        <w:t>19.8</w:t>
      </w:r>
      <w:r>
        <w:rPr>
          <w:rFonts w:hint="default" w:ascii="仿宋_GB2312" w:hAnsi="仿宋_GB2312" w:eastAsia="仿宋_GB2312" w:cs="仿宋_GB2312"/>
          <w:color w:val="auto"/>
          <w:sz w:val="32"/>
          <w:szCs w:val="32"/>
          <w:highlight w:val="none"/>
          <w:shd w:val="clear" w:color="auto" w:fill="auto"/>
          <w:lang w:val="en-US" w:eastAsia="zh-CN"/>
        </w:rPr>
        <w:t>分，得分率为</w:t>
      </w:r>
      <w:r>
        <w:rPr>
          <w:rFonts w:hint="eastAsia" w:ascii="仿宋_GB2312" w:hAnsi="仿宋_GB2312" w:eastAsia="仿宋_GB2312" w:cs="仿宋_GB2312"/>
          <w:color w:val="auto"/>
          <w:sz w:val="32"/>
          <w:szCs w:val="32"/>
          <w:highlight w:val="none"/>
          <w:shd w:val="clear" w:color="auto" w:fill="auto"/>
          <w:lang w:val="en-US" w:eastAsia="zh-CN"/>
        </w:rPr>
        <w:t>99</w:t>
      </w:r>
      <w:r>
        <w:rPr>
          <w:rFonts w:hint="default" w:ascii="仿宋_GB2312" w:hAnsi="仿宋_GB2312" w:eastAsia="仿宋_GB2312" w:cs="仿宋_GB2312"/>
          <w:color w:val="auto"/>
          <w:sz w:val="32"/>
          <w:szCs w:val="32"/>
          <w:highlight w:val="none"/>
          <w:shd w:val="clear" w:color="auto" w:fill="auto"/>
          <w:lang w:val="en-US" w:eastAsia="zh-CN"/>
        </w:rPr>
        <w:t>%。项目过程类指标权重为20分，得分为</w:t>
      </w:r>
      <w:r>
        <w:rPr>
          <w:rFonts w:hint="eastAsia" w:ascii="仿宋_GB2312" w:hAnsi="仿宋_GB2312" w:eastAsia="仿宋_GB2312" w:cs="仿宋_GB2312"/>
          <w:color w:val="auto"/>
          <w:sz w:val="32"/>
          <w:szCs w:val="32"/>
          <w:highlight w:val="none"/>
          <w:shd w:val="clear" w:color="auto" w:fill="auto"/>
          <w:lang w:val="en-US" w:eastAsia="zh-CN"/>
        </w:rPr>
        <w:t>20</w:t>
      </w:r>
      <w:r>
        <w:rPr>
          <w:rFonts w:hint="default" w:ascii="仿宋_GB2312" w:hAnsi="仿宋_GB2312" w:eastAsia="仿宋_GB2312" w:cs="仿宋_GB2312"/>
          <w:color w:val="auto"/>
          <w:sz w:val="32"/>
          <w:szCs w:val="32"/>
          <w:highlight w:val="none"/>
          <w:shd w:val="clear" w:color="auto" w:fill="auto"/>
          <w:lang w:val="en-US" w:eastAsia="zh-CN"/>
        </w:rPr>
        <w:t>分，得分率为</w:t>
      </w:r>
      <w:r>
        <w:rPr>
          <w:rFonts w:hint="eastAsia" w:ascii="仿宋_GB2312" w:hAnsi="仿宋_GB2312" w:eastAsia="仿宋_GB2312" w:cs="仿宋_GB2312"/>
          <w:color w:val="auto"/>
          <w:sz w:val="32"/>
          <w:szCs w:val="32"/>
          <w:highlight w:val="none"/>
          <w:shd w:val="clear" w:color="auto" w:fill="auto"/>
          <w:lang w:val="en-US" w:eastAsia="zh-CN"/>
        </w:rPr>
        <w:t>100</w:t>
      </w:r>
      <w:r>
        <w:rPr>
          <w:rFonts w:hint="default" w:ascii="仿宋_GB2312" w:hAnsi="仿宋_GB2312" w:eastAsia="仿宋_GB2312" w:cs="仿宋_GB2312"/>
          <w:color w:val="auto"/>
          <w:sz w:val="32"/>
          <w:szCs w:val="32"/>
          <w:highlight w:val="none"/>
          <w:shd w:val="clear" w:color="auto" w:fill="auto"/>
          <w:lang w:val="en-US" w:eastAsia="zh-CN"/>
        </w:rPr>
        <w:t>%。项目产出类指标权重为40分，得分为</w:t>
      </w:r>
      <w:r>
        <w:rPr>
          <w:rFonts w:hint="eastAsia" w:ascii="仿宋_GB2312" w:hAnsi="仿宋_GB2312" w:eastAsia="仿宋_GB2312" w:cs="仿宋_GB2312"/>
          <w:color w:val="auto"/>
          <w:sz w:val="32"/>
          <w:szCs w:val="32"/>
          <w:highlight w:val="none"/>
          <w:shd w:val="clear" w:color="auto" w:fill="auto"/>
          <w:lang w:val="en-US" w:eastAsia="zh-CN"/>
        </w:rPr>
        <w:t>40</w:t>
      </w:r>
      <w:r>
        <w:rPr>
          <w:rFonts w:hint="default" w:ascii="仿宋_GB2312" w:hAnsi="仿宋_GB2312" w:eastAsia="仿宋_GB2312" w:cs="仿宋_GB2312"/>
          <w:color w:val="auto"/>
          <w:sz w:val="32"/>
          <w:szCs w:val="32"/>
          <w:highlight w:val="none"/>
          <w:shd w:val="clear" w:color="auto" w:fill="auto"/>
          <w:lang w:val="en-US" w:eastAsia="zh-CN"/>
        </w:rPr>
        <w:t>分，得分率为</w:t>
      </w:r>
      <w:r>
        <w:rPr>
          <w:rFonts w:hint="eastAsia" w:ascii="仿宋_GB2312" w:hAnsi="仿宋_GB2312" w:eastAsia="仿宋_GB2312" w:cs="仿宋_GB2312"/>
          <w:color w:val="auto"/>
          <w:sz w:val="32"/>
          <w:szCs w:val="32"/>
          <w:highlight w:val="none"/>
          <w:shd w:val="clear" w:color="auto" w:fill="auto"/>
          <w:lang w:val="en-US" w:eastAsia="zh-CN"/>
        </w:rPr>
        <w:t>100</w:t>
      </w:r>
      <w:r>
        <w:rPr>
          <w:rFonts w:hint="default" w:ascii="仿宋_GB2312" w:hAnsi="仿宋_GB2312" w:eastAsia="仿宋_GB2312" w:cs="仿宋_GB2312"/>
          <w:color w:val="auto"/>
          <w:sz w:val="32"/>
          <w:szCs w:val="32"/>
          <w:highlight w:val="none"/>
          <w:shd w:val="clear" w:color="auto" w:fill="auto"/>
          <w:lang w:val="en-US" w:eastAsia="zh-CN"/>
        </w:rPr>
        <w:t>%。项目效益类指标权重为20分，得分为</w:t>
      </w:r>
      <w:r>
        <w:rPr>
          <w:rFonts w:hint="eastAsia" w:ascii="仿宋_GB2312" w:hAnsi="仿宋_GB2312" w:eastAsia="仿宋_GB2312" w:cs="仿宋_GB2312"/>
          <w:color w:val="auto"/>
          <w:sz w:val="32"/>
          <w:szCs w:val="32"/>
          <w:highlight w:val="none"/>
          <w:shd w:val="clear" w:color="auto" w:fill="auto"/>
          <w:lang w:val="en-US" w:eastAsia="zh-CN"/>
        </w:rPr>
        <w:t>20</w:t>
      </w:r>
      <w:r>
        <w:rPr>
          <w:rFonts w:hint="default" w:ascii="仿宋_GB2312" w:hAnsi="仿宋_GB2312" w:eastAsia="仿宋_GB2312" w:cs="仿宋_GB2312"/>
          <w:color w:val="auto"/>
          <w:sz w:val="32"/>
          <w:szCs w:val="32"/>
          <w:highlight w:val="none"/>
          <w:shd w:val="clear" w:color="auto" w:fill="auto"/>
          <w:lang w:val="en-US" w:eastAsia="zh-CN"/>
        </w:rPr>
        <w:t>分，得分率为</w:t>
      </w:r>
      <w:r>
        <w:rPr>
          <w:rFonts w:hint="eastAsia" w:ascii="仿宋_GB2312" w:hAnsi="仿宋_GB2312" w:eastAsia="仿宋_GB2312" w:cs="仿宋_GB2312"/>
          <w:color w:val="auto"/>
          <w:sz w:val="32"/>
          <w:szCs w:val="32"/>
          <w:highlight w:val="none"/>
          <w:shd w:val="clear" w:color="auto" w:fill="auto"/>
          <w:lang w:val="en-US" w:eastAsia="zh-CN"/>
        </w:rPr>
        <w:t>100</w:t>
      </w: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zh-TW" w:eastAsia="zh-TW"/>
        </w:rPr>
        <w:t>各部分权重和绩效</w:t>
      </w:r>
      <w:r>
        <w:rPr>
          <w:rFonts w:hint="eastAsia" w:ascii="仿宋_GB2312" w:hAnsi="仿宋_GB2312" w:eastAsia="仿宋_GB2312" w:cs="仿宋_GB2312"/>
          <w:color w:val="auto"/>
          <w:sz w:val="32"/>
          <w:szCs w:val="32"/>
          <w:highlight w:val="none"/>
          <w:shd w:val="clear" w:color="auto" w:fill="auto"/>
          <w:lang w:val="en-US" w:eastAsia="zh-CN"/>
        </w:rPr>
        <w:t>汇总</w:t>
      </w:r>
      <w:r>
        <w:rPr>
          <w:rFonts w:hint="eastAsia" w:ascii="仿宋_GB2312" w:hAnsi="仿宋_GB2312" w:eastAsia="仿宋_GB2312" w:cs="仿宋_GB2312"/>
          <w:color w:val="auto"/>
          <w:sz w:val="32"/>
          <w:szCs w:val="32"/>
          <w:highlight w:val="none"/>
          <w:shd w:val="clear" w:color="auto" w:fill="auto"/>
          <w:lang w:val="zh-TW" w:eastAsia="zh-TW"/>
        </w:rPr>
        <w:t>分值如下表</w:t>
      </w:r>
      <w:r>
        <w:rPr>
          <w:rFonts w:hint="eastAsia" w:ascii="仿宋_GB2312" w:hAnsi="仿宋_GB2312" w:eastAsia="仿宋_GB2312" w:cs="仿宋_GB2312"/>
          <w:color w:val="auto"/>
          <w:sz w:val="32"/>
          <w:szCs w:val="32"/>
          <w:highlight w:val="none"/>
          <w:shd w:val="clear" w:color="auto" w:fill="auto"/>
          <w:lang w:val="en-US" w:eastAsia="zh-CN"/>
        </w:rPr>
        <w:t>3-1</w:t>
      </w:r>
      <w:r>
        <w:rPr>
          <w:rFonts w:hint="eastAsia" w:ascii="仿宋_GB2312" w:hAnsi="仿宋_GB2312" w:eastAsia="仿宋_GB2312" w:cs="仿宋_GB2312"/>
          <w:color w:val="auto"/>
          <w:sz w:val="32"/>
          <w:szCs w:val="32"/>
          <w:highlight w:val="none"/>
          <w:shd w:val="clear" w:color="auto" w:fill="auto"/>
          <w:lang w:val="zh-TW" w:eastAsia="zh-TW"/>
        </w:rPr>
        <w:t>所示</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详见上传的附件</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zh-TW" w:eastAsia="zh-TW"/>
        </w:rPr>
        <w:t>：</w:t>
      </w:r>
    </w:p>
    <w:tbl>
      <w:tblPr>
        <w:tblStyle w:val="18"/>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21BAFA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2023年阳光食品建设</w:t>
            </w:r>
            <w:r>
              <w:rPr>
                <w:rFonts w:hint="eastAsia" w:ascii="宋体" w:hAnsi="宋体" w:eastAsia="宋体" w:cs="宋体"/>
                <w:b/>
                <w:bCs/>
                <w:color w:val="auto"/>
                <w:kern w:val="0"/>
                <w:sz w:val="28"/>
                <w:szCs w:val="28"/>
                <w:highlight w:val="none"/>
                <w:shd w:val="clear" w:color="auto" w:fill="auto"/>
                <w:lang w:val="en-US" w:eastAsia="zh-CN"/>
              </w:rPr>
              <w:t>项目得分表</w:t>
            </w:r>
          </w:p>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19.8</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99.8</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99.8</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5"/>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3E674E9E">
      <w:pPr>
        <w:pStyle w:val="16"/>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项目决策由3个二级指标和6个三级指标构成，权重分20分，实际得分19.8分，</w:t>
      </w:r>
      <w:r>
        <w:rPr>
          <w:rFonts w:hint="eastAsia" w:ascii="仿宋_GB2312" w:hAnsi="仿宋_GB2312" w:eastAsia="仿宋_GB2312" w:cs="仿宋_GB2312"/>
          <w:color w:val="auto"/>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sz w:val="32"/>
          <w:szCs w:val="32"/>
          <w:highlight w:val="none"/>
          <w:shd w:val="clear" w:color="auto" w:fill="auto"/>
          <w:lang w:val="en-US" w:eastAsia="zh-CN"/>
        </w:rPr>
        <w:t>4-1</w:t>
      </w:r>
      <w:r>
        <w:rPr>
          <w:rFonts w:hint="eastAsia" w:ascii="仿宋_GB2312" w:hAnsi="仿宋_GB2312" w:eastAsia="仿宋_GB2312" w:cs="仿宋_GB2312"/>
          <w:color w:val="auto"/>
          <w:sz w:val="32"/>
          <w:szCs w:val="32"/>
          <w:highlight w:val="none"/>
          <w:shd w:val="clear" w:color="auto" w:fill="auto"/>
          <w:lang w:val="zh-TW" w:eastAsia="zh-TW"/>
        </w:rPr>
        <w:t>所示</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详见上传的附件二</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8"/>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2.8</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19.8</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3EB28C5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①项目立项符合《昌吉州人民政府办公室关于印发》昌州政办发【2017】29号自治州阳光食品项目建设实施方案的通知文件相关政策；</w:t>
      </w:r>
    </w:p>
    <w:p w14:paraId="7C8DE00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②项目立项符合《财政部关于印发政府和社会资本方合作模式有关问题的通知》政策要求；</w:t>
      </w:r>
    </w:p>
    <w:p w14:paraId="2853552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③项目立项与</w:t>
      </w:r>
      <w:r>
        <w:rPr>
          <w:rFonts w:hint="default" w:ascii="仿宋_GB2312" w:hAnsi="仿宋_GB2312" w:eastAsia="仿宋_GB2312" w:cs="仿宋_GB2312"/>
          <w:color w:val="auto"/>
          <w:sz w:val="32"/>
          <w:szCs w:val="32"/>
          <w:highlight w:val="none"/>
          <w:shd w:val="clear" w:color="auto" w:fill="auto"/>
          <w:lang w:val="en-US" w:eastAsia="zh-CN"/>
        </w:rPr>
        <w:t>负责食品安全监督管理综合协调，组织制定食品安全重大政策并组织实施</w:t>
      </w:r>
      <w:r>
        <w:rPr>
          <w:rFonts w:hint="eastAsia" w:ascii="仿宋_GB2312" w:hAnsi="仿宋_GB2312" w:eastAsia="仿宋_GB2312" w:cs="仿宋_GB2312"/>
          <w:color w:val="auto"/>
          <w:sz w:val="32"/>
          <w:szCs w:val="32"/>
          <w:highlight w:val="none"/>
          <w:shd w:val="clear" w:color="auto" w:fill="auto"/>
          <w:lang w:val="en-US" w:eastAsia="zh-CN"/>
        </w:rPr>
        <w:t>职责范围相符，属于部门履职所需；</w:t>
      </w:r>
    </w:p>
    <w:p w14:paraId="275174E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④项目属于公共财政支持范围，符合中央、地方事权支出责任划分原则；</w:t>
      </w:r>
    </w:p>
    <w:p w14:paraId="743BF0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⑤项目与相关部门同类项目或部门内部相关项目不重复。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3BE5948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①项目按照规定的程序申请设立；</w:t>
      </w:r>
    </w:p>
    <w:p w14:paraId="3EC0D5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②审批文件、材料符合相关要求；</w:t>
      </w:r>
    </w:p>
    <w:p w14:paraId="06A6FFF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③事前经过必要的可行性研究、风险评估、集体决策。未经过事前绩效评估扣0.2分。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 w:cs="仿宋_GB2312"/>
          <w:b/>
          <w:bCs/>
          <w:color w:val="auto"/>
          <w:sz w:val="32"/>
          <w:szCs w:val="32"/>
          <w:lang w:val="en-US" w:eastAsia="zh-CN"/>
        </w:rPr>
        <w:t>综上，该项指标满分3分，得分2.8分</w:t>
      </w:r>
      <w:r>
        <w:rPr>
          <w:rFonts w:hint="eastAsia" w:ascii="仿宋_GB2312" w:hAnsi="仿宋_GB2312" w:eastAsia="仿宋_GB2312" w:cs="仿宋_GB2312"/>
          <w:b/>
          <w:bCs/>
          <w:color w:val="auto"/>
          <w:sz w:val="32"/>
          <w:szCs w:val="32"/>
          <w:lang w:val="en-US" w:eastAsia="zh-CN"/>
        </w:rPr>
        <w:t>。</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15382"/>
      <w:bookmarkStart w:id="114" w:name="_Toc23542"/>
      <w:r>
        <w:rPr>
          <w:rFonts w:hint="eastAsia" w:ascii="仿宋_GB2312" w:hAnsi="仿宋_GB2312" w:eastAsia="仿宋_GB2312" w:cs="仿宋_GB2312"/>
          <w:b/>
          <w:bCs/>
          <w:color w:val="auto"/>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②该项目实际工作内容为：2023年阳光食品建设项目绩效目标与实际工作内容一致，两者具有相关性。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③该项目按照绩效目标完成数量指标、质量指标、时效指标、成本指标，完成了预期目标，达到各项业务提高效益，预期产出效益和效果完全符合正常的业绩水平。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④《项目支出绩效目标表》中预算金额为48.1万元，预算确定的项目资金与预算确定的项目投资额相匹配。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0650"/>
      <w:bookmarkStart w:id="116" w:name="_Toc18198"/>
      <w:r>
        <w:rPr>
          <w:rFonts w:hint="eastAsia" w:ascii="仿宋_GB2312" w:hAnsi="仿宋_GB2312" w:eastAsia="仿宋_GB2312" w:cs="仿宋_GB2312"/>
          <w:b/>
          <w:bCs/>
          <w:sz w:val="32"/>
          <w:szCs w:val="32"/>
          <w:lang w:val="en-US" w:eastAsia="zh-CN"/>
        </w:rPr>
        <w:t>4.绩效指标明确性</w:t>
      </w:r>
      <w:bookmarkEnd w:id="115"/>
      <w:bookmarkEnd w:id="116"/>
    </w:p>
    <w:p w14:paraId="262887E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①将项目绩效目标细化分解为具体的绩效指标，其中三级指标共计8个；</w:t>
      </w:r>
    </w:p>
    <w:p w14:paraId="6E34D40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②通过清晰、可衡量的指标值予以体现，量化率达到87.5%；</w:t>
      </w:r>
    </w:p>
    <w:p w14:paraId="63658DB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③《项目绩效目标申报表》中，三级指标的年度指标值与年度绩效目标中任务数一致。</w:t>
      </w:r>
    </w:p>
    <w:p w14:paraId="1CD74B0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19401"/>
      <w:bookmarkStart w:id="118" w:name="_Toc8296"/>
      <w:r>
        <w:rPr>
          <w:rFonts w:hint="eastAsia" w:ascii="仿宋_GB2312" w:hAnsi="仿宋_GB2312" w:eastAsia="仿宋_GB2312" w:cs="仿宋_GB2312"/>
          <w:b/>
          <w:bCs/>
          <w:sz w:val="32"/>
          <w:szCs w:val="32"/>
          <w:lang w:val="en-US" w:eastAsia="zh-CN"/>
        </w:rPr>
        <w:t>5.预算编制科学性</w:t>
      </w:r>
      <w:bookmarkEnd w:id="117"/>
      <w:bookmarkEnd w:id="118"/>
    </w:p>
    <w:p w14:paraId="425D61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①根据项目预算批复，项目的预算编制经过科学论证；</w:t>
      </w:r>
    </w:p>
    <w:p w14:paraId="40C9450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②预算申请内容为2023年阳光食品建设项目，项目实际内容为2023年阳光食品建设项目，预算申请与项目内容匹配；</w:t>
      </w:r>
    </w:p>
    <w:p w14:paraId="6352541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③项目预算申请资金48.1万元，我单位在预算申请中严格按照项目实施内容及测算标准进行核算，其中：设备安装成本费用19.24万元明厨亮灶服务成本费用28.86万元。</w:t>
      </w:r>
    </w:p>
    <w:p w14:paraId="0F6CBF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④预算确定资金量与实际工作任务相匹配。项目预算额度测算依据充分，严格按照标准编制，项目资金量与项目实施内容相匹配。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697"/>
      <w:bookmarkStart w:id="120" w:name="_Toc20556"/>
      <w:r>
        <w:rPr>
          <w:rFonts w:hint="eastAsia" w:ascii="仿宋_GB2312" w:hAnsi="仿宋_GB2312" w:eastAsia="仿宋_GB2312" w:cs="仿宋_GB2312"/>
          <w:b/>
          <w:bCs/>
          <w:color w:val="auto"/>
          <w:sz w:val="32"/>
          <w:szCs w:val="32"/>
          <w:lang w:val="en-US" w:eastAsia="zh-CN"/>
        </w:rPr>
        <w:t>6.资金分配合理性</w:t>
      </w:r>
      <w:bookmarkEnd w:id="119"/>
      <w:bookmarkEnd w:id="120"/>
    </w:p>
    <w:p w14:paraId="781EF93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①项目实际分配资金以</w:t>
      </w:r>
      <w:r>
        <w:rPr>
          <w:rFonts w:hint="eastAsia" w:ascii="仿宋_GB2312" w:hAnsi="仿宋_GB2312" w:eastAsia="仿宋_GB2312" w:cs="仿宋_GB2312"/>
          <w:color w:val="auto"/>
          <w:sz w:val="32"/>
          <w:szCs w:val="32"/>
          <w:highlight w:val="none"/>
          <w:shd w:val="clear" w:color="auto" w:fill="auto"/>
          <w:lang w:val="en-US" w:eastAsia="zh-Hans"/>
        </w:rPr>
        <w:t>《关于</w:t>
      </w:r>
      <w:r>
        <w:rPr>
          <w:rFonts w:hint="eastAsia" w:ascii="仿宋_GB2312" w:hAnsi="仿宋_GB2312" w:eastAsia="仿宋_GB2312" w:cs="仿宋_GB2312"/>
          <w:color w:val="auto"/>
          <w:sz w:val="32"/>
          <w:szCs w:val="32"/>
          <w:highlight w:val="none"/>
          <w:shd w:val="clear" w:color="auto" w:fill="auto"/>
          <w:lang w:val="en-US" w:eastAsia="zh-CN"/>
        </w:rPr>
        <w:t>申请2023年阳光食品建设项目资金的请示</w:t>
      </w:r>
      <w:r>
        <w:rPr>
          <w:rFonts w:hint="eastAsia" w:ascii="仿宋_GB2312" w:hAnsi="仿宋_GB2312" w:eastAsia="仿宋_GB2312" w:cs="仿宋_GB2312"/>
          <w:color w:val="auto"/>
          <w:sz w:val="32"/>
          <w:szCs w:val="32"/>
          <w:highlight w:val="none"/>
          <w:shd w:val="clear" w:color="auto" w:fill="auto"/>
          <w:lang w:val="en-US" w:eastAsia="zh-Hans"/>
        </w:rPr>
        <w:t>》为依据进行资金分配，预算资金分配依据充分</w:t>
      </w:r>
      <w:r>
        <w:rPr>
          <w:rFonts w:hint="eastAsia" w:ascii="仿宋_GB2312" w:hAnsi="仿宋_GB2312" w:eastAsia="仿宋_GB2312" w:cs="仿宋_GB2312"/>
          <w:color w:val="auto"/>
          <w:sz w:val="32"/>
          <w:szCs w:val="32"/>
          <w:highlight w:val="none"/>
          <w:shd w:val="clear" w:color="auto" w:fill="auto"/>
          <w:lang w:val="en-US" w:eastAsia="zh-CN"/>
        </w:rPr>
        <w:t>。</w:t>
      </w:r>
    </w:p>
    <w:p w14:paraId="18C386C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②项目实际到位资金48.1万元，资金分配额度合理，与项目单位及项目实际实施情况相适应。</w:t>
      </w:r>
    </w:p>
    <w:p w14:paraId="683C57FD">
      <w:pPr>
        <w:pageBreakBefore w:val="0"/>
        <w:kinsoku/>
        <w:wordWrap/>
        <w:overflowPunct/>
        <w:topLinePunct w:val="0"/>
        <w:autoSpaceDE/>
        <w:autoSpaceDN/>
        <w:bidi w:val="0"/>
        <w:spacing w:line="560" w:lineRule="exact"/>
        <w:textAlignment w:val="auto"/>
        <w:rPr>
          <w:rFonts w:hint="eastAsia"/>
          <w:lang w:eastAsia="zh-CN"/>
        </w:rPr>
      </w:pPr>
      <w:r>
        <w:rPr>
          <w:rFonts w:hint="eastAsia" w:ascii="仿宋_GB2312" w:hAnsi="仿宋_GB2312" w:eastAsia="仿宋_GB2312" w:cs="仿宋_GB2312"/>
          <w:b/>
          <w:bCs/>
          <w:color w:val="auto"/>
          <w:sz w:val="32"/>
          <w:szCs w:val="32"/>
          <w:lang w:val="en-US" w:eastAsia="zh-CN"/>
        </w:rPr>
        <w:t>综上，该项指标满分3分，得分3分</w:t>
      </w:r>
      <w:r>
        <w:rPr>
          <w:rFonts w:hint="eastAsia" w:ascii="仿宋_GB2312" w:hAnsi="仿宋_GB2312" w:eastAsia="仿宋_GB2312" w:cs="仿宋_GB2312"/>
          <w:b/>
          <w:bCs/>
          <w:sz w:val="32"/>
          <w:szCs w:val="32"/>
          <w:lang w:val="en-US" w:eastAsia="zh-CN"/>
        </w:rPr>
        <w:t>。</w:t>
      </w:r>
    </w:p>
    <w:p w14:paraId="50155C4C">
      <w:pPr>
        <w:pStyle w:val="16"/>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rPr>
      </w:pPr>
      <w:bookmarkStart w:id="121"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21"/>
    </w:p>
    <w:p w14:paraId="27E3CE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zh-TW" w:eastAsia="zh-CN"/>
        </w:rPr>
      </w:pPr>
      <w:r>
        <w:rPr>
          <w:rFonts w:hint="eastAsia" w:ascii="仿宋_GB2312" w:hAnsi="仿宋_GB2312" w:eastAsia="仿宋_GB2312" w:cs="仿宋_GB2312"/>
          <w:color w:val="auto"/>
          <w:sz w:val="32"/>
          <w:szCs w:val="32"/>
          <w:highlight w:val="none"/>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过程管理</w:t>
      </w:r>
      <w:r>
        <w:rPr>
          <w:rFonts w:hint="eastAsia" w:ascii="仿宋_GB2312" w:hAnsi="仿宋_GB2312" w:eastAsia="仿宋_GB2312" w:cs="仿宋_GB2312"/>
          <w:color w:val="auto"/>
          <w:sz w:val="32"/>
          <w:szCs w:val="32"/>
          <w:highlight w:val="none"/>
          <w:shd w:val="clear" w:color="auto" w:fill="auto"/>
          <w:lang w:val="zh-TW" w:eastAsia="zh-TW"/>
        </w:rPr>
        <w:t>类指标由</w:t>
      </w:r>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zh-TW" w:eastAsia="zh-CN"/>
        </w:rPr>
        <w:t>二</w:t>
      </w:r>
      <w:r>
        <w:rPr>
          <w:rFonts w:hint="eastAsia" w:ascii="仿宋_GB2312" w:hAnsi="仿宋_GB2312" w:eastAsia="仿宋_GB2312" w:cs="仿宋_GB2312"/>
          <w:color w:val="auto"/>
          <w:sz w:val="32"/>
          <w:szCs w:val="32"/>
          <w:highlight w:val="none"/>
          <w:shd w:val="clear" w:color="auto" w:fill="auto"/>
          <w:lang w:val="zh-TW" w:eastAsia="zh-TW"/>
        </w:rPr>
        <w:t>级指标和</w:t>
      </w:r>
      <w:r>
        <w:rPr>
          <w:rFonts w:hint="eastAsia" w:ascii="仿宋_GB2312" w:hAnsi="仿宋_GB2312" w:eastAsia="仿宋_GB2312" w:cs="仿宋_GB2312"/>
          <w:color w:val="auto"/>
          <w:sz w:val="32"/>
          <w:szCs w:val="32"/>
          <w:highlight w:val="none"/>
          <w:shd w:val="clear" w:color="auto" w:fill="auto"/>
          <w:lang w:val="en-US" w:eastAsia="zh-CN"/>
        </w:rPr>
        <w:t>5</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en-US" w:eastAsia="zh-CN"/>
        </w:rPr>
        <w:t>三</w:t>
      </w:r>
      <w:r>
        <w:rPr>
          <w:rFonts w:hint="eastAsia" w:ascii="仿宋_GB2312" w:hAnsi="仿宋_GB2312" w:eastAsia="仿宋_GB2312" w:cs="仿宋_GB2312"/>
          <w:color w:val="auto"/>
          <w:sz w:val="32"/>
          <w:szCs w:val="32"/>
          <w:highlight w:val="none"/>
          <w:shd w:val="clear" w:color="auto" w:fill="auto"/>
          <w:lang w:val="zh-TW" w:eastAsia="zh-TW"/>
        </w:rPr>
        <w:t>级指标构成，权重分</w:t>
      </w:r>
      <w:r>
        <w:rPr>
          <w:rFonts w:hint="eastAsia" w:ascii="仿宋_GB2312" w:hAnsi="仿宋_GB2312" w:eastAsia="仿宋_GB2312" w:cs="仿宋_GB2312"/>
          <w:color w:val="auto"/>
          <w:sz w:val="32"/>
          <w:szCs w:val="32"/>
          <w:highlight w:val="none"/>
          <w:shd w:val="clear" w:color="auto" w:fill="auto"/>
          <w:lang w:val="en-US" w:eastAsia="zh-CN"/>
        </w:rPr>
        <w:t>20</w:t>
      </w:r>
      <w:r>
        <w:rPr>
          <w:rFonts w:hint="eastAsia" w:ascii="仿宋_GB2312" w:hAnsi="仿宋_GB2312" w:eastAsia="仿宋_GB2312" w:cs="仿宋_GB2312"/>
          <w:color w:val="auto"/>
          <w:sz w:val="32"/>
          <w:szCs w:val="32"/>
          <w:highlight w:val="none"/>
          <w:shd w:val="clear" w:color="auto" w:fill="auto"/>
          <w:lang w:val="zh-TW" w:eastAsia="zh-TW"/>
        </w:rPr>
        <w:t>分，实际得分</w:t>
      </w:r>
      <w:r>
        <w:rPr>
          <w:rFonts w:hint="eastAsia" w:ascii="仿宋_GB2312" w:hAnsi="仿宋_GB2312" w:eastAsia="仿宋_GB2312" w:cs="仿宋_GB2312"/>
          <w:color w:val="auto"/>
          <w:sz w:val="32"/>
          <w:szCs w:val="32"/>
          <w:highlight w:val="none"/>
          <w:shd w:val="clear" w:color="auto" w:fill="auto"/>
          <w:lang w:val="en-US" w:eastAsia="zh-CN"/>
        </w:rPr>
        <w:t>20</w:t>
      </w:r>
      <w:r>
        <w:rPr>
          <w:rFonts w:hint="eastAsia" w:ascii="仿宋_GB2312" w:hAnsi="仿宋_GB2312" w:eastAsia="仿宋_GB2312" w:cs="仿宋_GB2312"/>
          <w:color w:val="auto"/>
          <w:sz w:val="32"/>
          <w:szCs w:val="32"/>
          <w:highlight w:val="none"/>
          <w:shd w:val="clear" w:color="auto" w:fill="auto"/>
          <w:lang w:val="zh-TW" w:eastAsia="zh-TW"/>
        </w:rPr>
        <w:t>分</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sz w:val="32"/>
          <w:szCs w:val="32"/>
          <w:highlight w:val="none"/>
          <w:shd w:val="clear" w:color="auto" w:fill="auto"/>
          <w:lang w:val="en-US" w:eastAsia="zh-CN"/>
        </w:rPr>
        <w:t>4-2</w:t>
      </w:r>
      <w:r>
        <w:rPr>
          <w:rFonts w:hint="eastAsia" w:ascii="仿宋_GB2312" w:hAnsi="仿宋_GB2312" w:eastAsia="仿宋_GB2312" w:cs="仿宋_GB2312"/>
          <w:color w:val="auto"/>
          <w:sz w:val="32"/>
          <w:szCs w:val="32"/>
          <w:highlight w:val="none"/>
          <w:shd w:val="clear" w:color="auto" w:fill="auto"/>
          <w:lang w:val="zh-TW" w:eastAsia="zh-TW"/>
        </w:rPr>
        <w:t>所示</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详见上传的附件二</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8"/>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tabs>
                <w:tab w:val="left" w:pos="552"/>
              </w:tabs>
              <w:kinsoku/>
              <w:wordWrap/>
              <w:overflowPunct/>
              <w:topLinePunct w:val="0"/>
              <w:autoSpaceDE/>
              <w:autoSpaceDN/>
              <w:bidi w:val="0"/>
              <w:adjustRightInd/>
              <w:snapToGrid w:val="0"/>
              <w:spacing w:line="560" w:lineRule="exact"/>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3886"/>
      <w:bookmarkStart w:id="123" w:name="_Toc20449"/>
      <w:r>
        <w:rPr>
          <w:rFonts w:hint="eastAsia" w:ascii="仿宋_GB2312" w:hAnsi="仿宋_GB2312" w:eastAsia="仿宋_GB2312" w:cs="仿宋_GB2312"/>
          <w:b/>
          <w:bCs/>
          <w:sz w:val="32"/>
          <w:szCs w:val="32"/>
          <w:lang w:val="en-US" w:eastAsia="zh-CN"/>
        </w:rPr>
        <w:t>1.资金到位率</w:t>
      </w:r>
      <w:bookmarkEnd w:id="122"/>
      <w:bookmarkEnd w:id="123"/>
    </w:p>
    <w:p w14:paraId="4C03DE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zh-TW" w:eastAsia="zh-CN"/>
        </w:rPr>
      </w:pPr>
      <w:r>
        <w:rPr>
          <w:rFonts w:hint="eastAsia" w:ascii="仿宋_GB2312" w:hAnsi="仿宋_GB2312" w:eastAsia="仿宋_GB2312" w:cs="仿宋_GB2312"/>
          <w:color w:val="auto"/>
          <w:sz w:val="32"/>
          <w:szCs w:val="32"/>
          <w:highlight w:val="none"/>
          <w:shd w:val="clear" w:color="auto" w:fill="auto"/>
          <w:lang w:val="zh-TW" w:eastAsia="zh-TW"/>
        </w:rPr>
        <w:t>项目预算资金为</w:t>
      </w:r>
      <w:r>
        <w:rPr>
          <w:rFonts w:hint="eastAsia" w:ascii="仿宋_GB2312" w:hAnsi="仿宋_GB2312" w:eastAsia="仿宋_GB2312" w:cs="仿宋_GB2312"/>
          <w:color w:val="auto"/>
          <w:sz w:val="32"/>
          <w:szCs w:val="32"/>
          <w:highlight w:val="none"/>
          <w:shd w:val="clear" w:color="auto" w:fill="auto"/>
          <w:lang w:val="en-US" w:eastAsia="zh-CN"/>
        </w:rPr>
        <w:t>48.1</w:t>
      </w:r>
      <w:r>
        <w:rPr>
          <w:rFonts w:hint="eastAsia" w:ascii="仿宋_GB2312" w:hAnsi="仿宋_GB2312" w:eastAsia="仿宋_GB2312" w:cs="仿宋_GB2312"/>
          <w:color w:val="auto"/>
          <w:sz w:val="32"/>
          <w:szCs w:val="32"/>
          <w:highlight w:val="none"/>
          <w:shd w:val="clear" w:color="auto" w:fill="auto"/>
          <w:lang w:val="zh-TW" w:eastAsia="zh-TW"/>
        </w:rPr>
        <w:t>万元，其中：财政安排资金</w:t>
      </w:r>
      <w:r>
        <w:rPr>
          <w:rFonts w:hint="eastAsia" w:ascii="仿宋_GB2312" w:hAnsi="仿宋_GB2312" w:eastAsia="仿宋_GB2312" w:cs="仿宋_GB2312"/>
          <w:color w:val="auto"/>
          <w:sz w:val="32"/>
          <w:szCs w:val="32"/>
          <w:highlight w:val="none"/>
          <w:shd w:val="clear" w:color="auto" w:fill="auto"/>
          <w:lang w:val="en-US" w:eastAsia="zh-CN"/>
        </w:rPr>
        <w:t>48.1</w:t>
      </w:r>
      <w:r>
        <w:rPr>
          <w:rFonts w:hint="eastAsia" w:ascii="仿宋_GB2312" w:hAnsi="仿宋_GB2312" w:eastAsia="仿宋_GB2312" w:cs="仿宋_GB2312"/>
          <w:color w:val="auto"/>
          <w:sz w:val="32"/>
          <w:szCs w:val="32"/>
          <w:highlight w:val="none"/>
          <w:shd w:val="clear" w:color="auto" w:fill="auto"/>
          <w:lang w:val="zh-TW" w:eastAsia="zh-TW"/>
        </w:rPr>
        <w:t>万元，其他资金</w:t>
      </w:r>
      <w:r>
        <w:rPr>
          <w:rFonts w:hint="eastAsia" w:ascii="仿宋_GB2312" w:hAnsi="仿宋_GB2312" w:eastAsia="仿宋_GB2312" w:cs="仿宋_GB2312"/>
          <w:color w:val="auto"/>
          <w:sz w:val="32"/>
          <w:szCs w:val="32"/>
          <w:highlight w:val="none"/>
          <w:shd w:val="clear" w:color="auto" w:fill="auto"/>
          <w:lang w:val="en-US" w:eastAsia="zh-CN"/>
        </w:rPr>
        <w:t>0</w:t>
      </w:r>
      <w:r>
        <w:rPr>
          <w:rFonts w:hint="eastAsia" w:ascii="仿宋_GB2312" w:hAnsi="仿宋_GB2312" w:eastAsia="仿宋_GB2312" w:cs="仿宋_GB2312"/>
          <w:color w:val="auto"/>
          <w:sz w:val="32"/>
          <w:szCs w:val="32"/>
          <w:highlight w:val="none"/>
          <w:shd w:val="clear" w:color="auto" w:fill="auto"/>
          <w:lang w:val="zh-TW" w:eastAsia="zh-TW"/>
        </w:rPr>
        <w:t>万元</w:t>
      </w:r>
      <w:r>
        <w:rPr>
          <w:rFonts w:hint="eastAsia" w:ascii="仿宋_GB2312" w:hAnsi="仿宋_GB2312" w:eastAsia="仿宋_GB2312" w:cs="仿宋_GB2312"/>
          <w:color w:val="auto"/>
          <w:sz w:val="32"/>
          <w:szCs w:val="32"/>
          <w:highlight w:val="none"/>
          <w:shd w:val="clear" w:color="auto" w:fill="auto"/>
          <w:lang w:val="zh-TW" w:eastAsia="zh-CN"/>
        </w:rPr>
        <w:t>。</w:t>
      </w:r>
    </w:p>
    <w:p w14:paraId="6FCBA2A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zh-TW" w:eastAsia="zh-CN"/>
        </w:rPr>
        <w:t>资金到位率=（</w:t>
      </w:r>
      <w:r>
        <w:rPr>
          <w:rFonts w:hint="eastAsia" w:ascii="仿宋_GB2312" w:hAnsi="仿宋_GB2312" w:eastAsia="仿宋_GB2312" w:cs="仿宋_GB2312"/>
          <w:color w:val="auto"/>
          <w:sz w:val="32"/>
          <w:szCs w:val="32"/>
          <w:highlight w:val="none"/>
          <w:shd w:val="clear" w:color="auto" w:fill="auto"/>
          <w:lang w:val="en-US" w:eastAsia="zh-CN"/>
        </w:rPr>
        <w:t>48.1</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48.1</w:t>
      </w:r>
      <w:r>
        <w:rPr>
          <w:rFonts w:hint="eastAsia" w:ascii="仿宋_GB2312" w:hAnsi="仿宋_GB2312" w:eastAsia="仿宋_GB2312" w:cs="仿宋_GB2312"/>
          <w:color w:val="auto"/>
          <w:sz w:val="32"/>
          <w:szCs w:val="32"/>
          <w:highlight w:val="none"/>
          <w:shd w:val="clear" w:color="auto" w:fill="auto"/>
          <w:lang w:val="zh-TW" w:eastAsia="zh-CN"/>
        </w:rPr>
        <w:t>）×100%</w:t>
      </w:r>
      <w:r>
        <w:rPr>
          <w:rFonts w:hint="eastAsia" w:ascii="仿宋_GB2312" w:hAnsi="仿宋_GB2312" w:eastAsia="仿宋_GB2312" w:cs="仿宋_GB2312"/>
          <w:color w:val="auto"/>
          <w:sz w:val="32"/>
          <w:szCs w:val="32"/>
          <w:highlight w:val="none"/>
          <w:shd w:val="clear" w:color="auto" w:fill="auto"/>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4" w:name="_Toc17709"/>
      <w:bookmarkStart w:id="125" w:name="_Toc9705"/>
      <w:r>
        <w:rPr>
          <w:rFonts w:hint="eastAsia" w:ascii="仿宋_GB2312" w:hAnsi="仿宋_GB2312" w:eastAsia="仿宋_GB2312" w:cs="仿宋_GB2312"/>
          <w:b/>
          <w:bCs/>
          <w:sz w:val="32"/>
          <w:szCs w:val="32"/>
          <w:lang w:val="en-US" w:eastAsia="zh-CN"/>
        </w:rPr>
        <w:t>2.预算执行率</w:t>
      </w:r>
      <w:bookmarkEnd w:id="124"/>
      <w:bookmarkEnd w:id="125"/>
    </w:p>
    <w:p w14:paraId="4FA95D6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截至2024年12月31日，项目实际支出48.1万元。</w:t>
      </w:r>
    </w:p>
    <w:p w14:paraId="7233E9B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 w:cs="仿宋_GB2312"/>
          <w:b w:val="0"/>
          <w:bCs w:val="0"/>
          <w:color w:val="auto"/>
          <w:sz w:val="32"/>
          <w:szCs w:val="32"/>
          <w:lang w:val="en-US" w:eastAsia="zh-CN"/>
        </w:rPr>
      </w:pPr>
      <w:r>
        <w:rPr>
          <w:rFonts w:hint="eastAsia" w:ascii="仿宋_GB2312" w:hAnsi="仿宋_GB2312" w:eastAsia="仿宋_GB2312" w:cs="仿宋_GB2312"/>
          <w:color w:val="auto"/>
          <w:sz w:val="32"/>
          <w:szCs w:val="32"/>
          <w:highlight w:val="none"/>
          <w:shd w:val="clear" w:color="auto" w:fill="auto"/>
          <w:lang w:val="zh-TW" w:eastAsia="zh-CN"/>
        </w:rPr>
        <w:t>预算执行率=（</w:t>
      </w:r>
      <w:r>
        <w:rPr>
          <w:rFonts w:hint="eastAsia" w:ascii="仿宋_GB2312" w:hAnsi="仿宋_GB2312" w:eastAsia="仿宋_GB2312" w:cs="仿宋_GB2312"/>
          <w:color w:val="auto"/>
          <w:sz w:val="32"/>
          <w:szCs w:val="32"/>
          <w:highlight w:val="none"/>
          <w:shd w:val="clear" w:color="auto" w:fill="auto"/>
          <w:lang w:val="en-US" w:eastAsia="zh-CN"/>
        </w:rPr>
        <w:t>48.1</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48.1</w:t>
      </w:r>
      <w:r>
        <w:rPr>
          <w:rFonts w:hint="eastAsia" w:ascii="仿宋_GB2312" w:hAnsi="仿宋_GB2312" w:eastAsia="仿宋_GB2312" w:cs="仿宋_GB2312"/>
          <w:color w:val="auto"/>
          <w:sz w:val="32"/>
          <w:szCs w:val="32"/>
          <w:highlight w:val="none"/>
          <w:shd w:val="clear" w:color="auto" w:fill="auto"/>
          <w:lang w:val="zh-TW" w:eastAsia="zh-CN"/>
        </w:rPr>
        <w:t>）×100%</w:t>
      </w:r>
      <w:r>
        <w:rPr>
          <w:rFonts w:hint="eastAsia" w:ascii="仿宋_GB2312" w:hAnsi="仿宋_GB2312" w:eastAsia="仿宋_GB2312" w:cs="仿宋_GB2312"/>
          <w:b w:val="0"/>
          <w:bCs w:val="0"/>
          <w:color w:val="auto"/>
          <w:sz w:val="32"/>
          <w:szCs w:val="32"/>
          <w:highlight w:val="none"/>
          <w:shd w:val="clear" w:color="auto" w:fill="auto"/>
          <w:lang w:val="en-US" w:eastAsia="zh-CN"/>
        </w:rPr>
        <w:t>=</w:t>
      </w:r>
      <w:r>
        <w:rPr>
          <w:rFonts w:hint="eastAsia" w:ascii="仿宋_GB2312" w:hAnsi="仿宋_GB2312" w:eastAsia="仿宋" w:cs="仿宋_GB2312"/>
          <w:b w:val="0"/>
          <w:bCs w:val="0"/>
          <w:color w:val="auto"/>
          <w:sz w:val="32"/>
          <w:szCs w:val="32"/>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6" w:name="_Toc28875"/>
      <w:bookmarkStart w:id="127" w:name="_Toc18691"/>
      <w:r>
        <w:rPr>
          <w:rFonts w:hint="eastAsia" w:ascii="仿宋_GB2312" w:hAnsi="仿宋_GB2312" w:eastAsia="仿宋_GB2312" w:cs="仿宋_GB2312"/>
          <w:b/>
          <w:bCs/>
          <w:sz w:val="32"/>
          <w:szCs w:val="32"/>
          <w:lang w:val="en-US" w:eastAsia="zh-CN"/>
        </w:rPr>
        <w:t>3.资金使用合规性</w:t>
      </w:r>
      <w:bookmarkEnd w:id="126"/>
      <w:bookmarkEnd w:id="127"/>
    </w:p>
    <w:p w14:paraId="4CDEE3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①本项目资金支出符合国家财经法规、《政府会计制度》《阜康市市场监督管理局资金管理办法》《阜康市市场监督管理局专项资金管理办法》；</w:t>
      </w:r>
    </w:p>
    <w:p w14:paraId="3CF9268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②资金的拨付有完整的审批程序和手续；</w:t>
      </w:r>
    </w:p>
    <w:p w14:paraId="20CC77B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③符合项目预算批复或合同规定的用途；</w:t>
      </w:r>
    </w:p>
    <w:p w14:paraId="3245222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④不存在截留、挤占、挪用、虚列支出等情况。</w:t>
      </w:r>
    </w:p>
    <w:p w14:paraId="710D9AD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仿宋_GB2312" w:hAnsi="仿宋_GB2312" w:eastAsia="仿宋_GB2312" w:cs="仿宋_GB2312"/>
          <w:color w:val="auto"/>
          <w:sz w:val="32"/>
          <w:szCs w:val="32"/>
          <w:highlight w:val="none"/>
          <w:shd w:val="clear" w:color="auto" w:fill="auto"/>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r>
        <w:rPr>
          <w:rFonts w:hint="eastAsia" w:ascii="仿宋_GB2312" w:hAnsi="仿宋_GB2312" w:eastAsia="仿宋_GB2312" w:cs="仿宋_GB2312"/>
          <w:b/>
          <w:bCs/>
          <w:sz w:val="32"/>
          <w:szCs w:val="32"/>
          <w:lang w:val="en-US" w:eastAsia="zh-CN"/>
        </w:rPr>
        <w:t>。</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479D108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我单位已制定《阜康市市场监督管理局资金管理办法》《阜康市市场监督管理局收支业务管理制度》《阜康市市场监督管理局政府采购业务管理制度》《阜康市市场监督管理局合同管理制度》，相关制度均符合行政事业单位内控管理要求；</w:t>
      </w:r>
    </w:p>
    <w:p w14:paraId="558AE56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②已制定的财务和业务管理制度合法、合规、完整，本项目执行符合上述制度规定。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r>
        <w:rPr>
          <w:rFonts w:hint="eastAsia" w:ascii="仿宋_GB2312" w:hAnsi="仿宋_GB2312" w:eastAsia="仿宋_GB2312" w:cs="仿宋_GB2312"/>
          <w:b/>
          <w:bCs/>
          <w:sz w:val="32"/>
          <w:szCs w:val="32"/>
          <w:lang w:val="en-US" w:eastAsia="zh-CN"/>
        </w:rPr>
        <w:t>。</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8" w:name="_Toc13984"/>
      <w:bookmarkStart w:id="129" w:name="_Toc31684"/>
      <w:r>
        <w:rPr>
          <w:rFonts w:hint="eastAsia" w:ascii="仿宋_GB2312" w:hAnsi="仿宋_GB2312" w:eastAsia="仿宋_GB2312" w:cs="仿宋_GB2312"/>
          <w:b/>
          <w:bCs/>
          <w:sz w:val="32"/>
          <w:szCs w:val="32"/>
          <w:lang w:val="en-US" w:eastAsia="zh-CN"/>
        </w:rPr>
        <w:t>5.制度执行有效性</w:t>
      </w:r>
      <w:bookmarkEnd w:id="128"/>
      <w:bookmarkEnd w:id="129"/>
    </w:p>
    <w:p w14:paraId="7A82465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①项目的实施遵守相关法律法规及相关管理规定，《阜康市市场监督管理局建设项目管理制度》《阜康市市场监督管理局采购业务管理制度》《阜康市市场监督管理局合同管理制度》等管理规定；</w:t>
      </w:r>
    </w:p>
    <w:p w14:paraId="5234404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②该项目实施过程中不存在调整事项；</w:t>
      </w:r>
    </w:p>
    <w:p w14:paraId="181BF9B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③项目合同书、验收评审表、财务支付凭证等资料齐全并及时归档；</w:t>
      </w:r>
    </w:p>
    <w:p w14:paraId="2F3D984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项目实施所需要的项目人员和场地设备均已落实到位，具体涉及内容包括：项目资金支出严格按照自治区、地区以及本单位资金管理办法执行，项目启动实施后，为了加快本项目的实施，成立了2023年阳光食品建设项目工作领导小组，由董英任组长，负责项目的组织工作；徐建新任副组长，负责项目的实施工作；组员包括：袁鹏、杨盼、艾西江，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8F76A87">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6926FC72">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 w:cs="仿宋_GB2312"/>
          <w:b/>
          <w:bCs/>
          <w:color w:val="FF0000"/>
          <w:kern w:val="0"/>
          <w:sz w:val="32"/>
          <w:szCs w:val="32"/>
          <w:highlight w:val="none"/>
          <w:shd w:val="clear" w:color="auto" w:fill="auto"/>
          <w:lang w:val="zh-TW" w:eastAsia="zh-CN"/>
        </w:rPr>
      </w:pPr>
      <w:r>
        <w:rPr>
          <w:rFonts w:hint="eastAsia" w:ascii="仿宋_GB2312" w:hAnsi="仿宋_GB2312" w:eastAsia="仿宋_GB2312" w:cs="仿宋_GB2312"/>
          <w:color w:val="auto"/>
          <w:sz w:val="32"/>
          <w:szCs w:val="32"/>
          <w:highlight w:val="none"/>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sz w:val="32"/>
          <w:szCs w:val="32"/>
          <w:highlight w:val="none"/>
          <w:shd w:val="clear" w:color="auto" w:fill="auto"/>
          <w:lang w:val="zh-TW" w:eastAsia="zh-TW"/>
        </w:rPr>
        <w:t>类指标</w:t>
      </w:r>
      <w:r>
        <w:rPr>
          <w:rFonts w:hint="default" w:ascii="仿宋_GB2312" w:hAnsi="仿宋_GB2312" w:eastAsia="仿宋_GB2312" w:cs="仿宋_GB2312"/>
          <w:color w:val="auto"/>
          <w:sz w:val="32"/>
          <w:szCs w:val="32"/>
          <w:highlight w:val="none"/>
          <w:shd w:val="clear" w:color="auto" w:fill="auto"/>
          <w:lang w:val="en-US" w:eastAsia="zh-CN"/>
        </w:rPr>
        <w:t>包括产出数量、产出质量、产出时效、产出成本四方面的内容，</w:t>
      </w:r>
      <w:r>
        <w:rPr>
          <w:rFonts w:hint="eastAsia" w:ascii="仿宋_GB2312" w:hAnsi="仿宋_GB2312" w:eastAsia="仿宋_GB2312" w:cs="仿宋_GB2312"/>
          <w:color w:val="auto"/>
          <w:sz w:val="32"/>
          <w:szCs w:val="32"/>
          <w:highlight w:val="none"/>
          <w:shd w:val="clear" w:color="auto" w:fill="auto"/>
          <w:lang w:val="en-US" w:eastAsia="zh-CN"/>
        </w:rPr>
        <w:t>共4</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zh-TW" w:eastAsia="zh-CN"/>
        </w:rPr>
        <w:t>二</w:t>
      </w:r>
      <w:r>
        <w:rPr>
          <w:rFonts w:hint="eastAsia" w:ascii="仿宋_GB2312" w:hAnsi="仿宋_GB2312" w:eastAsia="仿宋_GB2312" w:cs="仿宋_GB2312"/>
          <w:color w:val="auto"/>
          <w:sz w:val="32"/>
          <w:szCs w:val="32"/>
          <w:highlight w:val="none"/>
          <w:shd w:val="clear" w:color="auto" w:fill="auto"/>
          <w:lang w:val="zh-TW" w:eastAsia="zh-TW"/>
        </w:rPr>
        <w:t>级指标和</w:t>
      </w:r>
      <w:r>
        <w:rPr>
          <w:rFonts w:hint="eastAsia" w:ascii="仿宋_GB2312" w:hAnsi="仿宋_GB2312" w:eastAsia="仿宋_GB2312" w:cs="仿宋_GB2312"/>
          <w:color w:val="auto"/>
          <w:sz w:val="32"/>
          <w:szCs w:val="32"/>
          <w:highlight w:val="none"/>
          <w:shd w:val="clear" w:color="auto" w:fill="auto"/>
          <w:lang w:val="en-US" w:eastAsia="zh-CN"/>
        </w:rPr>
        <w:t>7</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en-US" w:eastAsia="zh-CN"/>
        </w:rPr>
        <w:t>三</w:t>
      </w:r>
      <w:r>
        <w:rPr>
          <w:rFonts w:hint="eastAsia" w:ascii="仿宋_GB2312" w:hAnsi="仿宋_GB2312" w:eastAsia="仿宋_GB2312" w:cs="仿宋_GB2312"/>
          <w:color w:val="auto"/>
          <w:sz w:val="32"/>
          <w:szCs w:val="32"/>
          <w:highlight w:val="none"/>
          <w:shd w:val="clear" w:color="auto" w:fill="auto"/>
          <w:lang w:val="zh-TW" w:eastAsia="zh-TW"/>
        </w:rPr>
        <w:t>级指标构成，权重分</w:t>
      </w:r>
      <w:r>
        <w:rPr>
          <w:rFonts w:hint="eastAsia" w:ascii="仿宋_GB2312" w:hAnsi="仿宋_GB2312" w:eastAsia="仿宋_GB2312" w:cs="仿宋_GB2312"/>
          <w:color w:val="auto"/>
          <w:sz w:val="32"/>
          <w:szCs w:val="32"/>
          <w:highlight w:val="none"/>
          <w:shd w:val="clear" w:color="auto" w:fill="auto"/>
          <w:lang w:val="en-US" w:eastAsia="zh-CN"/>
        </w:rPr>
        <w:t>40</w:t>
      </w:r>
      <w:r>
        <w:rPr>
          <w:rFonts w:hint="eastAsia" w:ascii="仿宋_GB2312" w:hAnsi="仿宋_GB2312" w:eastAsia="仿宋_GB2312" w:cs="仿宋_GB2312"/>
          <w:color w:val="auto"/>
          <w:sz w:val="32"/>
          <w:szCs w:val="32"/>
          <w:highlight w:val="none"/>
          <w:shd w:val="clear" w:color="auto" w:fill="auto"/>
          <w:lang w:val="zh-TW" w:eastAsia="zh-TW"/>
        </w:rPr>
        <w:t>分，实际得分</w:t>
      </w:r>
      <w:r>
        <w:rPr>
          <w:rFonts w:hint="eastAsia" w:ascii="仿宋_GB2312" w:hAnsi="仿宋_GB2312" w:eastAsia="仿宋_GB2312" w:cs="仿宋_GB2312"/>
          <w:color w:val="auto"/>
          <w:sz w:val="32"/>
          <w:szCs w:val="32"/>
          <w:highlight w:val="none"/>
          <w:shd w:val="clear" w:color="auto" w:fill="auto"/>
          <w:lang w:val="en-US" w:eastAsia="zh-CN"/>
        </w:rPr>
        <w:t>40</w:t>
      </w:r>
      <w:r>
        <w:rPr>
          <w:rFonts w:hint="eastAsia" w:ascii="仿宋_GB2312" w:hAnsi="仿宋_GB2312" w:eastAsia="仿宋_GB2312" w:cs="仿宋_GB2312"/>
          <w:color w:val="auto"/>
          <w:sz w:val="32"/>
          <w:szCs w:val="32"/>
          <w:highlight w:val="none"/>
          <w:shd w:val="clear" w:color="auto" w:fill="auto"/>
          <w:lang w:val="zh-TW" w:eastAsia="zh-TW"/>
        </w:rPr>
        <w:t>分</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sz w:val="32"/>
          <w:szCs w:val="32"/>
          <w:highlight w:val="none"/>
          <w:shd w:val="clear" w:color="auto" w:fill="auto"/>
          <w:lang w:val="en-US" w:eastAsia="zh-CN"/>
        </w:rPr>
        <w:t>4-3</w:t>
      </w:r>
      <w:r>
        <w:rPr>
          <w:rFonts w:hint="eastAsia" w:ascii="仿宋_GB2312" w:hAnsi="仿宋_GB2312" w:eastAsia="仿宋_GB2312" w:cs="仿宋_GB2312"/>
          <w:color w:val="auto"/>
          <w:sz w:val="32"/>
          <w:szCs w:val="32"/>
          <w:highlight w:val="none"/>
          <w:shd w:val="clear" w:color="auto" w:fill="auto"/>
          <w:lang w:val="zh-TW" w:eastAsia="zh-TW"/>
        </w:rPr>
        <w:t>所示</w:t>
      </w:r>
      <w:r>
        <w:rPr>
          <w:rFonts w:hint="eastAsia" w:ascii="仿宋_GB2312" w:hAnsi="仿宋_GB2312" w:eastAsia="仿宋" w:cs="仿宋_GB2312"/>
          <w:b/>
          <w:bCs/>
          <w:color w:val="auto"/>
          <w:kern w:val="2"/>
          <w:sz w:val="32"/>
          <w:szCs w:val="32"/>
          <w:highlight w:val="none"/>
          <w:u w:color="000000"/>
          <w:shd w:val="clear" w:color="auto" w:fill="auto"/>
          <w:lang w:val="zh-TW" w:eastAsia="zh-CN"/>
        </w:rPr>
        <w:t>（</w:t>
      </w:r>
      <w:r>
        <w:rPr>
          <w:rFonts w:hint="eastAsia" w:ascii="仿宋_GB2312" w:hAnsi="仿宋_GB2312" w:eastAsia="仿宋"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 w:cs="仿宋_GB2312"/>
          <w:b/>
          <w:bCs/>
          <w:color w:val="auto"/>
          <w:kern w:val="2"/>
          <w:sz w:val="32"/>
          <w:szCs w:val="32"/>
          <w:highlight w:val="none"/>
          <w:u w:color="000000"/>
          <w:shd w:val="clear" w:color="auto" w:fill="auto"/>
          <w:lang w:val="zh-TW" w:eastAsia="zh-CN"/>
        </w:rPr>
        <w:t>）</w:t>
      </w:r>
      <w:r>
        <w:rPr>
          <w:rFonts w:hint="eastAsia" w:ascii="仿宋_GB2312" w:hAnsi="仿宋_GB2312" w:eastAsia="仿宋"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8"/>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新安装企业数量(个)</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≥125家</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125家</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5BD0ACC">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AABB44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7170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C710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新安装企业设备数量(台)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91F0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≥128台</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DD6F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FF1C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128台</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0037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0F833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 xml:space="preserve">视频云调试上线合格率（%） </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CC21047">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设备维护率（%）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项目按时完成率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tabs>
                <w:tab w:val="left" w:pos="456"/>
              </w:tabs>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设备安装成本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≤19.24万元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A85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19.24万元</w:t>
            </w:r>
          </w:p>
          <w:p w14:paraId="73C050E8">
            <w:pPr>
              <w:keepNext w:val="0"/>
              <w:keepLines w:val="0"/>
              <w:pageBreakBefore w:val="0"/>
              <w:kinsoku/>
              <w:wordWrap/>
              <w:overflowPunct/>
              <w:topLinePunct w:val="0"/>
              <w:autoSpaceDE/>
              <w:autoSpaceDN/>
              <w:bidi w:val="0"/>
              <w:adjustRightInd/>
              <w:spacing w:line="300" w:lineRule="exact"/>
              <w:textAlignment w:val="auto"/>
              <w:rPr>
                <w:color w:val="auto"/>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4D6F8468">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826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8FF8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yellow"/>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BDF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明厨亮灶服务成本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097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≤28.86万元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EB88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6FB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28.86万元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6D3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r>
      <w:tr w14:paraId="567D2314">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DD9B7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lang w:val="en-US" w:eastAsia="zh-CN"/>
        </w:rPr>
      </w:pPr>
      <w:bookmarkStart w:id="131" w:name="_Toc26689"/>
      <w:bookmarkStart w:id="132" w:name="_Toc11067"/>
      <w:r>
        <w:rPr>
          <w:rFonts w:hint="eastAsia" w:ascii="仿宋_GB2312" w:hAnsi="仿宋_GB2312" w:eastAsia="仿宋_GB2312" w:cs="仿宋_GB2312"/>
          <w:b/>
          <w:bCs/>
          <w:sz w:val="32"/>
          <w:szCs w:val="32"/>
          <w:lang w:val="en-US" w:eastAsia="zh-CN"/>
        </w:rPr>
        <w:t>1.数量指标完成情况</w:t>
      </w:r>
      <w:bookmarkEnd w:id="131"/>
      <w:bookmarkEnd w:id="132"/>
    </w:p>
    <w:p w14:paraId="11CA09FF">
      <w:pPr>
        <w:pageBreakBefore w:val="0"/>
        <w:widowControl w:val="0"/>
        <w:kinsoku/>
        <w:wordWrap/>
        <w:overflowPunct/>
        <w:topLinePunct w:val="0"/>
        <w:autoSpaceDE/>
        <w:autoSpaceDN/>
        <w:bidi w:val="0"/>
        <w:adjustRightInd/>
        <w:spacing w:line="560" w:lineRule="exact"/>
        <w:ind w:firstLine="56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（1）“新安装企业数量(个)”指标，预期目标值为≥125家，实际完成为125家。实际完成率</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125</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125</w:t>
      </w:r>
      <w:r>
        <w:rPr>
          <w:rFonts w:hint="eastAsia" w:ascii="仿宋_GB2312" w:hAnsi="仿宋_GB2312" w:eastAsia="仿宋_GB2312" w:cs="仿宋_GB2312"/>
          <w:color w:val="auto"/>
          <w:sz w:val="32"/>
          <w:szCs w:val="32"/>
          <w:highlight w:val="none"/>
          <w:shd w:val="clear" w:color="auto" w:fill="auto"/>
          <w:lang w:val="zh-TW" w:eastAsia="zh-CN"/>
        </w:rPr>
        <w:t>）×100%</w:t>
      </w:r>
      <w:r>
        <w:rPr>
          <w:rFonts w:hint="eastAsia" w:ascii="仿宋_GB2312" w:hAnsi="仿宋_GB2312" w:eastAsia="仿宋_GB2312" w:cs="仿宋_GB2312"/>
          <w:color w:val="auto"/>
          <w:sz w:val="32"/>
          <w:szCs w:val="32"/>
          <w:highlight w:val="none"/>
          <w:shd w:val="clear" w:color="auto" w:fill="auto"/>
          <w:lang w:val="en-US" w:eastAsia="zh-CN"/>
        </w:rPr>
        <w:t>=100%。</w:t>
      </w:r>
    </w:p>
    <w:p w14:paraId="20C346A7">
      <w:pPr>
        <w:pageBreakBefore w:val="0"/>
        <w:widowControl w:val="0"/>
        <w:kinsoku/>
        <w:wordWrap/>
        <w:overflowPunct/>
        <w:topLinePunct w:val="0"/>
        <w:autoSpaceDE/>
        <w:autoSpaceDN/>
        <w:bidi w:val="0"/>
        <w:adjustRightInd/>
        <w:spacing w:line="560" w:lineRule="exact"/>
        <w:ind w:firstLine="56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（2）“新安装企业设备数量(台)”指标，预期目标值为≥128台，实际完成为128台。实际完成率</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128</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128</w:t>
      </w:r>
      <w:r>
        <w:rPr>
          <w:rFonts w:hint="eastAsia" w:ascii="仿宋_GB2312" w:hAnsi="仿宋_GB2312" w:eastAsia="仿宋_GB2312" w:cs="仿宋_GB2312"/>
          <w:color w:val="auto"/>
          <w:sz w:val="32"/>
          <w:szCs w:val="32"/>
          <w:highlight w:val="none"/>
          <w:shd w:val="clear" w:color="auto" w:fill="auto"/>
          <w:lang w:val="zh-TW" w:eastAsia="zh-CN"/>
        </w:rPr>
        <w:t>）×100%</w:t>
      </w:r>
      <w:r>
        <w:rPr>
          <w:rFonts w:hint="eastAsia" w:ascii="仿宋_GB2312" w:hAnsi="仿宋_GB2312" w:eastAsia="仿宋_GB2312" w:cs="仿宋_GB2312"/>
          <w:color w:val="auto"/>
          <w:sz w:val="32"/>
          <w:szCs w:val="32"/>
          <w:highlight w:val="none"/>
          <w:shd w:val="clear" w:color="auto" w:fill="auto"/>
          <w:lang w:val="en-US" w:eastAsia="zh-CN"/>
        </w:rPr>
        <w:t>=100%。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10分，得分10分</w:t>
      </w:r>
      <w:r>
        <w:rPr>
          <w:rFonts w:hint="eastAsia" w:ascii="仿宋_GB2312" w:hAnsi="仿宋_GB2312" w:eastAsia="仿宋_GB2312" w:cs="仿宋_GB2312"/>
          <w:b/>
          <w:bCs/>
          <w:sz w:val="32"/>
          <w:szCs w:val="32"/>
          <w:lang w:val="en-US" w:eastAsia="zh-CN"/>
        </w:rPr>
        <w:t>。</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13658433">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视频云调试上线合格率（%）”指标，预期目标值为=100%，实际完成为100%。实际完成率100%。</w:t>
      </w:r>
    </w:p>
    <w:p w14:paraId="764DB7C7">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（2）“设备维护率（%）”指标，预期目标值为≥95%，实际完成为95%。实际完成率100%。</w:t>
      </w:r>
    </w:p>
    <w:p w14:paraId="3505598F">
      <w:pPr>
        <w:pageBreakBefore w:val="0"/>
        <w:kinsoku/>
        <w:wordWrap/>
        <w:overflowPunct/>
        <w:topLinePunct w:val="0"/>
        <w:autoSpaceDE/>
        <w:autoSpaceDN/>
        <w:bidi w:val="0"/>
        <w:spacing w:line="560" w:lineRule="exact"/>
        <w:ind w:left="0" w:leftChars="0"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10分，得分10分</w:t>
      </w:r>
      <w:r>
        <w:rPr>
          <w:rFonts w:hint="eastAsia" w:ascii="仿宋_GB2312" w:hAnsi="仿宋_GB2312" w:eastAsia="仿宋_GB2312" w:cs="仿宋_GB2312"/>
          <w:b/>
          <w:bCs/>
          <w:sz w:val="32"/>
          <w:szCs w:val="32"/>
          <w:lang w:val="en-US" w:eastAsia="zh-CN"/>
        </w:rPr>
        <w:t>。</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5" w:name="_Toc18307"/>
      <w:bookmarkStart w:id="136" w:name="_Toc28885"/>
      <w:r>
        <w:rPr>
          <w:rFonts w:hint="eastAsia" w:ascii="仿宋_GB2312" w:hAnsi="仿宋_GB2312" w:eastAsia="仿宋_GB2312" w:cs="仿宋_GB2312"/>
          <w:b/>
          <w:bCs/>
          <w:sz w:val="32"/>
          <w:szCs w:val="32"/>
          <w:lang w:val="en-US" w:eastAsia="zh-CN"/>
        </w:rPr>
        <w:t>3.</w:t>
      </w:r>
      <w:bookmarkEnd w:id="135"/>
      <w:r>
        <w:rPr>
          <w:rFonts w:hint="eastAsia" w:ascii="仿宋_GB2312" w:hAnsi="仿宋_GB2312" w:eastAsia="仿宋_GB2312" w:cs="仿宋_GB2312"/>
          <w:b/>
          <w:bCs/>
          <w:sz w:val="32"/>
          <w:szCs w:val="32"/>
          <w:lang w:val="en-US" w:eastAsia="zh-CN"/>
        </w:rPr>
        <w:t>时效指标完成情况</w:t>
      </w:r>
      <w:bookmarkEnd w:id="136"/>
    </w:p>
    <w:p w14:paraId="25F23090">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“项目按时完成率”指标，预期目标值为=100%，实际完成为100%。实际完成率100%。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综上，该项指标满分4分，得分4分。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56636993">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（1）“设备安装成本”指标，预期目标值为≤19.24万元，实际完成为19.24万元。实际完成率</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19.24</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19.24</w:t>
      </w:r>
      <w:r>
        <w:rPr>
          <w:rFonts w:hint="eastAsia" w:ascii="仿宋_GB2312" w:hAnsi="仿宋_GB2312" w:eastAsia="仿宋_GB2312" w:cs="仿宋_GB2312"/>
          <w:color w:val="auto"/>
          <w:sz w:val="32"/>
          <w:szCs w:val="32"/>
          <w:highlight w:val="none"/>
          <w:shd w:val="clear" w:color="auto" w:fill="auto"/>
          <w:lang w:val="zh-TW" w:eastAsia="zh-CN"/>
        </w:rPr>
        <w:t>）×100%</w:t>
      </w:r>
      <w:r>
        <w:rPr>
          <w:rFonts w:hint="eastAsia" w:ascii="仿宋_GB2312" w:hAnsi="仿宋_GB2312" w:eastAsia="仿宋_GB2312" w:cs="仿宋_GB2312"/>
          <w:color w:val="auto"/>
          <w:sz w:val="32"/>
          <w:szCs w:val="32"/>
          <w:highlight w:val="none"/>
          <w:shd w:val="clear" w:color="auto" w:fill="auto"/>
          <w:lang w:val="en-US" w:eastAsia="zh-CN"/>
        </w:rPr>
        <w:t>=100%</w:t>
      </w:r>
    </w:p>
    <w:p w14:paraId="53EFC737">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（2）“明厨亮灶服务成本”指标，预期目标值为≤28.86万元，实际完成为28.86万元。实际完成率</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28.86</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28.86</w:t>
      </w:r>
      <w:r>
        <w:rPr>
          <w:rFonts w:hint="eastAsia" w:ascii="仿宋_GB2312" w:hAnsi="仿宋_GB2312" w:eastAsia="仿宋_GB2312" w:cs="仿宋_GB2312"/>
          <w:color w:val="auto"/>
          <w:sz w:val="32"/>
          <w:szCs w:val="32"/>
          <w:highlight w:val="none"/>
          <w:shd w:val="clear" w:color="auto" w:fill="auto"/>
          <w:lang w:val="zh-TW" w:eastAsia="zh-CN"/>
        </w:rPr>
        <w:t>）×100%</w:t>
      </w:r>
      <w:r>
        <w:rPr>
          <w:rFonts w:hint="eastAsia" w:ascii="仿宋_GB2312" w:hAnsi="仿宋_GB2312" w:eastAsia="仿宋_GB2312" w:cs="仿宋_GB2312"/>
          <w:color w:val="auto"/>
          <w:sz w:val="32"/>
          <w:szCs w:val="32"/>
          <w:highlight w:val="none"/>
          <w:shd w:val="clear" w:color="auto" w:fill="auto"/>
          <w:lang w:val="en-US" w:eastAsia="zh-CN"/>
        </w:rPr>
        <w:t>=100%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综上，该项指标满分16</w:t>
      </w:r>
      <w:r>
        <w:rPr>
          <w:rFonts w:hint="eastAsia" w:ascii="仿宋_GB2312" w:hAnsi="仿宋_GB2312" w:eastAsia="仿宋_GB2312" w:cs="仿宋_GB2312"/>
          <w:b/>
          <w:bCs/>
          <w:color w:val="auto"/>
          <w:sz w:val="32"/>
          <w:szCs w:val="32"/>
          <w:lang w:val="en-US" w:eastAsia="zh-CN"/>
        </w:rPr>
        <w:t>分，得分16分</w:t>
      </w:r>
      <w:r>
        <w:rPr>
          <w:rFonts w:hint="eastAsia" w:ascii="仿宋_GB2312" w:hAnsi="仿宋_GB2312" w:eastAsia="仿宋_GB2312" w:cs="仿宋_GB2312"/>
          <w:b/>
          <w:bCs/>
          <w:sz w:val="32"/>
          <w:szCs w:val="32"/>
          <w:lang w:val="en-US" w:eastAsia="zh-CN"/>
        </w:rPr>
        <w:t>。</w:t>
      </w:r>
    </w:p>
    <w:p w14:paraId="7F558F43">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17A8E635">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sz w:val="32"/>
          <w:szCs w:val="32"/>
          <w:highlight w:val="none"/>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sz w:val="32"/>
          <w:szCs w:val="32"/>
          <w:highlight w:val="none"/>
          <w:shd w:val="clear" w:color="auto" w:fill="auto"/>
          <w:lang w:val="zh-TW" w:eastAsia="zh-TW"/>
        </w:rPr>
        <w:t>类指标</w:t>
      </w:r>
      <w:r>
        <w:rPr>
          <w:rFonts w:hint="default" w:ascii="仿宋_GB2312" w:hAnsi="仿宋_GB2312" w:eastAsia="仿宋_GB2312" w:cs="仿宋_GB2312"/>
          <w:color w:val="auto"/>
          <w:sz w:val="32"/>
          <w:szCs w:val="32"/>
          <w:highlight w:val="none"/>
          <w:shd w:val="clear" w:color="auto" w:fill="auto"/>
          <w:lang w:val="en-US" w:eastAsia="zh-CN"/>
        </w:rPr>
        <w:t>包括项目实施效益和满意度两方面的内容，</w:t>
      </w:r>
      <w:r>
        <w:rPr>
          <w:rFonts w:hint="eastAsia" w:ascii="仿宋_GB2312" w:hAnsi="仿宋_GB2312" w:eastAsia="仿宋_GB2312" w:cs="仿宋_GB2312"/>
          <w:color w:val="auto"/>
          <w:sz w:val="32"/>
          <w:szCs w:val="32"/>
          <w:highlight w:val="none"/>
          <w:shd w:val="clear" w:color="auto" w:fill="auto"/>
          <w:lang w:val="zh-TW" w:eastAsia="zh-TW"/>
        </w:rPr>
        <w:t>由</w:t>
      </w:r>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zh-TW" w:eastAsia="zh-CN"/>
        </w:rPr>
        <w:t>二</w:t>
      </w:r>
      <w:r>
        <w:rPr>
          <w:rFonts w:hint="eastAsia" w:ascii="仿宋_GB2312" w:hAnsi="仿宋_GB2312" w:eastAsia="仿宋_GB2312" w:cs="仿宋_GB2312"/>
          <w:color w:val="auto"/>
          <w:sz w:val="32"/>
          <w:szCs w:val="32"/>
          <w:highlight w:val="none"/>
          <w:shd w:val="clear" w:color="auto" w:fill="auto"/>
          <w:lang w:val="zh-TW" w:eastAsia="zh-TW"/>
        </w:rPr>
        <w:t>级指标和</w:t>
      </w:r>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en-US" w:eastAsia="zh-CN"/>
        </w:rPr>
        <w:t>三</w:t>
      </w:r>
      <w:r>
        <w:rPr>
          <w:rFonts w:hint="eastAsia" w:ascii="仿宋_GB2312" w:hAnsi="仿宋_GB2312" w:eastAsia="仿宋_GB2312" w:cs="仿宋_GB2312"/>
          <w:color w:val="auto"/>
          <w:sz w:val="32"/>
          <w:szCs w:val="32"/>
          <w:highlight w:val="none"/>
          <w:shd w:val="clear" w:color="auto" w:fill="auto"/>
          <w:lang w:val="zh-TW" w:eastAsia="zh-TW"/>
        </w:rPr>
        <w:t>级指标构成，权重分</w:t>
      </w:r>
      <w:r>
        <w:rPr>
          <w:rFonts w:hint="eastAsia" w:ascii="仿宋_GB2312" w:hAnsi="仿宋_GB2312" w:eastAsia="仿宋_GB2312" w:cs="仿宋_GB2312"/>
          <w:color w:val="auto"/>
          <w:sz w:val="32"/>
          <w:szCs w:val="32"/>
          <w:highlight w:val="none"/>
          <w:shd w:val="clear" w:color="auto" w:fill="auto"/>
          <w:lang w:val="en-US" w:eastAsia="zh-CN"/>
        </w:rPr>
        <w:t>20</w:t>
      </w:r>
      <w:r>
        <w:rPr>
          <w:rFonts w:hint="eastAsia" w:ascii="仿宋_GB2312" w:hAnsi="仿宋_GB2312" w:eastAsia="仿宋_GB2312" w:cs="仿宋_GB2312"/>
          <w:color w:val="auto"/>
          <w:sz w:val="32"/>
          <w:szCs w:val="32"/>
          <w:highlight w:val="none"/>
          <w:shd w:val="clear" w:color="auto" w:fill="auto"/>
          <w:lang w:val="zh-TW" w:eastAsia="zh-TW"/>
        </w:rPr>
        <w:t>分，实际得分</w:t>
      </w:r>
      <w:r>
        <w:rPr>
          <w:rFonts w:hint="eastAsia" w:ascii="仿宋_GB2312" w:hAnsi="仿宋_GB2312" w:eastAsia="仿宋_GB2312" w:cs="仿宋_GB2312"/>
          <w:color w:val="auto"/>
          <w:sz w:val="32"/>
          <w:szCs w:val="32"/>
          <w:highlight w:val="none"/>
          <w:shd w:val="clear" w:color="auto" w:fill="auto"/>
          <w:lang w:val="en-US" w:eastAsia="zh-CN"/>
        </w:rPr>
        <w:t>20</w:t>
      </w:r>
      <w:r>
        <w:rPr>
          <w:rFonts w:hint="eastAsia" w:ascii="仿宋_GB2312" w:hAnsi="仿宋_GB2312" w:eastAsia="仿宋_GB2312" w:cs="仿宋_GB2312"/>
          <w:color w:val="auto"/>
          <w:sz w:val="32"/>
          <w:szCs w:val="32"/>
          <w:highlight w:val="none"/>
          <w:shd w:val="clear" w:color="auto" w:fill="auto"/>
          <w:lang w:val="zh-TW" w:eastAsia="zh-TW"/>
        </w:rPr>
        <w:t>分</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sz w:val="32"/>
          <w:szCs w:val="32"/>
          <w:highlight w:val="none"/>
          <w:shd w:val="clear" w:color="auto" w:fill="auto"/>
          <w:lang w:val="en-US" w:eastAsia="zh-CN"/>
        </w:rPr>
        <w:t>4-4</w:t>
      </w:r>
      <w:r>
        <w:rPr>
          <w:rFonts w:hint="eastAsia" w:ascii="仿宋_GB2312" w:hAnsi="仿宋_GB2312" w:eastAsia="仿宋_GB2312" w:cs="仿宋_GB2312"/>
          <w:color w:val="auto"/>
          <w:sz w:val="32"/>
          <w:szCs w:val="32"/>
          <w:highlight w:val="none"/>
          <w:shd w:val="clear" w:color="auto" w:fill="auto"/>
          <w:lang w:val="zh-TW" w:eastAsia="zh-TW"/>
        </w:rPr>
        <w:t>所示</w:t>
      </w:r>
      <w:r>
        <w:rPr>
          <w:rFonts w:hint="eastAsia" w:ascii="仿宋_GB2312" w:hAnsi="仿宋_GB2312" w:eastAsia="仿宋"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0EA94B7F">
      <w:pPr>
        <w:pageBreakBefore w:val="0"/>
        <w:widowControl w:val="0"/>
        <w:kinsoku/>
        <w:wordWrap/>
        <w:overflowPunct/>
        <w:topLinePunct w:val="0"/>
        <w:autoSpaceDE/>
        <w:autoSpaceDN/>
        <w:bidi w:val="0"/>
        <w:adjustRightInd/>
        <w:spacing w:line="560" w:lineRule="exact"/>
        <w:ind w:firstLine="1968" w:firstLineChars="700"/>
        <w:jc w:val="left"/>
        <w:textAlignment w:val="auto"/>
        <w:rPr>
          <w:rFonts w:hint="default" w:ascii="宋体" w:hAnsi="宋体" w:eastAsia="宋体" w:cs="宋体"/>
          <w:color w:val="auto"/>
          <w:kern w:val="2"/>
          <w:highlight w:val="none"/>
          <w:u w:color="000000"/>
          <w:shd w:val="clear" w:color="auto" w:fill="auto"/>
          <w:lang w:val="en-US" w:eastAsia="zh-TW"/>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8"/>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业务保障能力提升情况</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5E3A6DE">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群众的满意度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27006"/>
      <w:bookmarkStart w:id="141" w:name="_Toc29606"/>
      <w:r>
        <w:rPr>
          <w:rFonts w:hint="eastAsia" w:ascii="仿宋_GB2312" w:hAnsi="仿宋_GB2312" w:eastAsia="仿宋_GB2312" w:cs="仿宋_GB2312"/>
          <w:b/>
          <w:bCs/>
          <w:sz w:val="32"/>
          <w:szCs w:val="32"/>
          <w:lang w:val="en-US" w:eastAsia="zh-CN"/>
        </w:rPr>
        <w:t>1.社会效益指标</w:t>
      </w:r>
      <w:bookmarkEnd w:id="140"/>
      <w:r>
        <w:rPr>
          <w:rFonts w:hint="eastAsia" w:ascii="仿宋_GB2312" w:hAnsi="仿宋_GB2312" w:eastAsia="仿宋_GB2312" w:cs="仿宋_GB2312"/>
          <w:b/>
          <w:bCs/>
          <w:sz w:val="32"/>
          <w:szCs w:val="32"/>
          <w:lang w:val="en-US" w:eastAsia="zh-CN"/>
        </w:rPr>
        <w:t>完成情况</w:t>
      </w:r>
      <w:bookmarkEnd w:id="141"/>
    </w:p>
    <w:p w14:paraId="405183E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“业务保障能力提升情况”指标，预期目标值为提升，实际完成为达到预期指标。</w:t>
      </w:r>
    </w:p>
    <w:p w14:paraId="1F4840E9">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通过项目的实施，业务保障能力提得到了提升。</w:t>
      </w:r>
    </w:p>
    <w:p w14:paraId="563372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0415259E">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2"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3DB44EAB">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“群众的满意度”指标，预期目标值为≥95%，实际完成为95%。</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215C57F">
      <w:pPr>
        <w:pStyle w:val="5"/>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3"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3"/>
    </w:p>
    <w:p w14:paraId="67DA88AD">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4" w:name="_Toc15449"/>
      <w:bookmarkStart w:id="145" w:name="_Toc28290"/>
      <w:bookmarkStart w:id="146" w:name="_Toc1921"/>
      <w:r>
        <w:rPr>
          <w:rFonts w:hint="eastAsia" w:ascii="Times New Roman" w:hAnsi="Times New Roman" w:eastAsia="楷体_GB2312" w:cs="Times New Roman"/>
          <w:b/>
          <w:bCs/>
          <w:kern w:val="28"/>
          <w:sz w:val="32"/>
          <w:highlight w:val="none"/>
          <w:lang w:val="en-US" w:eastAsia="zh-CN"/>
        </w:rPr>
        <w:t>（一）主要经验及做法</w:t>
      </w:r>
      <w:bookmarkEnd w:id="144"/>
    </w:p>
    <w:p w14:paraId="604C55E0">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2023年阳光食品建设项目2024年预算数为48.1万元，截至2024年12月31日共支出48.1万元，预算执行率为100%。</w:t>
      </w:r>
    </w:p>
    <w:p w14:paraId="453DF282">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阜康市市场监督管理局建立健全了预算管理规章制度，各部门严格按照预算编制的原则和要求做好当年预算编制工作，在预算绩效管理工作中，做到合理安排各项资金，重点保障基本支出，按轻重缓急顺序原则，优先安排了市场监督管理局事业发展中关系民生与稳定的项目，切实优化资源配置，提高了资金使用的效率和效果。</w:t>
      </w:r>
    </w:p>
    <w:bookmarkEnd w:id="145"/>
    <w:bookmarkEnd w:id="146"/>
    <w:p w14:paraId="2C571FBF">
      <w:pPr>
        <w:pStyle w:val="16"/>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7" w:name="_Toc29168"/>
      <w:r>
        <w:rPr>
          <w:rFonts w:hint="eastAsia" w:ascii="Times New Roman" w:hAnsi="Times New Roman" w:eastAsia="楷体_GB2312" w:cs="Times New Roman"/>
          <w:b/>
          <w:bCs/>
          <w:kern w:val="28"/>
          <w:sz w:val="32"/>
          <w:highlight w:val="none"/>
          <w:lang w:val="en-US" w:eastAsia="zh-CN"/>
        </w:rPr>
        <w:t>（二）存在的问题及原因分析</w:t>
      </w:r>
      <w:bookmarkEnd w:id="147"/>
    </w:p>
    <w:p w14:paraId="3841F1E6">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48" w:name="_Toc14256"/>
      <w:r>
        <w:rPr>
          <w:rFonts w:hint="eastAsia" w:ascii="仿宋_GB2312" w:hAnsi="仿宋_GB2312" w:eastAsia="仿宋_GB2312" w:cs="仿宋_GB2312"/>
          <w:color w:val="auto"/>
          <w:sz w:val="32"/>
          <w:szCs w:val="32"/>
          <w:highlight w:val="none"/>
          <w:shd w:val="clear" w:color="auto" w:fill="auto"/>
          <w:lang w:val="en-US" w:eastAsia="zh-CN"/>
        </w:rPr>
        <w:t>（1）没有完善的资金预算和规划体系，没有合理计划资金使用进度，及时提高资金使用率，原因重视程度不够，管理模式落后，战略规划缺失。</w:t>
      </w:r>
    </w:p>
    <w:p w14:paraId="7C4ED837">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（2）组织保障方面考核监督机制不健全，没有建立科学合理的考核指标体系和评价方法，考核结果与部门和人员的绩效挂钩不紧密。</w:t>
      </w:r>
    </w:p>
    <w:p w14:paraId="3E85818F">
      <w:pPr>
        <w:pageBreakBefore w:val="0"/>
        <w:widowControl w:val="0"/>
        <w:kinsoku/>
        <w:wordWrap/>
        <w:overflowPunct/>
        <w:topLinePunct w:val="0"/>
        <w:autoSpaceDE/>
        <w:autoSpaceDN/>
        <w:bidi w:val="0"/>
        <w:adjustRightInd/>
        <w:spacing w:line="560" w:lineRule="exact"/>
        <w:ind w:firstLine="560"/>
        <w:jc w:val="left"/>
        <w:textAlignment w:val="auto"/>
        <w:outlineLvl w:val="0"/>
        <w:rPr>
          <w:rFonts w:hint="eastAsia" w:ascii="仿宋_GB2312" w:hAnsi="仿宋_GB2312" w:eastAsia="仿宋_GB2312" w:cs="仿宋_GB2312"/>
          <w:b/>
          <w:bCs/>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六、有关建议</w:t>
      </w:r>
    </w:p>
    <w:p w14:paraId="13E892BD">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1）建立完善的资金预算和规划体系，结合项目的实际进度和需求，合理安排资金使用计划，提高资金使用效率；</w:t>
      </w:r>
    </w:p>
    <w:p w14:paraId="54C45F11">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 建立健全工作的组织领导体系，明确牵头部门和各部门的职责分工，加强部门之间的沟通协调，形成工作合力；加强项目工作队伍建设，通过内部培训、外部引进等方式，提高工作人员的专业素质和业务能力，打造一支高素质的工作队伍；完善项目工作的考核监督机制，建立科学合理的考核指标体系，加强对项目工作进展和成效的评估考核，将考核结果与部门和人员的绩效挂钩，充分调动各方面的积极性。</w:t>
      </w:r>
    </w:p>
    <w:p w14:paraId="316F7DBE">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b/>
          <w:bCs/>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七、其他需要说明的问题无其他需要说明的问题。</w:t>
      </w:r>
      <w:bookmarkEnd w:id="148"/>
    </w:p>
    <w:p w14:paraId="3D39D3EA">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无其他需要说明的问题。</w:t>
      </w:r>
    </w:p>
    <w:p w14:paraId="20AFB57E">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sz w:val="32"/>
          <w:szCs w:val="32"/>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5"/>
        <w:pageBreakBefore w:val="0"/>
        <w:numPr>
          <w:ilvl w:val="0"/>
          <w:numId w:val="0"/>
        </w:numPr>
        <w:kinsoku/>
        <w:wordWrap/>
        <w:overflowPunct/>
        <w:topLinePunct w:val="0"/>
        <w:autoSpaceDE/>
        <w:autoSpaceDN/>
        <w:bidi w:val="0"/>
        <w:adjustRightInd/>
        <w:spacing w:beforeLines="0" w:afterLines="0" w:line="560" w:lineRule="exact"/>
        <w:textAlignment w:val="auto"/>
        <w:rPr>
          <w:highlight w:val="yellow"/>
        </w:rPr>
      </w:pPr>
      <w:bookmarkStart w:id="149" w:name="_Toc11349"/>
      <w:bookmarkStart w:id="150"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49"/>
      <w:bookmarkEnd w:id="150"/>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5"/>
        <w:gridCol w:w="875"/>
        <w:gridCol w:w="875"/>
        <w:gridCol w:w="876"/>
        <w:gridCol w:w="1115"/>
        <w:gridCol w:w="1275"/>
        <w:gridCol w:w="1195"/>
        <w:gridCol w:w="1035"/>
        <w:gridCol w:w="1195"/>
        <w:gridCol w:w="876"/>
        <w:gridCol w:w="1115"/>
        <w:gridCol w:w="876"/>
        <w:gridCol w:w="876"/>
        <w:gridCol w:w="1115"/>
      </w:tblGrid>
      <w:tr w14:paraId="52286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27CA1ED3">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60F2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1CA3B0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6754B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7"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99C11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2"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288D2D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2023年阳光食品建设项目</w:t>
            </w:r>
          </w:p>
        </w:tc>
      </w:tr>
      <w:tr w14:paraId="725C3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B041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5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49B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阜康市市场监督管理局</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B4FB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2F549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阜康市市场监督管理局</w:t>
            </w:r>
          </w:p>
        </w:tc>
      </w:tr>
      <w:tr w14:paraId="42DF1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43CF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5EDA4E">
            <w:pPr>
              <w:jc w:val="cente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2CE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206C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6C86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E3DF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0F8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456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3C583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3C53D">
            <w:pPr>
              <w:jc w:val="center"/>
              <w:rPr>
                <w:rFonts w:hint="eastAsia" w:ascii="宋体" w:hAnsi="宋体" w:eastAsia="宋体" w:cs="宋体"/>
                <w:b/>
                <w:bCs/>
                <w:i w:val="0"/>
                <w:iCs w:val="0"/>
                <w:color w:val="000000"/>
                <w:sz w:val="18"/>
                <w:szCs w:val="18"/>
                <w:u w:val="none"/>
              </w:rPr>
            </w:pPr>
          </w:p>
        </w:tc>
        <w:tc>
          <w:tcPr>
            <w:tcW w:w="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2A21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5C9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48.10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06A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48.10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02C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48.10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DA42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F18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495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59213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13C3F">
            <w:pPr>
              <w:jc w:val="center"/>
              <w:rPr>
                <w:rFonts w:hint="eastAsia" w:ascii="宋体" w:hAnsi="宋体" w:eastAsia="宋体" w:cs="宋体"/>
                <w:b/>
                <w:bCs/>
                <w:i w:val="0"/>
                <w:iCs w:val="0"/>
                <w:color w:val="000000"/>
                <w:sz w:val="18"/>
                <w:szCs w:val="18"/>
                <w:u w:val="none"/>
              </w:rPr>
            </w:pPr>
          </w:p>
        </w:tc>
        <w:tc>
          <w:tcPr>
            <w:tcW w:w="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4BA4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CCA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48.10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32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48.10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5398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48.10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22A8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DDEA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504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10FF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AF825">
            <w:pPr>
              <w:jc w:val="center"/>
              <w:rPr>
                <w:rFonts w:hint="eastAsia" w:ascii="宋体" w:hAnsi="宋体" w:eastAsia="宋体" w:cs="宋体"/>
                <w:b/>
                <w:bCs/>
                <w:i w:val="0"/>
                <w:iCs w:val="0"/>
                <w:color w:val="000000"/>
                <w:sz w:val="18"/>
                <w:szCs w:val="18"/>
                <w:u w:val="none"/>
              </w:rPr>
            </w:pPr>
          </w:p>
        </w:tc>
        <w:tc>
          <w:tcPr>
            <w:tcW w:w="7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E003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367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D75C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256A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1F0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C8F8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2B3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5D06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F0CE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5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31402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CDD478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326EC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D649A">
            <w:pPr>
              <w:jc w:val="center"/>
              <w:rPr>
                <w:rFonts w:hint="eastAsia" w:ascii="宋体" w:hAnsi="宋体" w:eastAsia="宋体" w:cs="宋体"/>
                <w:b/>
                <w:bCs/>
                <w:i w:val="0"/>
                <w:iCs w:val="0"/>
                <w:color w:val="000000"/>
                <w:sz w:val="18"/>
                <w:szCs w:val="18"/>
                <w:u w:val="none"/>
              </w:rPr>
            </w:pPr>
          </w:p>
        </w:tc>
        <w:tc>
          <w:tcPr>
            <w:tcW w:w="195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828E1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负责保健食品、经营的监督管理、负责产品质量安全监督管理、市场经营秩序的规范管理和监督；负责质量管理工作、负责标准化管理工作、负责监督管理计量工作、负责认证认可工作。1、新安装企业125家，安装设备128台；2、完成阜康市阳光食品视频云调试上线,上线率达到100%；3、完成阳光食品项目软硬件设备的日常维护工作。达到业务保障能力提升，市场持续监管服务能力提升的效益，群众满意度提高。</w:t>
            </w:r>
          </w:p>
        </w:tc>
        <w:tc>
          <w:tcPr>
            <w:tcW w:w="284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A4F2C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12月31日本项目完成新安装企业125家，安装设备128台；完成阜康市阳光食品视频云调试上线，上线率达到100%；完成阳光食品项目软硬件设备的日常维护工作。达到业务保障能力提升，市场持续监管服务能力提升的效益。</w:t>
            </w:r>
          </w:p>
        </w:tc>
      </w:tr>
      <w:tr w14:paraId="731A0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4E0139">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175D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BA81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F431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96B9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B456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294E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765C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71F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627D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B4E0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46BA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B2C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2A7D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0D721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37BAB">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15559">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71A29">
            <w:pPr>
              <w:jc w:val="center"/>
              <w:rPr>
                <w:rFonts w:hint="eastAsia" w:ascii="宋体" w:hAnsi="宋体" w:eastAsia="宋体" w:cs="宋体"/>
                <w:b/>
                <w:bCs/>
                <w:i w:val="0"/>
                <w:iCs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D651B">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4D0ED">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9BFAB">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A946B">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ECBF1">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82F98">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A7B8D">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2D5D1">
            <w:pPr>
              <w:jc w:val="center"/>
              <w:rPr>
                <w:rFonts w:hint="eastAsia" w:ascii="宋体" w:hAnsi="宋体" w:eastAsia="宋体" w:cs="宋体"/>
                <w:b/>
                <w:bCs/>
                <w:i w:val="0"/>
                <w:iCs w:val="0"/>
                <w:color w:val="000000"/>
                <w:sz w:val="18"/>
                <w:szCs w:val="18"/>
                <w:u w:val="none"/>
              </w:rPr>
            </w:pPr>
          </w:p>
        </w:tc>
        <w:tc>
          <w:tcPr>
            <w:tcW w:w="3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FBCB8">
            <w:pPr>
              <w:jc w:val="center"/>
              <w:rPr>
                <w:rFonts w:hint="eastAsia" w:ascii="宋体" w:hAnsi="宋体" w:eastAsia="宋体" w:cs="宋体"/>
                <w:b/>
                <w:bCs/>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8BFE3">
            <w:pPr>
              <w:jc w:val="center"/>
              <w:rPr>
                <w:rFonts w:hint="eastAsia" w:ascii="宋体" w:hAnsi="宋体" w:eastAsia="宋体" w:cs="宋体"/>
                <w:b/>
                <w:bCs/>
                <w:i w:val="0"/>
                <w:iCs w:val="0"/>
                <w:color w:val="000000"/>
                <w:sz w:val="18"/>
                <w:szCs w:val="18"/>
                <w:u w:val="none"/>
              </w:rPr>
            </w:pPr>
          </w:p>
        </w:tc>
        <w:tc>
          <w:tcPr>
            <w:tcW w:w="8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952F1">
            <w:pPr>
              <w:jc w:val="center"/>
              <w:rPr>
                <w:rFonts w:hint="eastAsia" w:ascii="宋体" w:hAnsi="宋体" w:eastAsia="宋体" w:cs="宋体"/>
                <w:b/>
                <w:bCs/>
                <w:i w:val="0"/>
                <w:iCs w:val="0"/>
                <w:color w:val="000000"/>
                <w:sz w:val="18"/>
                <w:szCs w:val="18"/>
                <w:u w:val="none"/>
              </w:rPr>
            </w:pPr>
          </w:p>
        </w:tc>
      </w:tr>
      <w:tr w14:paraId="5D167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8F88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5BC7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4FA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28D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新安装企业数量(个)</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043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A19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&gt;=125个</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0C1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BCEA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336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23E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F40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125台</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F4B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E75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266E3">
            <w:pPr>
              <w:jc w:val="center"/>
              <w:rPr>
                <w:rFonts w:hint="eastAsia" w:ascii="宋体" w:hAnsi="宋体" w:eastAsia="宋体" w:cs="宋体"/>
                <w:i w:val="0"/>
                <w:iCs w:val="0"/>
                <w:color w:val="000000"/>
                <w:sz w:val="18"/>
                <w:szCs w:val="18"/>
                <w:u w:val="none"/>
              </w:rPr>
            </w:pPr>
          </w:p>
        </w:tc>
      </w:tr>
      <w:tr w14:paraId="22BB6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7A741">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5FD3C">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B90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6F0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新安装企业设备数量(台)</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42D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A3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=128台</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37A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9E07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884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3FD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AE3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128台</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999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0A2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9D442">
            <w:pPr>
              <w:jc w:val="center"/>
              <w:rPr>
                <w:rFonts w:hint="eastAsia" w:ascii="宋体" w:hAnsi="宋体" w:eastAsia="宋体" w:cs="宋体"/>
                <w:i w:val="0"/>
                <w:iCs w:val="0"/>
                <w:color w:val="000000"/>
                <w:sz w:val="18"/>
                <w:szCs w:val="18"/>
                <w:u w:val="none"/>
              </w:rPr>
            </w:pPr>
          </w:p>
        </w:tc>
      </w:tr>
      <w:tr w14:paraId="7D5AB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39726">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52756">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3A7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00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视频云调试上线合格率（%）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E0E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1C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119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934E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C50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17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AFB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6E3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6BC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597D9">
            <w:pPr>
              <w:jc w:val="center"/>
              <w:rPr>
                <w:rFonts w:hint="eastAsia" w:ascii="宋体" w:hAnsi="宋体" w:eastAsia="宋体" w:cs="宋体"/>
                <w:i w:val="0"/>
                <w:iCs w:val="0"/>
                <w:color w:val="000000"/>
                <w:sz w:val="18"/>
                <w:szCs w:val="18"/>
                <w:u w:val="none"/>
              </w:rPr>
            </w:pPr>
          </w:p>
        </w:tc>
      </w:tr>
      <w:tr w14:paraId="1D9E3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4CD4E">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80DFA">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8A5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7E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设备维护率（%）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B73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D47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57A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22C9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D07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10F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7A0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B55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067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4B61B">
            <w:pPr>
              <w:jc w:val="center"/>
              <w:rPr>
                <w:rFonts w:hint="eastAsia" w:ascii="宋体" w:hAnsi="宋体" w:eastAsia="宋体" w:cs="宋体"/>
                <w:i w:val="0"/>
                <w:iCs w:val="0"/>
                <w:color w:val="000000"/>
                <w:sz w:val="18"/>
                <w:szCs w:val="18"/>
                <w:u w:val="none"/>
              </w:rPr>
            </w:pPr>
          </w:p>
        </w:tc>
      </w:tr>
      <w:tr w14:paraId="11FB1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E97B9">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834AA">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C7B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F81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项目按时完成率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3E5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369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B91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D93A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69E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C07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3FE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CDE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3AF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D85CC">
            <w:pPr>
              <w:jc w:val="center"/>
              <w:rPr>
                <w:rFonts w:hint="eastAsia" w:ascii="宋体" w:hAnsi="宋体" w:eastAsia="宋体" w:cs="宋体"/>
                <w:i w:val="0"/>
                <w:iCs w:val="0"/>
                <w:color w:val="000000"/>
                <w:sz w:val="18"/>
                <w:szCs w:val="18"/>
                <w:u w:val="none"/>
              </w:rPr>
            </w:pPr>
          </w:p>
        </w:tc>
      </w:tr>
      <w:tr w14:paraId="7D3B2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ADE91">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42F2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8B0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395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设备安装成本</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599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290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&lt;=19.24万元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5E1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=19.24万元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4912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46A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9BA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552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19.5万元</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B13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A61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CC61C">
            <w:pPr>
              <w:jc w:val="center"/>
              <w:rPr>
                <w:rFonts w:hint="eastAsia" w:ascii="宋体" w:hAnsi="宋体" w:eastAsia="宋体" w:cs="宋体"/>
                <w:i w:val="0"/>
                <w:iCs w:val="0"/>
                <w:color w:val="000000"/>
                <w:sz w:val="18"/>
                <w:szCs w:val="18"/>
                <w:u w:val="none"/>
              </w:rPr>
            </w:pPr>
          </w:p>
        </w:tc>
      </w:tr>
      <w:tr w14:paraId="10945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6A5F7">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C3991">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231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790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明厨亮灶服务成本</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FB2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30F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&lt;=28.86万元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20B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=28.86万元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6B80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C1E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EF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A2F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29.27万元</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90F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CC0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B0E1F">
            <w:pPr>
              <w:jc w:val="center"/>
              <w:rPr>
                <w:rFonts w:hint="eastAsia" w:ascii="宋体" w:hAnsi="宋体" w:eastAsia="宋体" w:cs="宋体"/>
                <w:i w:val="0"/>
                <w:iCs w:val="0"/>
                <w:color w:val="000000"/>
                <w:sz w:val="18"/>
                <w:szCs w:val="18"/>
                <w:u w:val="none"/>
              </w:rPr>
            </w:pPr>
          </w:p>
        </w:tc>
      </w:tr>
      <w:tr w14:paraId="39DA1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E6EB9">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DCCC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268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AD1F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AA27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66B5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3B5D7">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6AB5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2083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3132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68E8C">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F46FF">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696BF">
            <w:pPr>
              <w:jc w:val="center"/>
              <w:rPr>
                <w:rFonts w:hint="eastAsia" w:ascii="宋体" w:hAnsi="宋体" w:eastAsia="宋体" w:cs="宋体"/>
                <w:i w:val="0"/>
                <w:iCs w:val="0"/>
                <w:color w:val="000000"/>
                <w:sz w:val="18"/>
                <w:szCs w:val="18"/>
                <w:u w:val="none"/>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3DBE3">
            <w:pPr>
              <w:jc w:val="center"/>
              <w:rPr>
                <w:rFonts w:hint="eastAsia" w:ascii="宋体" w:hAnsi="宋体" w:eastAsia="宋体" w:cs="宋体"/>
                <w:i w:val="0"/>
                <w:iCs w:val="0"/>
                <w:color w:val="000000"/>
                <w:sz w:val="18"/>
                <w:szCs w:val="18"/>
                <w:u w:val="none"/>
              </w:rPr>
            </w:pPr>
          </w:p>
        </w:tc>
      </w:tr>
      <w:tr w14:paraId="3C356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A021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82FB8">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688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2E9D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3E34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D1B5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94164">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FB65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BC16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164F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E012E">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64E7B">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6EE5F">
            <w:pPr>
              <w:jc w:val="center"/>
              <w:rPr>
                <w:rFonts w:hint="eastAsia" w:ascii="宋体" w:hAnsi="宋体" w:eastAsia="宋体" w:cs="宋体"/>
                <w:i w:val="0"/>
                <w:iCs w:val="0"/>
                <w:color w:val="000000"/>
                <w:sz w:val="18"/>
                <w:szCs w:val="18"/>
                <w:u w:val="none"/>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7FA87">
            <w:pPr>
              <w:jc w:val="center"/>
              <w:rPr>
                <w:rFonts w:hint="eastAsia" w:ascii="宋体" w:hAnsi="宋体" w:eastAsia="宋体" w:cs="宋体"/>
                <w:i w:val="0"/>
                <w:iCs w:val="0"/>
                <w:color w:val="000000"/>
                <w:sz w:val="18"/>
                <w:szCs w:val="18"/>
                <w:u w:val="none"/>
              </w:rPr>
            </w:pPr>
          </w:p>
        </w:tc>
      </w:tr>
      <w:tr w14:paraId="15F0A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47277">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58FF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968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E5C13">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7EFF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4693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C39C7">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C45D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E261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23F7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A9E4E">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7829B">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09620">
            <w:pPr>
              <w:jc w:val="center"/>
              <w:rPr>
                <w:rFonts w:hint="eastAsia" w:ascii="宋体" w:hAnsi="宋体" w:eastAsia="宋体" w:cs="宋体"/>
                <w:i w:val="0"/>
                <w:iCs w:val="0"/>
                <w:color w:val="000000"/>
                <w:sz w:val="18"/>
                <w:szCs w:val="18"/>
                <w:u w:val="none"/>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29770">
            <w:pPr>
              <w:jc w:val="center"/>
              <w:rPr>
                <w:rFonts w:hint="eastAsia" w:ascii="宋体" w:hAnsi="宋体" w:eastAsia="宋体" w:cs="宋体"/>
                <w:i w:val="0"/>
                <w:iCs w:val="0"/>
                <w:color w:val="000000"/>
                <w:sz w:val="18"/>
                <w:szCs w:val="18"/>
                <w:u w:val="none"/>
              </w:rPr>
            </w:pPr>
          </w:p>
        </w:tc>
      </w:tr>
      <w:tr w14:paraId="4C84B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D9C7A">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EAFE4">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55B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A86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业务保障能力提升情况</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CAC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3F1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570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1971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96D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153" w:name="_GoBack"/>
            <w:bookmarkEnd w:id="153"/>
            <w:r>
              <w:rPr>
                <w:rFonts w:hint="eastAsia" w:ascii="宋体" w:hAnsi="宋体" w:eastAsia="宋体" w:cs="宋体"/>
                <w:i w:val="0"/>
                <w:iCs w:val="0"/>
                <w:color w:val="000000"/>
                <w:kern w:val="0"/>
                <w:sz w:val="18"/>
                <w:szCs w:val="18"/>
                <w:u w:val="none"/>
                <w:lang w:val="en-US" w:eastAsia="zh-CN" w:bidi="ar"/>
              </w:rPr>
              <w:t>30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1C9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96B6D">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FA1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E31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BAA1B">
            <w:pPr>
              <w:jc w:val="center"/>
              <w:rPr>
                <w:rFonts w:hint="eastAsia" w:ascii="宋体" w:hAnsi="宋体" w:eastAsia="宋体" w:cs="宋体"/>
                <w:i w:val="0"/>
                <w:iCs w:val="0"/>
                <w:color w:val="000000"/>
                <w:sz w:val="18"/>
                <w:szCs w:val="18"/>
                <w:u w:val="none"/>
              </w:rPr>
            </w:pPr>
          </w:p>
        </w:tc>
      </w:tr>
      <w:tr w14:paraId="04975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4EB16">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8E7EE">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D9D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19F69">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01EE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AC28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42527">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390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4CDB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BF313">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08DC1">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8CE61">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72318">
            <w:pPr>
              <w:jc w:val="center"/>
              <w:rPr>
                <w:rFonts w:hint="eastAsia" w:ascii="宋体" w:hAnsi="宋体" w:eastAsia="宋体" w:cs="宋体"/>
                <w:i w:val="0"/>
                <w:iCs w:val="0"/>
                <w:color w:val="000000"/>
                <w:sz w:val="18"/>
                <w:szCs w:val="18"/>
                <w:u w:val="none"/>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FC8C4">
            <w:pPr>
              <w:jc w:val="center"/>
              <w:rPr>
                <w:rFonts w:hint="eastAsia" w:ascii="宋体" w:hAnsi="宋体" w:eastAsia="宋体" w:cs="宋体"/>
                <w:i w:val="0"/>
                <w:iCs w:val="0"/>
                <w:color w:val="000000"/>
                <w:sz w:val="18"/>
                <w:szCs w:val="18"/>
                <w:u w:val="none"/>
              </w:rPr>
            </w:pPr>
          </w:p>
        </w:tc>
      </w:tr>
      <w:tr w14:paraId="5766C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53E38">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929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59B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0526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8137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BEEC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6E2D1">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C522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D547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51BB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1D3F7">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881D9">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BE7DD">
            <w:pPr>
              <w:jc w:val="center"/>
              <w:rPr>
                <w:rFonts w:hint="eastAsia" w:ascii="宋体" w:hAnsi="宋体" w:eastAsia="宋体" w:cs="宋体"/>
                <w:i w:val="0"/>
                <w:iCs w:val="0"/>
                <w:color w:val="000000"/>
                <w:sz w:val="18"/>
                <w:szCs w:val="18"/>
                <w:u w:val="none"/>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E33E5">
            <w:pPr>
              <w:jc w:val="center"/>
              <w:rPr>
                <w:rFonts w:hint="eastAsia" w:ascii="宋体" w:hAnsi="宋体" w:eastAsia="宋体" w:cs="宋体"/>
                <w:i w:val="0"/>
                <w:iCs w:val="0"/>
                <w:color w:val="000000"/>
                <w:sz w:val="18"/>
                <w:szCs w:val="18"/>
                <w:u w:val="none"/>
              </w:rPr>
            </w:pPr>
          </w:p>
        </w:tc>
      </w:tr>
      <w:tr w14:paraId="31853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85" w:type="pct"/>
            <w:gridSpan w:val="4"/>
            <w:tcBorders>
              <w:top w:val="single" w:color="000000" w:sz="4" w:space="0"/>
              <w:left w:val="single" w:color="000000" w:sz="4" w:space="0"/>
              <w:bottom w:val="single" w:color="000000" w:sz="4" w:space="0"/>
              <w:right w:val="nil"/>
            </w:tcBorders>
            <w:shd w:val="clear" w:color="auto" w:fill="auto"/>
            <w:vAlign w:val="center"/>
          </w:tcPr>
          <w:p w14:paraId="0C1D50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092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nil"/>
              <w:bottom w:val="single" w:color="000000" w:sz="4" w:space="0"/>
              <w:right w:val="single" w:color="000000" w:sz="4" w:space="0"/>
            </w:tcBorders>
            <w:shd w:val="clear" w:color="auto" w:fill="auto"/>
            <w:vAlign w:val="center"/>
          </w:tcPr>
          <w:p w14:paraId="091D061E">
            <w:pP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10119">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1D09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F16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8B834">
            <w:pP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55C03">
            <w:pP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843FA">
            <w:pP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30A46">
            <w:pPr>
              <w:rPr>
                <w:rFonts w:hint="eastAsia" w:ascii="宋体" w:hAnsi="宋体" w:eastAsia="宋体" w:cs="宋体"/>
                <w:i w:val="0"/>
                <w:iCs w:val="0"/>
                <w:color w:val="000000"/>
                <w:sz w:val="18"/>
                <w:szCs w:val="18"/>
                <w:u w:val="none"/>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86943">
            <w:pPr>
              <w:rPr>
                <w:rFonts w:hint="eastAsia" w:ascii="宋体" w:hAnsi="宋体" w:eastAsia="宋体" w:cs="宋体"/>
                <w:i w:val="0"/>
                <w:iCs w:val="0"/>
                <w:color w:val="000000"/>
                <w:sz w:val="18"/>
                <w:szCs w:val="18"/>
                <w:u w:val="none"/>
              </w:rPr>
            </w:pPr>
          </w:p>
        </w:tc>
      </w:tr>
    </w:tbl>
    <w:p w14:paraId="0D2C1648">
      <w:pPr>
        <w:ind w:left="0" w:leftChars="0" w:firstLine="0" w:firstLineChars="0"/>
      </w:pPr>
      <w:r>
        <w:br w:type="page"/>
      </w:r>
    </w:p>
    <w:p w14:paraId="351BC9DD">
      <w:pPr>
        <w:pStyle w:val="5"/>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1" w:name="_Toc15067"/>
      <w:bookmarkStart w:id="152"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1"/>
      <w:bookmarkEnd w:id="152"/>
    </w:p>
    <w:tbl>
      <w:tblPr>
        <w:tblStyle w:val="18"/>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2.8</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2CDB5AB3">
            <w:pPr>
              <w:pageBreakBefore w:val="0"/>
              <w:widowControl/>
              <w:tabs>
                <w:tab w:val="left" w:pos="442"/>
              </w:tabs>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cs="宋体"/>
                <w:color w:val="000000"/>
                <w:kern w:val="0"/>
                <w:sz w:val="22"/>
                <w:szCs w:val="22"/>
                <w:highlight w:val="none"/>
                <w:lang w:eastAsia="zh-CN"/>
              </w:rPr>
              <w:tab/>
            </w:r>
            <w:r>
              <w:rPr>
                <w:rFonts w:hint="eastAsia" w:ascii="宋体" w:hAnsi="宋体" w:eastAsia="宋体" w:cs="宋体"/>
                <w:i w:val="0"/>
                <w:iCs w:val="0"/>
                <w:color w:val="000000"/>
                <w:kern w:val="0"/>
                <w:sz w:val="20"/>
                <w:szCs w:val="20"/>
                <w:highlight w:val="none"/>
                <w:u w:val="none"/>
                <w:lang w:val="en-US" w:eastAsia="zh-CN" w:bidi="ar"/>
              </w:rPr>
              <w:t>新安装企业数量(个)</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694C20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7FF7759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shd w:val="clear" w:color="auto" w:fill="auto"/>
            <w:noWrap w:val="0"/>
            <w:vAlign w:val="center"/>
          </w:tcPr>
          <w:p w14:paraId="7AC827A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16E751C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0"/>
                <w:szCs w:val="20"/>
                <w:highlight w:val="none"/>
                <w:u w:val="none"/>
                <w:lang w:val="en-US" w:eastAsia="zh-CN" w:bidi="ar"/>
              </w:rPr>
              <w:t>新安装企业设备数量(台)</w:t>
            </w:r>
          </w:p>
        </w:tc>
        <w:tc>
          <w:tcPr>
            <w:tcW w:w="2141" w:type="dxa"/>
            <w:shd w:val="clear" w:color="auto" w:fill="auto"/>
            <w:noWrap w:val="0"/>
            <w:vAlign w:val="center"/>
          </w:tcPr>
          <w:p w14:paraId="7040E92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6ACB56D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4B68C88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7F0B929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319B8265">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58B52F3B">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467A1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58E6AE4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7C695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15BA3A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0"/>
                <w:szCs w:val="20"/>
                <w:highlight w:val="none"/>
                <w:u w:val="none"/>
                <w:lang w:val="en-US" w:eastAsia="zh-CN" w:bidi="ar"/>
              </w:rPr>
              <w:t xml:space="preserve">视频云调试上线合格率（%） </w:t>
            </w:r>
          </w:p>
        </w:tc>
        <w:tc>
          <w:tcPr>
            <w:tcW w:w="2141" w:type="dxa"/>
            <w:shd w:val="clear" w:color="auto" w:fill="auto"/>
            <w:noWrap w:val="0"/>
            <w:vAlign w:val="center"/>
          </w:tcPr>
          <w:p w14:paraId="5A1270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215949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285376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2B4BE1F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57E6AEE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0"/>
                <w:szCs w:val="20"/>
                <w:highlight w:val="none"/>
                <w:u w:val="none"/>
                <w:lang w:val="en-US" w:eastAsia="zh-CN" w:bidi="ar"/>
              </w:rPr>
              <w:t>设备维护率（%）</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61640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5F2570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4910E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0D50A3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2141" w:type="dxa"/>
            <w:shd w:val="clear" w:color="auto" w:fill="auto"/>
            <w:noWrap w:val="0"/>
            <w:vAlign w:val="center"/>
          </w:tcPr>
          <w:p w14:paraId="01A742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821" w:type="dxa"/>
            <w:shd w:val="clear" w:color="auto" w:fill="auto"/>
            <w:noWrap w:val="0"/>
            <w:vAlign w:val="center"/>
          </w:tcPr>
          <w:p w14:paraId="75B56B6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85" w:type="dxa"/>
            <w:shd w:val="clear" w:color="auto" w:fill="auto"/>
            <w:noWrap w:val="0"/>
            <w:vAlign w:val="center"/>
          </w:tcPr>
          <w:p w14:paraId="0FDBB1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69" w:type="dxa"/>
            <w:shd w:val="clear" w:color="auto" w:fill="auto"/>
            <w:noWrap w:val="0"/>
            <w:vAlign w:val="center"/>
          </w:tcPr>
          <w:p w14:paraId="7EC3CA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项目按时完成率</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177D41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设备安装成本</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r>
      <w:tr w14:paraId="16443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shd w:val="clear" w:color="auto" w:fill="auto"/>
            <w:noWrap w:val="0"/>
            <w:vAlign w:val="center"/>
          </w:tcPr>
          <w:p w14:paraId="65EB2C8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65EFF37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693506A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明厨亮灶服务成本</w:t>
            </w:r>
          </w:p>
        </w:tc>
        <w:tc>
          <w:tcPr>
            <w:tcW w:w="2141" w:type="dxa"/>
            <w:shd w:val="clear" w:color="auto" w:fill="auto"/>
            <w:noWrap w:val="0"/>
            <w:vAlign w:val="center"/>
          </w:tcPr>
          <w:p w14:paraId="461DFD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C12468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20CD62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2F547B5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5B17BB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4C3FCAB">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c>
          <w:tcPr>
            <w:tcW w:w="769" w:type="dxa"/>
            <w:shd w:val="clear" w:color="auto" w:fill="auto"/>
            <w:noWrap w:val="0"/>
            <w:vAlign w:val="center"/>
          </w:tcPr>
          <w:p w14:paraId="4D40E903">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2E85CEBF">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eastAsia="zh-CN"/>
              </w:rPr>
              <w:t>社</w:t>
            </w:r>
            <w:r>
              <w:rPr>
                <w:rFonts w:hint="eastAsia" w:cs="宋体"/>
                <w:color w:val="000000"/>
                <w:kern w:val="0"/>
                <w:sz w:val="22"/>
                <w:szCs w:val="22"/>
                <w:highlight w:val="none"/>
                <w:lang w:val="en-US" w:eastAsia="zh-CN"/>
              </w:rPr>
              <w:t>会效益</w:t>
            </w:r>
          </w:p>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cs="宋体"/>
                <w:color w:val="000000"/>
                <w:kern w:val="0"/>
                <w:sz w:val="22"/>
                <w:szCs w:val="22"/>
                <w:highlight w:val="none"/>
                <w:lang w:val="en-US" w:eastAsia="zh-CN"/>
              </w:rPr>
              <w:t>满意度指标</w:t>
            </w: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业务保障能力提升情况</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861" w:type="dxa"/>
            <w:vMerge w:val="continue"/>
            <w:shd w:val="clear" w:color="auto" w:fill="auto"/>
            <w:noWrap w:val="0"/>
            <w:vAlign w:val="center"/>
          </w:tcPr>
          <w:p w14:paraId="7F6714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2023年阳光食品建设项目的满意度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99.8</w:t>
            </w:r>
          </w:p>
        </w:tc>
      </w:tr>
    </w:tbl>
    <w:p w14:paraId="1D5B730E">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336B3C9F">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11"/>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11"/>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1B40F0"/>
    <w:rsid w:val="007D6A04"/>
    <w:rsid w:val="00B95CDD"/>
    <w:rsid w:val="00C91C98"/>
    <w:rsid w:val="00E23C81"/>
    <w:rsid w:val="01253350"/>
    <w:rsid w:val="01282E62"/>
    <w:rsid w:val="014029CF"/>
    <w:rsid w:val="01453A14"/>
    <w:rsid w:val="01470C4C"/>
    <w:rsid w:val="01632467"/>
    <w:rsid w:val="021D229B"/>
    <w:rsid w:val="02200440"/>
    <w:rsid w:val="02284B43"/>
    <w:rsid w:val="02B015E2"/>
    <w:rsid w:val="02DC08FA"/>
    <w:rsid w:val="033B569D"/>
    <w:rsid w:val="039C3BA0"/>
    <w:rsid w:val="03A845BB"/>
    <w:rsid w:val="03B45AD1"/>
    <w:rsid w:val="03B86720"/>
    <w:rsid w:val="03B92498"/>
    <w:rsid w:val="03F67248"/>
    <w:rsid w:val="04956A61"/>
    <w:rsid w:val="04D12EE4"/>
    <w:rsid w:val="04D63993"/>
    <w:rsid w:val="05681A7F"/>
    <w:rsid w:val="05B11678"/>
    <w:rsid w:val="06710E08"/>
    <w:rsid w:val="06B07B82"/>
    <w:rsid w:val="06BA630B"/>
    <w:rsid w:val="06DA075B"/>
    <w:rsid w:val="07890F4F"/>
    <w:rsid w:val="07FD6DF7"/>
    <w:rsid w:val="085D7896"/>
    <w:rsid w:val="088274F0"/>
    <w:rsid w:val="08892439"/>
    <w:rsid w:val="08A34AC8"/>
    <w:rsid w:val="08EB30F3"/>
    <w:rsid w:val="09237408"/>
    <w:rsid w:val="09781BD6"/>
    <w:rsid w:val="09862E1C"/>
    <w:rsid w:val="09F359DF"/>
    <w:rsid w:val="0A575E65"/>
    <w:rsid w:val="0A8774E4"/>
    <w:rsid w:val="0ACA0AB6"/>
    <w:rsid w:val="0B5D195B"/>
    <w:rsid w:val="0C032502"/>
    <w:rsid w:val="0C1E10EA"/>
    <w:rsid w:val="0C27698C"/>
    <w:rsid w:val="0CF06F2A"/>
    <w:rsid w:val="0D200E92"/>
    <w:rsid w:val="0D4452F3"/>
    <w:rsid w:val="0F5E5042"/>
    <w:rsid w:val="0F6E48DD"/>
    <w:rsid w:val="0FD138B7"/>
    <w:rsid w:val="0FDD306A"/>
    <w:rsid w:val="0FE95707"/>
    <w:rsid w:val="10510571"/>
    <w:rsid w:val="10787A20"/>
    <w:rsid w:val="108672DE"/>
    <w:rsid w:val="10B77D5F"/>
    <w:rsid w:val="10EC685A"/>
    <w:rsid w:val="11FA6155"/>
    <w:rsid w:val="12A52565"/>
    <w:rsid w:val="12CF0947"/>
    <w:rsid w:val="12F1313F"/>
    <w:rsid w:val="12F33C14"/>
    <w:rsid w:val="136C678E"/>
    <w:rsid w:val="1376180B"/>
    <w:rsid w:val="137A6F60"/>
    <w:rsid w:val="13EB2FF5"/>
    <w:rsid w:val="1457163D"/>
    <w:rsid w:val="14ED4CAC"/>
    <w:rsid w:val="15107A3E"/>
    <w:rsid w:val="15A46B04"/>
    <w:rsid w:val="15CF16A7"/>
    <w:rsid w:val="16565924"/>
    <w:rsid w:val="165825BC"/>
    <w:rsid w:val="167436CF"/>
    <w:rsid w:val="16BA2357"/>
    <w:rsid w:val="16BC5D73"/>
    <w:rsid w:val="176F36D7"/>
    <w:rsid w:val="1795226D"/>
    <w:rsid w:val="18456B1E"/>
    <w:rsid w:val="184C6FDF"/>
    <w:rsid w:val="19193365"/>
    <w:rsid w:val="1B216501"/>
    <w:rsid w:val="1BD6378F"/>
    <w:rsid w:val="1C0C0F5F"/>
    <w:rsid w:val="1C1171C5"/>
    <w:rsid w:val="1C204A0A"/>
    <w:rsid w:val="1D265138"/>
    <w:rsid w:val="1D4E55A7"/>
    <w:rsid w:val="1D7B6BCA"/>
    <w:rsid w:val="1DA41A79"/>
    <w:rsid w:val="1DCB6BF8"/>
    <w:rsid w:val="1DF53469"/>
    <w:rsid w:val="1E002D45"/>
    <w:rsid w:val="1E2307E2"/>
    <w:rsid w:val="1E2F24F2"/>
    <w:rsid w:val="1E58492F"/>
    <w:rsid w:val="1E5B6757"/>
    <w:rsid w:val="1E8A260F"/>
    <w:rsid w:val="1ED10AC6"/>
    <w:rsid w:val="1F89225F"/>
    <w:rsid w:val="1F900A1F"/>
    <w:rsid w:val="1FC0575D"/>
    <w:rsid w:val="202B56B1"/>
    <w:rsid w:val="206132C7"/>
    <w:rsid w:val="20BD4F1E"/>
    <w:rsid w:val="21272FE0"/>
    <w:rsid w:val="21B00C1D"/>
    <w:rsid w:val="228F6446"/>
    <w:rsid w:val="23031BEB"/>
    <w:rsid w:val="23917691"/>
    <w:rsid w:val="23C94A45"/>
    <w:rsid w:val="244B1B1F"/>
    <w:rsid w:val="244D65B8"/>
    <w:rsid w:val="245E1E24"/>
    <w:rsid w:val="24747FE9"/>
    <w:rsid w:val="24FC4195"/>
    <w:rsid w:val="25AD5E5D"/>
    <w:rsid w:val="25B3069D"/>
    <w:rsid w:val="26667E05"/>
    <w:rsid w:val="2732478D"/>
    <w:rsid w:val="27661469"/>
    <w:rsid w:val="276E1A78"/>
    <w:rsid w:val="27900EAD"/>
    <w:rsid w:val="279B538A"/>
    <w:rsid w:val="286F545C"/>
    <w:rsid w:val="29314FBC"/>
    <w:rsid w:val="29AE62B8"/>
    <w:rsid w:val="2AA2081A"/>
    <w:rsid w:val="2ADA3AB5"/>
    <w:rsid w:val="2B724D12"/>
    <w:rsid w:val="2BF40BA7"/>
    <w:rsid w:val="2C024B86"/>
    <w:rsid w:val="2C1D4AC2"/>
    <w:rsid w:val="2C927671"/>
    <w:rsid w:val="2CC6306F"/>
    <w:rsid w:val="2D2307FE"/>
    <w:rsid w:val="2D6523C0"/>
    <w:rsid w:val="2D7C3A6A"/>
    <w:rsid w:val="2D7C5CD6"/>
    <w:rsid w:val="2E483E7E"/>
    <w:rsid w:val="2E690493"/>
    <w:rsid w:val="2E9854BD"/>
    <w:rsid w:val="2EF44200"/>
    <w:rsid w:val="2F0D407F"/>
    <w:rsid w:val="2F3F2FA2"/>
    <w:rsid w:val="2F454B19"/>
    <w:rsid w:val="2F5E167A"/>
    <w:rsid w:val="2FD23E16"/>
    <w:rsid w:val="2FE75B13"/>
    <w:rsid w:val="2FF975F4"/>
    <w:rsid w:val="30EE2ED1"/>
    <w:rsid w:val="310224D9"/>
    <w:rsid w:val="31442AF1"/>
    <w:rsid w:val="31B4621C"/>
    <w:rsid w:val="31E3230A"/>
    <w:rsid w:val="322D17D7"/>
    <w:rsid w:val="32A25D21"/>
    <w:rsid w:val="32CE35F4"/>
    <w:rsid w:val="330662B0"/>
    <w:rsid w:val="330957E0"/>
    <w:rsid w:val="33356F64"/>
    <w:rsid w:val="33944516"/>
    <w:rsid w:val="34AA710F"/>
    <w:rsid w:val="34B62907"/>
    <w:rsid w:val="34D0301A"/>
    <w:rsid w:val="34DD1293"/>
    <w:rsid w:val="35310049"/>
    <w:rsid w:val="355E0625"/>
    <w:rsid w:val="36BD137C"/>
    <w:rsid w:val="37971BCD"/>
    <w:rsid w:val="38053EDF"/>
    <w:rsid w:val="380812A4"/>
    <w:rsid w:val="385D37E7"/>
    <w:rsid w:val="38782EDD"/>
    <w:rsid w:val="3A2F07E2"/>
    <w:rsid w:val="3B42664A"/>
    <w:rsid w:val="3BB54D17"/>
    <w:rsid w:val="3C5F6A31"/>
    <w:rsid w:val="3CAD1E92"/>
    <w:rsid w:val="3CEB6517"/>
    <w:rsid w:val="3D836A4E"/>
    <w:rsid w:val="3EA352FB"/>
    <w:rsid w:val="3EA37E97"/>
    <w:rsid w:val="3F2355D3"/>
    <w:rsid w:val="3FBE0BC5"/>
    <w:rsid w:val="3FCC0881"/>
    <w:rsid w:val="403A1C8F"/>
    <w:rsid w:val="4048103A"/>
    <w:rsid w:val="40736643"/>
    <w:rsid w:val="40D24A7A"/>
    <w:rsid w:val="412D2C8C"/>
    <w:rsid w:val="42621029"/>
    <w:rsid w:val="435241E2"/>
    <w:rsid w:val="4378590F"/>
    <w:rsid w:val="43975C51"/>
    <w:rsid w:val="439E3FA7"/>
    <w:rsid w:val="441A4FFE"/>
    <w:rsid w:val="44B32266"/>
    <w:rsid w:val="44FC64F4"/>
    <w:rsid w:val="4614088C"/>
    <w:rsid w:val="467F4585"/>
    <w:rsid w:val="470628CB"/>
    <w:rsid w:val="4729480B"/>
    <w:rsid w:val="47555BD4"/>
    <w:rsid w:val="47BC2DB1"/>
    <w:rsid w:val="47E96399"/>
    <w:rsid w:val="47F76025"/>
    <w:rsid w:val="486E33F5"/>
    <w:rsid w:val="48E12B50"/>
    <w:rsid w:val="499441BE"/>
    <w:rsid w:val="499A6C1C"/>
    <w:rsid w:val="4A195607"/>
    <w:rsid w:val="4A2138F0"/>
    <w:rsid w:val="4A266DE0"/>
    <w:rsid w:val="4A583887"/>
    <w:rsid w:val="4AC62A9D"/>
    <w:rsid w:val="4B2477C4"/>
    <w:rsid w:val="4B9F6E02"/>
    <w:rsid w:val="4C89637B"/>
    <w:rsid w:val="4D2A6BE7"/>
    <w:rsid w:val="4D5C1497"/>
    <w:rsid w:val="4D810EFD"/>
    <w:rsid w:val="4DD454D1"/>
    <w:rsid w:val="4E6E48A8"/>
    <w:rsid w:val="4EEC036B"/>
    <w:rsid w:val="4F714FA1"/>
    <w:rsid w:val="501D2673"/>
    <w:rsid w:val="50213118"/>
    <w:rsid w:val="50B769E4"/>
    <w:rsid w:val="50C80BF1"/>
    <w:rsid w:val="511C37D8"/>
    <w:rsid w:val="513D513B"/>
    <w:rsid w:val="51852833"/>
    <w:rsid w:val="52F11AC8"/>
    <w:rsid w:val="534F49D9"/>
    <w:rsid w:val="53555F0F"/>
    <w:rsid w:val="535D23D5"/>
    <w:rsid w:val="53685F84"/>
    <w:rsid w:val="53A105CB"/>
    <w:rsid w:val="53B13BBE"/>
    <w:rsid w:val="54770964"/>
    <w:rsid w:val="553625CD"/>
    <w:rsid w:val="56AD68BF"/>
    <w:rsid w:val="56D06A51"/>
    <w:rsid w:val="56F4341A"/>
    <w:rsid w:val="575A7321"/>
    <w:rsid w:val="580C3AB9"/>
    <w:rsid w:val="583C7AE0"/>
    <w:rsid w:val="586C1E9A"/>
    <w:rsid w:val="586E0800"/>
    <w:rsid w:val="587D49B7"/>
    <w:rsid w:val="58C1657A"/>
    <w:rsid w:val="59216F96"/>
    <w:rsid w:val="592F7A5F"/>
    <w:rsid w:val="598C4145"/>
    <w:rsid w:val="59957D1B"/>
    <w:rsid w:val="59D4294E"/>
    <w:rsid w:val="5A1A070F"/>
    <w:rsid w:val="5B3255E5"/>
    <w:rsid w:val="5B634312"/>
    <w:rsid w:val="5B9D2CCD"/>
    <w:rsid w:val="5B9E71EA"/>
    <w:rsid w:val="5C5477DD"/>
    <w:rsid w:val="5E226FBC"/>
    <w:rsid w:val="5FA36164"/>
    <w:rsid w:val="5FE72BD2"/>
    <w:rsid w:val="60011A2A"/>
    <w:rsid w:val="60120613"/>
    <w:rsid w:val="605B55DE"/>
    <w:rsid w:val="61762AFC"/>
    <w:rsid w:val="618D5292"/>
    <w:rsid w:val="61F96E5C"/>
    <w:rsid w:val="622E78FA"/>
    <w:rsid w:val="62DB47B4"/>
    <w:rsid w:val="63343F70"/>
    <w:rsid w:val="63B219B9"/>
    <w:rsid w:val="64296E1C"/>
    <w:rsid w:val="64386FCC"/>
    <w:rsid w:val="649E64A2"/>
    <w:rsid w:val="658743F8"/>
    <w:rsid w:val="65953340"/>
    <w:rsid w:val="65E5270A"/>
    <w:rsid w:val="663D3C54"/>
    <w:rsid w:val="667A6962"/>
    <w:rsid w:val="66862C89"/>
    <w:rsid w:val="66BB486D"/>
    <w:rsid w:val="67394C7D"/>
    <w:rsid w:val="68126B38"/>
    <w:rsid w:val="68291A1A"/>
    <w:rsid w:val="68352BB8"/>
    <w:rsid w:val="685B22E1"/>
    <w:rsid w:val="68E75CE9"/>
    <w:rsid w:val="691327EB"/>
    <w:rsid w:val="691B1594"/>
    <w:rsid w:val="693A016B"/>
    <w:rsid w:val="69961435"/>
    <w:rsid w:val="69CF4947"/>
    <w:rsid w:val="6A17429C"/>
    <w:rsid w:val="6A567EA3"/>
    <w:rsid w:val="6AD71D05"/>
    <w:rsid w:val="6B4B4368"/>
    <w:rsid w:val="6B79100E"/>
    <w:rsid w:val="6BE40B7D"/>
    <w:rsid w:val="6C501D6F"/>
    <w:rsid w:val="6C7739CB"/>
    <w:rsid w:val="6C844C00"/>
    <w:rsid w:val="6C9C6D62"/>
    <w:rsid w:val="6CAE6A95"/>
    <w:rsid w:val="6DE24C48"/>
    <w:rsid w:val="6DEE5CE3"/>
    <w:rsid w:val="6E10212C"/>
    <w:rsid w:val="6E43561A"/>
    <w:rsid w:val="6E557973"/>
    <w:rsid w:val="6E9568DB"/>
    <w:rsid w:val="6F0D6C22"/>
    <w:rsid w:val="6F47657F"/>
    <w:rsid w:val="6F930EAE"/>
    <w:rsid w:val="6FAF23D9"/>
    <w:rsid w:val="6FB72105"/>
    <w:rsid w:val="6FDB4045"/>
    <w:rsid w:val="70635CF6"/>
    <w:rsid w:val="70670707"/>
    <w:rsid w:val="70AC59E2"/>
    <w:rsid w:val="70D867D7"/>
    <w:rsid w:val="717209D9"/>
    <w:rsid w:val="71AF12E6"/>
    <w:rsid w:val="720E3691"/>
    <w:rsid w:val="723637B5"/>
    <w:rsid w:val="7249173A"/>
    <w:rsid w:val="724E244C"/>
    <w:rsid w:val="72DA6946"/>
    <w:rsid w:val="732764B3"/>
    <w:rsid w:val="73616839"/>
    <w:rsid w:val="737E3665"/>
    <w:rsid w:val="74026044"/>
    <w:rsid w:val="74325A77"/>
    <w:rsid w:val="74746410"/>
    <w:rsid w:val="75C8506C"/>
    <w:rsid w:val="75E5007C"/>
    <w:rsid w:val="76AA651F"/>
    <w:rsid w:val="77636B63"/>
    <w:rsid w:val="777D59E2"/>
    <w:rsid w:val="77813724"/>
    <w:rsid w:val="77860D3A"/>
    <w:rsid w:val="77861774"/>
    <w:rsid w:val="78BB2C66"/>
    <w:rsid w:val="78F31435"/>
    <w:rsid w:val="79300B45"/>
    <w:rsid w:val="79336CA0"/>
    <w:rsid w:val="794D3E18"/>
    <w:rsid w:val="79B50CA1"/>
    <w:rsid w:val="79F3729A"/>
    <w:rsid w:val="7A0B5527"/>
    <w:rsid w:val="7A880722"/>
    <w:rsid w:val="7ABE6120"/>
    <w:rsid w:val="7ACB0498"/>
    <w:rsid w:val="7AED0B4D"/>
    <w:rsid w:val="7B5958FD"/>
    <w:rsid w:val="7C1E4487"/>
    <w:rsid w:val="7C215E02"/>
    <w:rsid w:val="7C365C2B"/>
    <w:rsid w:val="7C464F3C"/>
    <w:rsid w:val="7CF23764"/>
    <w:rsid w:val="7D16490F"/>
    <w:rsid w:val="7D741635"/>
    <w:rsid w:val="7D851A94"/>
    <w:rsid w:val="7DC12ACC"/>
    <w:rsid w:val="7E797F74"/>
    <w:rsid w:val="7F054C3B"/>
    <w:rsid w:val="7F6B15D8"/>
    <w:rsid w:val="7F924011"/>
    <w:rsid w:val="7FAA57E2"/>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5">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6">
    <w:name w:val="heading 2"/>
    <w:basedOn w:val="1"/>
    <w:next w:val="1"/>
    <w:link w:val="22"/>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7">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9">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3"/>
    <w:qFormat/>
    <w:uiPriority w:val="0"/>
    <w:pPr>
      <w:ind w:firstLine="420" w:firstLineChars="200"/>
    </w:pPr>
  </w:style>
  <w:style w:type="paragraph" w:styleId="3">
    <w:name w:val="Body Text Indent"/>
    <w:basedOn w:val="1"/>
    <w:next w:val="4"/>
    <w:qFormat/>
    <w:uiPriority w:val="99"/>
    <w:pPr>
      <w:spacing w:after="120"/>
      <w:ind w:left="420" w:leftChars="200"/>
    </w:pPr>
  </w:style>
  <w:style w:type="paragraph" w:styleId="4">
    <w:name w:val="Normal (Web)"/>
    <w:basedOn w:val="1"/>
    <w:next w:val="1"/>
    <w:qFormat/>
    <w:uiPriority w:val="0"/>
    <w:pPr>
      <w:spacing w:before="0" w:beforeAutospacing="1" w:after="0" w:afterAutospacing="1"/>
      <w:ind w:left="0" w:right="0"/>
      <w:jc w:val="left"/>
    </w:pPr>
    <w:rPr>
      <w:kern w:val="0"/>
      <w:sz w:val="24"/>
      <w:lang w:val="en-US" w:eastAsia="zh-CN" w:bidi="ar"/>
    </w:rPr>
  </w:style>
  <w:style w:type="paragraph" w:styleId="8">
    <w:name w:val="annotation text"/>
    <w:basedOn w:val="1"/>
    <w:autoRedefine/>
    <w:qFormat/>
    <w:uiPriority w:val="0"/>
    <w:pPr>
      <w:jc w:val="left"/>
    </w:pPr>
  </w:style>
  <w:style w:type="paragraph" w:styleId="9">
    <w:name w:val="Body Text"/>
    <w:basedOn w:val="1"/>
    <w:autoRedefine/>
    <w:qFormat/>
    <w:uiPriority w:val="0"/>
    <w:pPr>
      <w:spacing w:before="240" w:after="240" w:line="360" w:lineRule="auto"/>
      <w:jc w:val="center"/>
    </w:pPr>
    <w:rPr>
      <w:b/>
      <w:sz w:val="44"/>
    </w:rPr>
  </w:style>
  <w:style w:type="paragraph" w:styleId="10">
    <w:name w:val="toc 3"/>
    <w:basedOn w:val="1"/>
    <w:next w:val="1"/>
    <w:qFormat/>
    <w:uiPriority w:val="0"/>
    <w:pPr>
      <w:ind w:left="840" w:leftChars="400"/>
    </w:pPr>
  </w:style>
  <w:style w:type="paragraph" w:styleId="11">
    <w:name w:val="footer"/>
    <w:basedOn w:val="1"/>
    <w:autoRedefine/>
    <w:qFormat/>
    <w:uiPriority w:val="0"/>
    <w:pPr>
      <w:tabs>
        <w:tab w:val="center" w:pos="4153"/>
        <w:tab w:val="right" w:pos="8306"/>
      </w:tabs>
      <w:snapToGrid w:val="0"/>
      <w:jc w:val="left"/>
    </w:pPr>
    <w:rPr>
      <w:sz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Body Text 2"/>
    <w:basedOn w:val="1"/>
    <w:autoRedefine/>
    <w:qFormat/>
    <w:uiPriority w:val="0"/>
    <w:pPr>
      <w:spacing w:after="120" w:line="480" w:lineRule="auto"/>
    </w:pPr>
    <w:rPr>
      <w:rFonts w:ascii="Times New Roman" w:hAnsi="Times New Roman" w:eastAsia="宋体" w:cs="Times New Roman"/>
    </w:rPr>
  </w:style>
  <w:style w:type="paragraph" w:styleId="16">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7">
    <w:name w:val="Body Text First Indent"/>
    <w:basedOn w:val="9"/>
    <w:qFormat/>
    <w:uiPriority w:val="0"/>
    <w:pPr>
      <w:spacing w:after="0"/>
      <w:ind w:firstLine="200" w:firstLineChars="200"/>
    </w:pPr>
  </w:style>
  <w:style w:type="character" w:styleId="20">
    <w:name w:val="Strong"/>
    <w:basedOn w:val="19"/>
    <w:qFormat/>
    <w:uiPriority w:val="0"/>
    <w:rPr>
      <w:b/>
      <w:bCs/>
    </w:rPr>
  </w:style>
  <w:style w:type="paragraph" w:customStyle="1" w:styleId="21">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2">
    <w:name w:val="标题 2 Char"/>
    <w:link w:val="6"/>
    <w:autoRedefine/>
    <w:qFormat/>
    <w:uiPriority w:val="0"/>
    <w:rPr>
      <w:rFonts w:ascii="Arial" w:hAnsi="Arial" w:eastAsia="楷体"/>
      <w:b/>
      <w:sz w:val="32"/>
    </w:rPr>
  </w:style>
  <w:style w:type="paragraph" w:customStyle="1" w:styleId="23">
    <w:name w:val="WPSOffice手动目录 1"/>
    <w:autoRedefine/>
    <w:qFormat/>
    <w:uiPriority w:val="0"/>
    <w:pPr>
      <w:ind w:leftChars="0"/>
    </w:pPr>
    <w:rPr>
      <w:rFonts w:ascii="Times New Roman" w:hAnsi="Times New Roman" w:eastAsia="宋体" w:cs="Times New Roman"/>
      <w:sz w:val="20"/>
      <w:szCs w:val="20"/>
    </w:rPr>
  </w:style>
  <w:style w:type="paragraph" w:customStyle="1" w:styleId="24">
    <w:name w:val="WPSOffice手动目录 2"/>
    <w:autoRedefine/>
    <w:qFormat/>
    <w:uiPriority w:val="0"/>
    <w:pPr>
      <w:ind w:leftChars="200"/>
    </w:pPr>
    <w:rPr>
      <w:rFonts w:ascii="Times New Roman" w:hAnsi="Times New Roman" w:eastAsia="宋体" w:cs="Times New Roman"/>
      <w:sz w:val="20"/>
      <w:szCs w:val="20"/>
    </w:rPr>
  </w:style>
  <w:style w:type="paragraph" w:customStyle="1" w:styleId="25">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10173</Words>
  <Characters>10791</Characters>
  <Lines>0</Lines>
  <Paragraphs>0</Paragraphs>
  <TotalTime>0</TotalTime>
  <ScaleCrop>false</ScaleCrop>
  <LinksUpToDate>false</LinksUpToDate>
  <CharactersWithSpaces>10865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2025-10-23T09:56:27Z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