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29123"/>
      <w:bookmarkStart w:id="2" w:name="_Toc1949"/>
      <w:bookmarkStart w:id="3" w:name="_Toc15679"/>
      <w:r>
        <w:rPr>
          <w:rFonts w:hint="eastAsia" w:cs="宋体"/>
          <w:b/>
          <w:bCs/>
          <w:color w:val="auto"/>
          <w:sz w:val="40"/>
          <w:szCs w:val="40"/>
          <w:highlight w:val="none"/>
          <w:shd w:val="clear" w:color="auto" w:fill="auto"/>
          <w:lang w:val="en-US" w:eastAsia="zh-CN"/>
        </w:rPr>
        <w:t>中小企业账款化债</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项目名称：中小企业账款化债</w:t>
      </w:r>
    </w:p>
    <w:p w14:paraId="7CB8A243">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阜康市上户沟哈萨克族乡卫生院</w:t>
      </w:r>
    </w:p>
    <w:p w14:paraId="1CD13478">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阜康市卫生健康委员会</w:t>
      </w:r>
    </w:p>
    <w:p w14:paraId="065BEE39">
      <w:pPr>
        <w:spacing w:line="360" w:lineRule="auto"/>
        <w:ind w:firstLine="0" w:firstLineChars="0"/>
        <w:jc w:val="left"/>
        <w:rPr>
          <w:rFonts w:hint="eastAsia" w:ascii="黑体" w:hAnsi="Times New Roman" w:eastAsia="宋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项目负责人：张小东</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30</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1194"/>
      <w:bookmarkStart w:id="6" w:name="_Toc22946"/>
      <w:bookmarkStart w:id="7" w:name="_Toc20432"/>
      <w:r>
        <w:rPr>
          <w:rFonts w:hint="eastAsia" w:cs="宋体"/>
          <w:b/>
          <w:bCs/>
          <w:color w:val="auto"/>
          <w:sz w:val="36"/>
          <w:szCs w:val="36"/>
          <w:highlight w:val="none"/>
          <w:shd w:val="clear" w:color="auto" w:fill="auto"/>
          <w:lang w:val="en-US" w:eastAsia="zh-CN"/>
        </w:rPr>
        <w:t>中小企业账款化债</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10645"/>
      <w:bookmarkStart w:id="12" w:name="_Toc5043"/>
      <w:bookmarkStart w:id="13"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1D75EC96">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积极响应国家关于防范化解地方债务风险的战略部署，严格遵循《中华人民共和国预算法》《事业单位财务规则》等法律法规，以及诸如《关于防范化解地方政府隐性债务风险的意见》等政策文件要求，地方政府及事业单位需强化债务管理，积极化解存量债务，以切实维护经济金融秩序稳定，推动事业单位健康可持续发展。</w:t>
      </w:r>
    </w:p>
    <w:p w14:paraId="649205C0">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改善卫生院环境，提升公共卫生服务水平，改善服务设施条件，卫生院加大了基础设施建设投入，在基础设施建设方面进行了大量投资。由于项目建设周期长、资金需求量大，卫生院通过举债来满足建设资金需求，从而形成债务。</w:t>
      </w:r>
    </w:p>
    <w:p w14:paraId="3252C1B3">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color w:val="auto"/>
          <w:kern w:val="2"/>
          <w:sz w:val="32"/>
          <w:szCs w:val="32"/>
          <w:highlight w:val="none"/>
          <w:lang w:val="en-US" w:eastAsia="zh-CN" w:bidi="ar-SA"/>
        </w:rPr>
        <w:t>随着社会发展和市场需求变化，卫生院为保障基本运营状况，提高医疗整体水平，维护卫生院正常经济发展秩序,为上户沟乡人民身心健康保驾护航，需要投入资金用于基本建设，改善医疗就诊环境。在自有资金不足的情况下，举债成为必然选择。</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630"/>
      <w:bookmarkStart w:id="16" w:name="_Toc17880"/>
      <w:bookmarkStart w:id="17"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0262B19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8" w:name="_Toc16592"/>
      <w:bookmarkStart w:id="19" w:name="_Toc27409"/>
      <w:bookmarkStart w:id="20" w:name="_Toc21898"/>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p>
    <w:p w14:paraId="3685309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single"/>
          <w:lang w:eastAsia="zh-CN"/>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偿还往年项目</w:t>
      </w:r>
      <w:r>
        <w:rPr>
          <w:rFonts w:hint="eastAsia" w:cs="仿宋_GB2312"/>
          <w:b w:val="0"/>
          <w:bCs w:val="0"/>
          <w:color w:val="auto"/>
          <w:kern w:val="2"/>
          <w:sz w:val="32"/>
          <w:szCs w:val="32"/>
          <w:highlight w:val="none"/>
          <w:shd w:val="clear" w:color="auto" w:fill="auto"/>
          <w:lang w:val="en-US" w:eastAsia="zh-CN" w:bidi="ar-SA"/>
        </w:rPr>
        <w:t>2</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个</w:t>
      </w:r>
      <w:r>
        <w:rPr>
          <w:rFonts w:hint="eastAsia" w:cs="仿宋_GB2312"/>
          <w:b w:val="0"/>
          <w:bCs w:val="0"/>
          <w:color w:val="auto"/>
          <w:kern w:val="2"/>
          <w:sz w:val="32"/>
          <w:szCs w:val="32"/>
          <w:highlight w:val="none"/>
          <w:shd w:val="clear" w:color="auto" w:fill="auto"/>
          <w:lang w:val="en-US" w:eastAsia="zh-CN" w:bidi="ar-SA"/>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u w:val="none"/>
          <w:lang w:val="en-US" w:eastAsia="zh-CN"/>
        </w:rPr>
        <w:t>阜康市上户沟乡、水磨沟乡改善农村人居环境建设项目</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债权人全称为</w:t>
      </w:r>
      <w:r>
        <w:rPr>
          <w:rFonts w:hint="eastAsia" w:ascii="仿宋_GB2312" w:hAnsi="仿宋_GB2312" w:cs="仿宋_GB2312"/>
          <w:color w:val="auto"/>
          <w:sz w:val="32"/>
          <w:szCs w:val="32"/>
          <w:highlight w:val="none"/>
          <w:u w:val="none"/>
          <w:lang w:val="en-US" w:eastAsia="zh-CN"/>
        </w:rPr>
        <w:t>新</w:t>
      </w:r>
      <w:r>
        <w:rPr>
          <w:rFonts w:hint="eastAsia" w:ascii="仿宋_GB2312" w:hAnsi="仿宋_GB2312" w:eastAsia="仿宋_GB2312" w:cs="仿宋_GB2312"/>
          <w:color w:val="auto"/>
          <w:sz w:val="32"/>
          <w:szCs w:val="32"/>
          <w:highlight w:val="none"/>
          <w:lang w:val="en-US" w:eastAsia="zh-CN"/>
        </w:rPr>
        <w:t>疆博际建筑工程有限责任公司</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2018年该工程欠款认定政府隐性债务余额</w:t>
      </w:r>
      <w:r>
        <w:rPr>
          <w:rFonts w:hint="eastAsia" w:ascii="仿宋_GB2312" w:hAnsi="仿宋_GB2312" w:eastAsia="仿宋_GB2312" w:cs="仿宋_GB2312"/>
          <w:color w:val="auto"/>
          <w:sz w:val="32"/>
          <w:szCs w:val="32"/>
          <w:highlight w:val="none"/>
        </w:rPr>
        <w:t xml:space="preserve">为 </w:t>
      </w:r>
      <w:r>
        <w:rPr>
          <w:rFonts w:hint="eastAsia" w:ascii="仿宋_GB2312" w:hAnsi="仿宋_GB2312" w:eastAsia="仿宋_GB2312" w:cs="仿宋_GB2312"/>
          <w:color w:val="auto"/>
          <w:sz w:val="32"/>
          <w:szCs w:val="32"/>
          <w:highlight w:val="none"/>
          <w:lang w:val="en-US" w:eastAsia="zh-CN"/>
        </w:rPr>
        <w:t>361.34</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2018-2023年期间通过财政资金已偿还</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200.6 </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，按照</w:t>
      </w:r>
      <w:r>
        <w:rPr>
          <w:rFonts w:hint="eastAsia" w:ascii="仿宋_GB2312" w:hAnsi="仿宋_GB2312" w:eastAsia="仿宋_GB2312" w:cs="仿宋_GB2312"/>
          <w:color w:val="auto"/>
          <w:sz w:val="32"/>
          <w:szCs w:val="32"/>
          <w:highlight w:val="none"/>
          <w:lang w:val="en-US" w:eastAsia="zh-CN"/>
        </w:rPr>
        <w:t>化解方案</w:t>
      </w:r>
      <w:r>
        <w:rPr>
          <w:rFonts w:hint="eastAsia" w:ascii="仿宋_GB2312" w:hAnsi="仿宋_GB2312" w:eastAsia="仿宋_GB2312" w:cs="仿宋_GB2312"/>
          <w:color w:val="auto"/>
          <w:sz w:val="32"/>
          <w:szCs w:val="32"/>
          <w:highlight w:val="none"/>
          <w:lang w:eastAsia="zh-CN"/>
        </w:rPr>
        <w:t>需偿还</w:t>
      </w:r>
      <w:r>
        <w:rPr>
          <w:rFonts w:hint="eastAsia" w:ascii="仿宋_GB2312" w:hAnsi="仿宋_GB2312" w:eastAsia="仿宋_GB2312" w:cs="仿宋_GB2312"/>
          <w:color w:val="auto"/>
          <w:sz w:val="32"/>
          <w:szCs w:val="32"/>
          <w:highlight w:val="none"/>
          <w:lang w:val="en-US" w:eastAsia="zh-CN"/>
        </w:rPr>
        <w:t>159.73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偿还</w:t>
      </w:r>
      <w:r>
        <w:rPr>
          <w:rFonts w:hint="eastAsia" w:ascii="仿宋_GB2312" w:hAnsi="仿宋_GB2312" w:eastAsia="仿宋_GB2312" w:cs="仿宋_GB2312"/>
          <w:color w:val="auto"/>
          <w:sz w:val="32"/>
          <w:szCs w:val="32"/>
          <w:highlight w:val="none"/>
          <w:lang w:eastAsia="zh-CN"/>
        </w:rPr>
        <w:t>完成后该政府隐性债务余额</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1.01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。《阜康市上户沟乡、水磨沟乡改善农村人居环境建设项目》，债权人全称为乌鲁木齐市鸿安润诚水处理设备有限公司，2018年认定政府隐性债务 33.2万元，2018-2023年期间，通过财政资金已偿还 28.824 万元，按照化解方案偿还金额 4.376万元，偿还后该政府隐性债务余额为0万元。</w:t>
      </w:r>
    </w:p>
    <w:p w14:paraId="18CEB8A0">
      <w:pPr>
        <w:pStyle w:val="5"/>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p>
    <w:p w14:paraId="16D2F7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经上户沟卫生院财经领导小组会议，确定了项目领导小组，明确了责任分工：组长为张小东，副组长为黑扎提，项目负责人为杜智勇,组员为姜利、马容，其中：杜智勇负责监管工作，姜利负责项目档案资料，马容负责资金拨付工作。</w:t>
      </w:r>
    </w:p>
    <w:p w14:paraId="6673C24C">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本项目完成偿还往年项目2个，</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u w:val="none"/>
          <w:lang w:val="en-US" w:eastAsia="zh-CN"/>
        </w:rPr>
        <w:t>阜康市上户沟乡、水磨沟乡改善农村人居环境建设项目</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lang w:eastAsia="zh-CN"/>
        </w:rPr>
        <w:t>债权人全称为</w:t>
      </w:r>
      <w:r>
        <w:rPr>
          <w:rFonts w:hint="eastAsia" w:ascii="仿宋_GB2312" w:hAnsi="仿宋_GB2312" w:cs="仿宋_GB2312"/>
          <w:color w:val="auto"/>
          <w:sz w:val="32"/>
          <w:szCs w:val="32"/>
          <w:highlight w:val="none"/>
          <w:u w:val="none"/>
          <w:lang w:val="en-US" w:eastAsia="zh-CN"/>
        </w:rPr>
        <w:t>新</w:t>
      </w:r>
      <w:r>
        <w:rPr>
          <w:rFonts w:hint="eastAsia" w:ascii="仿宋_GB2312" w:hAnsi="仿宋_GB2312" w:eastAsia="仿宋_GB2312" w:cs="仿宋_GB2312"/>
          <w:color w:val="auto"/>
          <w:sz w:val="32"/>
          <w:szCs w:val="32"/>
          <w:highlight w:val="none"/>
          <w:lang w:val="en-US" w:eastAsia="zh-CN"/>
        </w:rPr>
        <w:t>疆博际建筑工程有限责任公司</w:t>
      </w:r>
      <w:r>
        <w:rPr>
          <w:rFonts w:hint="eastAsia" w:ascii="仿宋_GB2312" w:hAnsi="仿宋_GB2312" w:eastAsia="仿宋_GB2312" w:cs="仿宋_GB2312"/>
          <w:color w:val="auto"/>
          <w:sz w:val="32"/>
          <w:szCs w:val="32"/>
          <w:highlight w:val="none"/>
          <w:u w:val="none"/>
          <w:lang w:eastAsia="zh-CN"/>
        </w:rPr>
        <w:t>159.73万元，</w:t>
      </w:r>
      <w:r>
        <w:rPr>
          <w:rFonts w:hint="eastAsia" w:ascii="仿宋_GB2312" w:hAnsi="仿宋_GB2312" w:eastAsia="仿宋_GB2312" w:cs="仿宋_GB2312"/>
          <w:color w:val="auto"/>
          <w:sz w:val="32"/>
          <w:szCs w:val="32"/>
          <w:highlight w:val="none"/>
          <w:lang w:eastAsia="zh-CN"/>
        </w:rPr>
        <w:t>《阜康市上户沟乡、水磨沟乡改善农村人居环境建设项目》，债权人全称为乌鲁木齐市鸿安润诚水处理设备有限公司4.38万元。</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858"/>
      <w:bookmarkStart w:id="24" w:name="_Toc12348"/>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024DC22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该项目年初预算数164.11万元，全年预算数164.11万元，该项目资金已全部落实到位，资金来源为财政拨款。</w:t>
      </w:r>
      <w:bookmarkEnd w:id="29"/>
      <w:bookmarkEnd w:id="30"/>
      <w:bookmarkEnd w:id="31"/>
      <w:bookmarkStart w:id="32" w:name="_Toc1166"/>
      <w:bookmarkStart w:id="33" w:name="_Toc3409"/>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该项目年初预算数164.11万元，全年预算数164.11万元，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全年执行数164.11万元，预算执行率为100%，主要用于：偿还改善农村人居住环境基本建设项目欠款。</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2547"/>
      <w:bookmarkStart w:id="40" w:name="_Toc10047"/>
      <w:bookmarkStart w:id="41" w:name="_Toc8528"/>
      <w:bookmarkStart w:id="42" w:name="_Toc1475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中小企业账款化债项目绩效总体目标为：保障医院的基本运营状况，提高医疗整体水平，维护卫生院正常经济发展秩序,为上户沟乡人民身心健康保驾护航,2024年项目计划偿还博际公司的159.73万元基本建设项目欠款和鸿安润城公司的4.38万元的基本建设项目欠款，资金支付率达到100%，预计于2024年7月之前完成资金支付，资金发放及时率达到100%，项目的实施预计达到改善医疗就诊环境,更好地为患者提供医疗服务。</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007"/>
      <w:bookmarkStart w:id="45" w:name="_Toc4487"/>
      <w:bookmarkStart w:id="46" w:name="_Toc3255"/>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偿还标准化建设欠款公司个数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指标，预期目标值为=2个；</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A82EB7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“资金到位率”指标，预期目标值为=100%；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（2）时效指标</w:t>
      </w:r>
    </w:p>
    <w:p w14:paraId="006DD9F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“资金发放及时率”指标，预期目标值为=100%；</w:t>
      </w:r>
    </w:p>
    <w:p w14:paraId="243344F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“资金发放完成时间”指标，预期目标值为2024年7月；</w:t>
      </w:r>
    </w:p>
    <w:p w14:paraId="2301A0E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成本指标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补助资金用于偿还博际公司标准化建设欠款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指标，预期目标值为≤159.73万元；</w:t>
      </w:r>
    </w:p>
    <w:p w14:paraId="623BCC3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补助资金用于偿还鸿安润城公司标准化建设欠款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指标，预期目标值为≤4.38万元；</w:t>
      </w:r>
    </w:p>
    <w:p w14:paraId="4BF678F7">
      <w:pPr>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效益指标</w:t>
      </w:r>
    </w:p>
    <w:p w14:paraId="7EF97CEA">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改善医疗就诊环境</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指标，预期目标值为逐步提升；</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169_WPSOffice_Level2"/>
      <w:bookmarkStart w:id="49" w:name="_Toc12868"/>
      <w:bookmarkStart w:id="50" w:name="_Toc26632"/>
      <w:bookmarkStart w:id="51" w:name="_Toc5258"/>
      <w:bookmarkStart w:id="52" w:name="_Toc21664"/>
      <w:bookmarkStart w:id="53" w:name="_Toc22922"/>
      <w:bookmarkStart w:id="54" w:name="_Toc480473081"/>
      <w:bookmarkStart w:id="55" w:name="_Toc5462343"/>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文件要求对2024年度我单位实施的中小企业账款化债项目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阜康市上户沟哈萨克族乡卫生院单位</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color w:val="auto"/>
          <w:sz w:val="32"/>
          <w:szCs w:val="32"/>
          <w:highlight w:val="none"/>
          <w:shd w:val="clear" w:color="auto" w:fill="auto"/>
          <w:lang w:val="en-US" w:eastAsia="zh-CN"/>
        </w:rPr>
        <w:t>保障医院的基本运营状况，提高医疗整体水平，维护卫生院正常经济发展秩序,为上户沟乡人民身心健康保驾护航,2024年项目计划偿还博际公司的159.73万元基本建设项目欠款和鸿安润城公司的4.38万元的基本建设项目欠款</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164.11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1286"/>
      <w:bookmarkStart w:id="66"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中小企业账款化债</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6131"/>
      <w:bookmarkStart w:id="71" w:name="_Toc24396"/>
      <w:bookmarkStart w:id="72" w:name="_Toc419984722"/>
      <w:bookmarkStart w:id="73" w:name="_Toc1913"/>
      <w:bookmarkStart w:id="74"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440403D">
      <w:pPr>
        <w:numPr>
          <w:ilvl w:val="0"/>
          <w:numId w:val="0"/>
        </w:numPr>
        <w:spacing w:line="560" w:lineRule="exact"/>
        <w:ind w:left="0" w:leftChars="0" w:firstLine="354" w:firstLineChars="1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kern w:val="2"/>
          <w:sz w:val="32"/>
          <w:szCs w:val="32"/>
          <w:lang w:val="en-US" w:eastAsia="zh-CN" w:bidi="ar-SA"/>
        </w:rPr>
        <w:t>（</w:t>
      </w:r>
      <w:r>
        <w:rPr>
          <w:rFonts w:hint="eastAsia" w:ascii="Times New Roman" w:hAnsi="Times New Roman" w:eastAsia="仿宋_GB2312" w:cs="Times New Roman"/>
          <w:color w:val="auto"/>
          <w:spacing w:val="17"/>
          <w:kern w:val="2"/>
          <w:sz w:val="32"/>
          <w:szCs w:val="32"/>
          <w:lang w:val="en-US" w:eastAsia="zh-CN" w:bidi="ar-SA"/>
        </w:rPr>
        <w:t>1</w:t>
      </w:r>
      <w:r>
        <w:rPr>
          <w:rFonts w:hint="default" w:ascii="Times New Roman" w:hAnsi="Times New Roman" w:eastAsia="仿宋_GB2312" w:cs="Times New Roman"/>
          <w:color w:val="auto"/>
          <w:spacing w:val="17"/>
          <w:kern w:val="2"/>
          <w:sz w:val="32"/>
          <w:szCs w:val="32"/>
          <w:lang w:val="en-US" w:eastAsia="zh-CN" w:bidi="ar-SA"/>
        </w:rPr>
        <w:t>）</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2DBE5791">
      <w:pPr>
        <w:numPr>
          <w:ilvl w:val="0"/>
          <w:numId w:val="0"/>
        </w:numPr>
        <w:spacing w:line="560" w:lineRule="exact"/>
        <w:ind w:firstLine="708" w:firstLineChars="200"/>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化债项目的实际效果与预定目标、历史数据或同类项目进行对比，能直观地反映出项目的绩效情况。例如，将化债后的事业单位债务负担率与化债目标中的指标进行对比，可清晰看出是否达到了降低债务风险的预期。同时，与同类事业单位化债项目对比，能了解本项目在同类项目中的水平，发现自身的优势与不足，为今后改进提供参考。</w:t>
      </w:r>
    </w:p>
    <w:p w14:paraId="67CEDF08">
      <w:pPr>
        <w:spacing w:line="560" w:lineRule="exact"/>
        <w:ind w:firstLine="708" w:firstLineChars="200"/>
        <w:rPr>
          <w:rFonts w:hint="default" w:ascii="Times New Roman" w:hAnsi="Times New Roman" w:eastAsia="仿宋_GB2312" w:cs="Times New Roman"/>
          <w:color w:val="auto"/>
          <w:spacing w:val="17"/>
          <w:sz w:val="32"/>
          <w:szCs w:val="32"/>
          <w:highlight w:val="none"/>
        </w:rPr>
      </w:pPr>
      <w:bookmarkStart w:id="79" w:name="_Toc6081"/>
      <w:bookmarkStart w:id="80" w:name="_Toc25651"/>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1D4B3863">
      <w:pPr>
        <w:spacing w:line="560" w:lineRule="exact"/>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化债项目涉及多个影响因素，如化债资金的使用效率、化债方案的合理性、政策环境的变化等。因素分析法可以将这些因素进行分解和分析，确定每个因素对项目绩效的影响程度。通过这种方法，能够找出影响化债项目绩效的关键因素，以便有针对性地采取措施加以改进，提高项目的绩效水平。</w:t>
      </w:r>
    </w:p>
    <w:p w14:paraId="7E85C65A">
      <w:pPr>
        <w:numPr>
          <w:ilvl w:val="0"/>
          <w:numId w:val="0"/>
        </w:numPr>
        <w:spacing w:line="560" w:lineRule="exact"/>
        <w:ind w:left="0" w:leftChars="0" w:firstLine="354" w:firstLineChars="1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kern w:val="2"/>
          <w:sz w:val="32"/>
          <w:szCs w:val="32"/>
          <w:lang w:val="en-US" w:eastAsia="zh-CN" w:bidi="ar-SA"/>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3F9CCDCF">
      <w:pPr>
        <w:numPr>
          <w:ilvl w:val="0"/>
          <w:numId w:val="0"/>
        </w:numPr>
        <w:spacing w:line="560" w:lineRule="exact"/>
        <w:ind w:firstLine="708" w:firstLineChars="200"/>
        <w:rPr>
          <w:rFonts w:hint="default" w:ascii="Times New Roman" w:hAnsi="Times New Roman" w:eastAsia="仿宋_GB2312" w:cs="Times New Roman"/>
          <w:b w:val="0"/>
          <w:color w:val="auto"/>
          <w:spacing w:val="17"/>
          <w:kern w:val="2"/>
          <w:sz w:val="32"/>
          <w:szCs w:val="32"/>
          <w:highlight w:val="none"/>
          <w:lang w:val="en-US" w:eastAsia="zh-CN" w:bidi="ar-SA"/>
        </w:rPr>
      </w:pPr>
      <w:r>
        <w:rPr>
          <w:rFonts w:hint="default" w:ascii="Times New Roman" w:hAnsi="Times New Roman" w:eastAsia="仿宋_GB2312" w:cs="Times New Roman"/>
          <w:b w:val="0"/>
          <w:color w:val="auto"/>
          <w:spacing w:val="17"/>
          <w:kern w:val="2"/>
          <w:sz w:val="32"/>
          <w:szCs w:val="32"/>
          <w:highlight w:val="none"/>
          <w:lang w:val="en-US" w:eastAsia="zh-CN" w:bidi="ar-SA"/>
        </w:rPr>
        <w:t>原因：事业单位的服务对象等相关公众对化债项目的实施效果有直接或间接的感受。公众评判法可以充分听取他们的意见和建议，从不同角度评价化债项目的绩效。比如，服务对象可以从事业单位化债后服务质量是否提升的角度进行评价，员工可以从单位运营状况和自身工作环境是否改善等方面进行反馈，使绩效评价更具全面性和客观性，也能增强评价结果的可信度和社会认可度。</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中小企业账款化债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中小企业账款化债项目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阜康市上户沟哈萨克族乡卫生院</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单位和政府形象、完善政府债务化解机制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中小企业账款化债项目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中小企业账款化债项目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表3-1：中小企业账款化债项目得分表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关于防范化解地方政府隐形债务风险的意见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事业单位财务规则</w:t>
      </w:r>
      <w:r>
        <w:rPr>
          <w:rFonts w:hint="eastAsia" w:ascii="仿宋_GB2312" w:hAnsi="仿宋_GB2312" w:eastAsia="仿宋_GB2312" w:cs="仿宋_GB2312"/>
          <w:color w:val="auto"/>
          <w:sz w:val="32"/>
          <w:szCs w:val="32"/>
          <w:highlight w:val="none"/>
          <w:lang w:eastAsia="zh-CN"/>
        </w:rPr>
        <w:t>》；</w:t>
      </w:r>
    </w:p>
    <w:p w14:paraId="33967196">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关于进一步统筹做好地方债务风险防范的化解工作的通知</w:t>
      </w:r>
      <w:r>
        <w:rPr>
          <w:rFonts w:hint="eastAsia" w:ascii="仿宋_GB2312" w:hAnsi="仿宋_GB2312" w:eastAsia="仿宋_GB2312" w:cs="仿宋_GB2312"/>
          <w:color w:val="auto"/>
          <w:sz w:val="32"/>
          <w:szCs w:val="32"/>
          <w:highlight w:val="none"/>
          <w:lang w:eastAsia="zh-CN"/>
        </w:rPr>
        <w:t>》行业发展规划和政策要求；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③项目立项与上户沟卫生院公共卫生服务和基本医疗服务相符，属于部门履职所需；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093D5D5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根据上户沟卫生院财经领导小组会议领导小组成员集体决策通过支付中小企业账款化债项目款项。项目经过集体决策。</w:t>
      </w:r>
    </w:p>
    <w:p w14:paraId="0F2E0A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经过可行性研究、专家论证、风险评估、绩效评估，</w:t>
      </w:r>
      <w:r>
        <w:rPr>
          <w:rFonts w:hint="eastAsia" w:ascii="仿宋_GB2312" w:hAnsi="仿宋_GB2312" w:eastAsia="仿宋_GB2312" w:cs="仿宋_GB2312"/>
          <w:color w:val="auto"/>
          <w:sz w:val="32"/>
          <w:szCs w:val="32"/>
          <w:highlight w:val="none"/>
          <w:lang w:val="en-US" w:eastAsia="zh-CN"/>
        </w:rPr>
        <w:t>扣除1分。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②该项目实际工作内容为，完成偿还往年项目</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u w:val="none"/>
          <w:lang w:val="en-US" w:eastAsia="zh-CN"/>
        </w:rPr>
        <w:t>阜康市上户沟乡、水磨沟乡改善农村人居环境建设项目</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lang w:eastAsia="zh-CN"/>
        </w:rPr>
        <w:t>债权人全称为新疆博际建筑工程有限责任公司</w:t>
      </w:r>
      <w:r>
        <w:rPr>
          <w:rFonts w:hint="eastAsia" w:ascii="仿宋_GB2312" w:hAnsi="仿宋_GB2312" w:eastAsia="仿宋_GB2312" w:cs="仿宋_GB2312"/>
          <w:color w:val="auto"/>
          <w:sz w:val="32"/>
          <w:szCs w:val="32"/>
          <w:highlight w:val="none"/>
          <w:u w:val="none"/>
          <w:lang w:eastAsia="zh-CN"/>
        </w:rPr>
        <w:t>159.73万元，</w:t>
      </w:r>
      <w:r>
        <w:rPr>
          <w:rFonts w:hint="eastAsia" w:ascii="仿宋_GB2312" w:hAnsi="仿宋_GB2312" w:eastAsia="仿宋_GB2312" w:cs="仿宋_GB2312"/>
          <w:color w:val="auto"/>
          <w:sz w:val="32"/>
          <w:szCs w:val="32"/>
          <w:highlight w:val="none"/>
          <w:lang w:eastAsia="zh-CN"/>
        </w:rPr>
        <w:t>《阜康市上户沟乡、水磨沟乡改善农村人居环境建设项目》，债权人全称为乌鲁木齐市鸿安润诚水处理设备有限公司4.38万元。绩效目标与实际工作内容一致，两者具有相关性。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数量指标、质量指标、时效指标、成本指标，达到化解单位债务、有效提升单位和政府形象、完善政府债务化解机制的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④《项目支出绩效目标表》中预算金额为164.11万元，预算确定的项目资金与预算确定的项目投资额相匹配。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其中三级指标共计13个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预算申请内容为完成偿还往年项目</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u w:val="none"/>
          <w:lang w:val="en-US" w:eastAsia="zh-CN"/>
        </w:rPr>
        <w:t>阜康市上户沟乡、水磨沟乡改善农村人居环境建设项目</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lang w:eastAsia="zh-CN"/>
        </w:rPr>
        <w:t>债权人全称为新疆博际建筑工程有限责任公司</w:t>
      </w:r>
      <w:r>
        <w:rPr>
          <w:rFonts w:hint="eastAsia" w:ascii="仿宋_GB2312" w:hAnsi="仿宋_GB2312" w:eastAsia="仿宋_GB2312" w:cs="仿宋_GB2312"/>
          <w:color w:val="auto"/>
          <w:sz w:val="32"/>
          <w:szCs w:val="32"/>
          <w:highlight w:val="none"/>
          <w:u w:val="none"/>
          <w:lang w:eastAsia="zh-CN"/>
        </w:rPr>
        <w:t>159.73万元，</w:t>
      </w:r>
      <w:r>
        <w:rPr>
          <w:rFonts w:hint="eastAsia" w:ascii="仿宋_GB2312" w:hAnsi="仿宋_GB2312" w:eastAsia="仿宋_GB2312" w:cs="仿宋_GB2312"/>
          <w:color w:val="auto"/>
          <w:sz w:val="32"/>
          <w:szCs w:val="32"/>
          <w:highlight w:val="none"/>
          <w:lang w:eastAsia="zh-CN"/>
        </w:rPr>
        <w:t>《阜康市上户沟乡、水磨沟乡改善农村人居环境建设项目》，债权人全称为乌鲁木齐市鸿安润诚水处理设备有限公司4.38万元，项目实际内容为完成偿还往年项目</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u w:val="none"/>
          <w:lang w:val="en-US" w:eastAsia="zh-CN"/>
        </w:rPr>
        <w:t>阜康市上户沟乡、水磨沟乡改善农村人居环境建设项目</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lang w:eastAsia="zh-CN"/>
        </w:rPr>
        <w:t>债权人全称为乌鲁木齐市鸿安润诚水处理设备有限公司</w:t>
      </w:r>
      <w:r>
        <w:rPr>
          <w:rFonts w:hint="eastAsia" w:ascii="仿宋_GB2312" w:hAnsi="仿宋_GB2312" w:eastAsia="仿宋_GB2312" w:cs="仿宋_GB2312"/>
          <w:color w:val="auto"/>
          <w:sz w:val="32"/>
          <w:szCs w:val="32"/>
          <w:highlight w:val="none"/>
          <w:u w:val="none"/>
          <w:lang w:eastAsia="zh-CN"/>
        </w:rPr>
        <w:t>159.73万元，</w:t>
      </w:r>
      <w:r>
        <w:rPr>
          <w:rFonts w:hint="eastAsia" w:ascii="仿宋_GB2312" w:hAnsi="仿宋_GB2312" w:eastAsia="仿宋_GB2312" w:cs="仿宋_GB2312"/>
          <w:color w:val="auto"/>
          <w:sz w:val="32"/>
          <w:szCs w:val="32"/>
          <w:highlight w:val="none"/>
          <w:lang w:eastAsia="zh-CN"/>
        </w:rPr>
        <w:t>《阜康市上户沟乡、水磨沟乡改善农村人居环境建设项目》，债权人全称为乌鲁木齐市鸿安润诚水处理设备有限公司4.38万元。预算申请与项目内容匹配；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项目预算申请资金164.11</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元，我单位在预算申请中严格按照项目实施内容及测算标准进行核算，其中：偿还博际公司基本建设项目欠款费用159.73万元、偿还鸿安润城公司基本建设项目欠款费用4.38万元。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申请中小企业账款化债项目资金的请示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②项目实际到位资金164.11万元，资金分配额度合理，与项目单位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项目预算资金为164.11万元，其中：财政安排资金164.11万元，其他资金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资金到位率=（164.11万元/164.11万元）×100%。</w:t>
      </w:r>
      <w:r>
        <w:rPr>
          <w:rFonts w:hint="eastAsia" w:ascii="仿宋_GB2312" w:hAnsi="仿宋_GB2312" w:eastAsia="仿宋_GB2312" w:cs="仿宋_GB2312"/>
          <w:b/>
          <w:bCs/>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rPr>
        <w:t>164.11</w:t>
      </w:r>
      <w:r>
        <w:rPr>
          <w:rFonts w:hint="eastAsia" w:ascii="仿宋_GB2312" w:hAnsi="仿宋_GB2312" w:eastAsia="仿宋_GB2312" w:cs="仿宋_GB2312"/>
          <w:color w:val="auto"/>
          <w:sz w:val="32"/>
          <w:szCs w:val="32"/>
          <w:highlight w:val="none"/>
          <w:lang w:val="en-US" w:eastAsia="zh-CN"/>
        </w:rPr>
        <w:t>万元。</w:t>
      </w:r>
    </w:p>
    <w:p w14:paraId="620B87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预算执行率=（164.11万元/164.11万元）×100%。</w:t>
      </w:r>
      <w:r>
        <w:rPr>
          <w:rFonts w:hint="eastAsia" w:ascii="仿宋_GB2312" w:hAnsi="仿宋_GB2312" w:eastAsia="仿宋_GB2312" w:cs="仿宋_GB2312"/>
          <w:b/>
          <w:bCs/>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①本项目资金支出符合国家财经法规、《政府会计制度》《阜康市上户沟哈萨克族乡卫生院单位资金管理办法》《中小企业账款化债专项资金管理办法》；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上户沟哈萨克族乡卫生院资金管理办法》《阜康市上户沟哈萨克族乡卫生院收支业务管理制度》《阜康市上户沟哈萨克族乡卫生院政府采购业务管理制度》《阜康市上户沟哈萨克族乡卫生院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阜康市上户沟哈萨克族乡卫生院</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eastAsia="zh-CN"/>
        </w:rPr>
        <w:t>阜康市上户沟哈萨克族乡卫生院</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eastAsia="zh-CN"/>
        </w:rPr>
        <w:t>阜康市上户沟哈萨克族乡卫生院</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阜康市上户沟哈萨克族乡卫生院</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中小企业账款化债项目工作领导小组，由张小东任组长，负责项目的组织工作；黑扎提任副组长，负责项目的实施工作；组员包括：姜利和马容，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6926FC72">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CellMar>
            <w:top w:w="0" w:type="dxa"/>
            <w:left w:w="0" w:type="dxa"/>
            <w:bottom w:w="0" w:type="dxa"/>
            <w:right w:w="0" w:type="dxa"/>
          </w:tblCellMar>
        </w:tblPrEx>
        <w:trPr>
          <w:trHeight w:val="75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偿还标准化建设欠款公司个数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w:t>
            </w:r>
            <w:r>
              <w:rPr>
                <w:rFonts w:hint="eastAsia" w:cs="宋体"/>
                <w:color w:val="auto"/>
                <w:kern w:val="0"/>
                <w:sz w:val="20"/>
                <w:szCs w:val="20"/>
                <w:highlight w:val="none"/>
                <w:shd w:val="clear" w:color="auto" w:fill="auto"/>
                <w:lang w:val="en-US" w:eastAsia="zh-CN"/>
              </w:rPr>
              <w:t>年7月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w:t>
            </w:r>
            <w:r>
              <w:rPr>
                <w:rFonts w:hint="eastAsia" w:cs="宋体"/>
                <w:color w:val="auto"/>
                <w:kern w:val="0"/>
                <w:sz w:val="20"/>
                <w:szCs w:val="20"/>
                <w:highlight w:val="none"/>
                <w:shd w:val="clear" w:color="auto" w:fill="auto"/>
                <w:lang w:val="en-US" w:eastAsia="zh-CN"/>
              </w:rPr>
              <w:t>年7月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补助资金用于偿还博际公司标准化建设欠款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≤159.73万元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159.73万元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tblCellMar>
            <w:top w:w="0" w:type="dxa"/>
            <w:left w:w="0" w:type="dxa"/>
            <w:bottom w:w="0" w:type="dxa"/>
            <w:right w:w="0" w:type="dxa"/>
          </w:tblCellMar>
        </w:tblPrEx>
        <w:trPr>
          <w:trHeight w:val="403"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356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303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补助资金用于偿还鸿安润城公司标准化建设欠款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A74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≤4.38万元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4.38万元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F20543">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AFA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31" w:name="_Toc11067"/>
            <w:bookmarkStart w:id="132" w:name="_Toc26689"/>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629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A24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3C1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ind w:left="0" w:leftChars="0" w:firstLine="643" w:firstLineChars="200"/>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）“偿还标准化建设欠款公司个数”</w:t>
      </w:r>
      <w:r>
        <w:rPr>
          <w:rFonts w:hint="eastAsia" w:ascii="仿宋_GB2312" w:hAnsi="仿宋_GB2312" w:eastAsia="仿宋_GB2312" w:cs="仿宋_GB2312"/>
          <w:color w:val="auto"/>
          <w:sz w:val="32"/>
          <w:szCs w:val="32"/>
          <w:highlight w:val="none"/>
          <w:lang w:val="en-US" w:eastAsia="zh-CN"/>
        </w:rPr>
        <w:t xml:space="preserve">指标，预期目标值为2个，实际完成为2个。实际完成率=（2个/2个）  </w:t>
      </w:r>
      <w:r>
        <w:rPr>
          <w:rFonts w:hint="eastAsia" w:ascii="仿宋_GB2312" w:hAnsi="仿宋_GB2312" w:eastAsia="仿宋_GB2312" w:cs="仿宋_GB2312"/>
          <w:b/>
          <w:bCs/>
          <w:color w:val="auto"/>
          <w:sz w:val="32"/>
          <w:szCs w:val="32"/>
          <w:highlight w:val="none"/>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）“资金支付率”</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64C7E8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（2）“资金到位率”</w:t>
      </w:r>
      <w:r>
        <w:rPr>
          <w:rFonts w:hint="eastAsia" w:ascii="仿宋_GB2312" w:hAnsi="仿宋_GB2312" w:eastAsia="仿宋_GB2312" w:cs="仿宋_GB2312"/>
          <w:color w:val="auto"/>
          <w:sz w:val="32"/>
          <w:szCs w:val="32"/>
          <w:highlight w:val="none"/>
          <w:lang w:val="en-US" w:eastAsia="zh-CN"/>
        </w:rPr>
        <w:t>，预期目标值为100%，实际完成为100%。实际完成率100%。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5E9553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资金发放及时率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（2）“资金发放完成时间”</w:t>
      </w:r>
      <w:r>
        <w:rPr>
          <w:rFonts w:hint="eastAsia" w:ascii="仿宋_GB2312" w:hAnsi="仿宋_GB2312" w:eastAsia="仿宋_GB2312" w:cs="仿宋_GB2312"/>
          <w:color w:val="auto"/>
          <w:sz w:val="32"/>
          <w:szCs w:val="32"/>
          <w:highlight w:val="none"/>
          <w:lang w:val="en-US" w:eastAsia="zh-CN"/>
        </w:rPr>
        <w:t>指标，预期目标值为2024-7-1，实际完成时间为2024年7月。实际完成率100%。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53EFC7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补助资金用于偿还博际公司标准化建设欠款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指标，预期目标值为≤159.73万元，实际完成为159.73万元。实际完成率=（159.73万元/159.73万元）×100%=100%，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补助资金用于偿还鸿安润城公司标准化建设欠款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指标，预期目标值为≤4.38万元，实际完成为4.38万元。实际完成率=（4.38万元/4.38万元）×100%=100%，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FBAD4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ABD3E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088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A5888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AAD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E30B5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2A3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5C094E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804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39651B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DADD3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改善医疗就诊环境</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left="0" w:leftChars="0" w:firstLine="400" w:firstLineChars="20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75A4D9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172140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2D841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4C6D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企业的</w:t>
            </w:r>
            <w:r>
              <w:rPr>
                <w:rFonts w:hint="eastAsia" w:ascii="宋体" w:hAnsi="宋体" w:eastAsia="宋体" w:cs="宋体"/>
                <w:color w:val="auto"/>
                <w:kern w:val="0"/>
                <w:sz w:val="20"/>
                <w:szCs w:val="20"/>
                <w:highlight w:val="none"/>
                <w:shd w:val="clear" w:color="auto" w:fill="auto"/>
                <w:lang w:val="en-US" w:eastAsia="zh-CN"/>
              </w:rPr>
              <w:t>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807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7B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DA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0F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BC84612">
        <w:tblPrEx>
          <w:shd w:val="clear" w:color="auto" w:fill="auto"/>
          <w:tblCellMar>
            <w:top w:w="0" w:type="dxa"/>
            <w:left w:w="0" w:type="dxa"/>
            <w:bottom w:w="0" w:type="dxa"/>
            <w:right w:w="0" w:type="dxa"/>
          </w:tblCellMar>
        </w:tblPrEx>
        <w:trPr>
          <w:trHeight w:val="436" w:hRule="atLeast"/>
          <w:jc w:val="center"/>
        </w:trPr>
        <w:tc>
          <w:tcPr>
            <w:tcW w:w="6024" w:type="dxa"/>
            <w:gridSpan w:val="4"/>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5F06B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77A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85A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A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27006"/>
      <w:bookmarkStart w:id="141" w:name="_Toc29606"/>
      <w:r>
        <w:rPr>
          <w:rFonts w:hint="eastAsia" w:ascii="仿宋_GB2312" w:hAnsi="仿宋_GB2312" w:eastAsia="仿宋_GB2312" w:cs="仿宋_GB2312"/>
          <w:b/>
          <w:bCs/>
          <w:color w:val="auto"/>
          <w:sz w:val="32"/>
          <w:szCs w:val="32"/>
          <w:highlight w:val="none"/>
          <w:lang w:val="en-US" w:eastAsia="zh-CN"/>
        </w:rPr>
        <w:t>1.社会效益指标</w:t>
      </w:r>
      <w:bookmarkEnd w:id="140"/>
      <w:r>
        <w:rPr>
          <w:rFonts w:hint="eastAsia" w:ascii="仿宋_GB2312" w:hAnsi="仿宋_GB2312" w:eastAsia="仿宋_GB2312" w:cs="仿宋_GB2312"/>
          <w:b/>
          <w:bCs/>
          <w:color w:val="auto"/>
          <w:sz w:val="32"/>
          <w:szCs w:val="32"/>
          <w:highlight w:val="none"/>
          <w:lang w:val="en-US" w:eastAsia="zh-CN"/>
        </w:rPr>
        <w:t>完成情况</w:t>
      </w:r>
      <w:bookmarkEnd w:id="141"/>
    </w:p>
    <w:p w14:paraId="272E08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）“改善医疗就诊环境”</w:t>
      </w:r>
      <w:r>
        <w:rPr>
          <w:rFonts w:hint="eastAsia" w:ascii="仿宋_GB2312" w:hAnsi="仿宋_GB2312" w:eastAsia="仿宋_GB2312" w:cs="仿宋_GB2312"/>
          <w:color w:val="auto"/>
          <w:sz w:val="32"/>
          <w:szCs w:val="32"/>
          <w:highlight w:val="none"/>
          <w:lang w:val="en-US" w:eastAsia="zh-CN"/>
        </w:rPr>
        <w:t>指标，预期目标值为100%，实际完成为100%</w:t>
      </w:r>
    </w:p>
    <w:p w14:paraId="2331C4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通过项目的实施，达到改善医疗就诊环境,更好地为患者提供医疗服务。</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779F40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“企业的满意度”指标，预期目标值为=100%，实际完成为100%。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中小企业化债项目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164.11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164.11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阜康市上户沟哈萨克族乡卫生院</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阜康市上户沟哈萨克族乡卫生院</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7"/>
    </w:p>
    <w:p w14:paraId="72DA5A5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1.资金管理方面</w:t>
      </w:r>
    </w:p>
    <w:p w14:paraId="46C26DB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 xml:space="preserve"> 存在问题：资金使用效率低下，部分化债资金闲置，未及时投入到化债项目中，造成资金浪费；债务资金成本较高，在融资过程中，由于缺乏合理规划和谈判技巧，导致债务利率过高，增加了化债负担。</w:t>
      </w:r>
    </w:p>
    <w:p w14:paraId="0E529CF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原因分析：缺乏科学的资金预算和规划机制，对化债资金的需求和使用时间节点把握不准确；融资渠道单一，过度依赖高成本的融资方式，且在融资过程中缺乏专业的金融知识和人才。</w:t>
      </w:r>
    </w:p>
    <w:p w14:paraId="4288B87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组织保障方面</w:t>
      </w:r>
    </w:p>
    <w:p w14:paraId="36722CA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化债工作缺乏统一的组织领导，各部门之间职责不清、协调不畅，导致化债工作进展缓慢；化债工作队伍专业素质不高，缺乏具备债务管理、金融、法律等专业知识的人才，难以应对复杂的化债工作；化债工作的考核监督机制不完善，对化债工作的成效缺乏有效的评估和考核，无法充分调动各部门和人员的积极性。</w:t>
      </w:r>
    </w:p>
    <w:p w14:paraId="7404D66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化债工作的组织架构不合理，没有明确的牵头部门和责任分工，各部门之间缺乏有效的沟通协调机制；对化债工作队伍的建设重视不够，缺乏系统的培训和人才引进机制；考核监督机制不健全，没有建立科学合理的考核指标体系和评价方法，考核结果与部门和人员的绩效挂钩不紧密。</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8"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8"/>
    </w:p>
    <w:p w14:paraId="25E8B3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9" w:name="_Toc14256"/>
      <w:r>
        <w:rPr>
          <w:rFonts w:hint="eastAsia" w:ascii="仿宋_GB2312" w:hAnsi="仿宋_GB2312" w:eastAsia="仿宋_GB2312" w:cs="仿宋_GB2312"/>
          <w:color w:val="auto"/>
          <w:sz w:val="32"/>
          <w:szCs w:val="32"/>
          <w:highlight w:val="none"/>
          <w:lang w:val="en-US" w:eastAsia="zh-CN"/>
        </w:rPr>
        <w:t>1.建立完善的资金预算和规划体系，结合化债项目的实际进度和需求，合理安排资金使用计划，提高资金使用效率；拓宽融资渠道，优化债务结构，积极探索低成本的融资方式，如争取政府专项债券、引入社会资本合作等，同时加强与金融机构的沟通与谈判，降低债务资金成本。</w:t>
      </w:r>
    </w:p>
    <w:p w14:paraId="2EE5C34D">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建立健全化债工作的组织领导体系，明确牵头部门和各部门的职责分工，加强部门之间的沟通协调，形成工作合力；加强化债工作队伍建设，通过内部培训、外部引进等方式，提高工作人员的专业素质和业务能力，打造一支高素质的化债工作队伍；完善化债工作的考核监督机制，建立科学合理的考核指标体系，加强对化债工作进展和成效的评估考核，将考核结果与部门和人员的绩效挂钩，充分调动各方面的积极性。</w:t>
      </w:r>
    </w:p>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49"/>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0" w:name="_Toc11349"/>
      <w:bookmarkStart w:id="151" w:name="_Toc28971"/>
      <w:r>
        <w:rPr>
          <w:rFonts w:hint="eastAsia" w:ascii="宋体" w:hAnsi="宋体" w:eastAsia="宋体" w:cs="宋体"/>
          <w:b/>
          <w:bCs/>
          <w:color w:val="auto"/>
          <w:highlight w:val="none"/>
          <w:shd w:val="clear" w:color="auto" w:fill="auto"/>
          <w:lang w:val="en-US" w:eastAsia="zh-CN"/>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875"/>
        <w:gridCol w:w="1195"/>
        <w:gridCol w:w="1355"/>
        <w:gridCol w:w="1275"/>
        <w:gridCol w:w="1035"/>
        <w:gridCol w:w="1195"/>
        <w:gridCol w:w="875"/>
        <w:gridCol w:w="876"/>
        <w:gridCol w:w="876"/>
        <w:gridCol w:w="876"/>
        <w:gridCol w:w="1116"/>
      </w:tblGrid>
      <w:tr w14:paraId="3B045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0ABA06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2" w:name="_Toc11223"/>
            <w:bookmarkStart w:id="153" w:name="_Toc15067"/>
            <w:r>
              <w:rPr>
                <w:rFonts w:hint="eastAsia" w:ascii="宋体" w:hAnsi="宋体" w:eastAsia="宋体" w:cs="宋体"/>
                <w:b/>
                <w:bCs/>
                <w:i w:val="0"/>
                <w:iCs w:val="0"/>
                <w:color w:val="000000"/>
                <w:kern w:val="0"/>
                <w:sz w:val="32"/>
                <w:szCs w:val="32"/>
                <w:u w:val="none"/>
                <w:lang w:val="en-US" w:eastAsia="zh-CN" w:bidi="ar"/>
              </w:rPr>
              <w:t>项目支出绩效自评表</w:t>
            </w:r>
          </w:p>
        </w:tc>
      </w:tr>
      <w:tr w14:paraId="767E4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5A22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D8A5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56310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26672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中小企业账款化债</w:t>
            </w:r>
          </w:p>
        </w:tc>
      </w:tr>
      <w:tr w14:paraId="59023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3D6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0A4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阜康市卫生健康委员会</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E94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CA2D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阜康市上户沟哈萨克族乡卫生院</w:t>
            </w:r>
          </w:p>
        </w:tc>
      </w:tr>
      <w:tr w14:paraId="09BE7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137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62227">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9F3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734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D75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623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CEE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9B8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A3BA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D76D0">
            <w:pPr>
              <w:jc w:val="center"/>
              <w:rPr>
                <w:rFonts w:hint="eastAsia" w:ascii="宋体" w:hAnsi="宋体" w:eastAsia="宋体" w:cs="宋体"/>
                <w:b/>
                <w:bCs/>
                <w:i w:val="0"/>
                <w:iCs w:val="0"/>
                <w:color w:val="000000"/>
                <w:sz w:val="18"/>
                <w:szCs w:val="18"/>
                <w:u w:val="none"/>
              </w:rPr>
            </w:pPr>
          </w:p>
        </w:tc>
        <w:tc>
          <w:tcPr>
            <w:tcW w:w="7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F12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30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164.11</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99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164.11</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6CE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164.11</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78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67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CA1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EAEB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0E4E5">
            <w:pPr>
              <w:jc w:val="center"/>
              <w:rPr>
                <w:rFonts w:hint="eastAsia" w:ascii="宋体" w:hAnsi="宋体" w:eastAsia="宋体" w:cs="宋体"/>
                <w:b/>
                <w:bCs/>
                <w:i w:val="0"/>
                <w:iCs w:val="0"/>
                <w:color w:val="000000"/>
                <w:sz w:val="18"/>
                <w:szCs w:val="18"/>
                <w:u w:val="none"/>
              </w:rPr>
            </w:pPr>
          </w:p>
        </w:tc>
        <w:tc>
          <w:tcPr>
            <w:tcW w:w="7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26E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01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164.11</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EB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164.11</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17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164.11</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31D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21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31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0EA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E45C5">
            <w:pPr>
              <w:jc w:val="center"/>
              <w:rPr>
                <w:rFonts w:hint="eastAsia" w:ascii="宋体" w:hAnsi="宋体" w:eastAsia="宋体" w:cs="宋体"/>
                <w:b/>
                <w:bCs/>
                <w:i w:val="0"/>
                <w:iCs w:val="0"/>
                <w:color w:val="000000"/>
                <w:sz w:val="18"/>
                <w:szCs w:val="18"/>
                <w:u w:val="none"/>
              </w:rPr>
            </w:pPr>
          </w:p>
        </w:tc>
        <w:tc>
          <w:tcPr>
            <w:tcW w:w="7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F0ED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052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7B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25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03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99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354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870F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A23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78A7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B112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36B2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FEC4D">
            <w:pPr>
              <w:jc w:val="center"/>
              <w:rPr>
                <w:rFonts w:hint="eastAsia" w:ascii="宋体" w:hAnsi="宋体" w:eastAsia="宋体" w:cs="宋体"/>
                <w:b/>
                <w:bCs/>
                <w:i w:val="0"/>
                <w:iCs w:val="0"/>
                <w:color w:val="000000"/>
                <w:sz w:val="18"/>
                <w:szCs w:val="18"/>
                <w:u w:val="none"/>
              </w:rPr>
            </w:pPr>
          </w:p>
        </w:tc>
        <w:tc>
          <w:tcPr>
            <w:tcW w:w="195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48A9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卫生院的基本运营状况，提高医疗整体水平，维护卫生院正常经济发展秩序，为上户沟乡人民身心健康保驾护航，2024年项目计划偿还博际公司的159.73万元基本建设项目欠款和鸿安润城公司的4.38万元的基本建设项目欠款，资金支付率达到100%，预计于2024年7月之前完成资金支付，资金发放及时率达到100%，项目的实施预计达到改善医疗就诊环境,</w:t>
            </w:r>
            <w:r>
              <w:rPr>
                <w:rFonts w:hint="eastAsia" w:cs="宋体"/>
                <w:i w:val="0"/>
                <w:iCs w:val="0"/>
                <w:color w:val="000000"/>
                <w:kern w:val="0"/>
                <w:sz w:val="18"/>
                <w:szCs w:val="18"/>
                <w:u w:val="none"/>
                <w:lang w:val="en-US" w:eastAsia="zh-CN" w:bidi="ar"/>
              </w:rPr>
              <w:t>更好地为</w:t>
            </w:r>
            <w:r>
              <w:rPr>
                <w:rFonts w:hint="eastAsia" w:ascii="宋体" w:hAnsi="宋体" w:eastAsia="宋体" w:cs="宋体"/>
                <w:i w:val="0"/>
                <w:iCs w:val="0"/>
                <w:color w:val="000000"/>
                <w:kern w:val="0"/>
                <w:sz w:val="18"/>
                <w:szCs w:val="18"/>
                <w:u w:val="none"/>
                <w:lang w:val="en-US" w:eastAsia="zh-CN" w:bidi="ar"/>
              </w:rPr>
              <w:t>患者提供医疗服务。</w:t>
            </w:r>
          </w:p>
        </w:tc>
        <w:tc>
          <w:tcPr>
            <w:tcW w:w="284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A283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该项目完成偿还博际公司的159.73万元基本建设项目欠款和鸿安润城公司的4.38万元的基本建设项目欠款，资金支付率达到100%，于2024年7月完成资金支付，资金发放及时率达到100%，项目的实施达到改善医疗就诊环境,</w:t>
            </w:r>
            <w:r>
              <w:rPr>
                <w:rFonts w:hint="eastAsia" w:cs="宋体"/>
                <w:i w:val="0"/>
                <w:iCs w:val="0"/>
                <w:color w:val="000000"/>
                <w:kern w:val="0"/>
                <w:sz w:val="18"/>
                <w:szCs w:val="18"/>
                <w:u w:val="none"/>
                <w:lang w:val="en-US" w:eastAsia="zh-CN" w:bidi="ar"/>
              </w:rPr>
              <w:t>更好地为</w:t>
            </w:r>
            <w:r>
              <w:rPr>
                <w:rFonts w:hint="eastAsia" w:ascii="宋体" w:hAnsi="宋体" w:eastAsia="宋体" w:cs="宋体"/>
                <w:i w:val="0"/>
                <w:iCs w:val="0"/>
                <w:color w:val="000000"/>
                <w:kern w:val="0"/>
                <w:sz w:val="18"/>
                <w:szCs w:val="18"/>
                <w:u w:val="none"/>
                <w:lang w:val="en-US" w:eastAsia="zh-CN" w:bidi="ar"/>
              </w:rPr>
              <w:t>患者提供医疗服务。</w:t>
            </w:r>
          </w:p>
        </w:tc>
      </w:tr>
      <w:tr w14:paraId="18190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8B0CD">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33C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CC2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531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4A8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CF3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E9F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894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D85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311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EB5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5FB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5F2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44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8880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DBD5D">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162AB">
            <w:pPr>
              <w:jc w:val="center"/>
              <w:rPr>
                <w:rFonts w:hint="eastAsia" w:ascii="宋体" w:hAnsi="宋体" w:eastAsia="宋体" w:cs="宋体"/>
                <w:b/>
                <w:bCs/>
                <w:i w:val="0"/>
                <w:iCs w:val="0"/>
                <w:color w:val="000000"/>
                <w:sz w:val="18"/>
                <w:szCs w:val="18"/>
                <w:u w:val="none"/>
              </w:rPr>
            </w:pPr>
          </w:p>
        </w:tc>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AC7E2">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46E3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B462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82A24">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0EAE6">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08B6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31C64">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9D026">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546C1">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36D71">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328FA">
            <w:pPr>
              <w:jc w:val="center"/>
              <w:rPr>
                <w:rFonts w:hint="eastAsia" w:ascii="宋体" w:hAnsi="宋体" w:eastAsia="宋体" w:cs="宋体"/>
                <w:b/>
                <w:bCs/>
                <w:i w:val="0"/>
                <w:iCs w:val="0"/>
                <w:color w:val="000000"/>
                <w:sz w:val="18"/>
                <w:szCs w:val="18"/>
                <w:u w:val="none"/>
              </w:rPr>
            </w:pP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18C0C">
            <w:pPr>
              <w:jc w:val="center"/>
              <w:rPr>
                <w:rFonts w:hint="eastAsia" w:ascii="宋体" w:hAnsi="宋体" w:eastAsia="宋体" w:cs="宋体"/>
                <w:b/>
                <w:bCs/>
                <w:i w:val="0"/>
                <w:iCs w:val="0"/>
                <w:color w:val="000000"/>
                <w:sz w:val="18"/>
                <w:szCs w:val="18"/>
                <w:u w:val="none"/>
              </w:rPr>
            </w:pPr>
          </w:p>
        </w:tc>
      </w:tr>
      <w:tr w14:paraId="2C836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C50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4"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99B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FF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E8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偿还标准化建设欠款公司个数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222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F42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D5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C68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39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03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EA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E0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43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41AA3">
            <w:pPr>
              <w:jc w:val="center"/>
              <w:rPr>
                <w:rFonts w:hint="eastAsia" w:ascii="宋体" w:hAnsi="宋体" w:eastAsia="宋体" w:cs="宋体"/>
                <w:i w:val="0"/>
                <w:iCs w:val="0"/>
                <w:color w:val="000000"/>
                <w:sz w:val="18"/>
                <w:szCs w:val="18"/>
                <w:u w:val="none"/>
              </w:rPr>
            </w:pPr>
          </w:p>
        </w:tc>
      </w:tr>
      <w:tr w14:paraId="7BD2A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AAAE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0E05B">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4F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B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B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DD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049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7456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86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5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887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07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90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E5033">
            <w:pPr>
              <w:jc w:val="center"/>
              <w:rPr>
                <w:rFonts w:hint="eastAsia" w:ascii="宋体" w:hAnsi="宋体" w:eastAsia="宋体" w:cs="宋体"/>
                <w:i w:val="0"/>
                <w:iCs w:val="0"/>
                <w:color w:val="000000"/>
                <w:sz w:val="18"/>
                <w:szCs w:val="18"/>
                <w:u w:val="none"/>
              </w:rPr>
            </w:pPr>
          </w:p>
        </w:tc>
      </w:tr>
      <w:tr w14:paraId="0CF01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E471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F4885">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F99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95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资金到位率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D1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129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3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771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A4C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3CA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79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21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43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A04EA">
            <w:pPr>
              <w:jc w:val="center"/>
              <w:rPr>
                <w:rFonts w:hint="eastAsia" w:ascii="宋体" w:hAnsi="宋体" w:eastAsia="宋体" w:cs="宋体"/>
                <w:i w:val="0"/>
                <w:iCs w:val="0"/>
                <w:color w:val="000000"/>
                <w:sz w:val="18"/>
                <w:szCs w:val="18"/>
                <w:u w:val="none"/>
              </w:rPr>
            </w:pPr>
          </w:p>
        </w:tc>
      </w:tr>
      <w:tr w14:paraId="55062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7162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8DD68">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18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E4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资金发放及时率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720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2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04A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AF1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E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9C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FD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5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D7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94FEE">
            <w:pPr>
              <w:jc w:val="center"/>
              <w:rPr>
                <w:rFonts w:hint="eastAsia" w:ascii="宋体" w:hAnsi="宋体" w:eastAsia="宋体" w:cs="宋体"/>
                <w:i w:val="0"/>
                <w:iCs w:val="0"/>
                <w:color w:val="000000"/>
                <w:sz w:val="18"/>
                <w:szCs w:val="18"/>
                <w:u w:val="none"/>
              </w:rPr>
            </w:pPr>
          </w:p>
        </w:tc>
      </w:tr>
      <w:tr w14:paraId="1BD9D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ADC1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7CEC8">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5A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8A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资金发放完成时间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69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560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2024年7月</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6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=2024年7月</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C132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CC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3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D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DC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6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68A0">
            <w:pPr>
              <w:jc w:val="center"/>
              <w:rPr>
                <w:rFonts w:hint="eastAsia" w:ascii="宋体" w:hAnsi="宋体" w:eastAsia="宋体" w:cs="宋体"/>
                <w:i w:val="0"/>
                <w:iCs w:val="0"/>
                <w:color w:val="000000"/>
                <w:sz w:val="18"/>
                <w:szCs w:val="18"/>
                <w:u w:val="none"/>
              </w:rPr>
            </w:pPr>
          </w:p>
        </w:tc>
      </w:tr>
      <w:tr w14:paraId="70377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1E29E">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FE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9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A0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补助资金用于偿还博际公司标准化建设欠款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6B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96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&lt;=159.73万元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8C5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=159.73万元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7CD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40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8B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4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68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8F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10A36">
            <w:pPr>
              <w:jc w:val="center"/>
              <w:rPr>
                <w:rFonts w:hint="eastAsia" w:ascii="宋体" w:hAnsi="宋体" w:eastAsia="宋体" w:cs="宋体"/>
                <w:i w:val="0"/>
                <w:iCs w:val="0"/>
                <w:color w:val="000000"/>
                <w:sz w:val="18"/>
                <w:szCs w:val="18"/>
                <w:u w:val="none"/>
              </w:rPr>
            </w:pPr>
          </w:p>
        </w:tc>
      </w:tr>
      <w:tr w14:paraId="0F24C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CB80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BB394">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78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8B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补助资金用于偿还鸿安润城公司标准化建设欠款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37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F39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&lt;=4.38万元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AA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5C4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90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A2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D76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C3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695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69E59">
            <w:pPr>
              <w:jc w:val="center"/>
              <w:rPr>
                <w:rFonts w:hint="eastAsia" w:ascii="宋体" w:hAnsi="宋体" w:eastAsia="宋体" w:cs="宋体"/>
                <w:i w:val="0"/>
                <w:iCs w:val="0"/>
                <w:color w:val="000000"/>
                <w:sz w:val="18"/>
                <w:szCs w:val="18"/>
                <w:u w:val="none"/>
              </w:rPr>
            </w:pPr>
          </w:p>
        </w:tc>
      </w:tr>
      <w:tr w14:paraId="15A6D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48846">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BE932">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AED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004B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6225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EEED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FFAD">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24C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5140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C2F3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6EC9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C5558">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67B8B">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0CACC">
            <w:pPr>
              <w:jc w:val="center"/>
              <w:rPr>
                <w:rFonts w:hint="eastAsia" w:ascii="宋体" w:hAnsi="宋体" w:eastAsia="宋体" w:cs="宋体"/>
                <w:i w:val="0"/>
                <w:iCs w:val="0"/>
                <w:color w:val="000000"/>
                <w:sz w:val="18"/>
                <w:szCs w:val="18"/>
                <w:u w:val="none"/>
              </w:rPr>
            </w:pPr>
          </w:p>
        </w:tc>
      </w:tr>
      <w:tr w14:paraId="04EF9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D53ED">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A8BA6">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CC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E3D7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A310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B121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D02A1">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F23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3411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3BF0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8F3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A6C7E">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A845A">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94FE3">
            <w:pPr>
              <w:jc w:val="center"/>
              <w:rPr>
                <w:rFonts w:hint="eastAsia" w:ascii="宋体" w:hAnsi="宋体" w:eastAsia="宋体" w:cs="宋体"/>
                <w:i w:val="0"/>
                <w:iCs w:val="0"/>
                <w:color w:val="000000"/>
                <w:sz w:val="18"/>
                <w:szCs w:val="18"/>
                <w:u w:val="none"/>
              </w:rPr>
            </w:pPr>
          </w:p>
        </w:tc>
      </w:tr>
      <w:tr w14:paraId="05C9D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8226D">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2B1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A73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6B0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215F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121E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4DB1">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720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3269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23C9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DB1AB">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45B45">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25FCA">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09A43">
            <w:pPr>
              <w:jc w:val="center"/>
              <w:rPr>
                <w:rFonts w:hint="eastAsia" w:ascii="宋体" w:hAnsi="宋体" w:eastAsia="宋体" w:cs="宋体"/>
                <w:i w:val="0"/>
                <w:iCs w:val="0"/>
                <w:color w:val="000000"/>
                <w:sz w:val="18"/>
                <w:szCs w:val="18"/>
                <w:u w:val="none"/>
              </w:rPr>
            </w:pPr>
          </w:p>
        </w:tc>
      </w:tr>
      <w:tr w14:paraId="51776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2955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32C61">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9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6EE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改善医疗就诊环境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944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83C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76A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F078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A83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A8C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82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7F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9F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9C8DC">
            <w:pPr>
              <w:jc w:val="center"/>
              <w:rPr>
                <w:rFonts w:hint="eastAsia" w:ascii="宋体" w:hAnsi="宋体" w:eastAsia="宋体" w:cs="宋体"/>
                <w:i w:val="0"/>
                <w:iCs w:val="0"/>
                <w:color w:val="000000"/>
                <w:sz w:val="18"/>
                <w:szCs w:val="18"/>
                <w:u w:val="none"/>
              </w:rPr>
            </w:pPr>
          </w:p>
        </w:tc>
      </w:tr>
      <w:tr w14:paraId="092C8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4E3F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1C0F8">
            <w:pPr>
              <w:jc w:val="center"/>
              <w:rPr>
                <w:rFonts w:hint="eastAsia" w:ascii="宋体" w:hAnsi="宋体" w:eastAsia="宋体" w:cs="宋体"/>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F3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AB10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6140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95A1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0141C">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DF1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EF00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D28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E20B3">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B249">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A10BA">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312E6">
            <w:pPr>
              <w:jc w:val="center"/>
              <w:rPr>
                <w:rFonts w:hint="eastAsia" w:ascii="宋体" w:hAnsi="宋体" w:eastAsia="宋体" w:cs="宋体"/>
                <w:i w:val="0"/>
                <w:iCs w:val="0"/>
                <w:color w:val="000000"/>
                <w:sz w:val="18"/>
                <w:szCs w:val="18"/>
                <w:u w:val="none"/>
              </w:rPr>
            </w:pPr>
          </w:p>
        </w:tc>
      </w:tr>
      <w:tr w14:paraId="1D8D3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1344F">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7A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F8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A49E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00DF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9AE7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3E4A1">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DBB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B15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1EA3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3CE4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41ED8">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D8295">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5A67E">
            <w:pPr>
              <w:jc w:val="center"/>
              <w:rPr>
                <w:rFonts w:hint="eastAsia" w:ascii="宋体" w:hAnsi="宋体" w:eastAsia="宋体" w:cs="宋体"/>
                <w:i w:val="0"/>
                <w:iCs w:val="0"/>
                <w:color w:val="000000"/>
                <w:sz w:val="18"/>
                <w:szCs w:val="18"/>
                <w:u w:val="none"/>
              </w:rPr>
            </w:pPr>
          </w:p>
        </w:tc>
      </w:tr>
      <w:bookmarkEnd w:id="154"/>
      <w:tr w14:paraId="3AE97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79" w:type="pct"/>
            <w:gridSpan w:val="4"/>
            <w:tcBorders>
              <w:top w:val="single" w:color="000000" w:sz="4" w:space="0"/>
              <w:left w:val="single" w:color="000000" w:sz="4" w:space="0"/>
              <w:bottom w:val="single" w:color="000000" w:sz="4" w:space="0"/>
              <w:right w:val="nil"/>
            </w:tcBorders>
            <w:shd w:val="clear" w:color="auto" w:fill="auto"/>
            <w:vAlign w:val="center"/>
          </w:tcPr>
          <w:p w14:paraId="680443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5C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52454B38">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7D05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D36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20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C6F5E">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706A8">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DACF4">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1ACD9">
            <w:pP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D1B0E">
            <w:pPr>
              <w:rPr>
                <w:rFonts w:hint="eastAsia" w:ascii="宋体" w:hAnsi="宋体" w:eastAsia="宋体" w:cs="宋体"/>
                <w:i w:val="0"/>
                <w:iCs w:val="0"/>
                <w:color w:val="000000"/>
                <w:sz w:val="18"/>
                <w:szCs w:val="18"/>
                <w:u w:val="none"/>
              </w:rPr>
            </w:pPr>
          </w:p>
        </w:tc>
      </w:tr>
    </w:tbl>
    <w:p w14:paraId="3B0C345C">
      <w:pPr>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偿还标准化建设欠款公司个数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10"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资金支付率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352"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15595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36129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both"/>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资金发放及时率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ED97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5F42D2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E630B2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E07BC59">
            <w:pPr>
              <w:pageBreakBefore w:val="0"/>
              <w:widowControl/>
              <w:kinsoku/>
              <w:wordWrap/>
              <w:overflowPunct/>
              <w:topLinePunct w:val="0"/>
              <w:autoSpaceDE/>
              <w:autoSpaceDN/>
              <w:bidi w:val="0"/>
              <w:spacing w:line="240" w:lineRule="auto"/>
              <w:ind w:firstLine="0" w:firstLineChars="0"/>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资金发放完成时间</w:t>
            </w:r>
          </w:p>
        </w:tc>
        <w:tc>
          <w:tcPr>
            <w:tcW w:w="2141" w:type="dxa"/>
            <w:shd w:val="clear" w:color="auto" w:fill="auto"/>
            <w:noWrap w:val="0"/>
            <w:vAlign w:val="center"/>
          </w:tcPr>
          <w:p w14:paraId="43BA29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3E90AC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2C032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6583B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7B012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3F5CC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补助资金用于偿还博际公司标准化建设欠款</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EE35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0BF88A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DF3E84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5A1826E">
            <w:pPr>
              <w:pageBreakBefore w:val="0"/>
              <w:widowControl/>
              <w:kinsoku/>
              <w:wordWrap/>
              <w:overflowPunct/>
              <w:topLinePunct w:val="0"/>
              <w:autoSpaceDE/>
              <w:autoSpaceDN/>
              <w:bidi w:val="0"/>
              <w:spacing w:line="240" w:lineRule="auto"/>
              <w:ind w:firstLine="0" w:firstLineChars="0"/>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补助资金用于偿还鸿安润城公司标准化建设欠款</w:t>
            </w:r>
          </w:p>
        </w:tc>
        <w:tc>
          <w:tcPr>
            <w:tcW w:w="2141" w:type="dxa"/>
            <w:shd w:val="clear" w:color="auto" w:fill="auto"/>
            <w:noWrap w:val="0"/>
            <w:vAlign w:val="center"/>
          </w:tcPr>
          <w:p w14:paraId="455558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338943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DBE28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ED1CA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8418A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103BF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26A78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改善医疗就诊环境</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075870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0"/>
                <w:szCs w:val="20"/>
                <w:highlight w:val="none"/>
                <w:shd w:val="clear" w:color="auto" w:fill="auto"/>
                <w:lang w:val="en-US" w:eastAsia="zh-CN"/>
              </w:rPr>
              <w:t>企业的</w:t>
            </w:r>
            <w:r>
              <w:rPr>
                <w:rFonts w:hint="eastAsia" w:ascii="宋体" w:hAnsi="宋体" w:eastAsia="宋体" w:cs="宋体"/>
                <w:color w:val="auto"/>
                <w:kern w:val="0"/>
                <w:sz w:val="20"/>
                <w:szCs w:val="20"/>
                <w:highlight w:val="none"/>
                <w:shd w:val="clear" w:color="auto" w:fill="auto"/>
                <w:lang w:val="en-US" w:eastAsia="zh-CN"/>
              </w:rPr>
              <w:t>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56AABA01">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336B3C9F">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0ED750C"/>
    <w:multiLevelType w:val="singleLevel"/>
    <w:tmpl w:val="10ED750C"/>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56B0190"/>
    <w:rsid w:val="07890F4F"/>
    <w:rsid w:val="081448B0"/>
    <w:rsid w:val="08275146"/>
    <w:rsid w:val="08892439"/>
    <w:rsid w:val="08EB30F3"/>
    <w:rsid w:val="09237408"/>
    <w:rsid w:val="09781BD6"/>
    <w:rsid w:val="09F359DF"/>
    <w:rsid w:val="0A575E65"/>
    <w:rsid w:val="0ACA0AB6"/>
    <w:rsid w:val="0C032502"/>
    <w:rsid w:val="0C27698C"/>
    <w:rsid w:val="0D1F511A"/>
    <w:rsid w:val="0D4452F3"/>
    <w:rsid w:val="0D4E43F9"/>
    <w:rsid w:val="0F5E5042"/>
    <w:rsid w:val="0FE95707"/>
    <w:rsid w:val="10044A9B"/>
    <w:rsid w:val="10510571"/>
    <w:rsid w:val="10787A20"/>
    <w:rsid w:val="108672DE"/>
    <w:rsid w:val="10EC685A"/>
    <w:rsid w:val="11FA6155"/>
    <w:rsid w:val="12CF0947"/>
    <w:rsid w:val="12F1313F"/>
    <w:rsid w:val="136C678E"/>
    <w:rsid w:val="13EB2FF5"/>
    <w:rsid w:val="14ED4CAC"/>
    <w:rsid w:val="15A46B04"/>
    <w:rsid w:val="165825BC"/>
    <w:rsid w:val="16BC5D73"/>
    <w:rsid w:val="176F36D7"/>
    <w:rsid w:val="177E23A8"/>
    <w:rsid w:val="1795226D"/>
    <w:rsid w:val="18456B1E"/>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69A53D4"/>
    <w:rsid w:val="2732478D"/>
    <w:rsid w:val="27661469"/>
    <w:rsid w:val="27900EAD"/>
    <w:rsid w:val="279B538A"/>
    <w:rsid w:val="286F545C"/>
    <w:rsid w:val="29314FBC"/>
    <w:rsid w:val="2AA2081A"/>
    <w:rsid w:val="2C024B86"/>
    <w:rsid w:val="2C927671"/>
    <w:rsid w:val="2CC6306F"/>
    <w:rsid w:val="2CDE6343"/>
    <w:rsid w:val="2D7C5CD6"/>
    <w:rsid w:val="2E483E7E"/>
    <w:rsid w:val="2E690493"/>
    <w:rsid w:val="2E9854BD"/>
    <w:rsid w:val="2F0D407F"/>
    <w:rsid w:val="2F454B19"/>
    <w:rsid w:val="2F463BE7"/>
    <w:rsid w:val="2F8C4439"/>
    <w:rsid w:val="30BF439A"/>
    <w:rsid w:val="310224D9"/>
    <w:rsid w:val="31B4621C"/>
    <w:rsid w:val="31E3230A"/>
    <w:rsid w:val="330957E0"/>
    <w:rsid w:val="33356F64"/>
    <w:rsid w:val="33944516"/>
    <w:rsid w:val="34401371"/>
    <w:rsid w:val="34B62907"/>
    <w:rsid w:val="36BD137C"/>
    <w:rsid w:val="38053EDF"/>
    <w:rsid w:val="380812A4"/>
    <w:rsid w:val="385D37E7"/>
    <w:rsid w:val="38782EDD"/>
    <w:rsid w:val="3B42664A"/>
    <w:rsid w:val="3CAD1E92"/>
    <w:rsid w:val="3D836A4E"/>
    <w:rsid w:val="3EA37E97"/>
    <w:rsid w:val="3FBE0BC5"/>
    <w:rsid w:val="4048103A"/>
    <w:rsid w:val="40736643"/>
    <w:rsid w:val="40D24A7A"/>
    <w:rsid w:val="411A73CB"/>
    <w:rsid w:val="42621029"/>
    <w:rsid w:val="435241E2"/>
    <w:rsid w:val="43975C51"/>
    <w:rsid w:val="439E3FA7"/>
    <w:rsid w:val="44AE6177"/>
    <w:rsid w:val="44B32266"/>
    <w:rsid w:val="44FC64F4"/>
    <w:rsid w:val="467F4585"/>
    <w:rsid w:val="470628CB"/>
    <w:rsid w:val="4729480B"/>
    <w:rsid w:val="4743767B"/>
    <w:rsid w:val="47555BD4"/>
    <w:rsid w:val="47BC2DB1"/>
    <w:rsid w:val="47E96399"/>
    <w:rsid w:val="47F76025"/>
    <w:rsid w:val="486E33F5"/>
    <w:rsid w:val="48B22261"/>
    <w:rsid w:val="48E12B50"/>
    <w:rsid w:val="499441BE"/>
    <w:rsid w:val="499A6C1C"/>
    <w:rsid w:val="4A195607"/>
    <w:rsid w:val="4A2138F0"/>
    <w:rsid w:val="4A583887"/>
    <w:rsid w:val="4A8F7A4B"/>
    <w:rsid w:val="4B9F6E02"/>
    <w:rsid w:val="4BF62F4C"/>
    <w:rsid w:val="4C89637B"/>
    <w:rsid w:val="4E3D5BEC"/>
    <w:rsid w:val="4E6E48A8"/>
    <w:rsid w:val="4EEC036B"/>
    <w:rsid w:val="4F714FA1"/>
    <w:rsid w:val="501D2673"/>
    <w:rsid w:val="50C80BF1"/>
    <w:rsid w:val="51852833"/>
    <w:rsid w:val="52F11AC8"/>
    <w:rsid w:val="534F49D9"/>
    <w:rsid w:val="53555F0F"/>
    <w:rsid w:val="535D23D5"/>
    <w:rsid w:val="5618666F"/>
    <w:rsid w:val="566D0271"/>
    <w:rsid w:val="56F4341A"/>
    <w:rsid w:val="575A7321"/>
    <w:rsid w:val="580C3AB9"/>
    <w:rsid w:val="583C7AE0"/>
    <w:rsid w:val="586C1E9A"/>
    <w:rsid w:val="586E0800"/>
    <w:rsid w:val="59216F96"/>
    <w:rsid w:val="598C4145"/>
    <w:rsid w:val="59957D1B"/>
    <w:rsid w:val="59D4294E"/>
    <w:rsid w:val="5B634312"/>
    <w:rsid w:val="5B7200D7"/>
    <w:rsid w:val="5B9D2CCD"/>
    <w:rsid w:val="5B9E71EA"/>
    <w:rsid w:val="5CFD7E74"/>
    <w:rsid w:val="5D812854"/>
    <w:rsid w:val="5E226FBC"/>
    <w:rsid w:val="5FE72BD2"/>
    <w:rsid w:val="60120613"/>
    <w:rsid w:val="618D5292"/>
    <w:rsid w:val="621C0D9D"/>
    <w:rsid w:val="622E78FA"/>
    <w:rsid w:val="623954AB"/>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A707ED8"/>
    <w:rsid w:val="6B4B4368"/>
    <w:rsid w:val="6B79100E"/>
    <w:rsid w:val="6C844C00"/>
    <w:rsid w:val="6DFC3376"/>
    <w:rsid w:val="6E10212C"/>
    <w:rsid w:val="6E43561A"/>
    <w:rsid w:val="6E557973"/>
    <w:rsid w:val="6E9568DB"/>
    <w:rsid w:val="6F0D6C22"/>
    <w:rsid w:val="6F47657F"/>
    <w:rsid w:val="6FA3788E"/>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301A00"/>
    <w:rsid w:val="7E797F74"/>
    <w:rsid w:val="7F924011"/>
    <w:rsid w:val="7FC52DC2"/>
    <w:rsid w:val="7FC64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11946</Words>
  <Characters>12595</Characters>
  <Lines>0</Lines>
  <Paragraphs>0</Paragraphs>
  <TotalTime>1</TotalTime>
  <ScaleCrop>false</ScaleCrop>
  <LinksUpToDate>false</LinksUpToDate>
  <CharactersWithSpaces>12675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2025-10-23T09:44:17Z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