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CA26D">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02C9AA49">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995AED5">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3B736E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25575"/>
      <w:bookmarkStart w:id="2" w:name="_Toc29123"/>
      <w:bookmarkStart w:id="3" w:name="_Toc15679"/>
      <w:r>
        <w:rPr>
          <w:rFonts w:hint="eastAsia" w:cs="宋体"/>
          <w:b/>
          <w:bCs/>
          <w:color w:val="auto"/>
          <w:sz w:val="40"/>
          <w:szCs w:val="40"/>
          <w:highlight w:val="none"/>
          <w:shd w:val="clear" w:color="auto" w:fill="auto"/>
          <w:lang w:val="en-US" w:eastAsia="zh-CN"/>
        </w:rPr>
        <w:t>2024年学前教育生均经费项目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44D48A44">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5F12BA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8D11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FD4AF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020D7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A49D93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3BA77B4">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22B8BC82">
      <w:pPr>
        <w:spacing w:line="360" w:lineRule="auto"/>
        <w:ind w:firstLine="0" w:firstLineChars="0"/>
        <w:jc w:val="left"/>
        <w:rPr>
          <w:rFonts w:hint="eastAsia"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rPr>
        <w:t>项目名称：</w:t>
      </w:r>
      <w:r>
        <w:rPr>
          <w:rFonts w:hint="eastAsia" w:ascii="黑体" w:hAnsi="Times New Roman" w:eastAsia="黑体"/>
          <w:b w:val="0"/>
          <w:bCs/>
          <w:color w:val="auto"/>
          <w:sz w:val="30"/>
          <w:szCs w:val="30"/>
          <w:lang w:val="en-US" w:eastAsia="zh-CN"/>
        </w:rPr>
        <w:t>2024年学前教育生均经费</w:t>
      </w:r>
    </w:p>
    <w:p w14:paraId="2B2733DB">
      <w:pPr>
        <w:spacing w:line="360" w:lineRule="auto"/>
        <w:ind w:firstLine="0" w:firstLineChars="0"/>
        <w:jc w:val="left"/>
        <w:rPr>
          <w:rFonts w:hint="default"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rPr>
        <w:t>实施单位：</w:t>
      </w:r>
      <w:r>
        <w:rPr>
          <w:rFonts w:hint="eastAsia" w:ascii="黑体" w:hAnsi="Times New Roman" w:eastAsia="黑体"/>
          <w:b w:val="0"/>
          <w:bCs/>
          <w:color w:val="auto"/>
          <w:sz w:val="30"/>
          <w:szCs w:val="30"/>
          <w:lang w:val="en-US" w:eastAsia="zh-CN"/>
        </w:rPr>
        <w:t>阜康市上户沟哈萨克族乡第一中心幼儿园</w:t>
      </w:r>
    </w:p>
    <w:p w14:paraId="6A8E6FBC">
      <w:pPr>
        <w:spacing w:line="360" w:lineRule="auto"/>
        <w:ind w:firstLine="0" w:firstLineChars="0"/>
        <w:jc w:val="left"/>
        <w:rPr>
          <w:rFonts w:hint="default"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rPr>
        <w:t>主管部门：</w:t>
      </w:r>
      <w:r>
        <w:rPr>
          <w:rFonts w:hint="eastAsia" w:ascii="黑体" w:hAnsi="Times New Roman" w:eastAsia="黑体"/>
          <w:b w:val="0"/>
          <w:bCs/>
          <w:color w:val="auto"/>
          <w:sz w:val="30"/>
          <w:szCs w:val="30"/>
          <w:lang w:val="en-US" w:eastAsia="zh-CN"/>
        </w:rPr>
        <w:t>阜康市教育局</w:t>
      </w:r>
    </w:p>
    <w:p w14:paraId="37C9686E">
      <w:pPr>
        <w:spacing w:line="360" w:lineRule="auto"/>
        <w:ind w:firstLine="0" w:firstLineChars="0"/>
        <w:jc w:val="left"/>
        <w:rPr>
          <w:rFonts w:hint="eastAsia"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eastAsia="zh-CN"/>
        </w:rPr>
        <w:t>项目负责人：</w:t>
      </w:r>
      <w:r>
        <w:rPr>
          <w:rFonts w:hint="eastAsia" w:ascii="黑体" w:hAnsi="Times New Roman" w:eastAsia="黑体"/>
          <w:b w:val="0"/>
          <w:bCs/>
          <w:color w:val="auto"/>
          <w:sz w:val="30"/>
          <w:szCs w:val="30"/>
          <w:lang w:val="en-US" w:eastAsia="zh-CN"/>
        </w:rPr>
        <w:t>马爱智</w:t>
      </w:r>
    </w:p>
    <w:p w14:paraId="2045ABCA">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0B2EEE2C">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41050C71">
      <w:pPr>
        <w:pageBreakBefore w:val="0"/>
        <w:kinsoku/>
        <w:wordWrap/>
        <w:overflowPunct/>
        <w:topLinePunct w:val="0"/>
        <w:autoSpaceDE/>
        <w:autoSpaceDN/>
        <w:bidi w:val="0"/>
        <w:spacing w:line="560" w:lineRule="exact"/>
        <w:textAlignment w:val="auto"/>
        <w:rPr>
          <w:rFonts w:hint="eastAsia"/>
          <w:color w:val="auto"/>
          <w:lang w:val="en-US" w:eastAsia="zh-CN"/>
        </w:rPr>
      </w:pPr>
      <w:r>
        <w:rPr>
          <w:rFonts w:hint="eastAsia"/>
          <w:color w:val="auto"/>
          <w:lang w:val="en-US" w:eastAsia="zh-CN"/>
        </w:rPr>
        <w:br w:type="page"/>
      </w:r>
    </w:p>
    <w:p w14:paraId="1F650DD6">
      <w:pPr>
        <w:pageBreakBefore w:val="0"/>
        <w:kinsoku/>
        <w:wordWrap/>
        <w:overflowPunct/>
        <w:topLinePunct w:val="0"/>
        <w:autoSpaceDE/>
        <w:autoSpaceDN/>
        <w:bidi w:val="0"/>
        <w:spacing w:line="560" w:lineRule="exact"/>
        <w:textAlignment w:val="auto"/>
        <w:rPr>
          <w:rFonts w:hint="eastAsia"/>
          <w:color w:val="auto"/>
          <w:lang w:val="en-US" w:eastAsia="zh-CN"/>
        </w:rPr>
      </w:pPr>
    </w:p>
    <w:sdt>
      <w:sdtPr>
        <w:rPr>
          <w:rFonts w:ascii="宋体" w:hAnsi="宋体" w:eastAsia="宋体" w:cs="宋体"/>
          <w:b/>
          <w:bCs/>
          <w:color w:val="auto"/>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lang w:val="en-US" w:eastAsia="zh-CN" w:bidi="ar-SA"/>
        </w:rPr>
      </w:sdtEndPr>
      <w:sdtContent>
        <w:p w14:paraId="158877B8">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0DE2C74B">
          <w:pPr>
            <w:pStyle w:val="10"/>
            <w:tabs>
              <w:tab w:val="right" w:leader="dot" w:pos="8844"/>
            </w:tabs>
            <w:rPr>
              <w:color w:val="auto"/>
            </w:rPr>
          </w:pPr>
          <w:r>
            <w:rPr>
              <w:rFonts w:hint="eastAsia"/>
              <w:color w:val="auto"/>
              <w:sz w:val="28"/>
              <w:szCs w:val="28"/>
              <w:lang w:val="en-US" w:eastAsia="zh-CN"/>
            </w:rPr>
            <w:fldChar w:fldCharType="begin"/>
          </w:r>
          <w:r>
            <w:rPr>
              <w:rFonts w:hint="eastAsia"/>
              <w:color w:val="auto"/>
              <w:sz w:val="28"/>
              <w:szCs w:val="28"/>
              <w:lang w:val="en-US" w:eastAsia="zh-CN"/>
            </w:rPr>
            <w:instrText xml:space="preserve">TOC \o "1-3" \h \u </w:instrText>
          </w:r>
          <w:r>
            <w:rPr>
              <w:rFonts w:hint="eastAsia"/>
              <w:color w:val="auto"/>
              <w:sz w:val="28"/>
              <w:szCs w:val="28"/>
              <w:lang w:val="en-US" w:eastAsia="zh-CN"/>
            </w:rPr>
            <w:fldChar w:fldCharType="separate"/>
          </w:r>
        </w:p>
        <w:p w14:paraId="1668573A">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_Toc18485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rPr>
            <w:tab/>
          </w:r>
          <w:r>
            <w:rPr>
              <w:color w:val="auto"/>
            </w:rPr>
            <w:fldChar w:fldCharType="begin"/>
          </w:r>
          <w:r>
            <w:rPr>
              <w:color w:val="auto"/>
            </w:rPr>
            <w:instrText xml:space="preserve"> PAGEREF _Toc18485 \h </w:instrText>
          </w:r>
          <w:r>
            <w:rPr>
              <w:color w:val="auto"/>
            </w:rPr>
            <w:fldChar w:fldCharType="separate"/>
          </w:r>
          <w:r>
            <w:rPr>
              <w:color w:val="auto"/>
            </w:rPr>
            <w:t>4</w:t>
          </w:r>
          <w:r>
            <w:rPr>
              <w:color w:val="auto"/>
            </w:rPr>
            <w:fldChar w:fldCharType="end"/>
          </w:r>
          <w:r>
            <w:rPr>
              <w:rFonts w:hint="eastAsia"/>
              <w:color w:val="auto"/>
              <w:szCs w:val="28"/>
              <w:lang w:val="en-US" w:eastAsia="zh-CN"/>
            </w:rPr>
            <w:fldChar w:fldCharType="end"/>
          </w:r>
        </w:p>
        <w:p w14:paraId="5691CFC5">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_Toc23184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（一）项目概况</w:t>
          </w:r>
          <w:r>
            <w:rPr>
              <w:color w:val="auto"/>
            </w:rPr>
            <w:tab/>
          </w:r>
          <w:r>
            <w:rPr>
              <w:color w:val="auto"/>
            </w:rPr>
            <w:fldChar w:fldCharType="begin"/>
          </w:r>
          <w:r>
            <w:rPr>
              <w:color w:val="auto"/>
            </w:rPr>
            <w:instrText xml:space="preserve"> PAGEREF _Toc23184 \h </w:instrText>
          </w:r>
          <w:r>
            <w:rPr>
              <w:color w:val="auto"/>
            </w:rPr>
            <w:fldChar w:fldCharType="separate"/>
          </w:r>
          <w:r>
            <w:rPr>
              <w:color w:val="auto"/>
            </w:rPr>
            <w:t>4</w:t>
          </w:r>
          <w:r>
            <w:rPr>
              <w:color w:val="auto"/>
            </w:rPr>
            <w:fldChar w:fldCharType="end"/>
          </w:r>
          <w:r>
            <w:rPr>
              <w:rFonts w:hint="eastAsia"/>
              <w:color w:val="auto"/>
              <w:szCs w:val="28"/>
              <w:lang w:val="en-US" w:eastAsia="zh-CN"/>
            </w:rPr>
            <w:fldChar w:fldCharType="end"/>
          </w:r>
        </w:p>
        <w:p w14:paraId="5CB721ED">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_Toc9109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（二）项目绩效目标</w:t>
          </w:r>
          <w:r>
            <w:rPr>
              <w:color w:val="auto"/>
            </w:rPr>
            <w:tab/>
          </w:r>
          <w:r>
            <w:rPr>
              <w:color w:val="auto"/>
            </w:rPr>
            <w:fldChar w:fldCharType="begin"/>
          </w:r>
          <w:r>
            <w:rPr>
              <w:color w:val="auto"/>
            </w:rPr>
            <w:instrText xml:space="preserve"> PAGEREF _Toc9109 \h </w:instrText>
          </w:r>
          <w:r>
            <w:rPr>
              <w:color w:val="auto"/>
            </w:rPr>
            <w:fldChar w:fldCharType="separate"/>
          </w:r>
          <w:r>
            <w:rPr>
              <w:color w:val="auto"/>
            </w:rPr>
            <w:t>5</w:t>
          </w:r>
          <w:r>
            <w:rPr>
              <w:color w:val="auto"/>
            </w:rPr>
            <w:fldChar w:fldCharType="end"/>
          </w:r>
          <w:r>
            <w:rPr>
              <w:rFonts w:hint="eastAsia"/>
              <w:color w:val="auto"/>
              <w:szCs w:val="28"/>
              <w:lang w:val="en-US" w:eastAsia="zh-CN"/>
            </w:rPr>
            <w:fldChar w:fldCharType="end"/>
          </w:r>
        </w:p>
        <w:p w14:paraId="54103582">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_Toc26567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_Toc26567 \h </w:instrText>
          </w:r>
          <w:r>
            <w:rPr>
              <w:rFonts w:hint="eastAsia" w:ascii="黑体" w:hAnsi="黑体" w:eastAsia="黑体" w:cs="黑体"/>
              <w:color w:val="auto"/>
            </w:rPr>
            <w:fldChar w:fldCharType="separate"/>
          </w:r>
          <w:r>
            <w:rPr>
              <w:rFonts w:hint="eastAsia" w:ascii="黑体" w:hAnsi="黑体" w:eastAsia="黑体" w:cs="黑体"/>
              <w:color w:val="auto"/>
            </w:rPr>
            <w:t>7</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01E7F5E1">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_Toc22839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（一）绩效评价的目的、对象和范围</w:t>
          </w:r>
          <w:r>
            <w:rPr>
              <w:color w:val="auto"/>
            </w:rPr>
            <w:tab/>
          </w:r>
          <w:r>
            <w:rPr>
              <w:color w:val="auto"/>
            </w:rPr>
            <w:fldChar w:fldCharType="begin"/>
          </w:r>
          <w:r>
            <w:rPr>
              <w:color w:val="auto"/>
            </w:rPr>
            <w:instrText xml:space="preserve"> PAGEREF _Toc22839 \h </w:instrText>
          </w:r>
          <w:r>
            <w:rPr>
              <w:color w:val="auto"/>
            </w:rPr>
            <w:fldChar w:fldCharType="separate"/>
          </w:r>
          <w:r>
            <w:rPr>
              <w:color w:val="auto"/>
            </w:rPr>
            <w:t>7</w:t>
          </w:r>
          <w:r>
            <w:rPr>
              <w:color w:val="auto"/>
            </w:rPr>
            <w:fldChar w:fldCharType="end"/>
          </w:r>
          <w:r>
            <w:rPr>
              <w:rFonts w:hint="eastAsia"/>
              <w:color w:val="auto"/>
              <w:szCs w:val="28"/>
              <w:lang w:val="en-US" w:eastAsia="zh-CN"/>
            </w:rPr>
            <w:fldChar w:fldCharType="end"/>
          </w:r>
        </w:p>
        <w:p w14:paraId="38C013AB">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_Toc29785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（二）绩效评价原则、评价指标体系（</w:t>
          </w:r>
          <w:r>
            <w:rPr>
              <w:rFonts w:hint="default" w:ascii="Times New Roman" w:hAnsi="Times New Roman" w:eastAsia="楷体_GB2312" w:cs="Times New Roman"/>
              <w:color w:val="auto"/>
              <w:kern w:val="28"/>
              <w:lang w:val="en-US" w:eastAsia="zh-CN"/>
            </w:rPr>
            <w:t>详情见</w:t>
          </w:r>
          <w:r>
            <w:rPr>
              <w:rFonts w:hint="eastAsia" w:ascii="Times New Roman" w:hAnsi="Times New Roman" w:eastAsia="楷体_GB2312" w:cs="Times New Roman"/>
              <w:color w:val="auto"/>
              <w:kern w:val="28"/>
              <w:lang w:val="en-US" w:eastAsia="zh-CN"/>
            </w:rPr>
            <w:t>附件二）、评价方法、评价标准</w:t>
          </w:r>
          <w:r>
            <w:rPr>
              <w:color w:val="auto"/>
            </w:rPr>
            <w:tab/>
          </w:r>
          <w:r>
            <w:rPr>
              <w:color w:val="auto"/>
            </w:rPr>
            <w:fldChar w:fldCharType="begin"/>
          </w:r>
          <w:r>
            <w:rPr>
              <w:color w:val="auto"/>
            </w:rPr>
            <w:instrText xml:space="preserve"> PAGEREF _Toc29785 \h </w:instrText>
          </w:r>
          <w:r>
            <w:rPr>
              <w:color w:val="auto"/>
            </w:rPr>
            <w:fldChar w:fldCharType="separate"/>
          </w:r>
          <w:r>
            <w:rPr>
              <w:color w:val="auto"/>
            </w:rPr>
            <w:t>11</w:t>
          </w:r>
          <w:r>
            <w:rPr>
              <w:color w:val="auto"/>
            </w:rPr>
            <w:fldChar w:fldCharType="end"/>
          </w:r>
          <w:r>
            <w:rPr>
              <w:rFonts w:hint="eastAsia"/>
              <w:color w:val="auto"/>
              <w:szCs w:val="28"/>
              <w:lang w:val="en-US" w:eastAsia="zh-CN"/>
            </w:rPr>
            <w:fldChar w:fldCharType="end"/>
          </w:r>
        </w:p>
        <w:p w14:paraId="1C595E2D">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_Toc21435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（三）绩效评价工作过程</w:t>
          </w:r>
          <w:r>
            <w:rPr>
              <w:color w:val="auto"/>
            </w:rPr>
            <w:tab/>
          </w:r>
          <w:r>
            <w:rPr>
              <w:color w:val="auto"/>
            </w:rPr>
            <w:fldChar w:fldCharType="begin"/>
          </w:r>
          <w:r>
            <w:rPr>
              <w:color w:val="auto"/>
            </w:rPr>
            <w:instrText xml:space="preserve"> PAGEREF _Toc21435 \h </w:instrText>
          </w:r>
          <w:r>
            <w:rPr>
              <w:color w:val="auto"/>
            </w:rPr>
            <w:fldChar w:fldCharType="separate"/>
          </w:r>
          <w:r>
            <w:rPr>
              <w:color w:val="auto"/>
            </w:rPr>
            <w:t>13</w:t>
          </w:r>
          <w:r>
            <w:rPr>
              <w:color w:val="auto"/>
            </w:rPr>
            <w:fldChar w:fldCharType="end"/>
          </w:r>
          <w:r>
            <w:rPr>
              <w:rFonts w:hint="eastAsia"/>
              <w:color w:val="auto"/>
              <w:szCs w:val="28"/>
              <w:lang w:val="en-US" w:eastAsia="zh-CN"/>
            </w:rPr>
            <w:fldChar w:fldCharType="end"/>
          </w:r>
        </w:p>
        <w:p w14:paraId="505CFD94">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_Toc19261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rPr>
            <w:tab/>
          </w:r>
          <w:r>
            <w:rPr>
              <w:color w:val="auto"/>
            </w:rPr>
            <w:fldChar w:fldCharType="begin"/>
          </w:r>
          <w:r>
            <w:rPr>
              <w:color w:val="auto"/>
            </w:rPr>
            <w:instrText xml:space="preserve"> PAGEREF _Toc19261 \h </w:instrText>
          </w:r>
          <w:r>
            <w:rPr>
              <w:color w:val="auto"/>
            </w:rPr>
            <w:fldChar w:fldCharType="separate"/>
          </w:r>
          <w:r>
            <w:rPr>
              <w:color w:val="auto"/>
            </w:rPr>
            <w:t>16</w:t>
          </w:r>
          <w:r>
            <w:rPr>
              <w:color w:val="auto"/>
            </w:rPr>
            <w:fldChar w:fldCharType="end"/>
          </w:r>
          <w:r>
            <w:rPr>
              <w:rFonts w:hint="eastAsia"/>
              <w:color w:val="auto"/>
              <w:szCs w:val="28"/>
              <w:lang w:val="en-US" w:eastAsia="zh-CN"/>
            </w:rPr>
            <w:fldChar w:fldCharType="end"/>
          </w:r>
        </w:p>
        <w:p w14:paraId="235EFE6A">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_Toc23319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（一）综合评价情况及评价结论</w:t>
          </w:r>
          <w:r>
            <w:rPr>
              <w:color w:val="auto"/>
            </w:rPr>
            <w:tab/>
          </w:r>
          <w:r>
            <w:rPr>
              <w:color w:val="auto"/>
            </w:rPr>
            <w:fldChar w:fldCharType="begin"/>
          </w:r>
          <w:r>
            <w:rPr>
              <w:color w:val="auto"/>
            </w:rPr>
            <w:instrText xml:space="preserve"> PAGEREF _Toc23319 \h </w:instrText>
          </w:r>
          <w:r>
            <w:rPr>
              <w:color w:val="auto"/>
            </w:rPr>
            <w:fldChar w:fldCharType="separate"/>
          </w:r>
          <w:r>
            <w:rPr>
              <w:color w:val="auto"/>
            </w:rPr>
            <w:t>16</w:t>
          </w:r>
          <w:r>
            <w:rPr>
              <w:color w:val="auto"/>
            </w:rPr>
            <w:fldChar w:fldCharType="end"/>
          </w:r>
          <w:r>
            <w:rPr>
              <w:rFonts w:hint="eastAsia"/>
              <w:color w:val="auto"/>
              <w:szCs w:val="28"/>
              <w:lang w:val="en-US" w:eastAsia="zh-CN"/>
            </w:rPr>
            <w:fldChar w:fldCharType="end"/>
          </w:r>
        </w:p>
        <w:p w14:paraId="1E67C981">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_Toc11863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（二）相关评分表</w:t>
          </w:r>
          <w:r>
            <w:rPr>
              <w:color w:val="auto"/>
            </w:rPr>
            <w:tab/>
          </w:r>
          <w:r>
            <w:rPr>
              <w:color w:val="auto"/>
            </w:rPr>
            <w:fldChar w:fldCharType="begin"/>
          </w:r>
          <w:r>
            <w:rPr>
              <w:color w:val="auto"/>
            </w:rPr>
            <w:instrText xml:space="preserve"> PAGEREF _Toc11863 \h </w:instrText>
          </w:r>
          <w:r>
            <w:rPr>
              <w:color w:val="auto"/>
            </w:rPr>
            <w:fldChar w:fldCharType="separate"/>
          </w:r>
          <w:r>
            <w:rPr>
              <w:color w:val="auto"/>
            </w:rPr>
            <w:t>16</w:t>
          </w:r>
          <w:r>
            <w:rPr>
              <w:color w:val="auto"/>
            </w:rPr>
            <w:fldChar w:fldCharType="end"/>
          </w:r>
          <w:r>
            <w:rPr>
              <w:rFonts w:hint="eastAsia"/>
              <w:color w:val="auto"/>
              <w:szCs w:val="28"/>
              <w:lang w:val="en-US" w:eastAsia="zh-CN"/>
            </w:rPr>
            <w:fldChar w:fldCharType="end"/>
          </w:r>
        </w:p>
        <w:p w14:paraId="43BD06E4">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_Toc14941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rPr>
            <w:tab/>
          </w:r>
          <w:r>
            <w:rPr>
              <w:color w:val="auto"/>
            </w:rPr>
            <w:fldChar w:fldCharType="begin"/>
          </w:r>
          <w:r>
            <w:rPr>
              <w:color w:val="auto"/>
            </w:rPr>
            <w:instrText xml:space="preserve"> PAGEREF _Toc14941 \h </w:instrText>
          </w:r>
          <w:r>
            <w:rPr>
              <w:color w:val="auto"/>
            </w:rPr>
            <w:fldChar w:fldCharType="separate"/>
          </w:r>
          <w:r>
            <w:rPr>
              <w:color w:val="auto"/>
            </w:rPr>
            <w:t>17</w:t>
          </w:r>
          <w:r>
            <w:rPr>
              <w:color w:val="auto"/>
            </w:rPr>
            <w:fldChar w:fldCharType="end"/>
          </w:r>
          <w:r>
            <w:rPr>
              <w:rFonts w:hint="eastAsia"/>
              <w:color w:val="auto"/>
              <w:szCs w:val="28"/>
              <w:lang w:val="en-US" w:eastAsia="zh-CN"/>
            </w:rPr>
            <w:fldChar w:fldCharType="end"/>
          </w:r>
        </w:p>
        <w:p w14:paraId="094E0CE1">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_Toc6759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rPr>
            <w:t>（一）项目决策情况</w:t>
          </w:r>
          <w:r>
            <w:rPr>
              <w:color w:val="auto"/>
            </w:rPr>
            <w:tab/>
          </w:r>
          <w:r>
            <w:rPr>
              <w:color w:val="auto"/>
            </w:rPr>
            <w:fldChar w:fldCharType="begin"/>
          </w:r>
          <w:r>
            <w:rPr>
              <w:color w:val="auto"/>
            </w:rPr>
            <w:instrText xml:space="preserve"> PAGEREF _Toc6759 \h </w:instrText>
          </w:r>
          <w:r>
            <w:rPr>
              <w:color w:val="auto"/>
            </w:rPr>
            <w:fldChar w:fldCharType="separate"/>
          </w:r>
          <w:r>
            <w:rPr>
              <w:color w:val="auto"/>
            </w:rPr>
            <w:t>17</w:t>
          </w:r>
          <w:r>
            <w:rPr>
              <w:color w:val="auto"/>
            </w:rPr>
            <w:fldChar w:fldCharType="end"/>
          </w:r>
          <w:r>
            <w:rPr>
              <w:rFonts w:hint="eastAsia"/>
              <w:color w:val="auto"/>
              <w:szCs w:val="28"/>
              <w:lang w:val="en-US" w:eastAsia="zh-CN"/>
            </w:rPr>
            <w:fldChar w:fldCharType="end"/>
          </w:r>
        </w:p>
        <w:p w14:paraId="12823FF6">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_Toc10564 </w:instrText>
          </w:r>
          <w:r>
            <w:rPr>
              <w:rFonts w:hint="eastAsia"/>
              <w:color w:val="auto"/>
              <w:szCs w:val="28"/>
              <w:lang w:val="en-US" w:eastAsia="zh-CN"/>
            </w:rPr>
            <w:fldChar w:fldCharType="separate"/>
          </w:r>
          <w:r>
            <w:rPr>
              <w:rFonts w:hint="eastAsia" w:ascii="Times New Roman" w:hAnsi="Times New Roman" w:eastAsia="楷体" w:cs="Times New Roman"/>
              <w:color w:val="auto"/>
              <w:kern w:val="28"/>
              <w:lang w:eastAsia="zh-CN"/>
            </w:rPr>
            <w:t>（</w:t>
          </w:r>
          <w:r>
            <w:rPr>
              <w:rFonts w:hint="eastAsia" w:ascii="Times New Roman" w:hAnsi="Times New Roman" w:eastAsia="楷体" w:cs="Times New Roman"/>
              <w:color w:val="auto"/>
              <w:kern w:val="28"/>
              <w:lang w:val="en-US" w:eastAsia="zh-CN"/>
            </w:rPr>
            <w:t>二</w:t>
          </w:r>
          <w:r>
            <w:rPr>
              <w:rFonts w:hint="eastAsia" w:ascii="Times New Roman" w:hAnsi="Times New Roman" w:eastAsia="楷体" w:cs="Times New Roman"/>
              <w:color w:val="auto"/>
              <w:kern w:val="28"/>
              <w:lang w:eastAsia="zh-CN"/>
            </w:rPr>
            <w:t>）</w:t>
          </w:r>
          <w:r>
            <w:rPr>
              <w:rFonts w:hint="eastAsia" w:ascii="Times New Roman" w:hAnsi="Times New Roman" w:eastAsia="楷体" w:cs="Times New Roman"/>
              <w:color w:val="auto"/>
              <w:kern w:val="28"/>
            </w:rPr>
            <w:t>项目过程情况</w:t>
          </w:r>
          <w:r>
            <w:rPr>
              <w:color w:val="auto"/>
            </w:rPr>
            <w:tab/>
          </w:r>
          <w:r>
            <w:rPr>
              <w:color w:val="auto"/>
            </w:rPr>
            <w:fldChar w:fldCharType="begin"/>
          </w:r>
          <w:r>
            <w:rPr>
              <w:color w:val="auto"/>
            </w:rPr>
            <w:instrText xml:space="preserve"> PAGEREF _Toc10564 \h </w:instrText>
          </w:r>
          <w:r>
            <w:rPr>
              <w:color w:val="auto"/>
            </w:rPr>
            <w:fldChar w:fldCharType="separate"/>
          </w:r>
          <w:r>
            <w:rPr>
              <w:color w:val="auto"/>
            </w:rPr>
            <w:t>20</w:t>
          </w:r>
          <w:r>
            <w:rPr>
              <w:color w:val="auto"/>
            </w:rPr>
            <w:fldChar w:fldCharType="end"/>
          </w:r>
          <w:r>
            <w:rPr>
              <w:rFonts w:hint="eastAsia"/>
              <w:color w:val="auto"/>
              <w:szCs w:val="28"/>
              <w:lang w:val="en-US" w:eastAsia="zh-CN"/>
            </w:rPr>
            <w:fldChar w:fldCharType="end"/>
          </w:r>
        </w:p>
        <w:p w14:paraId="4AC400CD">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_Toc2441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（三）项目产出情况</w:t>
          </w:r>
          <w:r>
            <w:rPr>
              <w:color w:val="auto"/>
            </w:rPr>
            <w:tab/>
          </w:r>
          <w:r>
            <w:rPr>
              <w:color w:val="auto"/>
            </w:rPr>
            <w:fldChar w:fldCharType="begin"/>
          </w:r>
          <w:r>
            <w:rPr>
              <w:color w:val="auto"/>
            </w:rPr>
            <w:instrText xml:space="preserve"> PAGEREF _Toc2441 \h </w:instrText>
          </w:r>
          <w:r>
            <w:rPr>
              <w:color w:val="auto"/>
            </w:rPr>
            <w:fldChar w:fldCharType="separate"/>
          </w:r>
          <w:r>
            <w:rPr>
              <w:color w:val="auto"/>
            </w:rPr>
            <w:t>22</w:t>
          </w:r>
          <w:r>
            <w:rPr>
              <w:color w:val="auto"/>
            </w:rPr>
            <w:fldChar w:fldCharType="end"/>
          </w:r>
          <w:r>
            <w:rPr>
              <w:rFonts w:hint="eastAsia"/>
              <w:color w:val="auto"/>
              <w:szCs w:val="28"/>
              <w:lang w:val="en-US" w:eastAsia="zh-CN"/>
            </w:rPr>
            <w:fldChar w:fldCharType="end"/>
          </w:r>
        </w:p>
        <w:p w14:paraId="7D016718">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_Toc19424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（四）项目效益情况</w:t>
          </w:r>
          <w:r>
            <w:rPr>
              <w:color w:val="auto"/>
            </w:rPr>
            <w:tab/>
          </w:r>
          <w:r>
            <w:rPr>
              <w:color w:val="auto"/>
            </w:rPr>
            <w:fldChar w:fldCharType="begin"/>
          </w:r>
          <w:r>
            <w:rPr>
              <w:color w:val="auto"/>
            </w:rPr>
            <w:instrText xml:space="preserve"> PAGEREF _Toc19424 \h </w:instrText>
          </w:r>
          <w:r>
            <w:rPr>
              <w:color w:val="auto"/>
            </w:rPr>
            <w:fldChar w:fldCharType="separate"/>
          </w:r>
          <w:r>
            <w:rPr>
              <w:color w:val="auto"/>
            </w:rPr>
            <w:t>24</w:t>
          </w:r>
          <w:r>
            <w:rPr>
              <w:color w:val="auto"/>
            </w:rPr>
            <w:fldChar w:fldCharType="end"/>
          </w:r>
          <w:r>
            <w:rPr>
              <w:rFonts w:hint="eastAsia"/>
              <w:color w:val="auto"/>
              <w:szCs w:val="28"/>
              <w:lang w:val="en-US" w:eastAsia="zh-CN"/>
            </w:rPr>
            <w:fldChar w:fldCharType="end"/>
          </w:r>
        </w:p>
        <w:p w14:paraId="3EC5D0A6">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_Toc23313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rPr>
            <w:tab/>
          </w:r>
          <w:r>
            <w:rPr>
              <w:color w:val="auto"/>
            </w:rPr>
            <w:fldChar w:fldCharType="begin"/>
          </w:r>
          <w:r>
            <w:rPr>
              <w:color w:val="auto"/>
            </w:rPr>
            <w:instrText xml:space="preserve"> PAGEREF _Toc23313 \h </w:instrText>
          </w:r>
          <w:r>
            <w:rPr>
              <w:color w:val="auto"/>
            </w:rPr>
            <w:fldChar w:fldCharType="separate"/>
          </w:r>
          <w:r>
            <w:rPr>
              <w:color w:val="auto"/>
            </w:rPr>
            <w:t>25</w:t>
          </w:r>
          <w:r>
            <w:rPr>
              <w:color w:val="auto"/>
            </w:rPr>
            <w:fldChar w:fldCharType="end"/>
          </w:r>
          <w:r>
            <w:rPr>
              <w:rFonts w:hint="eastAsia"/>
              <w:color w:val="auto"/>
              <w:szCs w:val="28"/>
              <w:lang w:val="en-US" w:eastAsia="zh-CN"/>
            </w:rPr>
            <w:fldChar w:fldCharType="end"/>
          </w:r>
        </w:p>
        <w:p w14:paraId="770CD6C7">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_Toc6622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_Toc6622 \h </w:instrText>
          </w:r>
          <w:r>
            <w:rPr>
              <w:rFonts w:hint="eastAsia" w:ascii="黑体" w:hAnsi="黑体" w:eastAsia="黑体" w:cs="黑体"/>
              <w:color w:val="auto"/>
            </w:rPr>
            <w:fldChar w:fldCharType="separate"/>
          </w:r>
          <w:r>
            <w:rPr>
              <w:rFonts w:hint="eastAsia" w:ascii="黑体" w:hAnsi="黑体" w:eastAsia="黑体" w:cs="黑体"/>
              <w:color w:val="auto"/>
            </w:rPr>
            <w:t>25</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1F1F5C46">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_Toc15449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rPr>
            <w:tab/>
          </w:r>
          <w:r>
            <w:rPr>
              <w:color w:val="auto"/>
            </w:rPr>
            <w:fldChar w:fldCharType="begin"/>
          </w:r>
          <w:r>
            <w:rPr>
              <w:color w:val="auto"/>
            </w:rPr>
            <w:instrText xml:space="preserve"> PAGEREF _Toc15449 \h </w:instrText>
          </w:r>
          <w:r>
            <w:rPr>
              <w:color w:val="auto"/>
            </w:rPr>
            <w:fldChar w:fldCharType="separate"/>
          </w:r>
          <w:r>
            <w:rPr>
              <w:color w:val="auto"/>
            </w:rPr>
            <w:t>25</w:t>
          </w:r>
          <w:r>
            <w:rPr>
              <w:color w:val="auto"/>
            </w:rPr>
            <w:fldChar w:fldCharType="end"/>
          </w:r>
          <w:r>
            <w:rPr>
              <w:rFonts w:hint="eastAsia"/>
              <w:color w:val="auto"/>
              <w:szCs w:val="28"/>
              <w:lang w:val="en-US" w:eastAsia="zh-CN"/>
            </w:rPr>
            <w:fldChar w:fldCharType="end"/>
          </w:r>
        </w:p>
        <w:p w14:paraId="52D87838">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_Toc29168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rPr>
            <w:tab/>
          </w:r>
          <w:r>
            <w:rPr>
              <w:color w:val="auto"/>
            </w:rPr>
            <w:fldChar w:fldCharType="begin"/>
          </w:r>
          <w:r>
            <w:rPr>
              <w:color w:val="auto"/>
            </w:rPr>
            <w:instrText xml:space="preserve"> PAGEREF _Toc29168 \h </w:instrText>
          </w:r>
          <w:r>
            <w:rPr>
              <w:color w:val="auto"/>
            </w:rPr>
            <w:fldChar w:fldCharType="separate"/>
          </w:r>
          <w:r>
            <w:rPr>
              <w:color w:val="auto"/>
            </w:rPr>
            <w:t>25</w:t>
          </w:r>
          <w:r>
            <w:rPr>
              <w:color w:val="auto"/>
            </w:rPr>
            <w:fldChar w:fldCharType="end"/>
          </w:r>
          <w:r>
            <w:rPr>
              <w:rFonts w:hint="eastAsia"/>
              <w:color w:val="auto"/>
              <w:szCs w:val="28"/>
              <w:lang w:val="en-US" w:eastAsia="zh-CN"/>
            </w:rPr>
            <w:fldChar w:fldCharType="end"/>
          </w:r>
        </w:p>
        <w:p w14:paraId="391AB4A8">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_Toc3333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_Toc3333 \h </w:instrText>
          </w:r>
          <w:r>
            <w:rPr>
              <w:rFonts w:hint="eastAsia" w:ascii="黑体" w:hAnsi="黑体" w:eastAsia="黑体" w:cs="黑体"/>
              <w:color w:val="auto"/>
            </w:rPr>
            <w:fldChar w:fldCharType="separate"/>
          </w:r>
          <w:r>
            <w:rPr>
              <w:rFonts w:hint="eastAsia" w:ascii="黑体" w:hAnsi="黑体" w:eastAsia="黑体" w:cs="黑体"/>
              <w:color w:val="auto"/>
            </w:rPr>
            <w:t>25</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7DFE9EAE">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_Toc14256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_Toc14256 \h </w:instrText>
          </w:r>
          <w:r>
            <w:rPr>
              <w:rFonts w:hint="eastAsia" w:ascii="黑体" w:hAnsi="黑体" w:eastAsia="黑体" w:cs="黑体"/>
              <w:color w:val="auto"/>
            </w:rPr>
            <w:fldChar w:fldCharType="separate"/>
          </w:r>
          <w:r>
            <w:rPr>
              <w:rFonts w:hint="eastAsia" w:ascii="黑体" w:hAnsi="黑体" w:eastAsia="黑体" w:cs="黑体"/>
              <w:color w:val="auto"/>
            </w:rPr>
            <w:t>26</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1656C535">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_Toc28971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_Toc28971 \h </w:instrText>
          </w:r>
          <w:r>
            <w:rPr>
              <w:rFonts w:hint="eastAsia" w:ascii="黑体" w:hAnsi="黑体" w:eastAsia="黑体" w:cs="黑体"/>
              <w:color w:val="auto"/>
            </w:rPr>
            <w:fldChar w:fldCharType="separate"/>
          </w:r>
          <w:r>
            <w:rPr>
              <w:rFonts w:hint="eastAsia" w:ascii="黑体" w:hAnsi="黑体" w:eastAsia="黑体" w:cs="黑体"/>
              <w:color w:val="auto"/>
            </w:rPr>
            <w:t>27</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4BC38315">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_Toc11223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_Toc11223 \h </w:instrText>
          </w:r>
          <w:r>
            <w:rPr>
              <w:rFonts w:hint="eastAsia" w:ascii="黑体" w:hAnsi="黑体" w:eastAsia="黑体" w:cs="黑体"/>
              <w:color w:val="auto"/>
            </w:rPr>
            <w:fldChar w:fldCharType="separate"/>
          </w:r>
          <w:r>
            <w:rPr>
              <w:rFonts w:hint="eastAsia" w:ascii="黑体" w:hAnsi="黑体" w:eastAsia="黑体" w:cs="黑体"/>
              <w:color w:val="auto"/>
            </w:rPr>
            <w:t>27</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7DE3E977">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lang w:val="en-US" w:eastAsia="zh-CN"/>
            </w:rPr>
            <w:fldChar w:fldCharType="end"/>
          </w:r>
        </w:p>
      </w:sdtContent>
    </w:sdt>
    <w:p w14:paraId="414867C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_Toc3663"/>
      <w:bookmarkStart w:id="5" w:name="_Toc22946"/>
      <w:bookmarkStart w:id="6" w:name="_Toc20432"/>
      <w:bookmarkStart w:id="7" w:name="_Toc1194"/>
      <w:r>
        <w:rPr>
          <w:rFonts w:hint="eastAsia" w:cs="宋体"/>
          <w:b/>
          <w:bCs/>
          <w:color w:val="auto"/>
          <w:sz w:val="36"/>
          <w:szCs w:val="36"/>
          <w:highlight w:val="none"/>
          <w:shd w:val="clear" w:color="auto" w:fill="auto"/>
          <w:lang w:val="en-US" w:eastAsia="zh-CN"/>
        </w:rPr>
        <w:t>2024年学前教育生均经费项目</w:t>
      </w:r>
      <w:r>
        <w:rPr>
          <w:rFonts w:hint="eastAsia" w:ascii="宋体" w:hAnsi="宋体" w:eastAsia="宋体" w:cs="宋体"/>
          <w:b/>
          <w:bCs/>
          <w:color w:val="auto"/>
          <w:sz w:val="36"/>
          <w:szCs w:val="36"/>
          <w:highlight w:val="none"/>
          <w:shd w:val="clear" w:color="auto" w:fill="auto"/>
        </w:rPr>
        <w:t>支出</w:t>
      </w:r>
    </w:p>
    <w:p w14:paraId="7750329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绩效评价报告</w:t>
      </w:r>
      <w:bookmarkEnd w:id="4"/>
      <w:bookmarkEnd w:id="5"/>
      <w:bookmarkEnd w:id="6"/>
      <w:bookmarkEnd w:id="7"/>
    </w:p>
    <w:p w14:paraId="3EEB4BB6">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46DE4E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9" w:name="_Toc23184"/>
      <w:r>
        <w:rPr>
          <w:rFonts w:hint="eastAsia" w:ascii="Times New Roman" w:hAnsi="Times New Roman" w:eastAsia="楷体_GB2312" w:cs="Times New Roman"/>
          <w:color w:val="auto"/>
          <w:kern w:val="28"/>
          <w:sz w:val="32"/>
          <w:lang w:val="en-US" w:eastAsia="zh-CN"/>
        </w:rPr>
        <w:t>（一）项目概况</w:t>
      </w:r>
      <w:bookmarkEnd w:id="9"/>
    </w:p>
    <w:p w14:paraId="6D4AA9B2">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2346"/>
      <w:bookmarkStart w:id="11" w:name="_Toc29812"/>
      <w:bookmarkStart w:id="12" w:name="_Toc10645"/>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52E0AA0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rPr>
      </w:pPr>
      <w:bookmarkStart w:id="14" w:name="_Toc1630"/>
      <w:bookmarkStart w:id="15" w:name="_Toc17880"/>
      <w:bookmarkStart w:id="16" w:name="_Toc27343"/>
      <w:bookmarkStart w:id="17" w:name="_Toc10730"/>
      <w:r>
        <w:rPr>
          <w:rFonts w:hint="eastAsia" w:ascii="仿宋_GB2312" w:hAnsi="仿宋_GB2312" w:eastAsia="仿宋_GB2312" w:cs="仿宋_GB2312"/>
          <w:b w:val="0"/>
          <w:bCs w:val="0"/>
          <w:color w:val="auto"/>
          <w:sz w:val="32"/>
          <w:szCs w:val="32"/>
          <w:highlight w:val="none"/>
          <w:lang w:val="en-US" w:eastAsia="zh-CN"/>
        </w:rPr>
        <w:t>根据新疆维吾尔自治区关于《自治区学前三年免费教育经费保障机制管理办法》的通知（新财教</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cs="仿宋_GB2312"/>
          <w:b w:val="0"/>
          <w:bCs w:val="0"/>
          <w:color w:val="auto"/>
          <w:sz w:val="32"/>
          <w:szCs w:val="32"/>
          <w:highlight w:val="none"/>
          <w:shd w:val="clear" w:color="auto" w:fill="auto"/>
          <w:lang w:val="en-US" w:eastAsia="zh-CN"/>
        </w:rPr>
        <w:t>2017</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 w:val="0"/>
          <w:bCs w:val="0"/>
          <w:color w:val="auto"/>
          <w:sz w:val="32"/>
          <w:szCs w:val="32"/>
          <w:highlight w:val="none"/>
          <w:lang w:val="en-US" w:eastAsia="zh-CN"/>
        </w:rPr>
        <w:t>19号）文件要求，为3-6岁学龄前儿童提供保育与教育，落实好学前三年教育目标，改善幼儿园的办学条件，保障幼儿在园教学需求，为幼儿提供优质的保教环境，提升幼儿园教育质量，保障幼儿能接受优质、均衡的学前教育。</w:t>
      </w:r>
      <w:bookmarkEnd w:id="14"/>
      <w:bookmarkEnd w:id="15"/>
      <w:bookmarkEnd w:id="16"/>
      <w:bookmarkEnd w:id="17"/>
    </w:p>
    <w:p w14:paraId="736333A6">
      <w:pPr>
        <w:pStyle w:val="4"/>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cs="仿宋_GB2312"/>
          <w:color w:val="auto"/>
          <w:sz w:val="32"/>
          <w:szCs w:val="32"/>
          <w:highlight w:val="none"/>
          <w:shd w:val="clear" w:color="auto" w:fill="auto"/>
          <w:lang w:val="en-US" w:eastAsia="zh-CN"/>
        </w:rPr>
      </w:pPr>
      <w:bookmarkStart w:id="18" w:name="_Toc27245"/>
      <w:bookmarkStart w:id="19" w:name="_Toc27409"/>
      <w:bookmarkStart w:id="20" w:name="_Toc21898"/>
      <w:bookmarkStart w:id="21" w:name="_Toc16592"/>
      <w:r>
        <w:rPr>
          <w:rFonts w:hint="eastAsia" w:cs="仿宋_GB2312"/>
          <w:color w:val="auto"/>
          <w:sz w:val="32"/>
          <w:szCs w:val="32"/>
          <w:highlight w:val="none"/>
          <w:shd w:val="clear" w:color="auto" w:fill="auto"/>
          <w:lang w:val="en-US" w:eastAsia="zh-CN"/>
        </w:rPr>
        <w:t>2.主要内容及实施情况</w:t>
      </w:r>
    </w:p>
    <w:p w14:paraId="65C21D62">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sz w:val="32"/>
          <w:szCs w:val="32"/>
          <w:highlight w:val="none"/>
          <w:lang w:val="en-US" w:eastAsia="zh-CN"/>
        </w:rPr>
        <w:t>依据幼儿园在园幼儿人数，按一定标准核算并下发生均经费。经费主要用于教师工资待遇提升，吸引和留住优秀师资；购置教育教学设备，开发适合幼儿的特色课程，丰富教学内容；完善幼儿园的安全防护设施，包括门禁系统、监控设备等。</w:t>
      </w:r>
    </w:p>
    <w:p w14:paraId="4ADF967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项目实施情况：本项目自2024年1月1日经财政局文件批复，财政局会议确定了项目领导小组，明确了责任分工：组长为侯梦婷，副组长为马爱智，项目负责人为热合木古丽,组员为石惠、许红运。其中：侯梦婷负责监管工作，许红运负责项目档案资料，石惠负责资金拨付工作。</w:t>
      </w:r>
    </w:p>
    <w:p w14:paraId="006ADE6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2" w:name="_Toc12348"/>
      <w:bookmarkStart w:id="23" w:name="_Toc1858"/>
      <w:bookmarkStart w:id="24" w:name="_Toc569"/>
      <w:bookmarkStart w:id="25" w:name="_Toc10240"/>
      <w:r>
        <w:rPr>
          <w:rFonts w:hint="eastAsia" w:ascii="仿宋_GB2312" w:hAnsi="仿宋_GB2312" w:eastAsia="仿宋_GB2312" w:cs="仿宋_GB2312"/>
          <w:color w:val="auto"/>
          <w:sz w:val="32"/>
          <w:szCs w:val="32"/>
          <w:highlight w:val="none"/>
          <w:lang w:val="en-US" w:eastAsia="zh-CN"/>
        </w:rPr>
        <w:t>截至2024年12月31日，已完成农村学前三年适龄幼儿数93人，公用经费享受比例100%，教师培训结业率100%。公用经费支出及时率100%，公用经费标准按照1100元/人/年执行。</w:t>
      </w:r>
    </w:p>
    <w:p w14:paraId="3DAC26DD">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88EA7D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23509"/>
      <w:bookmarkStart w:id="28" w:name="_Toc694"/>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33809BD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5573"/>
      <w:bookmarkStart w:id="31" w:name="_Toc9464"/>
      <w:r>
        <w:rPr>
          <w:rFonts w:hint="eastAsia" w:ascii="仿宋_GB2312" w:hAnsi="仿宋_GB2312" w:eastAsia="仿宋_GB2312" w:cs="仿宋_GB2312"/>
          <w:color w:val="auto"/>
          <w:sz w:val="32"/>
          <w:szCs w:val="32"/>
          <w:highlight w:val="none"/>
          <w:lang w:val="en-US" w:eastAsia="zh-CN"/>
        </w:rPr>
        <w:t>该项目年初预算数16.31万元，全年预算6.72万元该项目资金已全部落实到位，资金来源为财政拨款。</w:t>
      </w:r>
      <w:bookmarkEnd w:id="29"/>
      <w:bookmarkEnd w:id="30"/>
      <w:bookmarkEnd w:id="31"/>
      <w:bookmarkStart w:id="32" w:name="_Toc28187"/>
      <w:bookmarkStart w:id="33" w:name="_Toc3409"/>
      <w:bookmarkStart w:id="34" w:name="_Toc1166"/>
    </w:p>
    <w:p w14:paraId="7DE6AAB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1443EEA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430"/>
      <w:bookmarkStart w:id="36" w:name="_Toc29121"/>
      <w:bookmarkStart w:id="37" w:name="_Toc11647"/>
      <w:r>
        <w:rPr>
          <w:rFonts w:hint="eastAsia" w:ascii="仿宋_GB2312" w:hAnsi="仿宋_GB2312" w:eastAsia="仿宋_GB2312" w:cs="仿宋_GB2312"/>
          <w:color w:val="auto"/>
          <w:sz w:val="32"/>
          <w:szCs w:val="32"/>
          <w:highlight w:val="none"/>
          <w:lang w:val="en-US" w:eastAsia="zh-CN"/>
        </w:rPr>
        <w:t>该项目年初预算数16.31万元，全年预算数6.72万元，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全年执行数6.72万元，预算执行率为100%，主要用于：</w:t>
      </w:r>
      <w:bookmarkEnd w:id="35"/>
      <w:bookmarkEnd w:id="36"/>
      <w:bookmarkEnd w:id="37"/>
      <w:r>
        <w:rPr>
          <w:rFonts w:hint="eastAsia" w:ascii="仿宋_GB2312" w:hAnsi="仿宋_GB2312" w:eastAsia="仿宋_GB2312" w:cs="仿宋_GB2312"/>
          <w:color w:val="auto"/>
          <w:sz w:val="32"/>
          <w:szCs w:val="32"/>
          <w:highlight w:val="none"/>
          <w:lang w:val="en-US" w:eastAsia="zh-CN"/>
        </w:rPr>
        <w:t>主要用于支付日常办公用品采购、卫生用品购置、水费、电费、邮电费、取暖费缴纳、幼儿园设施设备维修及幼儿伙食补助发放等。</w:t>
      </w:r>
    </w:p>
    <w:p w14:paraId="760338A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38" w:name="_Toc9109"/>
      <w:r>
        <w:rPr>
          <w:rFonts w:hint="eastAsia" w:ascii="Times New Roman" w:hAnsi="Times New Roman" w:eastAsia="楷体_GB2312" w:cs="Times New Roman"/>
          <w:color w:val="auto"/>
          <w:kern w:val="28"/>
          <w:sz w:val="32"/>
          <w:lang w:val="en-US" w:eastAsia="zh-CN"/>
        </w:rPr>
        <w:t>（二）项目绩效目标</w:t>
      </w:r>
      <w:bookmarkEnd w:id="38"/>
    </w:p>
    <w:p w14:paraId="6F316ACC">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2547"/>
      <w:bookmarkStart w:id="41" w:name="_Toc8528"/>
      <w:bookmarkStart w:id="42"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575F4DA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学前教育生均经费项目绩效总体目标为：2024年阜康市上户沟哈萨克族乡第一中心幼儿园计划保障幼儿园正常运转，教学活动及其他日常业务的正常运转。计划完成每学年以1100元每生每学年的标准使用公用经费,总计在园幼儿人数93人，公用经费享受比例和教师培训结业率预计达到100%。通过开展各类教育教学活动，促进幼儿园各项活动有序开展，实现幼儿园年初制定的各项工作目标，进一步提高幼儿园教育教学水平。</w:t>
      </w:r>
    </w:p>
    <w:p w14:paraId="3BB944F8">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3255"/>
      <w:bookmarkStart w:id="44" w:name="_Toc8990"/>
      <w:bookmarkStart w:id="45" w:name="_Toc4007"/>
      <w:bookmarkStart w:id="46" w:name="_Toc448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2523ED9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w:t>
      </w:r>
      <w:bookmarkStart w:id="47" w:name="OLE_LINK1"/>
      <w:r>
        <w:rPr>
          <w:rFonts w:hint="eastAsia" w:ascii="仿宋_GB2312" w:hAnsi="仿宋_GB2312" w:eastAsia="仿宋_GB2312" w:cs="仿宋_GB2312"/>
          <w:bCs/>
          <w:color w:val="auto"/>
          <w:sz w:val="32"/>
          <w:szCs w:val="32"/>
          <w:highlight w:val="none"/>
          <w:shd w:val="clear" w:color="auto" w:fill="auto"/>
          <w:lang w:eastAsia="zh-CN"/>
        </w:rPr>
        <w:t>〔20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bookmarkEnd w:id="47"/>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23B924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202FA4E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B722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在园学生人数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指标，预期目标值为=93人；</w:t>
      </w:r>
    </w:p>
    <w:p w14:paraId="5A23D02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27ABA18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602FD6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教师培训结业率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7BFFD42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616DA8C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公用经费支出及时率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5A9A85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4536C1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指标，预期目标值为=1100元/人/年；</w:t>
      </w:r>
    </w:p>
    <w:p w14:paraId="75A128B7">
      <w:pPr>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39600ED4">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33731364">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color w:va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项目不涉及经济效益指标。</w:t>
      </w:r>
    </w:p>
    <w:p w14:paraId="04792CC5">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021EDDC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9B89B9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“改善教学环境，提供良好的学生成长条件”预期目标值为改善</w:t>
      </w:r>
    </w:p>
    <w:p w14:paraId="2FE58FF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35178303">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项目不涉及生态效益指标。</w:t>
      </w:r>
    </w:p>
    <w:p w14:paraId="40B5EEBF">
      <w:pPr>
        <w:pageBreakBefore w:val="0"/>
        <w:widowControl w:val="0"/>
        <w:kinsoku/>
        <w:wordWrap/>
        <w:overflowPunct/>
        <w:topLinePunct w:val="0"/>
        <w:autoSpaceDE/>
        <w:autoSpaceDN/>
        <w:bidi w:val="0"/>
        <w:adjustRightInd/>
        <w:snapToGrid/>
        <w:spacing w:line="560" w:lineRule="exact"/>
        <w:textAlignment w:val="auto"/>
        <w:rPr>
          <w:rFonts w:hint="default"/>
          <w:color w:va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④可持续影响指标</w:t>
      </w:r>
    </w:p>
    <w:p w14:paraId="3854DF8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项目不涉及可持续影响指标。</w:t>
      </w:r>
    </w:p>
    <w:p w14:paraId="2B004D1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3EF105D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6F876E83">
      <w:pPr>
        <w:pStyle w:val="2"/>
        <w:pageBreakBefore w:val="0"/>
        <w:kinsoku/>
        <w:wordWrap/>
        <w:overflowPunct/>
        <w:topLinePunct w:val="0"/>
        <w:autoSpaceDE/>
        <w:autoSpaceDN/>
        <w:bidi w:val="0"/>
        <w:adjustRightInd/>
        <w:snapToGrid/>
        <w:spacing w:beforeLines="0" w:afterLines="0" w:line="560" w:lineRule="exact"/>
        <w:ind w:left="0" w:leftChars="0" w:firstLine="643" w:firstLineChars="200"/>
        <w:textAlignment w:val="auto"/>
        <w:rPr>
          <w:rFonts w:hint="eastAsia" w:ascii="宋体" w:hAnsi="宋体" w:eastAsia="宋体" w:cs="宋体"/>
          <w:b/>
          <w:bCs/>
          <w:color w:val="auto"/>
          <w:highlight w:val="none"/>
          <w:shd w:val="clear" w:color="auto" w:fill="auto"/>
          <w:lang w:val="en-US" w:eastAsia="zh-CN"/>
        </w:rPr>
      </w:pPr>
      <w:bookmarkStart w:id="48" w:name="_Toc26567"/>
      <w:r>
        <w:rPr>
          <w:rFonts w:hint="eastAsia" w:ascii="宋体" w:hAnsi="宋体" w:eastAsia="宋体" w:cs="宋体"/>
          <w:b/>
          <w:bCs/>
          <w:color w:val="auto"/>
          <w:highlight w:val="none"/>
          <w:shd w:val="clear" w:color="auto" w:fill="auto"/>
        </w:rPr>
        <w:t>二、绩效评价工作开展情况</w:t>
      </w:r>
      <w:bookmarkEnd w:id="48"/>
    </w:p>
    <w:p w14:paraId="0D725A0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49" w:name="_Toc5462343"/>
      <w:bookmarkStart w:id="50" w:name="_Toc26632"/>
      <w:bookmarkStart w:id="51" w:name="_Toc12868"/>
      <w:bookmarkStart w:id="52" w:name="_Toc5258"/>
      <w:bookmarkStart w:id="53" w:name="_Toc22922"/>
      <w:bookmarkStart w:id="54" w:name="_Toc21664"/>
      <w:bookmarkStart w:id="55" w:name="_Toc22169_WPSOffice_Level2"/>
      <w:bookmarkStart w:id="56" w:name="_Toc480473081"/>
      <w:bookmarkStart w:id="57" w:name="_Toc22839"/>
      <w:r>
        <w:rPr>
          <w:rFonts w:hint="eastAsia" w:ascii="Times New Roman" w:hAnsi="Times New Roman" w:eastAsia="楷体_GB2312" w:cs="Times New Roman"/>
          <w:color w:val="auto"/>
          <w:kern w:val="28"/>
          <w:sz w:val="32"/>
          <w:lang w:val="en-US" w:eastAsia="zh-CN"/>
        </w:rPr>
        <w:t>（一）绩效评价的目的</w:t>
      </w:r>
      <w:bookmarkEnd w:id="49"/>
      <w:bookmarkEnd w:id="50"/>
      <w:bookmarkEnd w:id="51"/>
      <w:bookmarkEnd w:id="52"/>
      <w:bookmarkEnd w:id="53"/>
      <w:bookmarkEnd w:id="54"/>
      <w:bookmarkEnd w:id="55"/>
      <w:bookmarkEnd w:id="56"/>
      <w:r>
        <w:rPr>
          <w:rFonts w:hint="eastAsia" w:ascii="Times New Roman" w:hAnsi="Times New Roman" w:eastAsia="楷体_GB2312" w:cs="Times New Roman"/>
          <w:color w:val="auto"/>
          <w:kern w:val="28"/>
          <w:sz w:val="32"/>
          <w:lang w:val="en-US" w:eastAsia="zh-CN"/>
        </w:rPr>
        <w:t>、对象和范围</w:t>
      </w:r>
      <w:bookmarkEnd w:id="57"/>
    </w:p>
    <w:p w14:paraId="038148A8">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8"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1E102181">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23D0D05">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1F221B6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C1808EB">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744DB88">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618C307">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9" w:name="_Toc21770"/>
      <w:bookmarkStart w:id="60"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8"/>
      <w:bookmarkEnd w:id="59"/>
      <w:bookmarkEnd w:id="60"/>
    </w:p>
    <w:p w14:paraId="43A79803">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3F5BA6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1" w:name="_Toc30609"/>
      <w:r>
        <w:rPr>
          <w:rFonts w:hint="default" w:ascii="Times New Roman" w:hAnsi="Times New Roman" w:eastAsia="仿宋_GB2312" w:cs="Times New Roman"/>
          <w:color w:val="auto"/>
          <w:sz w:val="32"/>
          <w:szCs w:val="32"/>
          <w:highlight w:val="none"/>
        </w:rPr>
        <w:t>（1）评估项目实施效果</w:t>
      </w:r>
    </w:p>
    <w:p w14:paraId="142520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0298DF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17E0A9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9C0A4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796CEB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4BFCC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39A4C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1BCAA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1D7DE5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88B6A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6465D36">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2" w:name="_Toc31970"/>
      <w:bookmarkStart w:id="63"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1"/>
      <w:bookmarkEnd w:id="62"/>
      <w:bookmarkEnd w:id="63"/>
    </w:p>
    <w:p w14:paraId="60D14E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r>
        <w:rPr>
          <w:rFonts w:hint="eastAsia" w:ascii="Times New Roman" w:hAnsi="Times New Roman" w:eastAsia="仿宋_GB2312" w:cs="Times New Roman"/>
          <w:b w:val="0"/>
          <w:bCs w:val="0"/>
          <w:color w:val="auto"/>
          <w:kern w:val="2"/>
          <w:sz w:val="32"/>
          <w:szCs w:val="32"/>
          <w:highlight w:val="none"/>
          <w:lang w:val="en-US" w:eastAsia="zh-CN" w:bidi="ar-SA"/>
        </w:rPr>
        <w:t>2024年学前教育生均经费项目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19F7288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由阜康市上户沟哈萨克族乡第一中心幼儿园</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计划完成每学年以1100元每生每学年的标准使用公用经费,总计在园幼儿人数93人。通过开展各类教育教学活动，促进幼儿园各项活动有序开展，实现幼儿园年初制定的各项工作目标，进一步提高幼儿园教育教学水平</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6.72</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664E314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4" w:name="_Toc21311"/>
      <w:bookmarkStart w:id="65" w:name="_Toc11666"/>
      <w:r>
        <w:rPr>
          <w:rFonts w:hint="default" w:cs="仿宋_GB2312"/>
          <w:color w:val="auto"/>
          <w:sz w:val="32"/>
          <w:szCs w:val="32"/>
          <w:highlight w:val="none"/>
          <w:shd w:val="clear" w:color="auto" w:fill="auto"/>
          <w:lang w:val="en-US" w:eastAsia="zh-CN"/>
        </w:rPr>
        <w:t>4.绩效评价的范围</w:t>
      </w:r>
      <w:bookmarkEnd w:id="64"/>
      <w:bookmarkEnd w:id="65"/>
    </w:p>
    <w:p w14:paraId="1065A06F">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3D0970B">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342A3148">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57D4FDDF">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2AE22032">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green"/>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w:t>
      </w:r>
      <w:r>
        <w:rPr>
          <w:rFonts w:hint="eastAsia" w:ascii="仿宋_GB2312" w:hAnsi="仿宋_GB2312" w:eastAsia="仿宋_GB2312" w:cs="仿宋_GB2312"/>
          <w:b w:val="0"/>
          <w:bCs w:val="0"/>
          <w:color w:val="auto"/>
          <w:sz w:val="32"/>
          <w:szCs w:val="32"/>
          <w:highlight w:val="none"/>
          <w:lang w:val="en-US" w:eastAsia="zh-CN"/>
        </w:rPr>
        <w:t>生态</w:t>
      </w:r>
      <w:r>
        <w:rPr>
          <w:rFonts w:hint="eastAsia" w:ascii="仿宋_GB2312" w:hAnsi="仿宋_GB2312" w:eastAsia="仿宋_GB2312" w:cs="仿宋_GB2312"/>
          <w:b w:val="0"/>
          <w:bCs w:val="0"/>
          <w:color w:val="auto"/>
          <w:sz w:val="32"/>
          <w:szCs w:val="32"/>
          <w:highlight w:val="none"/>
        </w:rPr>
        <w:t>、经济等方面的综合影响。</w:t>
      </w:r>
    </w:p>
    <w:p w14:paraId="5E9FA1D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66" w:name="_Toc1286"/>
      <w:bookmarkStart w:id="67" w:name="_Toc29785"/>
      <w:r>
        <w:rPr>
          <w:rFonts w:hint="eastAsia" w:ascii="Times New Roman" w:hAnsi="Times New Roman" w:eastAsia="楷体_GB2312" w:cs="Times New Roman"/>
          <w:color w:val="auto"/>
          <w:kern w:val="28"/>
          <w:sz w:val="32"/>
          <w:lang w:val="en-US" w:eastAsia="zh-CN"/>
        </w:rPr>
        <w:t>（二）绩效评价原则、评价指标体系（</w:t>
      </w:r>
      <w:r>
        <w:rPr>
          <w:rFonts w:hint="default" w:ascii="Times New Roman" w:hAnsi="Times New Roman" w:eastAsia="楷体_GB2312" w:cs="Times New Roman"/>
          <w:color w:val="auto"/>
          <w:kern w:val="28"/>
          <w:sz w:val="32"/>
          <w:lang w:val="en-US" w:eastAsia="zh-CN"/>
        </w:rPr>
        <w:t>详情见</w:t>
      </w:r>
      <w:r>
        <w:rPr>
          <w:rFonts w:hint="eastAsia" w:ascii="Times New Roman" w:hAnsi="Times New Roman" w:eastAsia="楷体_GB2312" w:cs="Times New Roman"/>
          <w:color w:val="auto"/>
          <w:kern w:val="28"/>
          <w:sz w:val="32"/>
          <w:lang w:val="en-US" w:eastAsia="zh-CN"/>
        </w:rPr>
        <w:t>附件二）、评价方法、评价标准</w:t>
      </w:r>
      <w:bookmarkEnd w:id="66"/>
      <w:bookmarkEnd w:id="67"/>
    </w:p>
    <w:p w14:paraId="034E5DEF">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lang w:val="en-US" w:eastAsia="zh-CN" w:bidi="ar-SA"/>
        </w:rPr>
      </w:pPr>
      <w:bookmarkStart w:id="68" w:name="_Toc13694"/>
      <w:bookmarkStart w:id="69" w:name="_Toc24506"/>
      <w:bookmarkStart w:id="70" w:name="_Toc5354"/>
      <w:r>
        <w:rPr>
          <w:rFonts w:hint="eastAsia" w:ascii="Times New Roman" w:hAnsi="Times New Roman" w:eastAsia="仿宋_GB2312" w:cs="Times New Roman"/>
          <w:b/>
          <w:bCs/>
          <w:color w:val="auto"/>
          <w:kern w:val="2"/>
          <w:sz w:val="32"/>
          <w:szCs w:val="32"/>
          <w:lang w:val="en-US" w:eastAsia="zh-CN" w:bidi="ar-SA"/>
        </w:rPr>
        <w:t>1.绩效评价原则</w:t>
      </w:r>
      <w:bookmarkEnd w:id="68"/>
      <w:bookmarkEnd w:id="69"/>
      <w:bookmarkEnd w:id="70"/>
    </w:p>
    <w:p w14:paraId="7B9E948A">
      <w:pPr>
        <w:spacing w:line="560" w:lineRule="exact"/>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依据《财政支出绩效评价管理暂行办法》（财预〔2020〕10号）本次绩效评价秉承科学规范、公正公开、分级分类、绩效相关等原则，按照从投入、过程到产出效果和影响的绩效逻辑路径，结合2024年学前教育生均经费项目实际开展情况，运用定量和定性分析相结合的方法，总结经验做法，反思项目实施和管理中的问题，以切实提升财政资金管理的科学化、规范化和精细化水平。</w:t>
      </w:r>
    </w:p>
    <w:p w14:paraId="27570651">
      <w:pPr>
        <w:spacing w:line="560" w:lineRule="exact"/>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根据以上原则，绩效评价应遵循如下要求：</w:t>
      </w:r>
    </w:p>
    <w:p w14:paraId="26EFC55B">
      <w:pPr>
        <w:spacing w:line="560" w:lineRule="exact"/>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（1）科学公正。绩效评价应当运用科学合理的方法，按照规范的程序，对项目绩效进行客观、公正的反映。</w:t>
      </w:r>
    </w:p>
    <w:p w14:paraId="1B7CB906">
      <w:pPr>
        <w:spacing w:line="560" w:lineRule="exact"/>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（2）统筹兼顾。单位自评、部门评价和财政评价应职责明确，各有侧重，相互衔接。单位自评应由项目单位自主实施，即“谁支出、谁自评”。</w:t>
      </w:r>
    </w:p>
    <w:p w14:paraId="5723DC09">
      <w:pPr>
        <w:spacing w:line="560" w:lineRule="exact"/>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（3）激励约束。绩效评价结果应与预算安排、政策调整、改进管理实质性挂钩，体现奖优罚劣和激励相容导向，有效要安排、低效要压减、无效要问责。</w:t>
      </w:r>
    </w:p>
    <w:p w14:paraId="38D7F501">
      <w:pPr>
        <w:spacing w:line="560" w:lineRule="exact"/>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（4）公开透明。绩效评价结果应依法依规公开，并自觉接受社会监督。</w:t>
      </w:r>
    </w:p>
    <w:p w14:paraId="2755EA65">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bookmarkStart w:id="71" w:name="_Toc1913"/>
      <w:bookmarkStart w:id="72" w:name="_Toc24396"/>
      <w:bookmarkStart w:id="73" w:name="_Toc26131"/>
      <w:bookmarkStart w:id="74" w:name="_Toc419984722"/>
      <w:bookmarkStart w:id="75" w:name="_Toc428278230"/>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绩效评价指标体系</w:t>
      </w:r>
      <w:bookmarkEnd w:id="71"/>
      <w:bookmarkEnd w:id="72"/>
      <w:bookmarkEnd w:id="73"/>
      <w:bookmarkEnd w:id="74"/>
      <w:bookmarkEnd w:id="75"/>
    </w:p>
    <w:p w14:paraId="67EE59C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bookmarkStart w:id="76" w:name="_Toc9941"/>
      <w:r>
        <w:rPr>
          <w:rFonts w:hint="eastAsia" w:ascii="仿宋_GB2312" w:hAnsi="仿宋_GB2312" w:eastAsia="仿宋_GB2312" w:cs="仿宋_GB2312"/>
          <w:color w:val="auto"/>
          <w:spacing w:val="17"/>
          <w:sz w:val="32"/>
          <w:szCs w:val="32"/>
        </w:rPr>
        <w:t>绩效评价框架是开展绩效评价的核心。绩效评价框架包括评价准则、关键评价问题、评价指标、数据来源、数据收集方法等。指标体系建立过程如下：</w:t>
      </w:r>
    </w:p>
    <w:p w14:paraId="755B127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（1）确定评价指标</w:t>
      </w:r>
    </w:p>
    <w:p w14:paraId="7D58878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B1EF82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（2）确定权重</w:t>
      </w:r>
    </w:p>
    <w:p w14:paraId="61CCC2B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lang w:eastAsia="zh-CN"/>
        </w:rPr>
      </w:pPr>
      <w:r>
        <w:rPr>
          <w:rFonts w:hint="eastAsia" w:ascii="仿宋_GB2312" w:hAnsi="仿宋_GB2312" w:eastAsia="仿宋_GB2312" w:cs="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14:paraId="4F40019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（3）确定指标标准值</w:t>
      </w:r>
    </w:p>
    <w:p w14:paraId="7FD713C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指标标准值是绩效评价指标的尺度，既要反映同类项目的先进水平，又要符合项目的实际绩效水平。具体采用计划标准等确定此次绩效评价指标标准值。</w:t>
      </w:r>
    </w:p>
    <w:p w14:paraId="72B156B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绩效评价总分值100分，根据综合评分结果，90（含）-100分为优、80（含）-90分为良、60（含）-80分为中、60分以下为差。</w:t>
      </w:r>
    </w:p>
    <w:p w14:paraId="127B05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w:t>
      </w:r>
      <w:r>
        <w:rPr>
          <w:rFonts w:hint="eastAsia" w:ascii="仿宋_GB2312" w:hAnsi="仿宋_GB2312" w:eastAsia="仿宋_GB2312" w:cs="仿宋_GB2312"/>
          <w:color w:val="auto"/>
          <w:sz w:val="32"/>
          <w:szCs w:val="32"/>
          <w:lang w:val="zh-TW" w:eastAsia="zh-TW"/>
        </w:rPr>
        <w:t>根据项目的</w:t>
      </w:r>
      <w:r>
        <w:rPr>
          <w:rFonts w:hint="eastAsia" w:ascii="仿宋_GB2312" w:hAnsi="仿宋_GB2312" w:eastAsia="仿宋_GB2312" w:cs="仿宋_GB2312"/>
          <w:color w:val="auto"/>
          <w:sz w:val="32"/>
          <w:szCs w:val="32"/>
          <w:lang w:val="en-US" w:eastAsia="zh-CN"/>
        </w:rPr>
        <w:t>实施</w:t>
      </w:r>
      <w:r>
        <w:rPr>
          <w:rFonts w:hint="eastAsia" w:ascii="仿宋_GB2312" w:hAnsi="仿宋_GB2312" w:eastAsia="仿宋_GB2312" w:cs="仿宋_GB2312"/>
          <w:color w:val="auto"/>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en-US" w:eastAsia="zh-CN"/>
        </w:rPr>
        <w:t>详见上传的附件二。</w:t>
      </w:r>
    </w:p>
    <w:p w14:paraId="57438C8D">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7" w:name="_Toc30114"/>
      <w:bookmarkStart w:id="78"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6"/>
      <w:bookmarkEnd w:id="77"/>
      <w:bookmarkEnd w:id="78"/>
    </w:p>
    <w:p w14:paraId="3A6F7811">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bookmarkStart w:id="79" w:name="_Toc25391"/>
      <w:r>
        <w:rPr>
          <w:rFonts w:hint="eastAsia" w:ascii="仿宋_GB2312" w:hAnsi="仿宋_GB2312" w:eastAsia="仿宋_GB2312" w:cs="仿宋_GB2312"/>
          <w:color w:val="auto"/>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lang w:eastAsia="zh-CN"/>
        </w:rPr>
        <w:t>，</w:t>
      </w:r>
      <w:r>
        <w:rPr>
          <w:rFonts w:hint="eastAsia" w:ascii="仿宋_GB2312" w:hAnsi="仿宋_GB2312" w:eastAsia="仿宋_GB2312" w:cs="仿宋_GB2312"/>
          <w:color w:val="auto"/>
          <w:spacing w:val="17"/>
          <w:sz w:val="32"/>
          <w:szCs w:val="32"/>
        </w:rPr>
        <w:t>评价核心为资金的支出完成情况和项目的产出效益。</w:t>
      </w:r>
    </w:p>
    <w:p w14:paraId="6384B7D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17"/>
          <w:sz w:val="32"/>
          <w:szCs w:val="32"/>
        </w:rPr>
        <w:t>本次评价指标中，既有定性指标又有定量指标，各类指标因考核内容不同和客观标准不同存在较大差异，因此核定具体指标时采用了不同方法，具体评价方法如下：</w:t>
      </w:r>
    </w:p>
    <w:p w14:paraId="3D4BDCC0">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p>
    <w:p w14:paraId="64874C9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）最低成本法。是指在绩效目标确定的前提下，成本最小者为优的方法。</w:t>
      </w:r>
    </w:p>
    <w:p w14:paraId="2E2C2B03">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0" w:name="_Toc25651"/>
      <w:bookmarkStart w:id="81"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9"/>
      <w:bookmarkEnd w:id="80"/>
      <w:bookmarkEnd w:id="81"/>
    </w:p>
    <w:p w14:paraId="0607F383">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计划标准、历史</w:t>
      </w:r>
      <w:r>
        <w:rPr>
          <w:rFonts w:hint="default" w:ascii="Times New Roman" w:hAnsi="Times New Roman" w:eastAsia="仿宋_GB2312" w:cs="Times New Roman"/>
          <w:color w:val="auto"/>
          <w:spacing w:val="17"/>
          <w:sz w:val="32"/>
          <w:szCs w:val="32"/>
          <w:highlight w:val="none"/>
        </w:rPr>
        <w:t>标准。</w:t>
      </w:r>
    </w:p>
    <w:p w14:paraId="2425ED1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3052DDC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70B40E5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82" w:name="_Toc21435"/>
      <w:r>
        <w:rPr>
          <w:rFonts w:hint="eastAsia" w:ascii="Times New Roman" w:hAnsi="Times New Roman" w:eastAsia="楷体_GB2312" w:cs="Times New Roman"/>
          <w:color w:val="auto"/>
          <w:kern w:val="28"/>
          <w:sz w:val="32"/>
          <w:lang w:val="en-US" w:eastAsia="zh-CN"/>
        </w:rPr>
        <w:t>（三）绩效评价工作过程</w:t>
      </w:r>
      <w:bookmarkEnd w:id="82"/>
    </w:p>
    <w:p w14:paraId="3CC1E4E9">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3"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3"/>
    </w:p>
    <w:p w14:paraId="60BCE4C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3C4BA1B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34804A0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4"/>
    </w:p>
    <w:p w14:paraId="111336A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Times New Roman" w:hAnsi="Times New Roman" w:eastAsia="仿宋_GB2312" w:cs="Times New Roman"/>
          <w:b w:val="0"/>
          <w:bCs w:val="0"/>
          <w:color w:val="auto"/>
          <w:kern w:val="2"/>
          <w:sz w:val="32"/>
          <w:szCs w:val="32"/>
          <w:highlight w:val="none"/>
          <w:lang w:val="en-US" w:eastAsia="zh-CN" w:bidi="ar-SA"/>
        </w:rPr>
        <w:t>2024年学前教育生均经费项目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5"/>
    </w:p>
    <w:p w14:paraId="0DE3B87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6"/>
    </w:p>
    <w:p w14:paraId="7247255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7"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7"/>
    </w:p>
    <w:p w14:paraId="26A340B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8"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8"/>
    </w:p>
    <w:p w14:paraId="7514DCD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9"/>
    </w:p>
    <w:p w14:paraId="310A10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90"/>
    </w:p>
    <w:p w14:paraId="7AAB5C6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1"/>
    </w:p>
    <w:p w14:paraId="7A58D04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2"/>
    </w:p>
    <w:p w14:paraId="70E02AA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3"/>
    </w:p>
    <w:p w14:paraId="0A6DE1F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4"/>
    </w:p>
    <w:p w14:paraId="3E1258F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5"/>
    </w:p>
    <w:p w14:paraId="52FAA1D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6"/>
    </w:p>
    <w:p w14:paraId="2941BE5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7"/>
    </w:p>
    <w:p w14:paraId="5D3C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8"/>
    </w:p>
    <w:p w14:paraId="5AC6A69D">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9"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9"/>
    </w:p>
    <w:p w14:paraId="19B851F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00"/>
    </w:p>
    <w:p w14:paraId="6FAFAC3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1"/>
    </w:p>
    <w:p w14:paraId="5AB6307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2"/>
    </w:p>
    <w:p w14:paraId="5D7D98C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3"/>
    </w:p>
    <w:p w14:paraId="5793F80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4"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4"/>
    </w:p>
    <w:p w14:paraId="092697E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5"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5"/>
    </w:p>
    <w:p w14:paraId="11EAC27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23319"/>
      <w:r>
        <w:rPr>
          <w:rFonts w:hint="eastAsia" w:ascii="Times New Roman" w:hAnsi="Times New Roman" w:eastAsia="楷体_GB2312" w:cs="Times New Roman"/>
          <w:color w:val="auto"/>
          <w:kern w:val="28"/>
          <w:sz w:val="32"/>
          <w:lang w:val="en-US" w:eastAsia="zh-CN"/>
        </w:rPr>
        <w:t>（一）综合评价情况及评价结论</w:t>
      </w:r>
      <w:bookmarkEnd w:id="106"/>
    </w:p>
    <w:p w14:paraId="6EA835C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昌州财教[2023]96号提前下达2024年学前教育生均经费项目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D6BD19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阜康市上户沟哈萨克族乡第一中心幼儿园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6921F04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学校正常运转率、改善教学环境，提供良好的学生成长条件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747F593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b w:val="0"/>
          <w:bCs w:val="0"/>
          <w:color w:val="auto"/>
          <w:kern w:val="2"/>
          <w:sz w:val="32"/>
          <w:szCs w:val="32"/>
          <w:highlight w:val="none"/>
          <w:lang w:val="en-US" w:eastAsia="zh-CN" w:bidi="ar-SA"/>
        </w:rPr>
        <w:t>2024年学前教育生均经费项目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701FE85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7" w:name="_Toc11863"/>
      <w:r>
        <w:rPr>
          <w:rFonts w:hint="eastAsia" w:ascii="Times New Roman" w:hAnsi="Times New Roman" w:eastAsia="楷体_GB2312" w:cs="Times New Roman"/>
          <w:color w:val="auto"/>
          <w:kern w:val="28"/>
          <w:sz w:val="32"/>
          <w:lang w:val="en-US" w:eastAsia="zh-CN"/>
        </w:rPr>
        <w:t>（二）相关评分表</w:t>
      </w:r>
      <w:bookmarkEnd w:id="107"/>
    </w:p>
    <w:p w14:paraId="0A13E2C0">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b w:val="0"/>
          <w:bCs w:val="0"/>
          <w:color w:val="auto"/>
          <w:kern w:val="2"/>
          <w:sz w:val="32"/>
          <w:szCs w:val="32"/>
          <w:highlight w:val="none"/>
          <w:lang w:val="en-US" w:eastAsia="zh-CN" w:bidi="ar-SA"/>
        </w:rPr>
        <w:t>2024年学前教育生均经费项</w:t>
      </w:r>
      <w:r>
        <w:rPr>
          <w:rFonts w:hint="eastAsia" w:ascii="Times New Roman" w:hAnsi="Times New Roman" w:eastAsia="仿宋_GB2312" w:cs="Times New Roman"/>
          <w:color w:val="auto"/>
          <w:spacing w:val="17"/>
          <w:sz w:val="32"/>
          <w:szCs w:val="32"/>
          <w:highlight w:val="none"/>
          <w:lang w:val="en-US" w:eastAsia="zh-CN"/>
        </w:rPr>
        <w:t>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48E51EB2">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4FE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460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D5A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78F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9B7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D50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6155E392">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44B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5B1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08B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492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3D5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965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4A0BA3C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838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2E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F98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99A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F1A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435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333E37E3">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560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C7A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77C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3A673">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DC7C6">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0B671">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2C1E671D">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8" w:name="_Toc14941"/>
      <w:r>
        <w:rPr>
          <w:rFonts w:hint="eastAsia" w:ascii="黑体" w:hAnsi="黑体" w:eastAsia="黑体" w:cs="黑体"/>
          <w:b w:val="0"/>
          <w:bCs w:val="0"/>
          <w:color w:val="auto"/>
          <w:highlight w:val="none"/>
          <w:shd w:val="clear" w:color="auto" w:fill="auto"/>
          <w:lang w:val="en-US" w:eastAsia="zh-CN"/>
        </w:rPr>
        <w:t>四、绩效评价指标分析</w:t>
      </w:r>
      <w:bookmarkEnd w:id="108"/>
    </w:p>
    <w:p w14:paraId="722FC995">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rPr>
      </w:pPr>
      <w:bookmarkStart w:id="109" w:name="_Toc6759"/>
      <w:r>
        <w:rPr>
          <w:rFonts w:hint="eastAsia" w:ascii="Times New Roman" w:hAnsi="Times New Roman" w:eastAsia="楷体_GB2312" w:cs="Times New Roman"/>
          <w:color w:val="auto"/>
          <w:kern w:val="28"/>
          <w:sz w:val="32"/>
        </w:rPr>
        <w:t>（一）项目决策情况</w:t>
      </w:r>
      <w:bookmarkEnd w:id="109"/>
    </w:p>
    <w:p w14:paraId="01E557B4">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ACB78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06E23959">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DC7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58E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E57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5462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E2FA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FA8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449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0656F0D">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6DF75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DDA52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CDCA7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7C25F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F7AF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1892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0F0A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351E49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22CDB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369EA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5B1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1642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CB4A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D575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F912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689FAA0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C9D47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14A3C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0C3B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A954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1488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40DD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0BF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EE2EC6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38EB4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90FB3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BB7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2125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88A4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AA8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EE13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0686AB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14C68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C4D96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19326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78256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4C4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7180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AD4C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27B6BA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BB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4F6D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8DA7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F63C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087B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C10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63A1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3CDEEF88">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BF1A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9449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A170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C8DB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9766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470C72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bookmarkStart w:id="110" w:name="_Toc13522"/>
      <w:bookmarkStart w:id="111" w:name="_Toc28069"/>
      <w:r>
        <w:rPr>
          <w:rFonts w:hint="eastAsia" w:ascii="仿宋_GB2312" w:hAnsi="仿宋_GB2312" w:eastAsia="仿宋_GB2312" w:cs="仿宋_GB2312"/>
          <w:b/>
          <w:bCs/>
          <w:color w:val="auto"/>
          <w:sz w:val="32"/>
          <w:szCs w:val="32"/>
          <w:lang w:val="en-US" w:eastAsia="zh-CN"/>
        </w:rPr>
        <w:t>1.立项依据充分性</w:t>
      </w:r>
      <w:bookmarkEnd w:id="110"/>
      <w:bookmarkEnd w:id="111"/>
    </w:p>
    <w:p w14:paraId="03B5D5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①项目立项</w:t>
      </w:r>
      <w:r>
        <w:rPr>
          <w:rFonts w:hint="eastAsia" w:ascii="仿宋_GB2312" w:hAnsi="仿宋_GB2312" w:eastAsia="仿宋_GB2312" w:cs="仿宋_GB2312"/>
          <w:color w:val="auto"/>
          <w:sz w:val="32"/>
          <w:szCs w:val="32"/>
          <w:highlight w:val="none"/>
          <w:lang w:eastAsia="zh-CN"/>
        </w:rPr>
        <w:t>符合</w:t>
      </w:r>
      <w:bookmarkStart w:id="112" w:name="OLE_LINK2"/>
      <w:r>
        <w:rPr>
          <w:rFonts w:hint="eastAsia" w:ascii="仿宋_GB2312" w:hAnsi="仿宋_GB2312" w:eastAsia="仿宋_GB2312" w:cs="仿宋_GB2312"/>
          <w:color w:val="auto"/>
          <w:sz w:val="32"/>
          <w:szCs w:val="32"/>
          <w:highlight w:val="none"/>
          <w:lang w:eastAsia="zh-CN"/>
        </w:rPr>
        <w:t>新疆维吾尔自治区关于《自治区农村学前三年免费教育经费保障机制管理办法》的通知（新财教[ 2017]19号）文件</w:t>
      </w:r>
      <w:bookmarkEnd w:id="112"/>
      <w:r>
        <w:rPr>
          <w:rFonts w:hint="eastAsia" w:ascii="仿宋_GB2312" w:hAnsi="仿宋_GB2312" w:eastAsia="仿宋_GB2312" w:cs="仿宋_GB2312"/>
          <w:color w:val="auto"/>
          <w:sz w:val="32"/>
          <w:szCs w:val="32"/>
          <w:highlight w:val="none"/>
          <w:lang w:eastAsia="zh-CN"/>
        </w:rPr>
        <w:t>；</w:t>
      </w:r>
    </w:p>
    <w:p w14:paraId="46B41F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highlight w:val="none"/>
          <w:lang w:eastAsia="zh-CN"/>
        </w:rPr>
        <w:t>②项目立项符合《阜康</w:t>
      </w:r>
      <w:r>
        <w:rPr>
          <w:rFonts w:hint="eastAsia" w:ascii="仿宋_GB2312" w:hAnsi="仿宋_GB2312" w:eastAsia="仿宋_GB2312" w:cs="仿宋_GB2312"/>
          <w:color w:val="auto"/>
          <w:sz w:val="32"/>
          <w:szCs w:val="32"/>
          <w:lang w:eastAsia="zh-CN"/>
        </w:rPr>
        <w:t>市教育扶贫惠民政策宣传手册》相关政策要求；</w:t>
      </w:r>
    </w:p>
    <w:p w14:paraId="25FE2C2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③项目立项与宣传贯彻党和国家的教育方针、教育政策、教育法律法规、贯彻执行上级教育行政部门的各项规章制度的部门职责范围相符，属于部门履职所需；</w:t>
      </w:r>
    </w:p>
    <w:p w14:paraId="7B51B47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④项目属于公共财政支持范围，符合中央、地方事权支出责任划分原则；</w:t>
      </w:r>
    </w:p>
    <w:p w14:paraId="5FEF15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⑤项目与相关部门同类项目、部门内部相关项目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重复。</w:t>
      </w:r>
    </w:p>
    <w:p w14:paraId="6428789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0C2F311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23240"/>
      <w:bookmarkStart w:id="114" w:name="_Toc21976"/>
      <w:r>
        <w:rPr>
          <w:rFonts w:hint="eastAsia" w:ascii="仿宋_GB2312" w:hAnsi="仿宋_GB2312" w:eastAsia="仿宋_GB2312" w:cs="仿宋_GB2312"/>
          <w:b/>
          <w:bCs/>
          <w:color w:val="auto"/>
          <w:sz w:val="32"/>
          <w:szCs w:val="32"/>
          <w:lang w:val="en-US" w:eastAsia="zh-CN"/>
        </w:rPr>
        <w:t>2.立项程序规范性</w:t>
      </w:r>
      <w:bookmarkEnd w:id="113"/>
      <w:bookmarkEnd w:id="114"/>
    </w:p>
    <w:p w14:paraId="1DD798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343873E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3ED004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未经过可行性研究、</w:t>
      </w:r>
      <w:r>
        <w:rPr>
          <w:rFonts w:hint="eastAsia" w:ascii="仿宋_GB2312" w:hAnsi="仿宋_GB2312" w:eastAsia="仿宋_GB2312" w:cs="仿宋_GB2312"/>
          <w:sz w:val="32"/>
          <w:szCs w:val="32"/>
          <w:highlight w:val="none"/>
          <w:lang w:eastAsia="zh-CN"/>
        </w:rPr>
        <w:t>风险评估、绩效评估</w:t>
      </w:r>
      <w:r>
        <w:rPr>
          <w:rFonts w:hint="eastAsia" w:ascii="仿宋_GB2312" w:hAnsi="仿宋_GB2312" w:eastAsia="仿宋_GB2312" w:cs="仿宋_GB2312"/>
          <w:color w:val="auto"/>
          <w:sz w:val="32"/>
          <w:szCs w:val="32"/>
          <w:highlight w:val="none"/>
          <w:lang w:eastAsia="zh-CN"/>
        </w:rPr>
        <w:t>。</w:t>
      </w:r>
    </w:p>
    <w:p w14:paraId="1B58C82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4600065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23542"/>
      <w:bookmarkStart w:id="116" w:name="_Toc15382"/>
      <w:r>
        <w:rPr>
          <w:rFonts w:hint="eastAsia" w:ascii="仿宋_GB2312" w:hAnsi="仿宋_GB2312" w:eastAsia="仿宋_GB2312" w:cs="仿宋_GB2312"/>
          <w:b/>
          <w:bCs/>
          <w:color w:val="auto"/>
          <w:sz w:val="32"/>
          <w:szCs w:val="32"/>
          <w:lang w:val="en-US" w:eastAsia="zh-CN"/>
        </w:rPr>
        <w:t>3.绩效目标合理性</w:t>
      </w:r>
      <w:bookmarkEnd w:id="115"/>
      <w:bookmarkEnd w:id="116"/>
    </w:p>
    <w:p w14:paraId="73001B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5C5F63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保障幼儿园正常运转，教学活动及其他日常业务的正常运转。计划完成每学年以1100元每生每学年的标准使用公用经费,总计在园幼儿人数93人。绩效目标与实际工作内容一致，两者具有相关性。</w:t>
      </w:r>
    </w:p>
    <w:p w14:paraId="58FD8B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③该项目按照绩效目标完成数量指标、质量指标、时效指标、成本指标，完成了幼儿园各项工作平稳进行，达到校园环境和条件进一步改善效益，预期产出效益和效果是否符合正常的业绩水平。</w:t>
      </w:r>
    </w:p>
    <w:p w14:paraId="4C431F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color w:val="auto"/>
          <w:highlight w:val="none"/>
          <w:lang w:val="en-US" w:eastAsia="zh-CN"/>
        </w:rPr>
        <w:t>6.72</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3357382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1F4209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18198"/>
      <w:bookmarkStart w:id="118" w:name="_Toc10650"/>
      <w:r>
        <w:rPr>
          <w:rFonts w:hint="eastAsia" w:ascii="仿宋_GB2312" w:hAnsi="仿宋_GB2312" w:eastAsia="仿宋_GB2312" w:cs="仿宋_GB2312"/>
          <w:b/>
          <w:bCs/>
          <w:color w:val="auto"/>
          <w:sz w:val="32"/>
          <w:szCs w:val="32"/>
          <w:lang w:val="en-US" w:eastAsia="zh-CN"/>
        </w:rPr>
        <w:t>4.绩效指标明确性</w:t>
      </w:r>
      <w:bookmarkEnd w:id="117"/>
      <w:bookmarkEnd w:id="118"/>
    </w:p>
    <w:p w14:paraId="239F3D3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其中三级指标共计8个</w:t>
      </w:r>
      <w:r>
        <w:rPr>
          <w:rFonts w:hint="eastAsia" w:ascii="仿宋_GB2312" w:hAnsi="仿宋_GB2312" w:eastAsia="仿宋_GB2312" w:cs="仿宋_GB2312"/>
          <w:color w:val="auto"/>
          <w:sz w:val="32"/>
          <w:szCs w:val="32"/>
          <w:lang w:eastAsia="zh-CN"/>
        </w:rPr>
        <w:t>；</w:t>
      </w:r>
    </w:p>
    <w:p w14:paraId="576E12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量化率达到87.5%</w:t>
      </w:r>
      <w:r>
        <w:rPr>
          <w:rFonts w:hint="eastAsia" w:ascii="仿宋_GB2312" w:hAnsi="仿宋_GB2312" w:eastAsia="仿宋_GB2312" w:cs="仿宋_GB2312"/>
          <w:color w:val="auto"/>
          <w:sz w:val="32"/>
          <w:szCs w:val="32"/>
          <w:lang w:eastAsia="zh-CN"/>
        </w:rPr>
        <w:t>；</w:t>
      </w:r>
    </w:p>
    <w:p w14:paraId="71C35A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3ECDEA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09536F5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48470D6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19401"/>
      <w:bookmarkStart w:id="120" w:name="_Toc8296"/>
      <w:r>
        <w:rPr>
          <w:rFonts w:hint="eastAsia" w:ascii="仿宋_GB2312" w:hAnsi="仿宋_GB2312" w:eastAsia="仿宋_GB2312" w:cs="仿宋_GB2312"/>
          <w:b/>
          <w:bCs/>
          <w:color w:val="auto"/>
          <w:sz w:val="32"/>
          <w:szCs w:val="32"/>
          <w:lang w:val="en-US" w:eastAsia="zh-CN"/>
        </w:rPr>
        <w:t>5.预算编制科学性</w:t>
      </w:r>
      <w:bookmarkEnd w:id="119"/>
      <w:bookmarkEnd w:id="120"/>
    </w:p>
    <w:p w14:paraId="7521B4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①2024年学前教育生均经费项目</w:t>
      </w:r>
      <w:r>
        <w:rPr>
          <w:rFonts w:hint="eastAsia" w:ascii="仿宋_GB2312" w:hAnsi="仿宋_GB2312" w:eastAsia="仿宋_GB2312" w:cs="仿宋_GB2312"/>
          <w:color w:val="auto"/>
          <w:sz w:val="32"/>
          <w:szCs w:val="32"/>
          <w:lang w:val="en-US" w:eastAsia="zh-CN"/>
        </w:rPr>
        <w:t>预算批复，项目的</w:t>
      </w:r>
      <w:r>
        <w:rPr>
          <w:rFonts w:hint="eastAsia" w:ascii="仿宋_GB2312" w:hAnsi="仿宋_GB2312" w:eastAsia="仿宋_GB2312" w:cs="仿宋_GB2312"/>
          <w:color w:val="auto"/>
          <w:sz w:val="32"/>
          <w:szCs w:val="32"/>
          <w:lang w:eastAsia="zh-CN"/>
        </w:rPr>
        <w:t>预算编制经过科学论证；</w:t>
      </w:r>
    </w:p>
    <w:p w14:paraId="11D75C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预算内容为改善校园环境，对学校专项资金加强管理，专款专用。预算内容与项目内容匹配；</w:t>
      </w:r>
    </w:p>
    <w:p w14:paraId="11B3126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6.72万</w:t>
      </w:r>
      <w:r>
        <w:rPr>
          <w:rFonts w:hint="eastAsia" w:ascii="仿宋_GB2312" w:hAnsi="仿宋_GB2312" w:eastAsia="仿宋_GB2312" w:cs="仿宋_GB2312"/>
          <w:color w:val="auto"/>
          <w:sz w:val="32"/>
          <w:szCs w:val="32"/>
          <w:lang w:eastAsia="zh-CN"/>
        </w:rPr>
        <w:t>元，我单位在预算申请</w:t>
      </w:r>
      <w:r>
        <w:rPr>
          <w:rFonts w:hint="eastAsia" w:ascii="仿宋_GB2312" w:hAnsi="仿宋_GB2312" w:eastAsia="仿宋_GB2312" w:cs="仿宋_GB2312"/>
          <w:color w:val="auto"/>
          <w:sz w:val="32"/>
          <w:szCs w:val="32"/>
          <w:highlight w:val="none"/>
          <w:lang w:eastAsia="zh-CN"/>
        </w:rPr>
        <w:t>中严格按照项目实施内容及测算标准进行核算，其中：</w:t>
      </w:r>
      <w:r>
        <w:rPr>
          <w:rFonts w:hint="eastAsia" w:ascii="仿宋_GB2312" w:hAnsi="仿宋_GB2312" w:eastAsia="仿宋_GB2312" w:cs="仿宋_GB2312"/>
          <w:color w:val="auto"/>
          <w:sz w:val="32"/>
          <w:szCs w:val="32"/>
          <w:highlight w:val="none"/>
          <w:lang w:val="en-US" w:eastAsia="zh-CN"/>
        </w:rPr>
        <w:t>水电暖</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3.5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交通</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万元、</w:t>
      </w:r>
      <w:r>
        <w:rPr>
          <w:rFonts w:hint="eastAsia"/>
          <w:color w:val="auto"/>
          <w:highlight w:val="none"/>
          <w:lang w:eastAsia="zh-CN"/>
        </w:rPr>
        <w:t>购买低值易耗品</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2.22</w:t>
      </w:r>
      <w:r>
        <w:rPr>
          <w:rFonts w:hint="eastAsia" w:ascii="仿宋_GB2312" w:hAnsi="仿宋_GB2312" w:eastAsia="仿宋_GB2312" w:cs="仿宋_GB2312"/>
          <w:color w:val="auto"/>
          <w:sz w:val="32"/>
          <w:szCs w:val="32"/>
          <w:highlight w:val="none"/>
          <w:lang w:eastAsia="zh-CN"/>
        </w:rPr>
        <w:t>万元。</w:t>
      </w:r>
    </w:p>
    <w:p w14:paraId="6BCAAF2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lang w:val="en-US" w:eastAsia="zh-CN"/>
        </w:rPr>
        <w:t>项目实施内容</w:t>
      </w:r>
      <w:r>
        <w:rPr>
          <w:rFonts w:hint="eastAsia" w:ascii="仿宋_GB2312" w:hAnsi="仿宋_GB2312" w:eastAsia="仿宋_GB2312" w:cs="仿宋_GB2312"/>
          <w:color w:val="auto"/>
          <w:sz w:val="32"/>
          <w:szCs w:val="32"/>
          <w:lang w:eastAsia="zh-CN"/>
        </w:rPr>
        <w:t>相匹配。</w:t>
      </w:r>
    </w:p>
    <w:p w14:paraId="0EE1E6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4C98A9A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1" w:name="_Toc697"/>
      <w:bookmarkStart w:id="122" w:name="_Toc20556"/>
      <w:r>
        <w:rPr>
          <w:rFonts w:hint="eastAsia" w:ascii="仿宋_GB2312" w:hAnsi="仿宋_GB2312" w:eastAsia="仿宋_GB2312" w:cs="仿宋_GB2312"/>
          <w:b/>
          <w:bCs/>
          <w:color w:val="auto"/>
          <w:sz w:val="32"/>
          <w:szCs w:val="32"/>
          <w:lang w:val="en-US" w:eastAsia="zh-CN"/>
        </w:rPr>
        <w:t>6.资金分配合理性</w:t>
      </w:r>
      <w:bookmarkEnd w:id="121"/>
      <w:bookmarkEnd w:id="122"/>
    </w:p>
    <w:p w14:paraId="54E823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w:t>
      </w:r>
      <w:r>
        <w:rPr>
          <w:rFonts w:hint="eastAsia" w:ascii="仿宋_GB2312" w:hAnsi="仿宋_GB2312" w:eastAsia="仿宋_GB2312" w:cs="仿宋_GB2312"/>
          <w:color w:val="auto"/>
          <w:sz w:val="32"/>
          <w:szCs w:val="32"/>
          <w:lang w:val="en-US" w:eastAsia="zh-CN"/>
        </w:rPr>
        <w:t>公用经费</w:t>
      </w:r>
      <w:r>
        <w:rPr>
          <w:rFonts w:hint="eastAsia" w:ascii="仿宋_GB2312" w:hAnsi="仿宋_GB2312" w:eastAsia="仿宋_GB2312" w:cs="仿宋_GB2312"/>
          <w:color w:val="auto"/>
          <w:sz w:val="32"/>
          <w:szCs w:val="32"/>
          <w:lang w:eastAsia="zh-CN"/>
        </w:rPr>
        <w:t>项目资金的请示</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lang w:eastAsia="zh-CN"/>
        </w:rPr>
        <w:t>。</w:t>
      </w:r>
    </w:p>
    <w:p w14:paraId="28C58E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6.72</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65E2914A">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5527B92E">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3"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3"/>
    </w:p>
    <w:p w14:paraId="7E32117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9C08F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8753F6F">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3322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68E8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220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09D3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FB5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A4AB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618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4C9C1C8B">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76BD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E461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EF72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64C1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52C6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CEE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0E41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EC01FC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C3B1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E1D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C342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01A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5DA5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FCD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ED2E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DC4C21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5B0C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B3F5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D721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B54A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7E2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C0C9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FDB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04FD01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E2EB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8A5A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B67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E6D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1BEA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FC65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4C58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56B004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A0A7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DB6F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E11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9B4F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22D1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81AF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DB95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C2D58E1">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E154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1634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115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AD1E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E62F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EEFE59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3886"/>
      <w:bookmarkStart w:id="125" w:name="_Toc20449"/>
      <w:r>
        <w:rPr>
          <w:rFonts w:hint="eastAsia" w:ascii="仿宋_GB2312" w:hAnsi="仿宋_GB2312" w:eastAsia="仿宋_GB2312" w:cs="仿宋_GB2312"/>
          <w:b/>
          <w:bCs/>
          <w:color w:val="auto"/>
          <w:sz w:val="32"/>
          <w:szCs w:val="32"/>
          <w:lang w:val="en-US" w:eastAsia="zh-CN"/>
        </w:rPr>
        <w:t>1.资金到位率</w:t>
      </w:r>
      <w:bookmarkEnd w:id="124"/>
      <w:bookmarkEnd w:id="125"/>
    </w:p>
    <w:p w14:paraId="77104BA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6.72</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6.72</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760573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color w:val="auto"/>
          <w:sz w:val="32"/>
          <w:szCs w:val="32"/>
          <w:lang w:val="en-US" w:eastAsia="zh-CN"/>
        </w:rPr>
        <w:t>6.72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6.72</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color w:val="auto"/>
          <w:sz w:val="32"/>
          <w:szCs w:val="32"/>
          <w:lang w:val="en-US" w:eastAsia="zh-CN"/>
        </w:rPr>
        <w:t>=100%</w:t>
      </w:r>
    </w:p>
    <w:p w14:paraId="739BCF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3DF78B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6" w:name="_Toc9705"/>
      <w:bookmarkStart w:id="127" w:name="_Toc17709"/>
      <w:r>
        <w:rPr>
          <w:rFonts w:hint="eastAsia" w:ascii="仿宋_GB2312" w:hAnsi="仿宋_GB2312" w:eastAsia="仿宋_GB2312" w:cs="仿宋_GB2312"/>
          <w:b/>
          <w:bCs/>
          <w:color w:val="auto"/>
          <w:sz w:val="32"/>
          <w:szCs w:val="32"/>
          <w:lang w:val="en-US" w:eastAsia="zh-CN"/>
        </w:rPr>
        <w:t>2.预算执行率</w:t>
      </w:r>
      <w:bookmarkEnd w:id="126"/>
      <w:bookmarkEnd w:id="127"/>
    </w:p>
    <w:p w14:paraId="01BD003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lang w:val="en-US" w:eastAsia="zh-CN"/>
        </w:rPr>
        <w:t>6.72</w:t>
      </w:r>
      <w:r>
        <w:rPr>
          <w:rFonts w:hint="eastAsia" w:ascii="仿宋_GB2312" w:hAnsi="仿宋_GB2312" w:eastAsia="仿宋_GB2312" w:cs="仿宋_GB2312"/>
          <w:color w:val="auto"/>
          <w:sz w:val="32"/>
          <w:szCs w:val="32"/>
          <w:lang w:val="en-US" w:eastAsia="zh-CN"/>
        </w:rPr>
        <w:t>万元。</w:t>
      </w:r>
    </w:p>
    <w:p w14:paraId="21FE52C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color w:val="auto"/>
          <w:sz w:val="32"/>
          <w:szCs w:val="32"/>
          <w:lang w:val="en-US" w:eastAsia="zh-CN"/>
        </w:rPr>
        <w:t>6.72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6.72</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100%</w:t>
      </w:r>
    </w:p>
    <w:p w14:paraId="064414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1044BA3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8" w:name="_Toc28875"/>
      <w:bookmarkStart w:id="129" w:name="_Toc18691"/>
      <w:r>
        <w:rPr>
          <w:rFonts w:hint="eastAsia" w:ascii="仿宋_GB2312" w:hAnsi="仿宋_GB2312" w:eastAsia="仿宋_GB2312" w:cs="仿宋_GB2312"/>
          <w:b/>
          <w:bCs/>
          <w:color w:val="auto"/>
          <w:sz w:val="32"/>
          <w:szCs w:val="32"/>
          <w:lang w:val="en-US" w:eastAsia="zh-CN"/>
        </w:rPr>
        <w:t>3.资金使用合规性</w:t>
      </w:r>
      <w:bookmarkEnd w:id="128"/>
      <w:bookmarkEnd w:id="129"/>
    </w:p>
    <w:p w14:paraId="3B5BCABD">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color w:val="auto"/>
          <w:sz w:val="32"/>
          <w:szCs w:val="32"/>
          <w:lang w:eastAsia="zh-CN"/>
        </w:rPr>
        <w:t>①本项目资金支出符合国家财经法规、《政府会计制度》《</w:t>
      </w:r>
      <w:r>
        <w:rPr>
          <w:rFonts w:hint="eastAsia" w:ascii="仿宋_GB2312" w:hAnsi="仿宋_GB2312" w:eastAsia="仿宋_GB2312" w:cs="仿宋_GB2312"/>
          <w:color w:val="auto"/>
          <w:sz w:val="32"/>
          <w:szCs w:val="32"/>
          <w:lang w:val="en-US" w:eastAsia="zh-CN"/>
        </w:rPr>
        <w:t>阜康市上户沟哈萨克族乡第一中心幼儿园</w:t>
      </w:r>
      <w:r>
        <w:rPr>
          <w:rFonts w:hint="eastAsia" w:ascii="仿宋_GB2312" w:hAnsi="仿宋_GB2312" w:eastAsia="仿宋_GB2312" w:cs="仿宋_GB2312"/>
          <w:color w:val="auto"/>
          <w:sz w:val="32"/>
          <w:szCs w:val="32"/>
          <w:lang w:eastAsia="zh-CN"/>
        </w:rPr>
        <w:t>单位资金管理办法》《</w:t>
      </w:r>
      <w:r>
        <w:rPr>
          <w:rFonts w:hint="eastAsia" w:ascii="仿宋_GB2312" w:hAnsi="仿宋_GB2312" w:eastAsia="仿宋_GB2312" w:cs="仿宋_GB2312"/>
          <w:color w:val="auto"/>
          <w:sz w:val="32"/>
          <w:szCs w:val="32"/>
          <w:lang w:val="en-US" w:eastAsia="zh-CN"/>
        </w:rPr>
        <w:t>阜康市上户沟哈萨克族乡第一中心幼儿园</w:t>
      </w:r>
      <w:r>
        <w:rPr>
          <w:rFonts w:hint="eastAsia" w:ascii="仿宋_GB2312" w:hAnsi="仿宋_GB2312" w:eastAsia="仿宋_GB2312" w:cs="仿宋_GB2312"/>
          <w:color w:val="auto"/>
          <w:sz w:val="32"/>
          <w:szCs w:val="32"/>
          <w:lang w:eastAsia="zh-CN"/>
        </w:rPr>
        <w:t>专项资金管理办法》；</w:t>
      </w:r>
    </w:p>
    <w:p w14:paraId="0E87B93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②资金的拨付有完整的审批程序和手续；</w:t>
      </w:r>
    </w:p>
    <w:p w14:paraId="06C4DC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③符合项目预算批复或合同规定的用途；</w:t>
      </w:r>
    </w:p>
    <w:p w14:paraId="1C8E26D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存在截留、挤占、挪用、虚列支出等情况。</w:t>
      </w:r>
    </w:p>
    <w:p w14:paraId="1D99872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23EA28C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1C4C24F3">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3DD7FC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w:t>
      </w:r>
      <w:r>
        <w:rPr>
          <w:rFonts w:hint="eastAsia" w:ascii="仿宋_GB2312" w:hAnsi="仿宋_GB2312" w:eastAsia="仿宋_GB2312" w:cs="仿宋_GB2312"/>
          <w:color w:val="auto"/>
          <w:sz w:val="32"/>
          <w:szCs w:val="32"/>
          <w:lang w:val="en-US" w:eastAsia="zh-CN"/>
        </w:rPr>
        <w:t>阜康市哈萨克族乡第一中心幼儿园</w:t>
      </w:r>
      <w:r>
        <w:rPr>
          <w:rFonts w:hint="eastAsia" w:ascii="仿宋_GB2312" w:hAnsi="仿宋_GB2312" w:eastAsia="仿宋_GB2312" w:cs="仿宋_GB2312"/>
          <w:color w:val="auto"/>
          <w:sz w:val="32"/>
          <w:szCs w:val="32"/>
          <w:lang w:eastAsia="zh-CN"/>
        </w:rPr>
        <w:t>资金管理办法》《阜康市哈萨克族乡第一中心幼儿园收支业务管理制度》《阜康市哈萨克族乡第一中心幼儿园政府采购业务管理制度》《阜康市哈萨克族乡第一中心幼儿园合同管理制度》，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4C3CBC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1B4F331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14AF44F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30" w:name="_Toc31684"/>
      <w:bookmarkStart w:id="131" w:name="_Toc13984"/>
      <w:r>
        <w:rPr>
          <w:rFonts w:hint="eastAsia" w:ascii="仿宋_GB2312" w:hAnsi="仿宋_GB2312" w:eastAsia="仿宋_GB2312" w:cs="仿宋_GB2312"/>
          <w:b/>
          <w:bCs/>
          <w:color w:val="auto"/>
          <w:sz w:val="32"/>
          <w:szCs w:val="32"/>
          <w:lang w:val="en-US" w:eastAsia="zh-CN"/>
        </w:rPr>
        <w:t>5.制度执行有效性</w:t>
      </w:r>
      <w:bookmarkEnd w:id="130"/>
      <w:bookmarkEnd w:id="131"/>
    </w:p>
    <w:p w14:paraId="7A7D95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①项目的实施遵守相关法律法规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相关管理规定，符合</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财务预算管理制度</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项目管理制度</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财务管理制度</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预决算管理制度</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等管理规定；</w:t>
      </w:r>
    </w:p>
    <w:p w14:paraId="5BD482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②该项目实施过程中不存在调整事项。</w:t>
      </w:r>
    </w:p>
    <w:p w14:paraId="3BBB4DC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③项目合同书、验收评审表、财务支付凭证等资料齐全并及时归档。</w:t>
      </w:r>
    </w:p>
    <w:p w14:paraId="3E179B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实施所需要的项目人员和场地设备均已落实到位，具体涉及内容包括：项目资金支出严格按照自治区、地区以及本单位资金管理办法执行，项目启动实施后，为了加快本项目的实施，成立了2024年学前教育生均经费项目工作领导小组，由</w:t>
      </w:r>
      <w:r>
        <w:rPr>
          <w:rFonts w:hint="eastAsia" w:ascii="仿宋_GB2312" w:hAnsi="仿宋_GB2312" w:eastAsia="仿宋_GB2312" w:cs="仿宋_GB2312"/>
          <w:color w:val="auto"/>
          <w:sz w:val="32"/>
          <w:szCs w:val="32"/>
          <w:lang w:val="en-US" w:eastAsia="zh-CN"/>
        </w:rPr>
        <w:t>侯梦婷</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lang w:val="en-US" w:eastAsia="zh-CN"/>
        </w:rPr>
        <w:t>马爱智</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lang w:val="en-US" w:eastAsia="zh-CN"/>
        </w:rPr>
        <w:t>石惠</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lang w:val="en-US" w:eastAsia="zh-CN"/>
        </w:rPr>
        <w:t>杨春芳</w:t>
      </w:r>
      <w:r>
        <w:rPr>
          <w:rFonts w:hint="eastAsia" w:ascii="仿宋_GB2312" w:hAnsi="仿宋_GB2312" w:eastAsia="仿宋_GB2312" w:cs="仿宋_GB2312"/>
          <w:color w:val="auto"/>
          <w:sz w:val="32"/>
          <w:szCs w:val="32"/>
          <w:lang w:eastAsia="zh-CN"/>
        </w:rPr>
        <w:t>，主要负责项目监督管理、验收以及资金核拨等工作。</w:t>
      </w:r>
    </w:p>
    <w:p w14:paraId="767801B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716C5CB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2" w:name="_Toc2441"/>
      <w:r>
        <w:rPr>
          <w:rFonts w:hint="eastAsia" w:ascii="Times New Roman" w:hAnsi="Times New Roman" w:eastAsia="楷体_GB2312" w:cs="Times New Roman"/>
          <w:color w:val="auto"/>
          <w:kern w:val="28"/>
          <w:sz w:val="32"/>
          <w:lang w:val="en-US" w:eastAsia="zh-CN"/>
        </w:rPr>
        <w:t>（三）项目产出情况</w:t>
      </w:r>
      <w:bookmarkEnd w:id="132"/>
    </w:p>
    <w:p w14:paraId="42911DF6">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w:t>
      </w:r>
      <w:r>
        <w:rPr>
          <w:rFonts w:hint="eastAsia" w:ascii="Times New Roman" w:hAnsi="Times New Roman" w:eastAsia="仿宋_GB2312" w:cs="Times New Roman"/>
          <w:color w:val="auto"/>
          <w:sz w:val="32"/>
          <w:szCs w:val="32"/>
          <w:lang w:val="en-US" w:eastAsia="zh-CN"/>
        </w:rPr>
        <w:t>三</w:t>
      </w:r>
      <w:r>
        <w:rPr>
          <w:rFonts w:hint="default" w:ascii="Times New Roman" w:hAnsi="Times New Roman" w:eastAsia="仿宋_GB2312" w:cs="Times New Roman"/>
          <w:color w:val="auto"/>
          <w:sz w:val="32"/>
          <w:szCs w:val="32"/>
          <w:lang w:val="en-US" w:eastAsia="zh-CN"/>
        </w:rPr>
        <w:t>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1243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3847E559">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04C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939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7E6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9FBC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DB1A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C79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31D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4098171">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A638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6D55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F281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在园学生人数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F0A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93人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583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2DC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93人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A62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6E411603">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275B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34257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622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公</w:t>
            </w:r>
            <w:r>
              <w:rPr>
                <w:rFonts w:hint="eastAsia" w:ascii="宋体" w:hAnsi="宋体" w:eastAsia="宋体" w:cs="宋体"/>
                <w:color w:val="auto"/>
                <w:kern w:val="0"/>
                <w:sz w:val="20"/>
                <w:szCs w:val="20"/>
                <w:highlight w:val="none"/>
                <w:shd w:val="clear" w:color="auto" w:fill="auto"/>
                <w:lang w:val="en-US" w:eastAsia="zh-CN"/>
              </w:rPr>
              <w:t>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5A4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1F8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52E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642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40D8D72">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6BC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647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B50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FD7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8D77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AF1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92CB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70C0F0D8">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209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EA9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869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1B6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A19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609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C2B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7C3965ED">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BCF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DFC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E5F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99D9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89E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8CF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429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3417F71C">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D833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9887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A69A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F78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23F549B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33" w:name="_Toc26689"/>
      <w:bookmarkStart w:id="134" w:name="_Toc11067"/>
      <w:r>
        <w:rPr>
          <w:rFonts w:hint="eastAsia" w:ascii="仿宋_GB2312" w:hAnsi="仿宋_GB2312" w:eastAsia="仿宋_GB2312" w:cs="仿宋_GB2312"/>
          <w:b/>
          <w:bCs/>
          <w:color w:val="auto"/>
          <w:sz w:val="32"/>
          <w:szCs w:val="32"/>
          <w:lang w:val="en-US" w:eastAsia="zh-CN"/>
        </w:rPr>
        <w:t>1.数量指标完成情况</w:t>
      </w:r>
      <w:bookmarkEnd w:id="133"/>
      <w:bookmarkEnd w:id="134"/>
    </w:p>
    <w:p w14:paraId="625EC1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在园学生人数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指标，预期目标值为=93人，实际完成为93人。实际完成率=（93人/93人）×100%=100%。</w:t>
      </w:r>
    </w:p>
    <w:p w14:paraId="03CC57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综上，该项指标满分8分，得分8分。</w:t>
      </w:r>
    </w:p>
    <w:p w14:paraId="5216DA20">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31739"/>
      <w:bookmarkStart w:id="136" w:name="_Toc14255"/>
      <w:r>
        <w:rPr>
          <w:rFonts w:hint="eastAsia" w:ascii="仿宋_GB2312" w:hAnsi="仿宋_GB2312" w:eastAsia="仿宋_GB2312" w:cs="仿宋_GB2312"/>
          <w:b/>
          <w:bCs/>
          <w:color w:val="auto"/>
          <w:sz w:val="32"/>
          <w:szCs w:val="32"/>
          <w:lang w:val="en-US" w:eastAsia="zh-CN"/>
        </w:rPr>
        <w:t>2.</w:t>
      </w:r>
      <w:bookmarkEnd w:id="135"/>
      <w:r>
        <w:rPr>
          <w:rFonts w:hint="eastAsia" w:ascii="仿宋_GB2312" w:hAnsi="仿宋_GB2312" w:eastAsia="仿宋_GB2312" w:cs="仿宋_GB2312"/>
          <w:b/>
          <w:bCs/>
          <w:color w:val="auto"/>
          <w:sz w:val="32"/>
          <w:szCs w:val="32"/>
          <w:lang w:val="en-US" w:eastAsia="zh-CN"/>
        </w:rPr>
        <w:t>质量指标完成情况</w:t>
      </w:r>
      <w:bookmarkEnd w:id="136"/>
    </w:p>
    <w:p w14:paraId="35E05F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公用经费享受比例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5250F28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（2）“教师培训结业率”指标，预期目标值为=100%，实际完成100%。</w:t>
      </w:r>
      <w:r>
        <w:rPr>
          <w:rFonts w:hint="eastAsia" w:ascii="仿宋_GB2312" w:hAnsi="仿宋_GB2312" w:eastAsia="仿宋_GB2312" w:cs="仿宋_GB2312"/>
          <w:color w:val="auto"/>
          <w:sz w:val="32"/>
          <w:szCs w:val="32"/>
          <w:highlight w:val="none"/>
          <w:lang w:val="en-US" w:eastAsia="zh-CN"/>
        </w:rPr>
        <w:t>实际完成率100%。</w:t>
      </w:r>
    </w:p>
    <w:p w14:paraId="1B578953">
      <w:pPr>
        <w:pageBreakBefore w:val="0"/>
        <w:kinsoku/>
        <w:wordWrap/>
        <w:overflowPunct/>
        <w:topLinePunct w:val="0"/>
        <w:autoSpaceDE/>
        <w:autoSpaceDN/>
        <w:bidi w:val="0"/>
        <w:spacing w:line="560" w:lineRule="exact"/>
        <w:ind w:left="0" w:leftChars="0" w:firstLine="964" w:firstLineChars="3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综上，该项指标满分18分，得分18分。</w:t>
      </w:r>
    </w:p>
    <w:p w14:paraId="180F043D">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18307"/>
      <w:bookmarkStart w:id="138" w:name="_Toc28885"/>
      <w:r>
        <w:rPr>
          <w:rFonts w:hint="eastAsia" w:ascii="仿宋_GB2312" w:hAnsi="仿宋_GB2312" w:eastAsia="仿宋_GB2312" w:cs="仿宋_GB2312"/>
          <w:b/>
          <w:bCs/>
          <w:color w:val="auto"/>
          <w:sz w:val="32"/>
          <w:szCs w:val="32"/>
          <w:lang w:val="en-US" w:eastAsia="zh-CN"/>
        </w:rPr>
        <w:t>3.</w:t>
      </w:r>
      <w:bookmarkEnd w:id="137"/>
      <w:r>
        <w:rPr>
          <w:rFonts w:hint="eastAsia" w:ascii="仿宋_GB2312" w:hAnsi="仿宋_GB2312" w:eastAsia="仿宋_GB2312" w:cs="仿宋_GB2312"/>
          <w:b/>
          <w:bCs/>
          <w:color w:val="auto"/>
          <w:sz w:val="32"/>
          <w:szCs w:val="32"/>
          <w:lang w:val="en-US" w:eastAsia="zh-CN"/>
        </w:rPr>
        <w:t>时效指标完成情况</w:t>
      </w:r>
      <w:bookmarkEnd w:id="138"/>
    </w:p>
    <w:p w14:paraId="4C359D6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公用经费支出及时率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w:t>
      </w:r>
      <w:r>
        <w:rPr>
          <w:rFonts w:hint="eastAsia" w:ascii="仿宋_GB2312" w:hAnsi="仿宋_GB2312" w:eastAsia="仿宋_GB2312" w:cs="仿宋_GB2312"/>
          <w:color w:val="auto"/>
          <w:sz w:val="32"/>
          <w:szCs w:val="32"/>
          <w:highlight w:val="none"/>
          <w:lang w:val="en-US" w:eastAsia="zh-CN"/>
        </w:rPr>
        <w:t>实际完成率100%。</w:t>
      </w:r>
    </w:p>
    <w:p w14:paraId="28333980">
      <w:pPr>
        <w:pageBreakBefore w:val="0"/>
        <w:kinsoku/>
        <w:wordWrap/>
        <w:overflowPunct/>
        <w:topLinePunct w:val="0"/>
        <w:autoSpaceDE/>
        <w:autoSpaceDN/>
        <w:bidi w:val="0"/>
        <w:spacing w:line="560" w:lineRule="exact"/>
        <w:ind w:left="0" w:leftChars="0" w:firstLine="643"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综上，该项指标满分8分，得分8分。</w:t>
      </w:r>
    </w:p>
    <w:p w14:paraId="6A0C591D">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9" w:name="_Toc32765"/>
      <w:bookmarkStart w:id="140" w:name="_Toc20607"/>
      <w:r>
        <w:rPr>
          <w:rFonts w:hint="eastAsia" w:ascii="仿宋_GB2312" w:hAnsi="仿宋_GB2312" w:eastAsia="仿宋_GB2312" w:cs="仿宋_GB2312"/>
          <w:b/>
          <w:bCs/>
          <w:color w:val="auto"/>
          <w:sz w:val="32"/>
          <w:szCs w:val="32"/>
          <w:lang w:val="en-US" w:eastAsia="zh-CN"/>
        </w:rPr>
        <w:t>4.项目</w:t>
      </w:r>
      <w:bookmarkEnd w:id="139"/>
      <w:r>
        <w:rPr>
          <w:rFonts w:hint="eastAsia" w:ascii="仿宋_GB2312" w:hAnsi="仿宋_GB2312" w:eastAsia="仿宋_GB2312" w:cs="仿宋_GB2312"/>
          <w:b/>
          <w:bCs/>
          <w:color w:val="auto"/>
          <w:sz w:val="32"/>
          <w:szCs w:val="32"/>
          <w:lang w:val="en-US" w:eastAsia="zh-CN"/>
        </w:rPr>
        <w:t>成本情况</w:t>
      </w:r>
      <w:bookmarkEnd w:id="140"/>
    </w:p>
    <w:p w14:paraId="7136FBE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指标，预期目标值为=1100元/人/年，实际完成为1100元/人/年。实际完成率=（1100元/人/年/1100元/人/年）×100%=100%。</w:t>
      </w:r>
    </w:p>
    <w:p w14:paraId="7E76DE7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14:paraId="56EFF1D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41" w:name="_Toc19424"/>
      <w:r>
        <w:rPr>
          <w:rFonts w:hint="eastAsia" w:ascii="Times New Roman" w:hAnsi="Times New Roman" w:eastAsia="楷体_GB2312" w:cs="Times New Roman"/>
          <w:color w:val="auto"/>
          <w:kern w:val="28"/>
          <w:sz w:val="32"/>
          <w:lang w:val="en-US" w:eastAsia="zh-CN"/>
        </w:rPr>
        <w:t>（四）项目效益情况</w:t>
      </w:r>
      <w:bookmarkEnd w:id="141"/>
    </w:p>
    <w:p w14:paraId="44DDF758">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B01241A">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4D94A0B2">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F80C1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285E4E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49492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4E7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1D5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7949F5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00E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70F2A2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9A8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082CF2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86A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5F20A0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92445B0">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C69A5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6E7D57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6843A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17D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E13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9FB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583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2A799A57">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9B572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15B9A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2923A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19E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FE4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ADD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AB3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22570DF">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4AA87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7C6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D3A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D2B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4E4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DC6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A6F5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280697E">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8FA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0D4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E93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04A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4DC7880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2" w:name="_Toc27006"/>
      <w:bookmarkStart w:id="143" w:name="_Toc29606"/>
      <w:r>
        <w:rPr>
          <w:rFonts w:hint="eastAsia" w:ascii="仿宋_GB2312" w:hAnsi="仿宋_GB2312" w:eastAsia="仿宋_GB2312" w:cs="仿宋_GB2312"/>
          <w:b/>
          <w:bCs/>
          <w:color w:val="auto"/>
          <w:sz w:val="32"/>
          <w:szCs w:val="32"/>
          <w:lang w:val="en-US" w:eastAsia="zh-CN"/>
        </w:rPr>
        <w:t>1.社会效益指标</w:t>
      </w:r>
      <w:bookmarkEnd w:id="142"/>
      <w:r>
        <w:rPr>
          <w:rFonts w:hint="eastAsia" w:ascii="仿宋_GB2312" w:hAnsi="仿宋_GB2312" w:eastAsia="仿宋_GB2312" w:cs="仿宋_GB2312"/>
          <w:b/>
          <w:bCs/>
          <w:color w:val="auto"/>
          <w:sz w:val="32"/>
          <w:szCs w:val="32"/>
          <w:lang w:val="en-US" w:eastAsia="zh-CN"/>
        </w:rPr>
        <w:t>完成情况</w:t>
      </w:r>
      <w:bookmarkEnd w:id="143"/>
    </w:p>
    <w:p w14:paraId="4A6CBAF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学校正常运转率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w:t>
      </w:r>
      <w:r>
        <w:rPr>
          <w:rFonts w:hint="eastAsia" w:ascii="仿宋_GB2312" w:hAnsi="仿宋_GB2312" w:eastAsia="仿宋_GB2312" w:cs="仿宋_GB2312"/>
          <w:color w:val="auto"/>
          <w:sz w:val="32"/>
          <w:szCs w:val="32"/>
          <w:highlight w:val="none"/>
          <w:lang w:val="en-US" w:eastAsia="zh-CN"/>
        </w:rPr>
        <w:t>实际完成率100%。</w:t>
      </w:r>
    </w:p>
    <w:p w14:paraId="0294C30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通过项目的实施，达到了学校正常运转率，改善教学环境，提供良好的学生成长条件。</w:t>
      </w:r>
    </w:p>
    <w:p w14:paraId="3237FE73">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sz w:val="32"/>
          <w:szCs w:val="32"/>
          <w:lang w:eastAsia="zh-CN"/>
        </w:rPr>
        <w:t>“改善教学环境，提供良好的学生成长条件”</w:t>
      </w:r>
      <w:r>
        <w:rPr>
          <w:rFonts w:hint="eastAsia" w:ascii="仿宋_GB2312" w:hAnsi="仿宋_GB2312" w:eastAsia="仿宋_GB2312" w:cs="仿宋_GB2312"/>
          <w:color w:val="auto"/>
          <w:sz w:val="32"/>
          <w:szCs w:val="32"/>
          <w:lang w:val="en-US" w:eastAsia="zh-CN"/>
        </w:rPr>
        <w:t>指标，预期目标值为改善，</w:t>
      </w:r>
      <w:r>
        <w:rPr>
          <w:rFonts w:hint="eastAsia" w:ascii="仿宋_GB2312" w:hAnsi="仿宋_GB2312" w:eastAsia="仿宋_GB2312" w:cs="仿宋_GB2312"/>
          <w:color w:val="auto"/>
          <w:sz w:val="32"/>
          <w:szCs w:val="32"/>
          <w:highlight w:val="none"/>
          <w:lang w:val="en-US" w:eastAsia="zh-CN"/>
        </w:rPr>
        <w:t>实际完成达到预期指标。</w:t>
      </w:r>
    </w:p>
    <w:p w14:paraId="06AF2197">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通过项目实施，达到了改善办学条件，为幼儿提供良好的教学环境。</w:t>
      </w:r>
    </w:p>
    <w:p w14:paraId="623048E9">
      <w:pPr>
        <w:pageBreakBefore w:val="0"/>
        <w:kinsoku/>
        <w:wordWrap/>
        <w:overflowPunct/>
        <w:topLinePunct w:val="0"/>
        <w:autoSpaceDE/>
        <w:autoSpaceDN/>
        <w:bidi w:val="0"/>
        <w:spacing w:line="560" w:lineRule="exact"/>
        <w:ind w:left="0" w:leftChars="0" w:firstLine="643"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综上，该项指标满分15分，得分15分。</w:t>
      </w:r>
    </w:p>
    <w:p w14:paraId="4420A40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4446D04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指标，预期目标值为≥90%，实际完成为100%。</w:t>
      </w:r>
    </w:p>
    <w:p w14:paraId="770949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F8728B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5"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5"/>
    </w:p>
    <w:p w14:paraId="3481C68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6"/>
    </w:p>
    <w:p w14:paraId="45736F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2024年生均经费项目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6.72</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6.72</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1F113EC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阜康市上户沟哈萨克族乡第一中心幼儿园单位</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阜康市上户沟哈萨克族乡第一中心幼儿园单位</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7"/>
    <w:bookmarkEnd w:id="148"/>
    <w:p w14:paraId="4912E0F6">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9" w:name="_Toc29168"/>
      <w:r>
        <w:rPr>
          <w:rFonts w:hint="eastAsia" w:ascii="Times New Roman" w:hAnsi="Times New Roman" w:eastAsia="楷体_GB2312" w:cs="Times New Roman"/>
          <w:b/>
          <w:bCs/>
          <w:color w:val="auto"/>
          <w:kern w:val="28"/>
          <w:sz w:val="32"/>
          <w:szCs w:val="32"/>
          <w:lang w:val="en-US" w:eastAsia="zh-CN" w:bidi="ar-SA"/>
        </w:rPr>
        <w:t>（二）</w:t>
      </w:r>
      <w:r>
        <w:rPr>
          <w:rFonts w:hint="eastAsia" w:ascii="Times New Roman" w:hAnsi="Times New Roman" w:eastAsia="楷体_GB2312" w:cs="Times New Roman"/>
          <w:b/>
          <w:bCs/>
          <w:color w:val="auto"/>
          <w:kern w:val="28"/>
          <w:sz w:val="32"/>
          <w:highlight w:val="none"/>
          <w:lang w:val="en-US" w:eastAsia="zh-CN"/>
        </w:rPr>
        <w:t>存在的问题及原因分析</w:t>
      </w:r>
      <w:bookmarkEnd w:id="149"/>
      <w:bookmarkStart w:id="150" w:name="_Toc3333"/>
    </w:p>
    <w:p w14:paraId="23FC74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1.在项目实施期间部分业务人员未能全面深入认识理解项目管理工作的意义。项目管理经验不足，项目管理工作有待进一步落实。</w:t>
      </w:r>
    </w:p>
    <w:p w14:paraId="110204B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2.因年初预算数据不够清晰明确到明细科目，使得整个年度财务核算及审核流程不准确清晰。</w:t>
      </w:r>
    </w:p>
    <w:p w14:paraId="2818AABF">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黑体" w:hAnsi="黑体" w:eastAsia="黑体" w:cs="黑体"/>
          <w:b w:val="0"/>
          <w:bCs w:val="0"/>
          <w:color w:val="auto"/>
          <w:sz w:val="32"/>
          <w:szCs w:val="32"/>
          <w:highlight w:val="none"/>
          <w:shd w:val="clear" w:color="auto" w:fill="auto"/>
          <w:lang w:val="en-US" w:eastAsia="zh-CN"/>
        </w:rPr>
      </w:pPr>
      <w:r>
        <w:rPr>
          <w:rFonts w:hint="eastAsia" w:ascii="黑体" w:hAnsi="黑体" w:eastAsia="黑体" w:cs="黑体"/>
          <w:b w:val="0"/>
          <w:bCs w:val="0"/>
          <w:color w:val="auto"/>
          <w:sz w:val="32"/>
          <w:szCs w:val="32"/>
          <w:highlight w:val="none"/>
          <w:shd w:val="clear" w:color="auto" w:fill="auto"/>
          <w:lang w:val="en-US" w:eastAsia="zh-CN"/>
        </w:rPr>
        <w:t>六、有关建议</w:t>
      </w:r>
      <w:bookmarkEnd w:id="150"/>
    </w:p>
    <w:p w14:paraId="6544E3A7">
      <w:pPr>
        <w:pStyle w:val="2"/>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kern w:val="2"/>
          <w:sz w:val="32"/>
          <w:szCs w:val="32"/>
          <w:lang w:val="en-US" w:eastAsia="zh-CN" w:bidi="ar-SA"/>
        </w:rPr>
      </w:pPr>
      <w:bookmarkStart w:id="151" w:name="_Toc14256"/>
      <w:r>
        <w:rPr>
          <w:rFonts w:hint="eastAsia" w:ascii="仿宋_GB2312" w:hAnsi="仿宋_GB2312" w:eastAsia="仿宋_GB2312" w:cs="仿宋_GB2312"/>
          <w:color w:val="auto"/>
          <w:kern w:val="2"/>
          <w:sz w:val="32"/>
          <w:szCs w:val="32"/>
          <w:lang w:val="en-US" w:eastAsia="zh-CN" w:bidi="ar-SA"/>
        </w:rPr>
        <w:t>（一）加强项目管理，健全单位项目管理制度体系。 加大项目管理人员的业务培训，确保项目能够顺利实施。</w:t>
      </w:r>
    </w:p>
    <w:p w14:paraId="116E0D14">
      <w:pPr>
        <w:pStyle w:val="2"/>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（二）加强财务人员业务培训，在年初预算时及时与各科室联系，将年初预算数据填写清晰，确保财务支付审核程序顺利进行。</w:t>
      </w:r>
    </w:p>
    <w:p w14:paraId="4279694A">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1"/>
    </w:p>
    <w:p w14:paraId="02F855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无其他需要说明的问题。</w:t>
      </w:r>
    </w:p>
    <w:p w14:paraId="2563ACAA">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5C0A6B53">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rPr>
      </w:pPr>
      <w:bookmarkStart w:id="152" w:name="_Toc11349"/>
      <w:bookmarkStart w:id="153" w:name="_Toc28971"/>
      <w:r>
        <w:rPr>
          <w:rFonts w:hint="eastAsia" w:ascii="宋体" w:hAnsi="宋体" w:eastAsia="宋体" w:cs="宋体"/>
          <w:b/>
          <w:bCs/>
          <w:color w:val="auto"/>
          <w:highlight w:val="none"/>
          <w:shd w:val="clear" w:color="auto" w:fill="auto"/>
          <w:lang w:val="en-US" w:eastAsia="zh-CN"/>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135"/>
        <w:gridCol w:w="1135"/>
        <w:gridCol w:w="1135"/>
        <w:gridCol w:w="1053"/>
        <w:gridCol w:w="1217"/>
        <w:gridCol w:w="890"/>
        <w:gridCol w:w="1135"/>
        <w:gridCol w:w="890"/>
        <w:gridCol w:w="890"/>
        <w:gridCol w:w="1135"/>
      </w:tblGrid>
      <w:tr w14:paraId="64FA0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F903F96">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4" w:name="_Toc15067"/>
            <w:bookmarkStart w:id="155" w:name="_Toc11223"/>
            <w:r>
              <w:rPr>
                <w:rFonts w:hint="eastAsia" w:ascii="宋体" w:hAnsi="宋体" w:eastAsia="宋体" w:cs="宋体"/>
                <w:b/>
                <w:bCs/>
                <w:i w:val="0"/>
                <w:iCs w:val="0"/>
                <w:color w:val="000000"/>
                <w:kern w:val="0"/>
                <w:sz w:val="32"/>
                <w:szCs w:val="32"/>
                <w:u w:val="none"/>
                <w:lang w:val="en-US" w:eastAsia="zh-CN" w:bidi="ar"/>
              </w:rPr>
              <w:t>项目支出绩效自评表</w:t>
            </w:r>
          </w:p>
        </w:tc>
      </w:tr>
      <w:tr w14:paraId="079E2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64538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B0E7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154B3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6"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5C7A4C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2024年学前教育生均经费</w:t>
            </w:r>
          </w:p>
        </w:tc>
      </w:tr>
      <w:tr w14:paraId="5B8F6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A67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8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38D4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9A5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4CE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阜康市上户沟哈萨克族乡第一中心幼儿园</w:t>
            </w:r>
          </w:p>
        </w:tc>
      </w:tr>
      <w:tr w14:paraId="236B3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D7D0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0D2B49">
            <w:pPr>
              <w:jc w:val="center"/>
              <w:rPr>
                <w:rFonts w:hint="eastAsia" w:ascii="宋体" w:hAnsi="宋体" w:eastAsia="宋体" w:cs="宋体"/>
                <w:b/>
                <w:bCs/>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701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6B6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02F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2E94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69FA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0B0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BFD0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36642">
            <w:pPr>
              <w:jc w:val="center"/>
              <w:rPr>
                <w:rFonts w:hint="eastAsia" w:ascii="宋体" w:hAnsi="宋体" w:eastAsia="宋体" w:cs="宋体"/>
                <w:b/>
                <w:bCs/>
                <w:i w:val="0"/>
                <w:iCs w:val="0"/>
                <w:color w:val="000000"/>
                <w:sz w:val="18"/>
                <w:szCs w:val="18"/>
                <w:u w:val="none"/>
              </w:rPr>
            </w:pPr>
          </w:p>
        </w:tc>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B79F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0B7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16.31</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D1E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B71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7C2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3C1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B0B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7341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6F0A1">
            <w:pPr>
              <w:jc w:val="center"/>
              <w:rPr>
                <w:rFonts w:hint="eastAsia" w:ascii="宋体" w:hAnsi="宋体" w:eastAsia="宋体" w:cs="宋体"/>
                <w:b/>
                <w:bCs/>
                <w:i w:val="0"/>
                <w:iCs w:val="0"/>
                <w:color w:val="000000"/>
                <w:sz w:val="18"/>
                <w:szCs w:val="18"/>
                <w:u w:val="none"/>
              </w:rPr>
            </w:pPr>
          </w:p>
        </w:tc>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0288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13C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16.31</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E72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436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80E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691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648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AECD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FED85">
            <w:pPr>
              <w:jc w:val="center"/>
              <w:rPr>
                <w:rFonts w:hint="eastAsia" w:ascii="宋体" w:hAnsi="宋体" w:eastAsia="宋体" w:cs="宋体"/>
                <w:b/>
                <w:bCs/>
                <w:i w:val="0"/>
                <w:iCs w:val="0"/>
                <w:color w:val="000000"/>
                <w:sz w:val="18"/>
                <w:szCs w:val="18"/>
                <w:u w:val="none"/>
              </w:rPr>
            </w:pPr>
          </w:p>
        </w:tc>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3B57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666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D77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E59E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4759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82F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22B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DCDF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FBC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8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F5F0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8489D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320B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E48F9">
            <w:pPr>
              <w:jc w:val="center"/>
              <w:rPr>
                <w:rFonts w:hint="eastAsia" w:ascii="宋体" w:hAnsi="宋体" w:eastAsia="宋体" w:cs="宋体"/>
                <w:b/>
                <w:bCs/>
                <w:i w:val="0"/>
                <w:iCs w:val="0"/>
                <w:color w:val="000000"/>
                <w:sz w:val="18"/>
                <w:szCs w:val="18"/>
                <w:u w:val="none"/>
              </w:rPr>
            </w:pPr>
          </w:p>
        </w:tc>
        <w:tc>
          <w:tcPr>
            <w:tcW w:w="198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D4D53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阜康市上户沟哈萨克族乡第一中心幼儿园计划保障幼儿园正常运转，教学活动及其他日常业务的正常运转。计划完成每学年以1100元每生每学年的标准使用公用经费，总计在园幼儿人数93人。通过开展各类教育教学活动，促进幼儿园各项活动有序开展，实现幼儿园年初制定的各项工作目标，进一步提高幼儿园教育教学水平。</w:t>
            </w:r>
          </w:p>
        </w:tc>
        <w:tc>
          <w:tcPr>
            <w:tcW w:w="28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575B0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阜康市上户沟哈萨克族乡第一中心幼儿园享受免费教育补助政策幼儿数93人，开展教育教学活动次数30次，开展教研活动完成15次。为保障幼儿园各项设施的完善，共建设一个项目。享受公用经费达到了100%，制度化和长效化建设，进一步改善教学环境，提供良好的学生成长条件，师生满意度达到了90%。</w:t>
            </w:r>
          </w:p>
        </w:tc>
      </w:tr>
      <w:tr w14:paraId="65446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7DDF15">
            <w:pPr>
              <w:jc w:val="center"/>
              <w:rPr>
                <w:rFonts w:hint="eastAsia" w:ascii="宋体" w:hAnsi="宋体" w:eastAsia="宋体" w:cs="宋体"/>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AE6D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9AAD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392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09A9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9380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E80C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AFF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C56B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934E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96A6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F56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3A7F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7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3A3E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565F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450BC">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9D756">
            <w:pPr>
              <w:jc w:val="center"/>
              <w:rPr>
                <w:rFonts w:hint="eastAsia" w:ascii="宋体" w:hAnsi="宋体" w:eastAsia="宋体" w:cs="宋体"/>
                <w:b/>
                <w:bCs/>
                <w:i w:val="0"/>
                <w:iCs w:val="0"/>
                <w:color w:val="000000"/>
                <w:sz w:val="18"/>
                <w:szCs w:val="18"/>
                <w:u w:val="none"/>
              </w:rPr>
            </w:pP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DCD05">
            <w:pPr>
              <w:jc w:val="center"/>
              <w:rPr>
                <w:rFonts w:hint="eastAsia" w:ascii="宋体" w:hAnsi="宋体" w:eastAsia="宋体" w:cs="宋体"/>
                <w:b/>
                <w:bCs/>
                <w:i w:val="0"/>
                <w:iCs w:val="0"/>
                <w:color w:val="000000"/>
                <w:sz w:val="18"/>
                <w:szCs w:val="18"/>
                <w:u w:val="none"/>
              </w:rPr>
            </w:pPr>
          </w:p>
        </w:tc>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AD476">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1068A">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45120">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CD9EF">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EFA28">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F0718">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E12EE">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71A29">
            <w:pPr>
              <w:jc w:val="center"/>
              <w:rPr>
                <w:rFonts w:hint="eastAsia" w:ascii="宋体" w:hAnsi="宋体" w:eastAsia="宋体" w:cs="宋体"/>
                <w:b/>
                <w:bCs/>
                <w:i w:val="0"/>
                <w:iCs w:val="0"/>
                <w:color w:val="000000"/>
                <w:sz w:val="18"/>
                <w:szCs w:val="18"/>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787B4">
            <w:pPr>
              <w:jc w:val="center"/>
              <w:rPr>
                <w:rFonts w:hint="eastAsia" w:ascii="宋体" w:hAnsi="宋体" w:eastAsia="宋体" w:cs="宋体"/>
                <w:b/>
                <w:bCs/>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5238E">
            <w:pPr>
              <w:jc w:val="center"/>
              <w:rPr>
                <w:rFonts w:hint="eastAsia" w:ascii="宋体" w:hAnsi="宋体" w:eastAsia="宋体" w:cs="宋体"/>
                <w:b/>
                <w:bCs/>
                <w:i w:val="0"/>
                <w:iCs w:val="0"/>
                <w:color w:val="000000"/>
                <w:sz w:val="18"/>
                <w:szCs w:val="18"/>
                <w:u w:val="none"/>
              </w:rPr>
            </w:pPr>
          </w:p>
        </w:tc>
        <w:tc>
          <w:tcPr>
            <w:tcW w:w="7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F6A93">
            <w:pPr>
              <w:jc w:val="center"/>
              <w:rPr>
                <w:rFonts w:hint="eastAsia" w:ascii="宋体" w:hAnsi="宋体" w:eastAsia="宋体" w:cs="宋体"/>
                <w:b/>
                <w:bCs/>
                <w:i w:val="0"/>
                <w:iCs w:val="0"/>
                <w:color w:val="000000"/>
                <w:sz w:val="18"/>
                <w:szCs w:val="18"/>
                <w:u w:val="none"/>
              </w:rPr>
            </w:pPr>
          </w:p>
        </w:tc>
      </w:tr>
      <w:tr w14:paraId="3FEF1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487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561B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62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03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在园学校人数</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8D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23C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944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D89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95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0B4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901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135人</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910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5D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4BC6A">
            <w:pPr>
              <w:jc w:val="center"/>
              <w:rPr>
                <w:rFonts w:hint="eastAsia" w:ascii="宋体" w:hAnsi="宋体" w:eastAsia="宋体" w:cs="宋体"/>
                <w:i w:val="0"/>
                <w:iCs w:val="0"/>
                <w:color w:val="000000"/>
                <w:sz w:val="18"/>
                <w:szCs w:val="18"/>
                <w:u w:val="none"/>
              </w:rPr>
            </w:pPr>
          </w:p>
        </w:tc>
      </w:tr>
      <w:tr w14:paraId="56C29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B691A">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EB01A">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D1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E1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35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790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EA2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789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DDF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E0C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C1F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BC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2E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36EE6">
            <w:pPr>
              <w:jc w:val="center"/>
              <w:rPr>
                <w:rFonts w:hint="eastAsia" w:ascii="宋体" w:hAnsi="宋体" w:eastAsia="宋体" w:cs="宋体"/>
                <w:i w:val="0"/>
                <w:iCs w:val="0"/>
                <w:color w:val="000000"/>
                <w:sz w:val="18"/>
                <w:szCs w:val="18"/>
                <w:u w:val="none"/>
              </w:rPr>
            </w:pPr>
          </w:p>
        </w:tc>
      </w:tr>
      <w:tr w14:paraId="0CC79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9EA25">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5221F">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78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B4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6F6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732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28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7899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E4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06A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CD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578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A3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48627">
            <w:pPr>
              <w:jc w:val="center"/>
              <w:rPr>
                <w:rFonts w:hint="eastAsia" w:ascii="宋体" w:hAnsi="宋体" w:eastAsia="宋体" w:cs="宋体"/>
                <w:i w:val="0"/>
                <w:iCs w:val="0"/>
                <w:color w:val="000000"/>
                <w:sz w:val="18"/>
                <w:szCs w:val="18"/>
                <w:u w:val="none"/>
              </w:rPr>
            </w:pPr>
          </w:p>
        </w:tc>
      </w:tr>
      <w:tr w14:paraId="24C5F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A2138">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C42A0">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B9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73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公用经费支出及时率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E3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52E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B17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2E5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692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82C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FD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AB1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608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27B02">
            <w:pPr>
              <w:jc w:val="center"/>
              <w:rPr>
                <w:rFonts w:hint="eastAsia" w:ascii="宋体" w:hAnsi="宋体" w:eastAsia="宋体" w:cs="宋体"/>
                <w:i w:val="0"/>
                <w:iCs w:val="0"/>
                <w:color w:val="000000"/>
                <w:sz w:val="18"/>
                <w:szCs w:val="18"/>
                <w:u w:val="none"/>
              </w:rPr>
            </w:pPr>
          </w:p>
        </w:tc>
      </w:tr>
      <w:tr w14:paraId="41120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8F410">
            <w:pPr>
              <w:jc w:val="center"/>
              <w:rPr>
                <w:rFonts w:hint="eastAsia" w:ascii="宋体" w:hAnsi="宋体" w:eastAsia="宋体" w:cs="宋体"/>
                <w:b/>
                <w:bCs/>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505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656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F3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BC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73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C45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2D0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244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3F8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6B2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BB9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5E2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BBC31">
            <w:pPr>
              <w:jc w:val="center"/>
              <w:rPr>
                <w:rFonts w:hint="eastAsia" w:ascii="宋体" w:hAnsi="宋体" w:eastAsia="宋体" w:cs="宋体"/>
                <w:i w:val="0"/>
                <w:iCs w:val="0"/>
                <w:color w:val="000000"/>
                <w:sz w:val="18"/>
                <w:szCs w:val="18"/>
                <w:u w:val="none"/>
              </w:rPr>
            </w:pPr>
          </w:p>
        </w:tc>
      </w:tr>
      <w:tr w14:paraId="635CB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FA0E2">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CE7B8">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956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A7E5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5780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37AD7">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3643D">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35F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3AFB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4D08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61E10">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A8EC2">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852A1">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12358">
            <w:pPr>
              <w:jc w:val="center"/>
              <w:rPr>
                <w:rFonts w:hint="eastAsia" w:ascii="宋体" w:hAnsi="宋体" w:eastAsia="宋体" w:cs="宋体"/>
                <w:i w:val="0"/>
                <w:iCs w:val="0"/>
                <w:color w:val="000000"/>
                <w:sz w:val="18"/>
                <w:szCs w:val="18"/>
                <w:u w:val="none"/>
              </w:rPr>
            </w:pPr>
          </w:p>
        </w:tc>
      </w:tr>
      <w:tr w14:paraId="166CF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E443B">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B91B3">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8B5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9CC5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78AB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7D893">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EED9E">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5DD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83EE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4EB2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B14AC">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94A1C">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1B882">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E42BA">
            <w:pPr>
              <w:jc w:val="center"/>
              <w:rPr>
                <w:rFonts w:hint="eastAsia" w:ascii="宋体" w:hAnsi="宋体" w:eastAsia="宋体" w:cs="宋体"/>
                <w:i w:val="0"/>
                <w:iCs w:val="0"/>
                <w:color w:val="000000"/>
                <w:sz w:val="18"/>
                <w:szCs w:val="18"/>
                <w:u w:val="none"/>
              </w:rPr>
            </w:pPr>
          </w:p>
        </w:tc>
      </w:tr>
      <w:tr w14:paraId="16761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58414">
            <w:pPr>
              <w:jc w:val="center"/>
              <w:rPr>
                <w:rFonts w:hint="eastAsia" w:ascii="宋体" w:hAnsi="宋体" w:eastAsia="宋体" w:cs="宋体"/>
                <w:b/>
                <w:bCs/>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F3F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B5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2C29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6071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48E6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146AD">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D10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FFB4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4FB0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925C5">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C78AF">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A8F74">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49530">
            <w:pPr>
              <w:jc w:val="center"/>
              <w:rPr>
                <w:rFonts w:hint="eastAsia" w:ascii="宋体" w:hAnsi="宋体" w:eastAsia="宋体" w:cs="宋体"/>
                <w:i w:val="0"/>
                <w:iCs w:val="0"/>
                <w:color w:val="000000"/>
                <w:sz w:val="18"/>
                <w:szCs w:val="18"/>
                <w:u w:val="none"/>
              </w:rPr>
            </w:pPr>
          </w:p>
        </w:tc>
      </w:tr>
      <w:tr w14:paraId="5EFC3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1407D">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30E2E">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8C4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C1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DF9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3E8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0E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C1A2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8D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49C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BB35A">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20D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5D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9A330">
            <w:pPr>
              <w:jc w:val="center"/>
              <w:rPr>
                <w:rFonts w:hint="eastAsia" w:ascii="宋体" w:hAnsi="宋体" w:eastAsia="宋体" w:cs="宋体"/>
                <w:i w:val="0"/>
                <w:iCs w:val="0"/>
                <w:color w:val="000000"/>
                <w:sz w:val="18"/>
                <w:szCs w:val="18"/>
                <w:u w:val="none"/>
              </w:rPr>
            </w:pPr>
          </w:p>
        </w:tc>
      </w:tr>
      <w:tr w14:paraId="42D5C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69165">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3702B">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BB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33B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DFB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E8A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46B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79A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DC6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95E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DA5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3E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077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6FB31">
            <w:pPr>
              <w:jc w:val="center"/>
              <w:rPr>
                <w:rFonts w:hint="eastAsia" w:ascii="宋体" w:hAnsi="宋体" w:eastAsia="宋体" w:cs="宋体"/>
                <w:i w:val="0"/>
                <w:iCs w:val="0"/>
                <w:color w:val="000000"/>
                <w:sz w:val="18"/>
                <w:szCs w:val="18"/>
                <w:u w:val="none"/>
              </w:rPr>
            </w:pPr>
          </w:p>
        </w:tc>
      </w:tr>
      <w:tr w14:paraId="28C23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852D4">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6FA0F">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A6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BDD7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268F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1E48B">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AD1EB">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5CB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A849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2B82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3FC80">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20506">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5F106">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F3135">
            <w:pPr>
              <w:jc w:val="center"/>
              <w:rPr>
                <w:rFonts w:hint="eastAsia" w:ascii="宋体" w:hAnsi="宋体" w:eastAsia="宋体" w:cs="宋体"/>
                <w:i w:val="0"/>
                <w:iCs w:val="0"/>
                <w:color w:val="000000"/>
                <w:sz w:val="18"/>
                <w:szCs w:val="18"/>
                <w:u w:val="none"/>
              </w:rPr>
            </w:pPr>
          </w:p>
        </w:tc>
      </w:tr>
      <w:tr w14:paraId="145B4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F20A4">
            <w:pPr>
              <w:jc w:val="center"/>
              <w:rPr>
                <w:rFonts w:hint="eastAsia" w:ascii="宋体" w:hAnsi="宋体" w:eastAsia="宋体" w:cs="宋体"/>
                <w:b/>
                <w:bCs/>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BAB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28D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C29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65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8C5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B8A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4895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49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5D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w:t>
            </w:r>
            <w:bookmarkStart w:id="159" w:name="_GoBack"/>
            <w:bookmarkEnd w:id="159"/>
            <w:r>
              <w:rPr>
                <w:rFonts w:hint="eastAsia" w:ascii="宋体" w:hAnsi="宋体" w:eastAsia="宋体" w:cs="宋体"/>
                <w:i w:val="0"/>
                <w:iCs w:val="0"/>
                <w:color w:val="000000"/>
                <w:kern w:val="0"/>
                <w:sz w:val="18"/>
                <w:szCs w:val="18"/>
                <w:u w:val="none"/>
                <w:lang w:val="en-US" w:eastAsia="zh-CN" w:bidi="ar"/>
              </w:rPr>
              <w:t>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6F0FB">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259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7D4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4695E">
            <w:pPr>
              <w:jc w:val="center"/>
              <w:rPr>
                <w:rFonts w:hint="eastAsia" w:ascii="宋体" w:hAnsi="宋体" w:eastAsia="宋体" w:cs="宋体"/>
                <w:i w:val="0"/>
                <w:iCs w:val="0"/>
                <w:color w:val="000000"/>
                <w:sz w:val="18"/>
                <w:szCs w:val="18"/>
                <w:u w:val="none"/>
              </w:rPr>
            </w:pPr>
          </w:p>
        </w:tc>
      </w:tr>
      <w:tr w14:paraId="2EEDB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220" w:type="pct"/>
            <w:gridSpan w:val="4"/>
            <w:tcBorders>
              <w:top w:val="single" w:color="000000" w:sz="4" w:space="0"/>
              <w:left w:val="single" w:color="000000" w:sz="4" w:space="0"/>
              <w:bottom w:val="single" w:color="000000" w:sz="4" w:space="0"/>
              <w:right w:val="nil"/>
            </w:tcBorders>
            <w:shd w:val="clear" w:color="auto" w:fill="auto"/>
            <w:vAlign w:val="center"/>
          </w:tcPr>
          <w:p w14:paraId="6D273A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897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nil"/>
              <w:bottom w:val="single" w:color="000000" w:sz="4" w:space="0"/>
              <w:right w:val="single" w:color="000000" w:sz="4" w:space="0"/>
            </w:tcBorders>
            <w:shd w:val="clear" w:color="auto" w:fill="auto"/>
            <w:vAlign w:val="center"/>
          </w:tcPr>
          <w:p w14:paraId="655167C1">
            <w:pP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9A6C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D57F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D3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1B0A4">
            <w:pP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07DDA">
            <w:pP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2E08B">
            <w:pP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8323E">
            <w:pP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5490B">
            <w:pPr>
              <w:rPr>
                <w:rFonts w:hint="eastAsia" w:ascii="宋体" w:hAnsi="宋体" w:eastAsia="宋体" w:cs="宋体"/>
                <w:i w:val="0"/>
                <w:iCs w:val="0"/>
                <w:color w:val="000000"/>
                <w:sz w:val="18"/>
                <w:szCs w:val="18"/>
                <w:u w:val="none"/>
              </w:rPr>
            </w:pPr>
          </w:p>
        </w:tc>
      </w:tr>
    </w:tbl>
    <w:p w14:paraId="57CB01AD">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sectPr>
          <w:pgSz w:w="16838" w:h="11906" w:orient="landscape"/>
          <w:pgMar w:top="1800" w:right="1440" w:bottom="1800" w:left="1440" w:header="737" w:footer="851" w:gutter="0"/>
          <w:pgNumType w:fmt="decimal"/>
          <w:cols w:space="720" w:num="1"/>
          <w:docGrid w:type="lines" w:linePitch="408" w:charSpace="0"/>
        </w:sectPr>
      </w:pPr>
    </w:p>
    <w:p w14:paraId="69624329">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101"/>
        <w:gridCol w:w="1860"/>
        <w:gridCol w:w="7821"/>
        <w:gridCol w:w="785"/>
        <w:gridCol w:w="769"/>
      </w:tblGrid>
      <w:tr w14:paraId="7381B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2501F60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3EED1D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1101" w:type="dxa"/>
            <w:shd w:val="clear" w:color="auto" w:fill="auto"/>
            <w:noWrap w:val="0"/>
            <w:vAlign w:val="center"/>
          </w:tcPr>
          <w:p w14:paraId="52028E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1860" w:type="dxa"/>
            <w:shd w:val="clear" w:color="auto" w:fill="auto"/>
            <w:noWrap w:val="0"/>
            <w:vAlign w:val="center"/>
          </w:tcPr>
          <w:p w14:paraId="3B30215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501066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290AE31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60276E8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4B500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183349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6BE671E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3142DBC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5F67F1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1101" w:type="dxa"/>
            <w:shd w:val="clear" w:color="auto" w:fill="auto"/>
            <w:noWrap w:val="0"/>
            <w:vAlign w:val="center"/>
          </w:tcPr>
          <w:p w14:paraId="1819CCE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627E81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1860" w:type="dxa"/>
            <w:shd w:val="clear" w:color="auto" w:fill="auto"/>
            <w:noWrap w:val="0"/>
            <w:vAlign w:val="center"/>
          </w:tcPr>
          <w:p w14:paraId="3E64F4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F2A714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6EA19D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6878321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6BFBFA2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78E8994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21AF42B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591CCD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3BDB94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E2FAF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14895AF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F904F4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101" w:type="dxa"/>
            <w:shd w:val="clear" w:color="auto" w:fill="auto"/>
            <w:noWrap w:val="0"/>
            <w:vAlign w:val="center"/>
          </w:tcPr>
          <w:p w14:paraId="5424261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21B1FAE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1860" w:type="dxa"/>
            <w:shd w:val="clear" w:color="auto" w:fill="auto"/>
            <w:noWrap w:val="0"/>
            <w:vAlign w:val="center"/>
          </w:tcPr>
          <w:p w14:paraId="510D541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55FDA19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276AAF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5514E2D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0E985B6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5C0966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FEBDA42">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452F05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22F3C40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39E2BB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1101" w:type="dxa"/>
            <w:shd w:val="clear" w:color="auto" w:fill="auto"/>
            <w:noWrap w:val="0"/>
            <w:vAlign w:val="center"/>
          </w:tcPr>
          <w:p w14:paraId="7341E2B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48CCA2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1860" w:type="dxa"/>
            <w:shd w:val="clear" w:color="auto" w:fill="auto"/>
            <w:noWrap w:val="0"/>
            <w:vAlign w:val="center"/>
          </w:tcPr>
          <w:p w14:paraId="6D71E66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6A60BF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D48844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307402B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6D62587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6E1E863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789CDCE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34AEB3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5D231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11762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309E203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5B42C11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1101" w:type="dxa"/>
            <w:shd w:val="clear" w:color="auto" w:fill="auto"/>
            <w:noWrap w:val="0"/>
            <w:vAlign w:val="center"/>
          </w:tcPr>
          <w:p w14:paraId="58B0DB5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6870FB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1860" w:type="dxa"/>
            <w:shd w:val="clear" w:color="auto" w:fill="auto"/>
            <w:noWrap w:val="0"/>
            <w:vAlign w:val="center"/>
          </w:tcPr>
          <w:p w14:paraId="41F7918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7DD0AF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F4A192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1AE796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26BB1E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0B6C53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4F0583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42E4C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990D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5D120E2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0FF01C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56C7810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101" w:type="dxa"/>
            <w:shd w:val="clear" w:color="auto" w:fill="auto"/>
            <w:noWrap w:val="0"/>
            <w:vAlign w:val="center"/>
          </w:tcPr>
          <w:p w14:paraId="0CEAD4B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29C0F7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1860" w:type="dxa"/>
            <w:shd w:val="clear" w:color="auto" w:fill="auto"/>
            <w:noWrap w:val="0"/>
            <w:vAlign w:val="center"/>
          </w:tcPr>
          <w:p w14:paraId="774A659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6E5B33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EF01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E828E3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2FDC32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45848CE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44BE1D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4AB24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E26D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6826859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3FAD66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101" w:type="dxa"/>
            <w:shd w:val="clear" w:color="auto" w:fill="auto"/>
            <w:noWrap w:val="0"/>
            <w:vAlign w:val="center"/>
          </w:tcPr>
          <w:p w14:paraId="1424183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5D4C53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1860" w:type="dxa"/>
            <w:shd w:val="clear" w:color="auto" w:fill="auto"/>
            <w:noWrap w:val="0"/>
            <w:vAlign w:val="center"/>
          </w:tcPr>
          <w:p w14:paraId="7CD090C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E45B3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70F00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0B7BD6E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22652C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3F9F43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81A3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422E58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67799E7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101" w:type="dxa"/>
            <w:shd w:val="clear" w:color="auto" w:fill="auto"/>
            <w:noWrap w:val="0"/>
            <w:vAlign w:val="center"/>
          </w:tcPr>
          <w:p w14:paraId="4EAA40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1860" w:type="dxa"/>
            <w:shd w:val="clear" w:color="auto" w:fill="auto"/>
            <w:noWrap w:val="0"/>
            <w:vAlign w:val="center"/>
          </w:tcPr>
          <w:p w14:paraId="1CBE241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205352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66D932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0B3A49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3A81C7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684A7C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12E58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7E5D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2B2328A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6A89B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101" w:type="dxa"/>
            <w:shd w:val="clear" w:color="auto" w:fill="auto"/>
            <w:noWrap w:val="0"/>
            <w:vAlign w:val="center"/>
          </w:tcPr>
          <w:p w14:paraId="5E30946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1860" w:type="dxa"/>
            <w:shd w:val="clear" w:color="auto" w:fill="auto"/>
            <w:noWrap w:val="0"/>
            <w:vAlign w:val="center"/>
          </w:tcPr>
          <w:p w14:paraId="55D3E9A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19B3D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1AF370D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03B2CE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44FF02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AAF06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4F3335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6E7D51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6B5DBF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101" w:type="dxa"/>
            <w:shd w:val="clear" w:color="auto" w:fill="auto"/>
            <w:noWrap w:val="0"/>
            <w:vAlign w:val="center"/>
          </w:tcPr>
          <w:p w14:paraId="1EA704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14C9D6D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1860" w:type="dxa"/>
            <w:shd w:val="clear" w:color="auto" w:fill="auto"/>
            <w:noWrap w:val="0"/>
            <w:vAlign w:val="center"/>
          </w:tcPr>
          <w:p w14:paraId="7C2FCE5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7EDF9C6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EED70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5604D0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04ECF8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3B3E79B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85908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1A620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515EC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0389209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6AA1E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44286B4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101" w:type="dxa"/>
            <w:shd w:val="clear" w:color="auto" w:fill="auto"/>
            <w:noWrap w:val="0"/>
            <w:vAlign w:val="center"/>
          </w:tcPr>
          <w:p w14:paraId="0CCCE3F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A2072A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1860" w:type="dxa"/>
            <w:shd w:val="clear" w:color="auto" w:fill="auto"/>
            <w:noWrap w:val="0"/>
            <w:vAlign w:val="center"/>
          </w:tcPr>
          <w:p w14:paraId="40923F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21535B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3E306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26DD241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12CF9A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52745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8A61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63E1D6D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B728ED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101" w:type="dxa"/>
            <w:shd w:val="clear" w:color="auto" w:fill="auto"/>
            <w:noWrap w:val="0"/>
            <w:vAlign w:val="center"/>
          </w:tcPr>
          <w:p w14:paraId="28C0AB6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539EAA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1860" w:type="dxa"/>
            <w:shd w:val="clear" w:color="auto" w:fill="auto"/>
            <w:noWrap w:val="0"/>
            <w:vAlign w:val="center"/>
          </w:tcPr>
          <w:p w14:paraId="4076A6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6C07EF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736E8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6EDC0C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4CF35C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55456C1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188F71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00C05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1AC2F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B8AF86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5ABEC79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1101" w:type="dxa"/>
            <w:shd w:val="clear" w:color="auto" w:fill="auto"/>
            <w:noWrap w:val="0"/>
            <w:vAlign w:val="center"/>
          </w:tcPr>
          <w:p w14:paraId="64045A4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在园学生人数</w:t>
            </w:r>
          </w:p>
        </w:tc>
        <w:tc>
          <w:tcPr>
            <w:tcW w:w="1860" w:type="dxa"/>
            <w:shd w:val="clear" w:color="auto" w:fill="auto"/>
            <w:noWrap w:val="0"/>
            <w:vAlign w:val="center"/>
          </w:tcPr>
          <w:p w14:paraId="5BA3327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7B0AB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42E0E7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2DD30D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472F8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01EBDB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3ECA8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2A81022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bookmarkStart w:id="156" w:name="OLE_LINK3" w:colFirst="3" w:colLast="4"/>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3C0E00F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1101" w:type="dxa"/>
            <w:shd w:val="clear" w:color="auto" w:fill="auto"/>
            <w:noWrap w:val="0"/>
            <w:vAlign w:val="center"/>
          </w:tcPr>
          <w:p w14:paraId="22D2095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公用经费享受比例</w:t>
            </w:r>
          </w:p>
        </w:tc>
        <w:tc>
          <w:tcPr>
            <w:tcW w:w="1860" w:type="dxa"/>
            <w:shd w:val="clear" w:color="auto" w:fill="auto"/>
            <w:noWrap w:val="0"/>
            <w:vAlign w:val="center"/>
          </w:tcPr>
          <w:p w14:paraId="0C354DD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7BF8924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9E2A4B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BEF733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5E7CA07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bookmarkEnd w:id="156"/>
      <w:tr w14:paraId="6514DF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359D25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785509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101" w:type="dxa"/>
            <w:shd w:val="clear" w:color="auto" w:fill="auto"/>
            <w:noWrap w:val="0"/>
            <w:vAlign w:val="center"/>
          </w:tcPr>
          <w:p w14:paraId="05ADC31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教师培训结业率</w:t>
            </w:r>
          </w:p>
        </w:tc>
        <w:tc>
          <w:tcPr>
            <w:tcW w:w="1860" w:type="dxa"/>
            <w:shd w:val="clear" w:color="auto" w:fill="auto"/>
            <w:noWrap w:val="0"/>
            <w:vAlign w:val="center"/>
          </w:tcPr>
          <w:p w14:paraId="74D6A2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F5D0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B814A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C9FAE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75717BB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45DAB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61" w:hRule="atLeast"/>
          <w:jc w:val="center"/>
        </w:trPr>
        <w:tc>
          <w:tcPr>
            <w:tcW w:w="861" w:type="dxa"/>
            <w:vMerge w:val="continue"/>
            <w:shd w:val="clear" w:color="auto" w:fill="auto"/>
            <w:noWrap w:val="0"/>
            <w:vAlign w:val="center"/>
          </w:tcPr>
          <w:p w14:paraId="3790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5EC253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1101" w:type="dxa"/>
            <w:shd w:val="clear" w:color="auto" w:fill="auto"/>
            <w:noWrap w:val="0"/>
            <w:vAlign w:val="center"/>
          </w:tcPr>
          <w:p w14:paraId="45B56D0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公用经费支出及时率</w:t>
            </w:r>
          </w:p>
        </w:tc>
        <w:tc>
          <w:tcPr>
            <w:tcW w:w="1860" w:type="dxa"/>
            <w:shd w:val="clear" w:color="auto" w:fill="auto"/>
            <w:noWrap w:val="0"/>
            <w:vAlign w:val="center"/>
          </w:tcPr>
          <w:p w14:paraId="12B7F1E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5D0C6F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3E47193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7784668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589F62A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7FD79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6" w:hRule="atLeast"/>
          <w:jc w:val="center"/>
        </w:trPr>
        <w:tc>
          <w:tcPr>
            <w:tcW w:w="861" w:type="dxa"/>
            <w:vMerge w:val="continue"/>
            <w:shd w:val="clear" w:color="auto" w:fill="auto"/>
            <w:noWrap w:val="0"/>
            <w:vAlign w:val="center"/>
          </w:tcPr>
          <w:p w14:paraId="583DE0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A01713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1101" w:type="dxa"/>
            <w:shd w:val="clear" w:color="auto" w:fill="auto"/>
            <w:noWrap w:val="0"/>
            <w:vAlign w:val="center"/>
          </w:tcPr>
          <w:p w14:paraId="1225988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公用经费标准</w:t>
            </w:r>
          </w:p>
        </w:tc>
        <w:tc>
          <w:tcPr>
            <w:tcW w:w="1860" w:type="dxa"/>
            <w:shd w:val="clear" w:color="auto" w:fill="auto"/>
            <w:noWrap w:val="0"/>
            <w:vAlign w:val="center"/>
          </w:tcPr>
          <w:p w14:paraId="4216567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11C233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47FFA4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4C0267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0359D9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165ADF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4D65242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6DB11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6262AB8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3F804DB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1101" w:type="dxa"/>
            <w:shd w:val="clear" w:color="auto" w:fill="auto"/>
            <w:noWrap w:val="0"/>
            <w:vAlign w:val="center"/>
          </w:tcPr>
          <w:p w14:paraId="3A08C4E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学校正常运转率</w:t>
            </w:r>
          </w:p>
        </w:tc>
        <w:tc>
          <w:tcPr>
            <w:tcW w:w="1860" w:type="dxa"/>
            <w:shd w:val="clear" w:color="auto" w:fill="auto"/>
            <w:noWrap w:val="0"/>
            <w:vAlign w:val="center"/>
          </w:tcPr>
          <w:p w14:paraId="24B5E32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bookmarkStart w:id="157" w:name="OLE_LINK4"/>
            <w:r>
              <w:rPr>
                <w:rFonts w:hint="eastAsia" w:ascii="宋体" w:hAnsi="宋体" w:eastAsia="宋体" w:cs="宋体"/>
                <w:color w:val="auto"/>
                <w:kern w:val="0"/>
                <w:sz w:val="22"/>
                <w:szCs w:val="22"/>
                <w:highlight w:val="none"/>
              </w:rPr>
              <w:t>项目实施所产生的效益。</w:t>
            </w:r>
            <w:bookmarkEnd w:id="157"/>
          </w:p>
        </w:tc>
        <w:tc>
          <w:tcPr>
            <w:tcW w:w="7821" w:type="dxa"/>
            <w:shd w:val="clear" w:color="auto" w:fill="auto"/>
            <w:noWrap w:val="0"/>
            <w:vAlign w:val="center"/>
          </w:tcPr>
          <w:p w14:paraId="1E3A2A5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bookmarkStart w:id="158" w:name="OLE_LINK5"/>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bookmarkEnd w:id="158"/>
          </w:p>
        </w:tc>
        <w:tc>
          <w:tcPr>
            <w:tcW w:w="785" w:type="dxa"/>
            <w:shd w:val="clear" w:color="auto" w:fill="auto"/>
            <w:noWrap w:val="0"/>
            <w:vAlign w:val="center"/>
          </w:tcPr>
          <w:p w14:paraId="6C5D7AB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56175C2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1858F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59DFAA9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F60606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101" w:type="dxa"/>
            <w:shd w:val="clear" w:color="auto" w:fill="auto"/>
            <w:noWrap w:val="0"/>
            <w:vAlign w:val="center"/>
          </w:tcPr>
          <w:p w14:paraId="526D74FF">
            <w:pPr>
              <w:pageBreakBefore w:val="0"/>
              <w:widowControl/>
              <w:kinsoku/>
              <w:wordWrap/>
              <w:overflowPunct/>
              <w:topLinePunct w:val="0"/>
              <w:autoSpaceDE/>
              <w:autoSpaceDN/>
              <w:bidi w:val="0"/>
              <w:spacing w:line="240" w:lineRule="auto"/>
              <w:ind w:firstLine="0" w:firstLineChars="0"/>
              <w:jc w:val="center"/>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改善教学环境，提供良好的学生成长条件</w:t>
            </w:r>
          </w:p>
        </w:tc>
        <w:tc>
          <w:tcPr>
            <w:tcW w:w="1860" w:type="dxa"/>
            <w:shd w:val="clear" w:color="auto" w:fill="auto"/>
            <w:noWrap w:val="0"/>
            <w:vAlign w:val="center"/>
          </w:tcPr>
          <w:p w14:paraId="5536AB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6786B8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0893CAFB">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8116B36">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657C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6858AC1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C7CDC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101" w:type="dxa"/>
            <w:shd w:val="clear" w:color="auto" w:fill="auto"/>
            <w:noWrap w:val="0"/>
            <w:vAlign w:val="center"/>
          </w:tcPr>
          <w:p w14:paraId="5A0B200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师生满意度</w:t>
            </w:r>
          </w:p>
        </w:tc>
        <w:tc>
          <w:tcPr>
            <w:tcW w:w="1860" w:type="dxa"/>
            <w:shd w:val="clear" w:color="auto" w:fill="auto"/>
            <w:noWrap w:val="0"/>
            <w:vAlign w:val="center"/>
          </w:tcPr>
          <w:p w14:paraId="2A28105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7A436A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2649E2C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E7CA17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B571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524260F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5CE0FF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6C46045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5EAB05F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w:t>
            </w:r>
          </w:p>
        </w:tc>
      </w:tr>
    </w:tbl>
    <w:p w14:paraId="0CB0109E">
      <w:pPr>
        <w:pageBreakBefore w:val="0"/>
        <w:kinsoku/>
        <w:wordWrap/>
        <w:overflowPunct/>
        <w:topLinePunct w:val="0"/>
        <w:autoSpaceDE/>
        <w:autoSpaceDN/>
        <w:bidi w:val="0"/>
        <w:spacing w:line="560" w:lineRule="exact"/>
        <w:ind w:left="0" w:leftChars="0" w:firstLine="0" w:firstLineChars="0"/>
        <w:textAlignment w:val="auto"/>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417F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95F96">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995F96">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084485ED"/>
    <w:multiLevelType w:val="singleLevel"/>
    <w:tmpl w:val="084485ED"/>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172E78"/>
    <w:rsid w:val="004B71AB"/>
    <w:rsid w:val="007D6A04"/>
    <w:rsid w:val="00CA527E"/>
    <w:rsid w:val="00E23C81"/>
    <w:rsid w:val="01253350"/>
    <w:rsid w:val="01282E62"/>
    <w:rsid w:val="012D55E8"/>
    <w:rsid w:val="014029CF"/>
    <w:rsid w:val="01470C4C"/>
    <w:rsid w:val="014A2E7C"/>
    <w:rsid w:val="02200440"/>
    <w:rsid w:val="02284B43"/>
    <w:rsid w:val="02830CB2"/>
    <w:rsid w:val="02B015E2"/>
    <w:rsid w:val="02DC08FA"/>
    <w:rsid w:val="03351C78"/>
    <w:rsid w:val="033B569D"/>
    <w:rsid w:val="034B2E38"/>
    <w:rsid w:val="039C3BA0"/>
    <w:rsid w:val="03A845BB"/>
    <w:rsid w:val="03B45AD1"/>
    <w:rsid w:val="04185410"/>
    <w:rsid w:val="04455AD9"/>
    <w:rsid w:val="049E3BEA"/>
    <w:rsid w:val="04D12EE4"/>
    <w:rsid w:val="04D63993"/>
    <w:rsid w:val="051B0480"/>
    <w:rsid w:val="057130AB"/>
    <w:rsid w:val="05D37841"/>
    <w:rsid w:val="0733430F"/>
    <w:rsid w:val="07890F4F"/>
    <w:rsid w:val="083245C7"/>
    <w:rsid w:val="083E4D1A"/>
    <w:rsid w:val="086775F8"/>
    <w:rsid w:val="08892439"/>
    <w:rsid w:val="08BC0A60"/>
    <w:rsid w:val="08EB30F3"/>
    <w:rsid w:val="09237408"/>
    <w:rsid w:val="09781BD6"/>
    <w:rsid w:val="09BA4874"/>
    <w:rsid w:val="09F359DF"/>
    <w:rsid w:val="0A575E65"/>
    <w:rsid w:val="0ACA0AB6"/>
    <w:rsid w:val="0AD876A7"/>
    <w:rsid w:val="0C032502"/>
    <w:rsid w:val="0C0544CC"/>
    <w:rsid w:val="0C27698C"/>
    <w:rsid w:val="0D4452F3"/>
    <w:rsid w:val="0D875D11"/>
    <w:rsid w:val="0EA139F6"/>
    <w:rsid w:val="0F0E7B3C"/>
    <w:rsid w:val="0F5E5042"/>
    <w:rsid w:val="0FC90780"/>
    <w:rsid w:val="0FE95707"/>
    <w:rsid w:val="10510571"/>
    <w:rsid w:val="10787A20"/>
    <w:rsid w:val="108672DE"/>
    <w:rsid w:val="108A4FA0"/>
    <w:rsid w:val="10EC685A"/>
    <w:rsid w:val="10FD7E68"/>
    <w:rsid w:val="110D1D31"/>
    <w:rsid w:val="11E3705D"/>
    <w:rsid w:val="11FA6155"/>
    <w:rsid w:val="120C7C36"/>
    <w:rsid w:val="126950A1"/>
    <w:rsid w:val="127F5112"/>
    <w:rsid w:val="129A3494"/>
    <w:rsid w:val="12CD386A"/>
    <w:rsid w:val="12CF0947"/>
    <w:rsid w:val="12F1313F"/>
    <w:rsid w:val="133D279D"/>
    <w:rsid w:val="136C678E"/>
    <w:rsid w:val="13963C5C"/>
    <w:rsid w:val="13EB2FF5"/>
    <w:rsid w:val="140432D8"/>
    <w:rsid w:val="141814E2"/>
    <w:rsid w:val="14733F9D"/>
    <w:rsid w:val="14AA3E63"/>
    <w:rsid w:val="14E135FC"/>
    <w:rsid w:val="14ED4CAC"/>
    <w:rsid w:val="15510A55"/>
    <w:rsid w:val="158F6EBB"/>
    <w:rsid w:val="15A46B04"/>
    <w:rsid w:val="15EC6119"/>
    <w:rsid w:val="165825BC"/>
    <w:rsid w:val="16BC5D73"/>
    <w:rsid w:val="175574FA"/>
    <w:rsid w:val="176F36D7"/>
    <w:rsid w:val="1795226D"/>
    <w:rsid w:val="18335F1D"/>
    <w:rsid w:val="18422604"/>
    <w:rsid w:val="18456B1E"/>
    <w:rsid w:val="18F16493"/>
    <w:rsid w:val="19A54BF8"/>
    <w:rsid w:val="19B82418"/>
    <w:rsid w:val="19CD1D13"/>
    <w:rsid w:val="1A545B8C"/>
    <w:rsid w:val="1A766595"/>
    <w:rsid w:val="1AC6751C"/>
    <w:rsid w:val="1B4C5BD5"/>
    <w:rsid w:val="1C1171C5"/>
    <w:rsid w:val="1C204A0A"/>
    <w:rsid w:val="1C676ADD"/>
    <w:rsid w:val="1CCF7455"/>
    <w:rsid w:val="1D265138"/>
    <w:rsid w:val="1D532BBD"/>
    <w:rsid w:val="1D7B6BCA"/>
    <w:rsid w:val="1D7E169F"/>
    <w:rsid w:val="1D990F18"/>
    <w:rsid w:val="1DA41A79"/>
    <w:rsid w:val="1DF53469"/>
    <w:rsid w:val="1E2F24F2"/>
    <w:rsid w:val="1E58492F"/>
    <w:rsid w:val="1E5B6757"/>
    <w:rsid w:val="1EA2746D"/>
    <w:rsid w:val="1EA31703"/>
    <w:rsid w:val="1ED10AC6"/>
    <w:rsid w:val="1EEE2B9E"/>
    <w:rsid w:val="1EF1268E"/>
    <w:rsid w:val="1F0028D1"/>
    <w:rsid w:val="1F89225F"/>
    <w:rsid w:val="1F900A1F"/>
    <w:rsid w:val="1FAF67D1"/>
    <w:rsid w:val="1FB45B95"/>
    <w:rsid w:val="1FC0575D"/>
    <w:rsid w:val="2043730C"/>
    <w:rsid w:val="206132C7"/>
    <w:rsid w:val="208337BA"/>
    <w:rsid w:val="20B47E17"/>
    <w:rsid w:val="20BB6D44"/>
    <w:rsid w:val="21297761"/>
    <w:rsid w:val="21B00C1D"/>
    <w:rsid w:val="22705A00"/>
    <w:rsid w:val="228F6446"/>
    <w:rsid w:val="22E22A19"/>
    <w:rsid w:val="22F653CC"/>
    <w:rsid w:val="23031BEB"/>
    <w:rsid w:val="234E1CE8"/>
    <w:rsid w:val="23917691"/>
    <w:rsid w:val="23C03737"/>
    <w:rsid w:val="23FA0237"/>
    <w:rsid w:val="240A19EC"/>
    <w:rsid w:val="24280900"/>
    <w:rsid w:val="244D65B8"/>
    <w:rsid w:val="245E1E24"/>
    <w:rsid w:val="24975A86"/>
    <w:rsid w:val="24C74FB8"/>
    <w:rsid w:val="256B319A"/>
    <w:rsid w:val="25AD5E5D"/>
    <w:rsid w:val="260158AC"/>
    <w:rsid w:val="262D66A1"/>
    <w:rsid w:val="265C7907"/>
    <w:rsid w:val="26C316C0"/>
    <w:rsid w:val="2703538F"/>
    <w:rsid w:val="271B299E"/>
    <w:rsid w:val="2732478D"/>
    <w:rsid w:val="27433CA3"/>
    <w:rsid w:val="27661469"/>
    <w:rsid w:val="27900EAD"/>
    <w:rsid w:val="279B538A"/>
    <w:rsid w:val="27B859C9"/>
    <w:rsid w:val="280E1E1D"/>
    <w:rsid w:val="286F545C"/>
    <w:rsid w:val="287C56BE"/>
    <w:rsid w:val="29314FBC"/>
    <w:rsid w:val="295E5F46"/>
    <w:rsid w:val="29AB625B"/>
    <w:rsid w:val="29CA4207"/>
    <w:rsid w:val="2AA2081A"/>
    <w:rsid w:val="2B3C2EE3"/>
    <w:rsid w:val="2B597F39"/>
    <w:rsid w:val="2BC85C4A"/>
    <w:rsid w:val="2C024B86"/>
    <w:rsid w:val="2C927671"/>
    <w:rsid w:val="2CC6306F"/>
    <w:rsid w:val="2D6A0964"/>
    <w:rsid w:val="2D7B23E8"/>
    <w:rsid w:val="2D7C5CD6"/>
    <w:rsid w:val="2D8017AD"/>
    <w:rsid w:val="2DB60333"/>
    <w:rsid w:val="2DD354B1"/>
    <w:rsid w:val="2DEA30CA"/>
    <w:rsid w:val="2E483E7E"/>
    <w:rsid w:val="2E690493"/>
    <w:rsid w:val="2E9854BD"/>
    <w:rsid w:val="2F0D407F"/>
    <w:rsid w:val="2F2F6948"/>
    <w:rsid w:val="2F3565C7"/>
    <w:rsid w:val="2F454B19"/>
    <w:rsid w:val="2F4A2072"/>
    <w:rsid w:val="2F7B4F4F"/>
    <w:rsid w:val="2FD30FFB"/>
    <w:rsid w:val="310224D9"/>
    <w:rsid w:val="3190410E"/>
    <w:rsid w:val="31A11CF2"/>
    <w:rsid w:val="31B4621C"/>
    <w:rsid w:val="31D73965"/>
    <w:rsid w:val="31E3230A"/>
    <w:rsid w:val="31EE4B36"/>
    <w:rsid w:val="32D07EF0"/>
    <w:rsid w:val="32F26CA9"/>
    <w:rsid w:val="330957E0"/>
    <w:rsid w:val="33356F64"/>
    <w:rsid w:val="33944516"/>
    <w:rsid w:val="3411315F"/>
    <w:rsid w:val="348E0C53"/>
    <w:rsid w:val="34B62907"/>
    <w:rsid w:val="352167CF"/>
    <w:rsid w:val="35D07049"/>
    <w:rsid w:val="360447A6"/>
    <w:rsid w:val="360F1920"/>
    <w:rsid w:val="366D4898"/>
    <w:rsid w:val="36BD137C"/>
    <w:rsid w:val="36E706C8"/>
    <w:rsid w:val="370C2303"/>
    <w:rsid w:val="37311447"/>
    <w:rsid w:val="37773C20"/>
    <w:rsid w:val="37BF1123"/>
    <w:rsid w:val="38053EDF"/>
    <w:rsid w:val="380812A4"/>
    <w:rsid w:val="381E5E4A"/>
    <w:rsid w:val="385D37E7"/>
    <w:rsid w:val="38782EDD"/>
    <w:rsid w:val="38C2711D"/>
    <w:rsid w:val="38E27C02"/>
    <w:rsid w:val="39D64176"/>
    <w:rsid w:val="3A4F2C33"/>
    <w:rsid w:val="3AAD7959"/>
    <w:rsid w:val="3B42664A"/>
    <w:rsid w:val="3B814038"/>
    <w:rsid w:val="3BB07701"/>
    <w:rsid w:val="3BCB2AD8"/>
    <w:rsid w:val="3BD3519D"/>
    <w:rsid w:val="3C834E15"/>
    <w:rsid w:val="3CAA23A2"/>
    <w:rsid w:val="3CAD1E92"/>
    <w:rsid w:val="3D3C0B26"/>
    <w:rsid w:val="3D836A4E"/>
    <w:rsid w:val="3D9646D4"/>
    <w:rsid w:val="3E612F34"/>
    <w:rsid w:val="3E747E22"/>
    <w:rsid w:val="3E90381A"/>
    <w:rsid w:val="3EA37E97"/>
    <w:rsid w:val="3EE80320"/>
    <w:rsid w:val="3F0D5F1B"/>
    <w:rsid w:val="3FBA278B"/>
    <w:rsid w:val="3FBE0BC5"/>
    <w:rsid w:val="3FC01EDD"/>
    <w:rsid w:val="4048103A"/>
    <w:rsid w:val="40736643"/>
    <w:rsid w:val="408D6263"/>
    <w:rsid w:val="40925009"/>
    <w:rsid w:val="40935C2D"/>
    <w:rsid w:val="40BB2DD0"/>
    <w:rsid w:val="40D24A7A"/>
    <w:rsid w:val="410D4CAE"/>
    <w:rsid w:val="412A5093"/>
    <w:rsid w:val="41B25855"/>
    <w:rsid w:val="41C46D81"/>
    <w:rsid w:val="42621029"/>
    <w:rsid w:val="43192030"/>
    <w:rsid w:val="432D5ADB"/>
    <w:rsid w:val="435241E2"/>
    <w:rsid w:val="435E3EE6"/>
    <w:rsid w:val="43975C51"/>
    <w:rsid w:val="439E3FA7"/>
    <w:rsid w:val="43B20A5C"/>
    <w:rsid w:val="44330ECF"/>
    <w:rsid w:val="44B32266"/>
    <w:rsid w:val="44FC64F4"/>
    <w:rsid w:val="45D87F80"/>
    <w:rsid w:val="45DF5C7E"/>
    <w:rsid w:val="45F35D2E"/>
    <w:rsid w:val="462036D5"/>
    <w:rsid w:val="462369CB"/>
    <w:rsid w:val="46236D21"/>
    <w:rsid w:val="46732B93"/>
    <w:rsid w:val="467F03FC"/>
    <w:rsid w:val="467F4585"/>
    <w:rsid w:val="46FD18E3"/>
    <w:rsid w:val="470628CB"/>
    <w:rsid w:val="4729480B"/>
    <w:rsid w:val="47555BD4"/>
    <w:rsid w:val="47565227"/>
    <w:rsid w:val="4779309D"/>
    <w:rsid w:val="47BC2DB1"/>
    <w:rsid w:val="47E0136E"/>
    <w:rsid w:val="47E96399"/>
    <w:rsid w:val="47F76025"/>
    <w:rsid w:val="481B7684"/>
    <w:rsid w:val="482079BC"/>
    <w:rsid w:val="4839282C"/>
    <w:rsid w:val="486E33F5"/>
    <w:rsid w:val="48B34C42"/>
    <w:rsid w:val="48E12B50"/>
    <w:rsid w:val="48F7754A"/>
    <w:rsid w:val="49042076"/>
    <w:rsid w:val="499441BE"/>
    <w:rsid w:val="499A6C1C"/>
    <w:rsid w:val="49DE18DD"/>
    <w:rsid w:val="4A195607"/>
    <w:rsid w:val="4A2138F0"/>
    <w:rsid w:val="4A583887"/>
    <w:rsid w:val="4A800BE6"/>
    <w:rsid w:val="4AE60E63"/>
    <w:rsid w:val="4B9F6E02"/>
    <w:rsid w:val="4BA95F1B"/>
    <w:rsid w:val="4C0118B3"/>
    <w:rsid w:val="4C89637B"/>
    <w:rsid w:val="4D8409ED"/>
    <w:rsid w:val="4E061CEA"/>
    <w:rsid w:val="4E6E48A8"/>
    <w:rsid w:val="4E9040B9"/>
    <w:rsid w:val="4EB42C0C"/>
    <w:rsid w:val="4EDE515E"/>
    <w:rsid w:val="4EE65781"/>
    <w:rsid w:val="4EEC036B"/>
    <w:rsid w:val="4EF34075"/>
    <w:rsid w:val="4F714FA1"/>
    <w:rsid w:val="4F736213"/>
    <w:rsid w:val="501D2673"/>
    <w:rsid w:val="508E5E86"/>
    <w:rsid w:val="509E5922"/>
    <w:rsid w:val="50C80BF1"/>
    <w:rsid w:val="51181B78"/>
    <w:rsid w:val="51852833"/>
    <w:rsid w:val="52157E66"/>
    <w:rsid w:val="52C118CB"/>
    <w:rsid w:val="52F11AC8"/>
    <w:rsid w:val="534F49D9"/>
    <w:rsid w:val="53555F0F"/>
    <w:rsid w:val="535D23D5"/>
    <w:rsid w:val="53D855EF"/>
    <w:rsid w:val="53FF07F9"/>
    <w:rsid w:val="544B5DC1"/>
    <w:rsid w:val="546323C1"/>
    <w:rsid w:val="54BA54C6"/>
    <w:rsid w:val="54EF45C8"/>
    <w:rsid w:val="55363DC5"/>
    <w:rsid w:val="55B144D0"/>
    <w:rsid w:val="55D2034E"/>
    <w:rsid w:val="55FD30EB"/>
    <w:rsid w:val="560739FC"/>
    <w:rsid w:val="56B23ED5"/>
    <w:rsid w:val="56F4341A"/>
    <w:rsid w:val="56F50266"/>
    <w:rsid w:val="575A7321"/>
    <w:rsid w:val="57DB745C"/>
    <w:rsid w:val="57FD3876"/>
    <w:rsid w:val="580C3AB9"/>
    <w:rsid w:val="583C7AE0"/>
    <w:rsid w:val="585F008D"/>
    <w:rsid w:val="586C1E9A"/>
    <w:rsid w:val="586E0800"/>
    <w:rsid w:val="588D4BFA"/>
    <w:rsid w:val="59216F96"/>
    <w:rsid w:val="596D4A2C"/>
    <w:rsid w:val="598C4145"/>
    <w:rsid w:val="59957D1B"/>
    <w:rsid w:val="59D4294E"/>
    <w:rsid w:val="5A4B385C"/>
    <w:rsid w:val="5B2D7FCE"/>
    <w:rsid w:val="5B60703B"/>
    <w:rsid w:val="5B634312"/>
    <w:rsid w:val="5B9718EC"/>
    <w:rsid w:val="5B9D2CCD"/>
    <w:rsid w:val="5B9E71EA"/>
    <w:rsid w:val="5D2A0180"/>
    <w:rsid w:val="5D52372E"/>
    <w:rsid w:val="5E226FBC"/>
    <w:rsid w:val="5EDF7577"/>
    <w:rsid w:val="5FE72BD2"/>
    <w:rsid w:val="60120613"/>
    <w:rsid w:val="6071394A"/>
    <w:rsid w:val="615A7643"/>
    <w:rsid w:val="618D5292"/>
    <w:rsid w:val="622E78FA"/>
    <w:rsid w:val="6260512D"/>
    <w:rsid w:val="63343F70"/>
    <w:rsid w:val="636C30DD"/>
    <w:rsid w:val="63E13995"/>
    <w:rsid w:val="640B2E77"/>
    <w:rsid w:val="64296E1C"/>
    <w:rsid w:val="64386FCC"/>
    <w:rsid w:val="649E64A2"/>
    <w:rsid w:val="65716D08"/>
    <w:rsid w:val="65796992"/>
    <w:rsid w:val="65E5270A"/>
    <w:rsid w:val="65F71905"/>
    <w:rsid w:val="65FD7383"/>
    <w:rsid w:val="663D3C54"/>
    <w:rsid w:val="66787717"/>
    <w:rsid w:val="667A6962"/>
    <w:rsid w:val="66862C89"/>
    <w:rsid w:val="66BB486D"/>
    <w:rsid w:val="66D659BE"/>
    <w:rsid w:val="66EA3218"/>
    <w:rsid w:val="67345B87"/>
    <w:rsid w:val="67394C7D"/>
    <w:rsid w:val="674D05B9"/>
    <w:rsid w:val="6785255D"/>
    <w:rsid w:val="67921948"/>
    <w:rsid w:val="679636D1"/>
    <w:rsid w:val="67D619EE"/>
    <w:rsid w:val="68126B38"/>
    <w:rsid w:val="68291A1A"/>
    <w:rsid w:val="68352BB8"/>
    <w:rsid w:val="68812AA4"/>
    <w:rsid w:val="691327EB"/>
    <w:rsid w:val="691B1594"/>
    <w:rsid w:val="69290029"/>
    <w:rsid w:val="693A016B"/>
    <w:rsid w:val="697E40EB"/>
    <w:rsid w:val="69A31320"/>
    <w:rsid w:val="69B74EA2"/>
    <w:rsid w:val="6A17429C"/>
    <w:rsid w:val="6A567EA3"/>
    <w:rsid w:val="6A753740"/>
    <w:rsid w:val="6A9051B8"/>
    <w:rsid w:val="6A99742E"/>
    <w:rsid w:val="6B376C47"/>
    <w:rsid w:val="6B4B4368"/>
    <w:rsid w:val="6B79100E"/>
    <w:rsid w:val="6BB34520"/>
    <w:rsid w:val="6C134FBF"/>
    <w:rsid w:val="6C7E2B28"/>
    <w:rsid w:val="6C844C00"/>
    <w:rsid w:val="6CAE6A2F"/>
    <w:rsid w:val="6CFB0D6C"/>
    <w:rsid w:val="6D4B51A9"/>
    <w:rsid w:val="6D6141DB"/>
    <w:rsid w:val="6D8C5028"/>
    <w:rsid w:val="6DA76CF3"/>
    <w:rsid w:val="6DFD7CD4"/>
    <w:rsid w:val="6E10212C"/>
    <w:rsid w:val="6E43561A"/>
    <w:rsid w:val="6E557973"/>
    <w:rsid w:val="6E74533B"/>
    <w:rsid w:val="6E9568DB"/>
    <w:rsid w:val="6EFF5CCE"/>
    <w:rsid w:val="6F0D6C22"/>
    <w:rsid w:val="6F47657F"/>
    <w:rsid w:val="6FAA5C3A"/>
    <w:rsid w:val="6FAF23D9"/>
    <w:rsid w:val="6FFF2342"/>
    <w:rsid w:val="70221C74"/>
    <w:rsid w:val="70635CF6"/>
    <w:rsid w:val="70670707"/>
    <w:rsid w:val="70ED2282"/>
    <w:rsid w:val="7115431E"/>
    <w:rsid w:val="71194BC1"/>
    <w:rsid w:val="71687E23"/>
    <w:rsid w:val="71881333"/>
    <w:rsid w:val="71986F4E"/>
    <w:rsid w:val="720E3691"/>
    <w:rsid w:val="7249173A"/>
    <w:rsid w:val="724E244C"/>
    <w:rsid w:val="72915C55"/>
    <w:rsid w:val="72DA6946"/>
    <w:rsid w:val="732764B3"/>
    <w:rsid w:val="73C67BAF"/>
    <w:rsid w:val="74026044"/>
    <w:rsid w:val="74325A77"/>
    <w:rsid w:val="74746410"/>
    <w:rsid w:val="74D177C5"/>
    <w:rsid w:val="75575F1C"/>
    <w:rsid w:val="75911AB0"/>
    <w:rsid w:val="75BE06D4"/>
    <w:rsid w:val="75C8506C"/>
    <w:rsid w:val="75D25EEA"/>
    <w:rsid w:val="75E23A15"/>
    <w:rsid w:val="75E5007C"/>
    <w:rsid w:val="76D31F1A"/>
    <w:rsid w:val="775F730A"/>
    <w:rsid w:val="77636B63"/>
    <w:rsid w:val="776F221A"/>
    <w:rsid w:val="77813724"/>
    <w:rsid w:val="77861774"/>
    <w:rsid w:val="77B77146"/>
    <w:rsid w:val="783339D9"/>
    <w:rsid w:val="78D26B74"/>
    <w:rsid w:val="78F31435"/>
    <w:rsid w:val="78FD7A75"/>
    <w:rsid w:val="79300B45"/>
    <w:rsid w:val="794D3E18"/>
    <w:rsid w:val="79D7762B"/>
    <w:rsid w:val="79F3729A"/>
    <w:rsid w:val="7A6A6BE9"/>
    <w:rsid w:val="7A880722"/>
    <w:rsid w:val="7AB24BBE"/>
    <w:rsid w:val="7ABE6120"/>
    <w:rsid w:val="7ACB0498"/>
    <w:rsid w:val="7AED0B4D"/>
    <w:rsid w:val="7C1E4487"/>
    <w:rsid w:val="7C215E02"/>
    <w:rsid w:val="7C31294B"/>
    <w:rsid w:val="7CA419F6"/>
    <w:rsid w:val="7CF23764"/>
    <w:rsid w:val="7D6039A8"/>
    <w:rsid w:val="7D7A30EF"/>
    <w:rsid w:val="7D7D498E"/>
    <w:rsid w:val="7D851A94"/>
    <w:rsid w:val="7DB33F22"/>
    <w:rsid w:val="7E294D8A"/>
    <w:rsid w:val="7E797F74"/>
    <w:rsid w:val="7E933D3D"/>
    <w:rsid w:val="7F4B1BAE"/>
    <w:rsid w:val="7F705F07"/>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 w:type="character" w:customStyle="1" w:styleId="23">
    <w:name w:val="font61"/>
    <w:basedOn w:val="17"/>
    <w:qFormat/>
    <w:uiPriority w:val="0"/>
    <w:rPr>
      <w:rFonts w:ascii="宋体" w:hAnsi="宋体" w:eastAsia="宋体" w:cs="宋体"/>
      <w:color w:val="000000"/>
      <w:sz w:val="20"/>
      <w:szCs w:val="20"/>
      <w:u w:val="none"/>
    </w:rPr>
  </w:style>
  <w:style w:type="character" w:customStyle="1" w:styleId="24">
    <w:name w:val="font4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10198</Words>
  <Characters>10760</Characters>
  <Lines>0</Lines>
  <Paragraphs>0</Paragraphs>
  <TotalTime>0</TotalTime>
  <ScaleCrop>false</ScaleCrop>
  <LinksUpToDate>false</LinksUpToDate>
  <CharactersWithSpaces>10833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2025-10-23T09:21:58Z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