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A41D2">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029D79E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02CCC5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p>
    <w:p w14:paraId="6CEB461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5679"/>
      <w:bookmarkStart w:id="2" w:name="_Toc25575"/>
      <w:bookmarkStart w:id="3" w:name="_Toc1949"/>
      <w:r>
        <w:rPr>
          <w:rFonts w:hint="eastAsia" w:cs="宋体"/>
          <w:b/>
          <w:bCs/>
          <w:color w:val="auto"/>
          <w:sz w:val="40"/>
          <w:szCs w:val="40"/>
          <w:highlight w:val="none"/>
          <w:shd w:val="clear" w:color="auto" w:fill="auto"/>
          <w:lang w:val="en-US" w:eastAsia="zh-CN"/>
        </w:rPr>
        <w:t>阜康市“乐享消费·惠购阜康”惠民消费活动经费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67DE65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7715A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E3E34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7DF8D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DAE09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BA0FE87">
      <w:pPr>
        <w:pStyle w:val="2"/>
        <w:rPr>
          <w:rFonts w:hint="eastAsia"/>
        </w:rPr>
      </w:pPr>
    </w:p>
    <w:p w14:paraId="5F8CD4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D85536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4AAF333">
      <w:pPr>
        <w:spacing w:line="360" w:lineRule="auto"/>
        <w:ind w:firstLine="0" w:firstLineChars="0"/>
        <w:jc w:val="left"/>
        <w:rPr>
          <w:rFonts w:hint="eastAsia" w:ascii="黑体" w:hAnsi="Times New Roman" w:eastAsia="黑体" w:cs="宋体"/>
          <w:b w:val="0"/>
          <w:bCs/>
          <w:color w:val="auto"/>
          <w:sz w:val="30"/>
          <w:szCs w:val="30"/>
        </w:rPr>
      </w:pPr>
      <w:r>
        <w:rPr>
          <w:rFonts w:hint="eastAsia" w:ascii="黑体" w:hAnsi="Times New Roman" w:eastAsia="黑体" w:cs="宋体"/>
          <w:b w:val="0"/>
          <w:bCs/>
          <w:color w:val="auto"/>
          <w:sz w:val="30"/>
          <w:szCs w:val="30"/>
        </w:rPr>
        <w:t>项目名称：</w:t>
      </w:r>
      <w:r>
        <w:rPr>
          <w:rFonts w:hint="eastAsia" w:ascii="黑体" w:hAnsi="Times New Roman" w:eastAsia="黑体" w:cs="宋体"/>
          <w:b w:val="0"/>
          <w:bCs/>
          <w:color w:val="auto"/>
          <w:sz w:val="30"/>
          <w:szCs w:val="30"/>
          <w:lang w:val="en-US" w:eastAsia="zh-CN"/>
        </w:rPr>
        <w:t>阜康市“乐享消费·惠购阜康”惠民消费活动经费</w:t>
      </w:r>
    </w:p>
    <w:p w14:paraId="3B7D6596">
      <w:pPr>
        <w:spacing w:line="360" w:lineRule="auto"/>
        <w:ind w:firstLine="0" w:firstLineChars="0"/>
        <w:jc w:val="left"/>
        <w:rPr>
          <w:rFonts w:hint="eastAsia" w:ascii="黑体" w:hAnsi="Times New Roman" w:eastAsia="黑体"/>
          <w:b w:val="0"/>
          <w:bCs/>
          <w:color w:val="auto"/>
          <w:sz w:val="30"/>
          <w:szCs w:val="30"/>
        </w:rPr>
      </w:pPr>
      <w:r>
        <w:rPr>
          <w:rFonts w:hint="eastAsia" w:ascii="黑体" w:hAnsi="Times New Roman" w:eastAsia="黑体"/>
          <w:b w:val="0"/>
          <w:bCs/>
          <w:color w:val="auto"/>
          <w:sz w:val="30"/>
          <w:szCs w:val="30"/>
        </w:rPr>
        <w:t>实施单位：阜康市商务和工业信息化局</w:t>
      </w:r>
    </w:p>
    <w:p w14:paraId="3C502B90">
      <w:pPr>
        <w:spacing w:line="360" w:lineRule="auto"/>
        <w:ind w:firstLine="0" w:firstLineChars="0"/>
        <w:jc w:val="left"/>
        <w:rPr>
          <w:rFonts w:hint="eastAsia" w:ascii="黑体" w:hAnsi="Times New Roman" w:eastAsia="黑体"/>
          <w:b w:val="0"/>
          <w:bCs/>
          <w:color w:val="auto"/>
          <w:sz w:val="30"/>
          <w:szCs w:val="30"/>
        </w:rPr>
      </w:pPr>
      <w:r>
        <w:rPr>
          <w:rFonts w:hint="eastAsia" w:ascii="黑体" w:hAnsi="Times New Roman" w:eastAsia="黑体"/>
          <w:b w:val="0"/>
          <w:bCs/>
          <w:color w:val="auto"/>
          <w:sz w:val="30"/>
          <w:szCs w:val="30"/>
        </w:rPr>
        <w:t>主管部门：阜康市商务和工业信息化局</w:t>
      </w:r>
    </w:p>
    <w:p w14:paraId="0BD731E2">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项目负责人：李胜平</w:t>
      </w:r>
    </w:p>
    <w:p w14:paraId="0DA83BB5">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248610BA">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3ED9833">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color w:val="auto"/>
          <w:lang w:val="en-US" w:eastAsia="zh-CN"/>
        </w:rPr>
        <w:br w:type="page"/>
      </w:r>
    </w:p>
    <w:p w14:paraId="488A0EFB">
      <w:pPr>
        <w:pageBreakBefore w:val="0"/>
        <w:kinsoku/>
        <w:wordWrap/>
        <w:overflowPunct/>
        <w:topLinePunct w:val="0"/>
        <w:autoSpaceDE/>
        <w:autoSpaceDN/>
        <w:bidi w:val="0"/>
        <w:spacing w:line="560" w:lineRule="exact"/>
        <w:textAlignment w:val="auto"/>
        <w:rPr>
          <w:rFonts w:hint="eastAsia"/>
          <w:color w:val="auto"/>
          <w:lang w:val="en-US" w:eastAsia="zh-CN"/>
        </w:rPr>
      </w:pP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14:paraId="5116B2D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rPr>
          </w:pPr>
          <w:r>
            <w:rPr>
              <w:rFonts w:ascii="宋体" w:hAnsi="宋体" w:eastAsia="宋体"/>
              <w:b/>
              <w:bCs/>
              <w:color w:val="auto"/>
              <w:sz w:val="40"/>
              <w:szCs w:val="40"/>
            </w:rPr>
            <w:t>目录</w:t>
          </w:r>
        </w:p>
        <w:p w14:paraId="532EA8F8">
          <w:pPr>
            <w:pStyle w:val="10"/>
            <w:tabs>
              <w:tab w:val="right" w:leader="dot" w:pos="8844"/>
            </w:tabs>
            <w:rPr>
              <w:color w:val="auto"/>
            </w:rPr>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14:paraId="2B2DCB2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_Toc18485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rPr>
            <w:tab/>
          </w:r>
          <w:r>
            <w:rPr>
              <w:color w:val="auto"/>
            </w:rPr>
            <w:fldChar w:fldCharType="begin"/>
          </w:r>
          <w:r>
            <w:rPr>
              <w:color w:val="auto"/>
            </w:rPr>
            <w:instrText xml:space="preserve"> PAGEREF _Toc18485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471B7EC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_Toc23184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（一）项目概况</w:t>
          </w:r>
          <w:r>
            <w:rPr>
              <w:color w:val="auto"/>
            </w:rPr>
            <w:tab/>
          </w:r>
          <w:r>
            <w:rPr>
              <w:color w:val="auto"/>
            </w:rPr>
            <w:fldChar w:fldCharType="begin"/>
          </w:r>
          <w:r>
            <w:rPr>
              <w:color w:val="auto"/>
            </w:rPr>
            <w:instrText xml:space="preserve"> PAGEREF _Toc23184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31DF0FDE">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_Toc9109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（二）项目绩效目标</w:t>
          </w:r>
          <w:r>
            <w:rPr>
              <w:color w:val="auto"/>
            </w:rPr>
            <w:tab/>
          </w:r>
          <w:r>
            <w:rPr>
              <w:color w:val="auto"/>
            </w:rPr>
            <w:fldChar w:fldCharType="begin"/>
          </w:r>
          <w:r>
            <w:rPr>
              <w:color w:val="auto"/>
            </w:rPr>
            <w:instrText xml:space="preserve"> PAGEREF _Toc9109 \h </w:instrText>
          </w:r>
          <w:r>
            <w:rPr>
              <w:color w:val="auto"/>
            </w:rPr>
            <w:fldChar w:fldCharType="separate"/>
          </w:r>
          <w:r>
            <w:rPr>
              <w:color w:val="auto"/>
            </w:rPr>
            <w:t>5</w:t>
          </w:r>
          <w:r>
            <w:rPr>
              <w:color w:val="auto"/>
            </w:rPr>
            <w:fldChar w:fldCharType="end"/>
          </w:r>
          <w:r>
            <w:rPr>
              <w:rFonts w:hint="eastAsia"/>
              <w:color w:val="auto"/>
              <w:szCs w:val="28"/>
              <w:lang w:val="en-US" w:eastAsia="zh-CN"/>
            </w:rPr>
            <w:fldChar w:fldCharType="end"/>
          </w:r>
        </w:p>
        <w:p w14:paraId="6435902C">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_Toc26567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_Toc26567 \h </w:instrText>
          </w:r>
          <w:r>
            <w:rPr>
              <w:rFonts w:hint="eastAsia" w:ascii="黑体" w:hAnsi="黑体" w:eastAsia="黑体" w:cs="黑体"/>
              <w:color w:val="auto"/>
            </w:rPr>
            <w:fldChar w:fldCharType="separate"/>
          </w:r>
          <w:r>
            <w:rPr>
              <w:rFonts w:hint="eastAsia" w:ascii="黑体" w:hAnsi="黑体" w:eastAsia="黑体" w:cs="黑体"/>
              <w:color w:val="auto"/>
            </w:rPr>
            <w:t>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64A57572">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_Toc22839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（一）绩效评价的目的、对象和范围</w:t>
          </w:r>
          <w:r>
            <w:rPr>
              <w:color w:val="auto"/>
            </w:rPr>
            <w:tab/>
          </w:r>
          <w:r>
            <w:rPr>
              <w:color w:val="auto"/>
            </w:rPr>
            <w:fldChar w:fldCharType="begin"/>
          </w:r>
          <w:r>
            <w:rPr>
              <w:color w:val="auto"/>
            </w:rPr>
            <w:instrText xml:space="preserve"> PAGEREF _Toc22839 \h </w:instrText>
          </w:r>
          <w:r>
            <w:rPr>
              <w:color w:val="auto"/>
            </w:rPr>
            <w:fldChar w:fldCharType="separate"/>
          </w:r>
          <w:r>
            <w:rPr>
              <w:color w:val="auto"/>
            </w:rPr>
            <w:t>7</w:t>
          </w:r>
          <w:r>
            <w:rPr>
              <w:color w:val="auto"/>
            </w:rPr>
            <w:fldChar w:fldCharType="end"/>
          </w:r>
          <w:r>
            <w:rPr>
              <w:rFonts w:hint="eastAsia"/>
              <w:color w:val="auto"/>
              <w:szCs w:val="28"/>
              <w:lang w:val="en-US" w:eastAsia="zh-CN"/>
            </w:rPr>
            <w:fldChar w:fldCharType="end"/>
          </w:r>
        </w:p>
        <w:p w14:paraId="6ED8DD65">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_Toc29785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（二）绩效评价原则、评价指标体系（</w:t>
          </w:r>
          <w:r>
            <w:rPr>
              <w:rFonts w:hint="default" w:ascii="Times New Roman" w:hAnsi="Times New Roman" w:eastAsia="楷体_GB2312" w:cs="Times New Roman"/>
              <w:color w:val="auto"/>
              <w:kern w:val="28"/>
              <w:lang w:val="en-US" w:eastAsia="zh-CN"/>
            </w:rPr>
            <w:t>详情见</w:t>
          </w:r>
          <w:r>
            <w:rPr>
              <w:rFonts w:hint="eastAsia" w:ascii="Times New Roman" w:hAnsi="Times New Roman" w:eastAsia="楷体_GB2312" w:cs="Times New Roman"/>
              <w:color w:val="auto"/>
              <w:kern w:val="28"/>
              <w:lang w:val="en-US" w:eastAsia="zh-CN"/>
            </w:rPr>
            <w:t>附件二）、评价方法、评价标准</w:t>
          </w:r>
          <w:r>
            <w:rPr>
              <w:color w:val="auto"/>
            </w:rPr>
            <w:tab/>
          </w:r>
          <w:r>
            <w:rPr>
              <w:color w:val="auto"/>
            </w:rPr>
            <w:fldChar w:fldCharType="begin"/>
          </w:r>
          <w:r>
            <w:rPr>
              <w:color w:val="auto"/>
            </w:rPr>
            <w:instrText xml:space="preserve"> PAGEREF _Toc29785 \h </w:instrText>
          </w:r>
          <w:r>
            <w:rPr>
              <w:color w:val="auto"/>
            </w:rPr>
            <w:fldChar w:fldCharType="separate"/>
          </w:r>
          <w:r>
            <w:rPr>
              <w:color w:val="auto"/>
            </w:rPr>
            <w:t>11</w:t>
          </w:r>
          <w:r>
            <w:rPr>
              <w:color w:val="auto"/>
            </w:rPr>
            <w:fldChar w:fldCharType="end"/>
          </w:r>
          <w:r>
            <w:rPr>
              <w:rFonts w:hint="eastAsia"/>
              <w:color w:val="auto"/>
              <w:szCs w:val="28"/>
              <w:lang w:val="en-US" w:eastAsia="zh-CN"/>
            </w:rPr>
            <w:fldChar w:fldCharType="end"/>
          </w:r>
        </w:p>
        <w:p w14:paraId="66DC2C28">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_Toc21435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（三）绩效评价工作过程</w:t>
          </w:r>
          <w:r>
            <w:rPr>
              <w:color w:val="auto"/>
            </w:rPr>
            <w:tab/>
          </w:r>
          <w:r>
            <w:rPr>
              <w:color w:val="auto"/>
            </w:rPr>
            <w:fldChar w:fldCharType="begin"/>
          </w:r>
          <w:r>
            <w:rPr>
              <w:color w:val="auto"/>
            </w:rPr>
            <w:instrText xml:space="preserve"> PAGEREF _Toc21435 \h </w:instrText>
          </w:r>
          <w:r>
            <w:rPr>
              <w:color w:val="auto"/>
            </w:rPr>
            <w:fldChar w:fldCharType="separate"/>
          </w:r>
          <w:r>
            <w:rPr>
              <w:color w:val="auto"/>
            </w:rPr>
            <w:t>15</w:t>
          </w:r>
          <w:r>
            <w:rPr>
              <w:color w:val="auto"/>
            </w:rPr>
            <w:fldChar w:fldCharType="end"/>
          </w:r>
          <w:r>
            <w:rPr>
              <w:rFonts w:hint="eastAsia"/>
              <w:color w:val="auto"/>
              <w:szCs w:val="28"/>
              <w:lang w:val="en-US" w:eastAsia="zh-CN"/>
            </w:rPr>
            <w:fldChar w:fldCharType="end"/>
          </w:r>
        </w:p>
        <w:p w14:paraId="7D71B592">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_Toc19261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rPr>
            <w:tab/>
          </w:r>
          <w:r>
            <w:rPr>
              <w:color w:val="auto"/>
            </w:rPr>
            <w:fldChar w:fldCharType="begin"/>
          </w:r>
          <w:r>
            <w:rPr>
              <w:color w:val="auto"/>
            </w:rPr>
            <w:instrText xml:space="preserve"> PAGEREF _Toc19261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6F698A28">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（一）综合评价情况及评价结论</w:t>
          </w:r>
          <w:r>
            <w:rPr>
              <w:color w:val="auto"/>
            </w:rPr>
            <w:tab/>
          </w:r>
          <w:r>
            <w:rPr>
              <w:color w:val="auto"/>
            </w:rPr>
            <w:fldChar w:fldCharType="begin"/>
          </w:r>
          <w:r>
            <w:rPr>
              <w:color w:val="auto"/>
            </w:rPr>
            <w:instrText xml:space="preserve"> PAGEREF _Toc23319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095D18C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_Toc11863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（二）相关评分表</w:t>
          </w:r>
          <w:r>
            <w:rPr>
              <w:color w:val="auto"/>
            </w:rPr>
            <w:tab/>
          </w:r>
          <w:r>
            <w:rPr>
              <w:color w:val="auto"/>
            </w:rPr>
            <w:fldChar w:fldCharType="begin"/>
          </w:r>
          <w:r>
            <w:rPr>
              <w:color w:val="auto"/>
            </w:rPr>
            <w:instrText xml:space="preserve"> PAGEREF _Toc11863 \h </w:instrText>
          </w:r>
          <w:r>
            <w:rPr>
              <w:color w:val="auto"/>
            </w:rPr>
            <w:fldChar w:fldCharType="separate"/>
          </w:r>
          <w:r>
            <w:rPr>
              <w:color w:val="auto"/>
            </w:rPr>
            <w:t>18</w:t>
          </w:r>
          <w:r>
            <w:rPr>
              <w:color w:val="auto"/>
            </w:rPr>
            <w:fldChar w:fldCharType="end"/>
          </w:r>
          <w:r>
            <w:rPr>
              <w:rFonts w:hint="eastAsia"/>
              <w:color w:val="auto"/>
              <w:szCs w:val="28"/>
              <w:lang w:val="en-US" w:eastAsia="zh-CN"/>
            </w:rPr>
            <w:fldChar w:fldCharType="end"/>
          </w:r>
        </w:p>
        <w:p w14:paraId="2AC5FA7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_Toc14941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rPr>
            <w:tab/>
          </w:r>
          <w:r>
            <w:rPr>
              <w:color w:val="auto"/>
            </w:rPr>
            <w:fldChar w:fldCharType="begin"/>
          </w:r>
          <w:r>
            <w:rPr>
              <w:color w:val="auto"/>
            </w:rPr>
            <w:instrText xml:space="preserve"> PAGEREF _Toc14941 \h </w:instrText>
          </w:r>
          <w:r>
            <w:rPr>
              <w:color w:val="auto"/>
            </w:rPr>
            <w:fldChar w:fldCharType="separate"/>
          </w:r>
          <w:r>
            <w:rPr>
              <w:color w:val="auto"/>
            </w:rPr>
            <w:t>19</w:t>
          </w:r>
          <w:r>
            <w:rPr>
              <w:color w:val="auto"/>
            </w:rPr>
            <w:fldChar w:fldCharType="end"/>
          </w:r>
          <w:r>
            <w:rPr>
              <w:rFonts w:hint="eastAsia"/>
              <w:color w:val="auto"/>
              <w:szCs w:val="28"/>
              <w:lang w:val="en-US" w:eastAsia="zh-CN"/>
            </w:rPr>
            <w:fldChar w:fldCharType="end"/>
          </w:r>
        </w:p>
        <w:p w14:paraId="7B5905A5">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_Toc6759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rPr>
            <w:t>（一）项目决策情况</w:t>
          </w:r>
          <w:r>
            <w:rPr>
              <w:color w:val="auto"/>
            </w:rPr>
            <w:tab/>
          </w:r>
          <w:r>
            <w:rPr>
              <w:color w:val="auto"/>
            </w:rPr>
            <w:fldChar w:fldCharType="begin"/>
          </w:r>
          <w:r>
            <w:rPr>
              <w:color w:val="auto"/>
            </w:rPr>
            <w:instrText xml:space="preserve"> PAGEREF _Toc6759 \h </w:instrText>
          </w:r>
          <w:r>
            <w:rPr>
              <w:color w:val="auto"/>
            </w:rPr>
            <w:fldChar w:fldCharType="separate"/>
          </w:r>
          <w:r>
            <w:rPr>
              <w:color w:val="auto"/>
            </w:rPr>
            <w:t>19</w:t>
          </w:r>
          <w:r>
            <w:rPr>
              <w:color w:val="auto"/>
            </w:rPr>
            <w:fldChar w:fldCharType="end"/>
          </w:r>
          <w:r>
            <w:rPr>
              <w:rFonts w:hint="eastAsia"/>
              <w:color w:val="auto"/>
              <w:szCs w:val="28"/>
              <w:lang w:val="en-US" w:eastAsia="zh-CN"/>
            </w:rPr>
            <w:fldChar w:fldCharType="end"/>
          </w:r>
        </w:p>
        <w:p w14:paraId="6D6B5B8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_Toc10564 </w:instrText>
          </w:r>
          <w:r>
            <w:rPr>
              <w:rFonts w:hint="eastAsia"/>
              <w:color w:val="auto"/>
              <w:szCs w:val="28"/>
              <w:lang w:val="en-US" w:eastAsia="zh-CN"/>
            </w:rPr>
            <w:fldChar w:fldCharType="separate"/>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lang w:val="en-US" w:eastAsia="zh-CN"/>
            </w:rPr>
            <w:t>二</w:t>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rPr>
            <w:t>项目过程情况</w:t>
          </w:r>
          <w:r>
            <w:rPr>
              <w:color w:val="auto"/>
            </w:rPr>
            <w:tab/>
          </w:r>
          <w:r>
            <w:rPr>
              <w:color w:val="auto"/>
            </w:rPr>
            <w:fldChar w:fldCharType="begin"/>
          </w:r>
          <w:r>
            <w:rPr>
              <w:color w:val="auto"/>
            </w:rPr>
            <w:instrText xml:space="preserve"> PAGEREF _Toc10564 \h </w:instrText>
          </w:r>
          <w:r>
            <w:rPr>
              <w:color w:val="auto"/>
            </w:rPr>
            <w:fldChar w:fldCharType="separate"/>
          </w:r>
          <w:r>
            <w:rPr>
              <w:color w:val="auto"/>
            </w:rPr>
            <w:t>22</w:t>
          </w:r>
          <w:r>
            <w:rPr>
              <w:color w:val="auto"/>
            </w:rPr>
            <w:fldChar w:fldCharType="end"/>
          </w:r>
          <w:r>
            <w:rPr>
              <w:rFonts w:hint="eastAsia"/>
              <w:color w:val="auto"/>
              <w:szCs w:val="28"/>
              <w:lang w:val="en-US" w:eastAsia="zh-CN"/>
            </w:rPr>
            <w:fldChar w:fldCharType="end"/>
          </w:r>
        </w:p>
        <w:p w14:paraId="0EC699BE">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_Toc2441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（三）项目产出情况</w:t>
          </w:r>
          <w:r>
            <w:rPr>
              <w:color w:val="auto"/>
            </w:rPr>
            <w:tab/>
          </w:r>
          <w:r>
            <w:rPr>
              <w:color w:val="auto"/>
            </w:rPr>
            <w:fldChar w:fldCharType="begin"/>
          </w:r>
          <w:r>
            <w:rPr>
              <w:color w:val="auto"/>
            </w:rPr>
            <w:instrText xml:space="preserve"> PAGEREF _Toc2441 \h </w:instrText>
          </w:r>
          <w:r>
            <w:rPr>
              <w:color w:val="auto"/>
            </w:rPr>
            <w:fldChar w:fldCharType="separate"/>
          </w:r>
          <w:r>
            <w:rPr>
              <w:color w:val="auto"/>
            </w:rPr>
            <w:t>25</w:t>
          </w:r>
          <w:r>
            <w:rPr>
              <w:color w:val="auto"/>
            </w:rPr>
            <w:fldChar w:fldCharType="end"/>
          </w:r>
          <w:r>
            <w:rPr>
              <w:rFonts w:hint="eastAsia"/>
              <w:color w:val="auto"/>
              <w:szCs w:val="28"/>
              <w:lang w:val="en-US" w:eastAsia="zh-CN"/>
            </w:rPr>
            <w:fldChar w:fldCharType="end"/>
          </w:r>
        </w:p>
        <w:p w14:paraId="5D470720">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_Toc19424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（四）项目效益情况</w:t>
          </w:r>
          <w:r>
            <w:rPr>
              <w:color w:val="auto"/>
            </w:rPr>
            <w:tab/>
          </w:r>
          <w:r>
            <w:rPr>
              <w:color w:val="auto"/>
            </w:rPr>
            <w:fldChar w:fldCharType="begin"/>
          </w:r>
          <w:r>
            <w:rPr>
              <w:color w:val="auto"/>
            </w:rPr>
            <w:instrText xml:space="preserve"> PAGEREF _Toc19424 \h </w:instrText>
          </w:r>
          <w:r>
            <w:rPr>
              <w:color w:val="auto"/>
            </w:rPr>
            <w:fldChar w:fldCharType="separate"/>
          </w:r>
          <w:r>
            <w:rPr>
              <w:color w:val="auto"/>
            </w:rPr>
            <w:t>26</w:t>
          </w:r>
          <w:r>
            <w:rPr>
              <w:color w:val="auto"/>
            </w:rPr>
            <w:fldChar w:fldCharType="end"/>
          </w:r>
          <w:r>
            <w:rPr>
              <w:rFonts w:hint="eastAsia"/>
              <w:color w:val="auto"/>
              <w:szCs w:val="28"/>
              <w:lang w:val="en-US" w:eastAsia="zh-CN"/>
            </w:rPr>
            <w:fldChar w:fldCharType="end"/>
          </w:r>
        </w:p>
        <w:p w14:paraId="52349F4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_Toc23313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rPr>
            <w:tab/>
          </w:r>
          <w:r>
            <w:rPr>
              <w:color w:val="auto"/>
            </w:rPr>
            <w:fldChar w:fldCharType="begin"/>
          </w:r>
          <w:r>
            <w:rPr>
              <w:color w:val="auto"/>
            </w:rPr>
            <w:instrText xml:space="preserve"> PAGEREF _Toc23313 \h </w:instrText>
          </w:r>
          <w:r>
            <w:rPr>
              <w:color w:val="auto"/>
            </w:rPr>
            <w:fldChar w:fldCharType="separate"/>
          </w:r>
          <w:r>
            <w:rPr>
              <w:color w:val="auto"/>
            </w:rPr>
            <w:t>27</w:t>
          </w:r>
          <w:r>
            <w:rPr>
              <w:color w:val="auto"/>
            </w:rPr>
            <w:fldChar w:fldCharType="end"/>
          </w:r>
          <w:r>
            <w:rPr>
              <w:rFonts w:hint="eastAsia"/>
              <w:color w:val="auto"/>
              <w:szCs w:val="28"/>
              <w:lang w:val="en-US" w:eastAsia="zh-CN"/>
            </w:rPr>
            <w:fldChar w:fldCharType="end"/>
          </w:r>
        </w:p>
        <w:p w14:paraId="28129377">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_Toc6622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_Toc6622 \h </w:instrText>
          </w:r>
          <w:r>
            <w:rPr>
              <w:rFonts w:hint="eastAsia" w:ascii="黑体" w:hAnsi="黑体" w:eastAsia="黑体" w:cs="黑体"/>
              <w:color w:val="auto"/>
            </w:rPr>
            <w:fldChar w:fldCharType="separate"/>
          </w:r>
          <w:r>
            <w:rPr>
              <w:rFonts w:hint="eastAsia" w:ascii="黑体" w:hAnsi="黑体" w:eastAsia="黑体" w:cs="黑体"/>
              <w:color w:val="auto"/>
            </w:rPr>
            <w:t>27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42555199">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_Toc15449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rPr>
            <w:tab/>
          </w:r>
          <w:r>
            <w:rPr>
              <w:color w:val="auto"/>
            </w:rPr>
            <w:fldChar w:fldCharType="begin"/>
          </w:r>
          <w:r>
            <w:rPr>
              <w:color w:val="auto"/>
            </w:rPr>
            <w:instrText xml:space="preserve"> PAGEREF _Toc15449 \h </w:instrText>
          </w:r>
          <w:r>
            <w:rPr>
              <w:color w:val="auto"/>
            </w:rPr>
            <w:fldChar w:fldCharType="separate"/>
          </w:r>
          <w:r>
            <w:rPr>
              <w:color w:val="auto"/>
            </w:rPr>
            <w:t>27</w:t>
          </w:r>
          <w:r>
            <w:rPr>
              <w:color w:val="auto"/>
            </w:rPr>
            <w:fldChar w:fldCharType="end"/>
          </w:r>
          <w:r>
            <w:rPr>
              <w:rFonts w:hint="eastAsia"/>
              <w:color w:val="auto"/>
              <w:szCs w:val="28"/>
              <w:lang w:val="en-US" w:eastAsia="zh-CN"/>
            </w:rPr>
            <w:fldChar w:fldCharType="end"/>
          </w:r>
        </w:p>
        <w:p w14:paraId="001F8B17">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_Toc29168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rPr>
            <w:tab/>
          </w:r>
          <w:r>
            <w:rPr>
              <w:color w:val="auto"/>
            </w:rPr>
            <w:fldChar w:fldCharType="begin"/>
          </w:r>
          <w:r>
            <w:rPr>
              <w:color w:val="auto"/>
            </w:rPr>
            <w:instrText xml:space="preserve"> PAGEREF _Toc29168 \h </w:instrText>
          </w:r>
          <w:r>
            <w:rPr>
              <w:color w:val="auto"/>
            </w:rPr>
            <w:fldChar w:fldCharType="separate"/>
          </w:r>
          <w:r>
            <w:rPr>
              <w:color w:val="auto"/>
            </w:rPr>
            <w:t>28</w:t>
          </w:r>
          <w:r>
            <w:rPr>
              <w:color w:val="auto"/>
            </w:rPr>
            <w:fldChar w:fldCharType="end"/>
          </w:r>
          <w:r>
            <w:rPr>
              <w:rFonts w:hint="eastAsia"/>
              <w:color w:val="auto"/>
              <w:szCs w:val="28"/>
              <w:lang w:val="en-US" w:eastAsia="zh-CN"/>
            </w:rPr>
            <w:fldChar w:fldCharType="end"/>
          </w:r>
        </w:p>
        <w:p w14:paraId="693BC80A">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_Toc3333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_Toc3333 \h </w:instrText>
          </w:r>
          <w:r>
            <w:rPr>
              <w:rFonts w:hint="eastAsia" w:ascii="黑体" w:hAnsi="黑体" w:eastAsia="黑体" w:cs="黑体"/>
              <w:color w:val="auto"/>
            </w:rPr>
            <w:fldChar w:fldCharType="separate"/>
          </w:r>
          <w:r>
            <w:rPr>
              <w:rFonts w:hint="eastAsia" w:ascii="黑体" w:hAnsi="黑体" w:eastAsia="黑体" w:cs="黑体"/>
              <w:color w:val="auto"/>
            </w:rPr>
            <w:t>28</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0F4C751E">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_Toc14256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_Toc14256 \h </w:instrText>
          </w:r>
          <w:r>
            <w:rPr>
              <w:rFonts w:hint="eastAsia" w:ascii="黑体" w:hAnsi="黑体" w:eastAsia="黑体" w:cs="黑体"/>
              <w:color w:val="auto"/>
            </w:rPr>
            <w:fldChar w:fldCharType="separate"/>
          </w:r>
          <w:r>
            <w:rPr>
              <w:rFonts w:hint="eastAsia" w:ascii="黑体" w:hAnsi="黑体" w:eastAsia="黑体" w:cs="黑体"/>
              <w:color w:val="auto"/>
            </w:rPr>
            <w:t>28</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23332642">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_Toc28971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_Toc28971 \h </w:instrText>
          </w:r>
          <w:r>
            <w:rPr>
              <w:rFonts w:hint="eastAsia" w:ascii="黑体" w:hAnsi="黑体" w:eastAsia="黑体" w:cs="黑体"/>
              <w:color w:val="auto"/>
            </w:rPr>
            <w:fldChar w:fldCharType="separate"/>
          </w:r>
          <w:r>
            <w:rPr>
              <w:rFonts w:hint="eastAsia" w:ascii="黑体" w:hAnsi="黑体" w:eastAsia="黑体" w:cs="黑体"/>
              <w:color w:val="auto"/>
            </w:rPr>
            <w:t>30</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32D14FAF">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_Toc11223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_Toc11223 \h </w:instrText>
          </w:r>
          <w:r>
            <w:rPr>
              <w:rFonts w:hint="eastAsia" w:ascii="黑体" w:hAnsi="黑体" w:eastAsia="黑体" w:cs="黑体"/>
              <w:color w:val="auto"/>
            </w:rPr>
            <w:fldChar w:fldCharType="separate"/>
          </w:r>
          <w:r>
            <w:rPr>
              <w:rFonts w:hint="eastAsia" w:ascii="黑体" w:hAnsi="黑体" w:eastAsia="黑体" w:cs="黑体"/>
              <w:color w:val="auto"/>
            </w:rPr>
            <w:t>32</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2979359C">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lang w:val="en-US" w:eastAsia="zh-CN"/>
            </w:rPr>
            <w:fldChar w:fldCharType="end"/>
          </w:r>
        </w:p>
      </w:sdtContent>
    </w:sdt>
    <w:p w14:paraId="20562F3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1194"/>
      <w:bookmarkStart w:id="6" w:name="_Toc22946"/>
      <w:bookmarkStart w:id="7" w:name="_Toc3663"/>
      <w:r>
        <w:rPr>
          <w:rFonts w:hint="eastAsia" w:cs="宋体"/>
          <w:b/>
          <w:bCs/>
          <w:color w:val="auto"/>
          <w:sz w:val="36"/>
          <w:szCs w:val="36"/>
          <w:highlight w:val="none"/>
          <w:shd w:val="clear" w:color="auto" w:fill="auto"/>
          <w:lang w:val="en-US" w:eastAsia="zh-CN"/>
        </w:rPr>
        <w:t>阜康市“乐享消费·惠购阜康”惠民消费活动经费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5B411A68">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rPr>
      </w:pPr>
      <w:bookmarkStart w:id="8" w:name="_Toc18485"/>
      <w:r>
        <w:rPr>
          <w:rFonts w:hint="eastAsia" w:ascii="黑体" w:hAnsi="黑体" w:eastAsia="黑体" w:cs="黑体"/>
          <w:b w:val="0"/>
          <w:bCs w:val="0"/>
          <w:color w:val="auto"/>
          <w:sz w:val="32"/>
          <w:szCs w:val="32"/>
          <w:highlight w:val="none"/>
          <w:shd w:val="clear" w:color="auto" w:fill="auto"/>
        </w:rPr>
        <w:t>一、基本情况</w:t>
      </w:r>
      <w:bookmarkEnd w:id="8"/>
    </w:p>
    <w:p w14:paraId="2B51586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9" w:name="_Toc23184"/>
      <w:r>
        <w:rPr>
          <w:rFonts w:hint="eastAsia" w:ascii="Times New Roman" w:hAnsi="Times New Roman" w:eastAsia="楷体_GB2312" w:cs="Times New Roman"/>
          <w:color w:val="auto"/>
          <w:kern w:val="28"/>
          <w:sz w:val="32"/>
          <w:szCs w:val="32"/>
          <w:lang w:val="en-US" w:eastAsia="zh-CN"/>
        </w:rPr>
        <w:t>（一）项目概况</w:t>
      </w:r>
      <w:bookmarkEnd w:id="9"/>
    </w:p>
    <w:p w14:paraId="00D8A8A6">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5043"/>
      <w:bookmarkStart w:id="12" w:name="_Toc29812"/>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FBBDC72">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bookmarkStart w:id="14" w:name="_Toc1630"/>
      <w:bookmarkStart w:id="15" w:name="_Toc27343"/>
      <w:bookmarkStart w:id="16" w:name="_Toc10730"/>
      <w:bookmarkStart w:id="17" w:name="_Toc17880"/>
      <w:r>
        <w:rPr>
          <w:rFonts w:hint="eastAsia" w:ascii="仿宋_GB2312" w:hAnsi="仿宋_GB2312" w:eastAsia="仿宋_GB2312" w:cs="仿宋_GB2312"/>
          <w:color w:val="auto"/>
          <w:sz w:val="32"/>
          <w:szCs w:val="32"/>
          <w:lang w:val="en-US" w:eastAsia="zh-CN"/>
        </w:rPr>
        <w:t>认真贯彻落实国务院、自治区、自治州出台的促进和扩大消费政策措施，坚持以人民为中心的发展思想，着眼人民对美好生活的向往，围绕“十件惠民实事”，持续开展“2024消费促进年”系列活动，发挥“乐享消费·惠购阜康”促进消费品牌效应，组织开展以促进成品油消费、餐饮消费、家电消费等商品消费为重点的惠民消费活动，落实政府补贴、企业让利、金融保险优惠等惠民政策，推进线上线下深度融合、商旅文游购娱一体促进消费，营造多方参与助力、百姓畅享消费红利的浓厚氛围，进一步激发节假日消费潜力，不断提升各族群众的获得感、幸福感、安全感。</w:t>
      </w:r>
    </w:p>
    <w:p w14:paraId="772E0643">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b/>
          <w:bCs/>
          <w:color w:val="auto"/>
          <w:kern w:val="0"/>
          <w:sz w:val="32"/>
          <w:szCs w:val="32"/>
          <w:highlight w:val="none"/>
          <w:shd w:val="clear" w:color="auto" w:fill="auto"/>
          <w:lang w:val="en-US" w:eastAsia="zh-CN" w:bidi="ar-SA"/>
        </w:rPr>
        <w:t>2.主要内容及实施情况</w:t>
      </w:r>
      <w:bookmarkEnd w:id="14"/>
      <w:bookmarkEnd w:id="15"/>
      <w:bookmarkEnd w:id="16"/>
      <w:bookmarkEnd w:id="17"/>
    </w:p>
    <w:p w14:paraId="72F653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bookmarkStart w:id="18" w:name="_Toc27245"/>
      <w:bookmarkStart w:id="19" w:name="_Toc21898"/>
      <w:bookmarkStart w:id="20" w:name="_Toc16592"/>
      <w:bookmarkStart w:id="21" w:name="_Toc27409"/>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shd w:val="clear" w:color="auto" w:fill="auto"/>
          <w:lang w:val="en-US" w:eastAsia="zh-CN"/>
        </w:rPr>
        <w:t>以投放消费券方式，促进扩大消费。消费者通过云闪付（预计）APP投放、领取消费券，在参加活动的重点商贸流通企业、大个体进行消费，按不同商品、服务类别及每一单消费金额，享受不同消费券抵扣优惠。本次活动共投放消费补贴金额100万元，其中阜康市财政本级投放100万元消费券。</w:t>
      </w:r>
    </w:p>
    <w:p w14:paraId="01C7EE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经商务和信息化局党组研究决定，确定了项目领导小组，明确了责任分工：组长张舒超，组员张新辉负责配合组长开展工作，协调各部门配合活动开展。李胜平负责制定实施方案，联系支付平台合作商和配合此项活动的相关部门，，协调人员配合开展工作。贾峻晖负责联系活动涉及的商铺。杨燕负责审计资金使用情况，丁红丽负责监督活动过程、资金使用情况。</w:t>
      </w:r>
    </w:p>
    <w:p w14:paraId="65F8D3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本项目以投放消费券方式，促进扩大消费。消费者通过云闪付（预计）APP投放、领取消费券，在参加活动的重点商贸流通企业、大个体进行消费，按不同商品、服务类别及每一单消费金额，享受不同消费券抵扣优惠。本次活动共投放消费补贴金额100万元，其中阜康市财政本级投放100万元消费券。</w:t>
      </w:r>
    </w:p>
    <w:p w14:paraId="66551A3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0240"/>
      <w:bookmarkStart w:id="23" w:name="_Toc12348"/>
      <w:bookmarkStart w:id="24" w:name="_Toc1858"/>
      <w:bookmarkStart w:id="25" w:name="_Toc569"/>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878ADD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770B893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该项目年初预算数100.00万元，全年预算数100.00万元，该项目资金已全部落实到位，资金来源为财政拨款。</w:t>
      </w:r>
      <w:bookmarkEnd w:id="29"/>
      <w:bookmarkEnd w:id="30"/>
      <w:bookmarkEnd w:id="31"/>
      <w:bookmarkStart w:id="32" w:name="_Toc28187"/>
      <w:bookmarkStart w:id="33" w:name="_Toc1166"/>
      <w:bookmarkStart w:id="34" w:name="_Toc3409"/>
    </w:p>
    <w:p w14:paraId="0DE1E79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6B97784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color w:val="auto"/>
          <w:sz w:val="32"/>
          <w:szCs w:val="32"/>
          <w:highlight w:val="none"/>
          <w:lang w:val="en-US" w:eastAsia="zh-CN"/>
        </w:rPr>
        <w:t>该项目年初预算数100.00万元，全年预算数100.00万元，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全年执行数100.00万元，预算执行率为100%，主要用于阜康市“乐享消费·惠购阜康”惠民消费活动经费项</w:t>
      </w:r>
      <w:r>
        <w:rPr>
          <w:rFonts w:hint="eastAsia" w:ascii="仿宋_GB2312" w:hAnsi="仿宋_GB2312" w:eastAsia="仿宋_GB2312" w:cs="仿宋_GB2312"/>
          <w:b w:val="0"/>
          <w:bCs w:val="0"/>
          <w:color w:val="auto"/>
          <w:sz w:val="32"/>
          <w:szCs w:val="32"/>
          <w:highlight w:val="none"/>
          <w:shd w:val="clear" w:color="auto" w:fill="auto"/>
          <w:lang w:val="en-US" w:eastAsia="zh-CN"/>
        </w:rPr>
        <w:t>目</w:t>
      </w:r>
      <w:r>
        <w:rPr>
          <w:rFonts w:hint="eastAsia" w:ascii="仿宋_GB2312" w:hAnsi="仿宋_GB2312" w:eastAsia="仿宋_GB2312" w:cs="仿宋_GB2312"/>
          <w:color w:val="auto"/>
          <w:sz w:val="32"/>
          <w:szCs w:val="32"/>
          <w:highlight w:val="none"/>
          <w:lang w:val="en-US" w:eastAsia="zh-CN"/>
        </w:rPr>
        <w:t>。</w:t>
      </w:r>
      <w:bookmarkEnd w:id="35"/>
      <w:bookmarkEnd w:id="36"/>
      <w:bookmarkEnd w:id="37"/>
    </w:p>
    <w:p w14:paraId="3D6E0C8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38" w:name="_Toc9109"/>
      <w:r>
        <w:rPr>
          <w:rFonts w:hint="eastAsia" w:ascii="Times New Roman" w:hAnsi="Times New Roman" w:eastAsia="楷体_GB2312" w:cs="Times New Roman"/>
          <w:color w:val="auto"/>
          <w:kern w:val="28"/>
          <w:sz w:val="32"/>
          <w:szCs w:val="32"/>
          <w:lang w:val="en-US" w:eastAsia="zh-CN"/>
        </w:rPr>
        <w:t>（二）项目绩效目标</w:t>
      </w:r>
      <w:bookmarkEnd w:id="38"/>
    </w:p>
    <w:p w14:paraId="77E9A234">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0047"/>
      <w:bookmarkStart w:id="41" w:name="_Toc8528"/>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20B9E95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进一步释放消费潜能，提高经济循环质量和水平，推动高质量耐用消费品更多进入居民生活，2024年阜康市商务和工业信息化局通过开展以促进成品油消费、餐饮消费、家电消费等商品消费为重点的惠民消费活动，发挥“乐享消费·惠购阜康”促进消费品牌效应，发放消费券100万元，预计覆盖商户数量26家，核销率预计达到100%，通过项目的实施，预计达到拉动限额以上企业零售额预计增长达到5.8%以上以及消费拉动乘数7.27倍的效益。消费券核销满意度预计达到95%以上。</w:t>
      </w:r>
    </w:p>
    <w:p w14:paraId="4B74080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007"/>
      <w:bookmarkStart w:id="44" w:name="_Toc4487"/>
      <w:bookmarkStart w:id="45" w:name="_Toc3255"/>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3403538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317B1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56BE7D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4B8110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消费券种类</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指标，预期目标值为≥3种；</w:t>
      </w:r>
    </w:p>
    <w:p w14:paraId="0C4C57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覆盖商户数量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指标，预期目标值为≥26家；</w:t>
      </w:r>
    </w:p>
    <w:p w14:paraId="0E830A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28621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核销审核合规率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97BF1D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37735F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消费券发放及时性</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5AF44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70C1CF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2162FA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消费券发放总量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指标，预期目标值为≤100万元；</w:t>
      </w:r>
    </w:p>
    <w:p w14:paraId="3F2D80F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3929BB5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2007B01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消费拉动乘数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指标，预期目标值为7.27倍；</w:t>
      </w:r>
    </w:p>
    <w:p w14:paraId="6042107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限额以上企业零售同比增长</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指标，预期目标值为≥5.8%；</w:t>
      </w:r>
    </w:p>
    <w:p w14:paraId="54C0BDA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1948030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市民满意度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指标，预期目标值≥95%。</w:t>
      </w:r>
    </w:p>
    <w:p w14:paraId="5EDEB9E6">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sz w:val="32"/>
          <w:szCs w:val="32"/>
          <w:highlight w:val="none"/>
          <w:shd w:val="clear" w:color="auto" w:fill="auto"/>
          <w:lang w:val="en-US" w:eastAsia="zh-CN"/>
        </w:rPr>
      </w:pPr>
      <w:bookmarkStart w:id="47" w:name="_Toc26567"/>
      <w:r>
        <w:rPr>
          <w:rFonts w:hint="eastAsia" w:ascii="宋体" w:hAnsi="宋体" w:eastAsia="宋体" w:cs="宋体"/>
          <w:b/>
          <w:bCs/>
          <w:color w:val="auto"/>
          <w:sz w:val="32"/>
          <w:szCs w:val="32"/>
          <w:highlight w:val="none"/>
          <w:shd w:val="clear" w:color="auto" w:fill="auto"/>
        </w:rPr>
        <w:t>二、绩效评价工作开展情况</w:t>
      </w:r>
      <w:bookmarkEnd w:id="47"/>
    </w:p>
    <w:p w14:paraId="03859AE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48" w:name="_Toc21664"/>
      <w:bookmarkStart w:id="49" w:name="_Toc5258"/>
      <w:bookmarkStart w:id="50" w:name="_Toc5462343"/>
      <w:bookmarkStart w:id="51" w:name="_Toc480473081"/>
      <w:bookmarkStart w:id="52" w:name="_Toc22922"/>
      <w:bookmarkStart w:id="53" w:name="_Toc26632"/>
      <w:bookmarkStart w:id="54" w:name="_Toc12868"/>
      <w:bookmarkStart w:id="55" w:name="_Toc22169_WPSOffice_Level2"/>
      <w:bookmarkStart w:id="56" w:name="_Toc22839"/>
      <w:r>
        <w:rPr>
          <w:rFonts w:hint="eastAsia" w:ascii="Times New Roman" w:hAnsi="Times New Roman" w:eastAsia="楷体_GB2312" w:cs="Times New Roman"/>
          <w:color w:val="auto"/>
          <w:kern w:val="28"/>
          <w:sz w:val="32"/>
          <w:szCs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szCs w:val="32"/>
          <w:lang w:val="en-US" w:eastAsia="zh-CN"/>
        </w:rPr>
        <w:t>、对象和范围</w:t>
      </w:r>
      <w:bookmarkEnd w:id="56"/>
    </w:p>
    <w:p w14:paraId="47A5624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7B81AC8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516D376">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color w:val="auto"/>
          <w:sz w:val="32"/>
          <w:szCs w:val="32"/>
          <w:highlight w:val="none"/>
          <w:lang w:val="en-US" w:eastAsia="zh-CN"/>
        </w:rPr>
        <w:t>经济</w:t>
      </w:r>
      <w:r>
        <w:rPr>
          <w:rFonts w:hint="default" w:ascii="Times New Roman" w:hAnsi="Times New Roman" w:eastAsia="仿宋_GB2312" w:cs="Times New Roman"/>
          <w:color w:val="auto"/>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38FD382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85ABAF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8BAA4F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532EEF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61B91AF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8B9E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4DAB5F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eastAsia" w:ascii="Times New Roman" w:hAnsi="Times New Roman" w:eastAsia="仿宋_GB2312" w:cs="Times New Roman"/>
          <w:color w:val="auto"/>
          <w:sz w:val="32"/>
          <w:szCs w:val="32"/>
          <w:highlight w:val="none"/>
          <w:lang w:eastAsia="zh-CN"/>
        </w:rPr>
        <w:t>经济</w:t>
      </w:r>
      <w:r>
        <w:rPr>
          <w:rFonts w:hint="default" w:ascii="Times New Roman" w:hAnsi="Times New Roman" w:eastAsia="仿宋_GB2312" w:cs="Times New Roman"/>
          <w:color w:val="auto"/>
          <w:sz w:val="32"/>
          <w:szCs w:val="32"/>
          <w:highlight w:val="none"/>
        </w:rPr>
        <w:t>效益等多维度指标，为项目后续的改进与优化提供科学依据。</w:t>
      </w:r>
    </w:p>
    <w:p w14:paraId="797818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6B12B1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AB21E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0690F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AEAF0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FF76A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50AAC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B654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D8980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w:t>
      </w:r>
      <w:r>
        <w:rPr>
          <w:rFonts w:hint="eastAsia" w:ascii="Times New Roman" w:hAnsi="Times New Roman" w:eastAsia="仿宋_GB2312" w:cs="Times New Roman"/>
          <w:color w:val="auto"/>
          <w:sz w:val="32"/>
          <w:szCs w:val="32"/>
          <w:highlight w:val="none"/>
          <w:lang w:eastAsia="zh-CN"/>
        </w:rPr>
        <w:t>经济</w:t>
      </w:r>
      <w:r>
        <w:rPr>
          <w:rFonts w:hint="default" w:ascii="Times New Roman" w:hAnsi="Times New Roman" w:eastAsia="仿宋_GB2312" w:cs="Times New Roman"/>
          <w:color w:val="auto"/>
          <w:sz w:val="32"/>
          <w:szCs w:val="32"/>
          <w:highlight w:val="none"/>
        </w:rPr>
        <w:t>效益。</w:t>
      </w:r>
    </w:p>
    <w:p w14:paraId="734FB7E3">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78D3F6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文件要求对2024年度我单位实施的阜康市“乐享消费·惠购阜康”惠民消费活动经费项目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7183E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阜康市商务和工业信息化局</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sz w:val="32"/>
          <w:szCs w:val="32"/>
          <w:highlight w:val="none"/>
          <w:shd w:val="clear" w:color="auto" w:fill="auto"/>
          <w:lang w:val="en-US" w:eastAsia="zh-CN"/>
        </w:rPr>
        <w:t>为进一步释放消费潜能，提高经济循环质量和水平，推动高质量耐用消费品更多进入居民生活，2024年阜康市商务和工业信息化局通过开展以促进成品油消费、餐饮消费、家电消费等商品消费为重点的惠民消费活动，发挥“乐享消费·惠购阜康”促进消费品牌效应，发放消费券100万元，预计覆盖商户数量26家，核销率预计达到100%，通过项目的实施，预计达到拉动限额以上企业零售额预计增长达到5.8%以上以及消费拉动乘数7.27倍的效益。消费券核销满意度预计达到95%以上。</w:t>
      </w:r>
    </w:p>
    <w:p w14:paraId="61A7EBD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2024年9月27日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100</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510272C0">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50010FC7">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F05BCE6">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DA4FE6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75E1EB29">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61E29C3F">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green"/>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）经济</w:t>
      </w:r>
      <w:r>
        <w:rPr>
          <w:rFonts w:hint="eastAsia" w:ascii="仿宋_GB2312" w:hAnsi="仿宋_GB2312" w:eastAsia="仿宋_GB2312" w:cs="仿宋_GB2312"/>
          <w:b w:val="0"/>
          <w:bCs w:val="0"/>
          <w:color w:val="auto"/>
          <w:sz w:val="32"/>
          <w:szCs w:val="32"/>
          <w:highlight w:val="none"/>
        </w:rPr>
        <w:t>影响：考察项目对</w:t>
      </w:r>
      <w:r>
        <w:rPr>
          <w:rFonts w:hint="eastAsia" w:ascii="仿宋_GB2312" w:hAnsi="仿宋_GB2312" w:eastAsia="仿宋_GB2312" w:cs="仿宋_GB2312"/>
          <w:b w:val="0"/>
          <w:bCs w:val="0"/>
          <w:color w:val="auto"/>
          <w:sz w:val="32"/>
          <w:szCs w:val="32"/>
          <w:highlight w:val="none"/>
          <w:lang w:eastAsia="zh-CN"/>
        </w:rPr>
        <w:t>经济</w:t>
      </w:r>
      <w:r>
        <w:rPr>
          <w:rFonts w:hint="eastAsia" w:ascii="仿宋_GB2312" w:hAnsi="仿宋_GB2312" w:eastAsia="仿宋_GB2312" w:cs="仿宋_GB2312"/>
          <w:b w:val="0"/>
          <w:bCs w:val="0"/>
          <w:color w:val="auto"/>
          <w:sz w:val="32"/>
          <w:szCs w:val="32"/>
          <w:highlight w:val="none"/>
        </w:rPr>
        <w:t>方面的综合影响。</w:t>
      </w:r>
    </w:p>
    <w:p w14:paraId="6565969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65" w:name="_Toc1286"/>
      <w:bookmarkStart w:id="66" w:name="_Toc29785"/>
      <w:r>
        <w:rPr>
          <w:rFonts w:hint="eastAsia" w:ascii="Times New Roman" w:hAnsi="Times New Roman" w:eastAsia="楷体_GB2312" w:cs="Times New Roman"/>
          <w:color w:val="auto"/>
          <w:kern w:val="28"/>
          <w:sz w:val="32"/>
          <w:szCs w:val="32"/>
          <w:lang w:val="en-US" w:eastAsia="zh-CN"/>
        </w:rPr>
        <w:t>（二）绩效评价原则、评价指标体系（</w:t>
      </w:r>
      <w:r>
        <w:rPr>
          <w:rFonts w:hint="default" w:ascii="Times New Roman" w:hAnsi="Times New Roman" w:eastAsia="楷体_GB2312" w:cs="Times New Roman"/>
          <w:color w:val="auto"/>
          <w:kern w:val="28"/>
          <w:sz w:val="32"/>
          <w:szCs w:val="32"/>
          <w:lang w:val="en-US" w:eastAsia="zh-CN"/>
        </w:rPr>
        <w:t>详情见</w:t>
      </w:r>
      <w:r>
        <w:rPr>
          <w:rFonts w:hint="eastAsia" w:ascii="Times New Roman" w:hAnsi="Times New Roman" w:eastAsia="楷体_GB2312" w:cs="Times New Roman"/>
          <w:color w:val="auto"/>
          <w:kern w:val="28"/>
          <w:sz w:val="32"/>
          <w:szCs w:val="32"/>
          <w:lang w:val="en-US" w:eastAsia="zh-CN"/>
        </w:rPr>
        <w:t>附件二）、评价方法、评价标准</w:t>
      </w:r>
      <w:bookmarkEnd w:id="65"/>
      <w:bookmarkEnd w:id="66"/>
    </w:p>
    <w:p w14:paraId="4E00209C">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auto"/>
          <w:kern w:val="2"/>
          <w:sz w:val="32"/>
          <w:szCs w:val="32"/>
          <w:lang w:val="en-US" w:eastAsia="zh-CN" w:bidi="ar-SA"/>
        </w:rPr>
        <w:t>1.绩效评价原则</w:t>
      </w:r>
      <w:bookmarkEnd w:id="67"/>
      <w:bookmarkEnd w:id="68"/>
      <w:bookmarkEnd w:id="69"/>
    </w:p>
    <w:p w14:paraId="183E2F81">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依据《财政支出绩效评价管理暂行办法》（财预〔20</w:t>
      </w:r>
      <w:r>
        <w:rPr>
          <w:rFonts w:hint="eastAsia" w:ascii="Times New Roman" w:hAnsi="Times New Roman" w:eastAsia="仿宋_GB2312" w:cs="Times New Roman"/>
          <w:color w:val="auto"/>
          <w:sz w:val="32"/>
          <w:szCs w:val="32"/>
          <w:lang w:val="en-US" w:eastAsia="zh-CN"/>
        </w:rPr>
        <w:t>20</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10</w:t>
      </w:r>
      <w:r>
        <w:rPr>
          <w:rFonts w:hint="eastAsia" w:ascii="Times New Roman" w:hAnsi="Times New Roman" w:eastAsia="仿宋_GB2312" w:cs="Times New Roman"/>
          <w:color w:val="auto"/>
          <w:sz w:val="32"/>
          <w:szCs w:val="32"/>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阜康市“乐享消费·惠购阜康”惠民消费活动经费</w:t>
      </w:r>
      <w:r>
        <w:rPr>
          <w:rFonts w:hint="eastAsia" w:ascii="Times New Roman" w:hAnsi="Times New Roman" w:eastAsia="仿宋_GB2312" w:cs="Times New Roman"/>
          <w:color w:val="auto"/>
          <w:sz w:val="32"/>
          <w:szCs w:val="32"/>
          <w:lang w:eastAsia="zh-CN"/>
        </w:rPr>
        <w:t>项目实际开展情况，运用定量和定性分析相结合的方法，总结经验做法，反思项目实施和管理中的问题，以切实提升财政资金管理的科学化、规范化和精细化水平。</w:t>
      </w:r>
    </w:p>
    <w:p w14:paraId="65C9D37B">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根据以上原则，绩效评价应遵循如下要求：</w:t>
      </w:r>
    </w:p>
    <w:p w14:paraId="384709B8">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）科学公正。绩效评价应当运用科学合理的方法，按照规范的程序，对项目绩效进行客观、公正的反映。</w:t>
      </w:r>
    </w:p>
    <w:p w14:paraId="5C5BC61A">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eastAsia="zh-CN"/>
        </w:rPr>
        <w:t>）统筹兼顾。单位自评、部门评价和财政评价应职责明确，各有侧重，相互衔接。单位自评应由项目单位自主实施，即“谁支出、谁自评”。</w:t>
      </w:r>
    </w:p>
    <w:p w14:paraId="1BC01978">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）激励约束。绩效评价结果应与预算安排、政策调整、改进管理实质性挂钩，体现奖优罚劣和激励相容导向，有效要安排、低效要压减、无效要问责。</w:t>
      </w:r>
    </w:p>
    <w:p w14:paraId="5BDCF3CD">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eastAsia="zh-CN"/>
        </w:rPr>
        <w:t>）公开透明。绩效评价结果应依法依规公开，并自觉接受社会监督。</w:t>
      </w:r>
    </w:p>
    <w:p w14:paraId="06045E33">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bookmarkStart w:id="70" w:name="_Toc428278230"/>
      <w:bookmarkStart w:id="71" w:name="_Toc24396"/>
      <w:bookmarkStart w:id="72" w:name="_Toc26131"/>
      <w:bookmarkStart w:id="73" w:name="_Toc419984722"/>
      <w:bookmarkStart w:id="74" w:name="_Toc1913"/>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绩效评价指标体系</w:t>
      </w:r>
      <w:bookmarkEnd w:id="70"/>
      <w:bookmarkEnd w:id="71"/>
      <w:bookmarkEnd w:id="72"/>
      <w:bookmarkEnd w:id="73"/>
      <w:bookmarkEnd w:id="74"/>
    </w:p>
    <w:p w14:paraId="248A1CB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5"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71A7302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26249BD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E93522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778B55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4C20475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6DD2CB2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25CDDCA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2286F5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w:t>
      </w:r>
      <w:r>
        <w:rPr>
          <w:rFonts w:hint="eastAsia" w:ascii="仿宋_GB2312" w:hAnsi="仿宋_GB2312" w:eastAsia="仿宋_GB2312" w:cs="仿宋_GB2312"/>
          <w:color w:val="auto"/>
          <w:sz w:val="32"/>
          <w:szCs w:val="32"/>
          <w:lang w:val="zh-TW" w:eastAsia="zh-TW"/>
        </w:rPr>
        <w:t>根据项目的</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en-US" w:eastAsia="zh-CN"/>
        </w:rPr>
        <w:t>详见上传的附件二。</w:t>
      </w:r>
    </w:p>
    <w:p w14:paraId="72EF568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76891EB0">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8" w:name="_Toc25391"/>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lang w:eastAsia="zh-CN"/>
        </w:rPr>
        <w:t>，</w:t>
      </w:r>
      <w:r>
        <w:rPr>
          <w:rFonts w:hint="eastAsia" w:ascii="仿宋_GB2312" w:hAnsi="仿宋_GB2312" w:eastAsia="仿宋_GB2312" w:cs="仿宋_GB2312"/>
          <w:color w:val="auto"/>
          <w:spacing w:val="17"/>
          <w:sz w:val="32"/>
          <w:szCs w:val="32"/>
        </w:rPr>
        <w:t>评价核心为资金的支出完成情况和项目的产出效益。</w:t>
      </w:r>
    </w:p>
    <w:p w14:paraId="3AA43953">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70BF94AF">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1532CAD1">
      <w:pPr>
        <w:numPr>
          <w:ilvl w:val="0"/>
          <w:numId w:val="0"/>
        </w:numPr>
        <w:spacing w:line="560" w:lineRule="exact"/>
        <w:ind w:firstLine="708" w:firstLineChars="200"/>
        <w:rPr>
          <w:rFonts w:hint="default"/>
          <w:color w:val="auto"/>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项目的实际效果与预定目标、历史数据或同类项目进行对比，能直观地反映出项目的绩效情况。例如，将</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w:t>
      </w:r>
      <w:r>
        <w:rPr>
          <w:rFonts w:hint="eastAsia" w:ascii="Times New Roman" w:hAnsi="Times New Roman" w:eastAsia="仿宋_GB2312" w:cs="Times New Roman"/>
          <w:b w:val="0"/>
          <w:color w:val="auto"/>
          <w:spacing w:val="17"/>
          <w:kern w:val="2"/>
          <w:sz w:val="32"/>
          <w:szCs w:val="32"/>
          <w:highlight w:val="none"/>
          <w:lang w:val="en-US" w:eastAsia="zh-CN" w:bidi="ar-SA"/>
        </w:rPr>
        <w:t>实施后</w:t>
      </w:r>
      <w:r>
        <w:rPr>
          <w:rFonts w:hint="default" w:ascii="Times New Roman" w:hAnsi="Times New Roman" w:eastAsia="仿宋_GB2312" w:cs="Times New Roman"/>
          <w:b w:val="0"/>
          <w:color w:val="auto"/>
          <w:spacing w:val="17"/>
          <w:kern w:val="2"/>
          <w:sz w:val="32"/>
          <w:szCs w:val="32"/>
          <w:highlight w:val="none"/>
          <w:lang w:val="en-US" w:eastAsia="zh-CN" w:bidi="ar-SA"/>
        </w:rPr>
        <w:t>的</w:t>
      </w:r>
      <w:r>
        <w:rPr>
          <w:rFonts w:hint="eastAsia" w:ascii="Times New Roman" w:hAnsi="Times New Roman" w:eastAsia="仿宋_GB2312" w:cs="Times New Roman"/>
          <w:b w:val="0"/>
          <w:color w:val="auto"/>
          <w:spacing w:val="17"/>
          <w:kern w:val="2"/>
          <w:sz w:val="32"/>
          <w:szCs w:val="32"/>
          <w:highlight w:val="none"/>
          <w:lang w:val="en-US" w:eastAsia="zh-CN" w:bidi="ar-SA"/>
        </w:rPr>
        <w:t>群众在活动前</w:t>
      </w:r>
      <w:r>
        <w:rPr>
          <w:rFonts w:hint="default" w:ascii="Times New Roman" w:hAnsi="Times New Roman" w:eastAsia="仿宋_GB2312" w:cs="Times New Roman"/>
          <w:b w:val="0"/>
          <w:color w:val="auto"/>
          <w:spacing w:val="17"/>
          <w:kern w:val="2"/>
          <w:sz w:val="32"/>
          <w:szCs w:val="32"/>
          <w:highlight w:val="none"/>
          <w:lang w:val="en-US" w:eastAsia="zh-CN" w:bidi="ar-SA"/>
        </w:rPr>
        <w:t>与</w:t>
      </w:r>
      <w:r>
        <w:rPr>
          <w:rFonts w:hint="eastAsia" w:ascii="Times New Roman" w:hAnsi="Times New Roman" w:eastAsia="仿宋_GB2312" w:cs="Times New Roman"/>
          <w:b w:val="0"/>
          <w:color w:val="auto"/>
          <w:spacing w:val="17"/>
          <w:kern w:val="2"/>
          <w:sz w:val="32"/>
          <w:szCs w:val="32"/>
          <w:highlight w:val="none"/>
          <w:lang w:val="en-US" w:eastAsia="zh-CN" w:bidi="ar-SA"/>
        </w:rPr>
        <w:t>活动后</w:t>
      </w:r>
      <w:r>
        <w:rPr>
          <w:rFonts w:hint="default" w:ascii="Times New Roman" w:hAnsi="Times New Roman" w:eastAsia="仿宋_GB2312" w:cs="Times New Roman"/>
          <w:b w:val="0"/>
          <w:color w:val="auto"/>
          <w:spacing w:val="17"/>
          <w:kern w:val="2"/>
          <w:sz w:val="32"/>
          <w:szCs w:val="32"/>
          <w:highlight w:val="none"/>
          <w:lang w:val="en-US" w:eastAsia="zh-CN" w:bidi="ar-SA"/>
        </w:rPr>
        <w:t>的</w:t>
      </w:r>
      <w:r>
        <w:rPr>
          <w:rFonts w:hint="eastAsia" w:ascii="Times New Roman" w:hAnsi="Times New Roman" w:eastAsia="仿宋_GB2312" w:cs="Times New Roman"/>
          <w:b w:val="0"/>
          <w:color w:val="auto"/>
          <w:spacing w:val="17"/>
          <w:kern w:val="2"/>
          <w:sz w:val="32"/>
          <w:szCs w:val="32"/>
          <w:highlight w:val="none"/>
          <w:lang w:val="en-US" w:eastAsia="zh-CN" w:bidi="ar-SA"/>
        </w:rPr>
        <w:t>消费情况</w:t>
      </w:r>
      <w:r>
        <w:rPr>
          <w:rFonts w:hint="default" w:ascii="Times New Roman" w:hAnsi="Times New Roman" w:eastAsia="仿宋_GB2312" w:cs="Times New Roman"/>
          <w:b w:val="0"/>
          <w:color w:val="auto"/>
          <w:spacing w:val="17"/>
          <w:kern w:val="2"/>
          <w:sz w:val="32"/>
          <w:szCs w:val="32"/>
          <w:highlight w:val="none"/>
          <w:lang w:val="en-US" w:eastAsia="zh-CN" w:bidi="ar-SA"/>
        </w:rPr>
        <w:t>进行对比，可清晰看出是否达到了市民实际需求。同时，与同类</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项目对比，能了解本项目在同类项目中的水平，发现自身的优势与不足，为今后改进提供参考。</w:t>
      </w:r>
    </w:p>
    <w:p w14:paraId="0CD5B3C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262E8C9A">
      <w:pPr>
        <w:spacing w:line="560" w:lineRule="exact"/>
        <w:rPr>
          <w:rFonts w:hint="default"/>
          <w:color w:val="auto"/>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阜康市“乐享消费·惠购阜康”惠民消费劵</w:t>
      </w:r>
      <w:r>
        <w:rPr>
          <w:rFonts w:hint="default" w:ascii="Times New Roman" w:hAnsi="Times New Roman" w:eastAsia="仿宋_GB2312" w:cs="Times New Roman"/>
          <w:b w:val="0"/>
          <w:color w:val="auto"/>
          <w:spacing w:val="17"/>
          <w:kern w:val="2"/>
          <w:sz w:val="32"/>
          <w:szCs w:val="32"/>
          <w:highlight w:val="none"/>
          <w:lang w:val="en-US" w:eastAsia="zh-CN" w:bidi="ar-SA"/>
        </w:rPr>
        <w:t>的使用效率、</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阜康市“乐享消费·惠购阜康”惠民消费活动经费项目</w:t>
      </w:r>
      <w:r>
        <w:rPr>
          <w:rFonts w:hint="default" w:ascii="Times New Roman" w:hAnsi="Times New Roman" w:eastAsia="仿宋_GB2312" w:cs="Times New Roman"/>
          <w:b w:val="0"/>
          <w:color w:val="auto"/>
          <w:spacing w:val="17"/>
          <w:kern w:val="2"/>
          <w:sz w:val="32"/>
          <w:szCs w:val="32"/>
          <w:highlight w:val="none"/>
          <w:lang w:val="en-US" w:eastAsia="zh-CN" w:bidi="ar-SA"/>
        </w:rPr>
        <w:t>方案的合理性、政策环境的变化等。因素分析法可以将这些因素进行分解和分析，确定每个因素对项目绩效的影响程度。通过这种方法，能够找出影响</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项目绩效的关键因素，以便有针对性地采取措施加以改进，提高项目的绩效水平。</w:t>
      </w:r>
    </w:p>
    <w:p w14:paraId="28827A5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32235AE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的</w:t>
      </w:r>
      <w:r>
        <w:rPr>
          <w:rFonts w:hint="eastAsia" w:ascii="Times New Roman" w:hAnsi="Times New Roman" w:eastAsia="仿宋_GB2312" w:cs="Times New Roman"/>
          <w:b w:val="0"/>
          <w:color w:val="auto"/>
          <w:spacing w:val="17"/>
          <w:kern w:val="2"/>
          <w:sz w:val="32"/>
          <w:szCs w:val="32"/>
          <w:highlight w:val="none"/>
          <w:lang w:val="en-US" w:eastAsia="zh-CN" w:bidi="ar-SA"/>
        </w:rPr>
        <w:t>消费</w:t>
      </w:r>
      <w:r>
        <w:rPr>
          <w:rFonts w:hint="default" w:ascii="Times New Roman" w:hAnsi="Times New Roman" w:eastAsia="仿宋_GB2312" w:cs="Times New Roman"/>
          <w:b w:val="0"/>
          <w:color w:val="auto"/>
          <w:spacing w:val="17"/>
          <w:kern w:val="2"/>
          <w:sz w:val="32"/>
          <w:szCs w:val="32"/>
          <w:highlight w:val="none"/>
          <w:lang w:val="en-US" w:eastAsia="zh-CN" w:bidi="ar-SA"/>
        </w:rPr>
        <w:t>对象等相关公众对</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项目的实施效果有直接或间接的感受。公众评判法可以充分听取他们的意见和建议，从不同角度评价</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阜康市“乐享消费·惠购阜康”惠民消费活动经费</w:t>
      </w:r>
      <w:r>
        <w:rPr>
          <w:rFonts w:hint="default" w:ascii="Times New Roman" w:hAnsi="Times New Roman" w:eastAsia="仿宋_GB2312" w:cs="Times New Roman"/>
          <w:b w:val="0"/>
          <w:color w:val="auto"/>
          <w:spacing w:val="17"/>
          <w:kern w:val="2"/>
          <w:sz w:val="32"/>
          <w:szCs w:val="32"/>
          <w:highlight w:val="none"/>
          <w:lang w:val="en-US" w:eastAsia="zh-CN" w:bidi="ar-SA"/>
        </w:rPr>
        <w:t>项目的绩效。比如，</w:t>
      </w:r>
      <w:r>
        <w:rPr>
          <w:rFonts w:hint="eastAsia" w:ascii="Times New Roman" w:hAnsi="Times New Roman" w:eastAsia="仿宋_GB2312" w:cs="Times New Roman"/>
          <w:b w:val="0"/>
          <w:color w:val="auto"/>
          <w:spacing w:val="17"/>
          <w:kern w:val="2"/>
          <w:sz w:val="32"/>
          <w:szCs w:val="32"/>
          <w:highlight w:val="none"/>
          <w:lang w:val="en-US" w:eastAsia="zh-CN" w:bidi="ar-SA"/>
        </w:rPr>
        <w:t>消费</w:t>
      </w:r>
      <w:r>
        <w:rPr>
          <w:rFonts w:hint="default" w:ascii="Times New Roman" w:hAnsi="Times New Roman" w:eastAsia="仿宋_GB2312" w:cs="Times New Roman"/>
          <w:b w:val="0"/>
          <w:color w:val="auto"/>
          <w:spacing w:val="17"/>
          <w:kern w:val="2"/>
          <w:sz w:val="32"/>
          <w:szCs w:val="32"/>
          <w:highlight w:val="none"/>
          <w:lang w:val="en-US" w:eastAsia="zh-CN" w:bidi="ar-SA"/>
        </w:rPr>
        <w:t>对象可以从</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阜康市“乐享消费·惠购阜康”惠民消费劵使用的方便程度</w:t>
      </w:r>
      <w:r>
        <w:rPr>
          <w:rFonts w:hint="default" w:ascii="Times New Roman" w:hAnsi="Times New Roman" w:eastAsia="仿宋_GB2312" w:cs="Times New Roman"/>
          <w:b w:val="0"/>
          <w:color w:val="auto"/>
          <w:spacing w:val="17"/>
          <w:kern w:val="2"/>
          <w:sz w:val="32"/>
          <w:szCs w:val="32"/>
          <w:highlight w:val="none"/>
          <w:lang w:val="en-US" w:eastAsia="zh-CN" w:bidi="ar-SA"/>
        </w:rPr>
        <w:t>进行评价</w:t>
      </w:r>
      <w:r>
        <w:rPr>
          <w:rFonts w:hint="eastAsia" w:ascii="Times New Roman" w:hAnsi="Times New Roman" w:eastAsia="仿宋_GB2312" w:cs="Times New Roman"/>
          <w:b w:val="0"/>
          <w:color w:val="auto"/>
          <w:spacing w:val="17"/>
          <w:kern w:val="2"/>
          <w:sz w:val="32"/>
          <w:szCs w:val="32"/>
          <w:highlight w:val="none"/>
          <w:lang w:val="en-US" w:eastAsia="zh-CN" w:bidi="ar-SA"/>
        </w:rPr>
        <w:t>，商务和工业信息化局</w:t>
      </w:r>
      <w:r>
        <w:rPr>
          <w:rFonts w:hint="default" w:ascii="Times New Roman" w:hAnsi="Times New Roman" w:eastAsia="仿宋_GB2312" w:cs="Times New Roman"/>
          <w:b w:val="0"/>
          <w:color w:val="auto"/>
          <w:spacing w:val="17"/>
          <w:kern w:val="2"/>
          <w:sz w:val="32"/>
          <w:szCs w:val="32"/>
          <w:highlight w:val="none"/>
          <w:lang w:val="en-US" w:eastAsia="zh-CN" w:bidi="ar-SA"/>
        </w:rPr>
        <w:t>可以从</w:t>
      </w:r>
      <w:r>
        <w:rPr>
          <w:rFonts w:hint="eastAsia" w:ascii="Times New Roman" w:hAnsi="Times New Roman" w:eastAsia="仿宋_GB2312" w:cs="Times New Roman"/>
          <w:b w:val="0"/>
          <w:color w:val="auto"/>
          <w:spacing w:val="17"/>
          <w:kern w:val="2"/>
          <w:sz w:val="32"/>
          <w:szCs w:val="32"/>
          <w:highlight w:val="none"/>
          <w:lang w:val="en-US" w:eastAsia="zh-CN" w:bidi="ar-SA"/>
        </w:rPr>
        <w:t>阜康市“乐享消费·惠购阜康”惠民消费劵使用量</w:t>
      </w:r>
      <w:r>
        <w:rPr>
          <w:rFonts w:hint="default" w:ascii="Times New Roman" w:hAnsi="Times New Roman" w:eastAsia="仿宋_GB2312" w:cs="Times New Roman"/>
          <w:b w:val="0"/>
          <w:color w:val="auto"/>
          <w:spacing w:val="17"/>
          <w:kern w:val="2"/>
          <w:sz w:val="32"/>
          <w:szCs w:val="32"/>
          <w:highlight w:val="none"/>
          <w:lang w:val="en-US" w:eastAsia="zh-CN" w:bidi="ar-SA"/>
        </w:rPr>
        <w:t>和</w:t>
      </w:r>
      <w:r>
        <w:rPr>
          <w:rFonts w:hint="eastAsia" w:ascii="Times New Roman" w:hAnsi="Times New Roman" w:eastAsia="仿宋_GB2312" w:cs="Times New Roman"/>
          <w:b w:val="0"/>
          <w:color w:val="auto"/>
          <w:spacing w:val="17"/>
          <w:kern w:val="2"/>
          <w:sz w:val="32"/>
          <w:szCs w:val="32"/>
          <w:highlight w:val="none"/>
          <w:lang w:val="en-US" w:eastAsia="zh-CN" w:bidi="ar-SA"/>
        </w:rPr>
        <w:t>群众满意</w:t>
      </w:r>
      <w:r>
        <w:rPr>
          <w:rFonts w:hint="default" w:ascii="Times New Roman" w:hAnsi="Times New Roman" w:eastAsia="仿宋_GB2312" w:cs="Times New Roman"/>
          <w:b w:val="0"/>
          <w:color w:val="auto"/>
          <w:spacing w:val="17"/>
          <w:kern w:val="2"/>
          <w:sz w:val="32"/>
          <w:szCs w:val="32"/>
          <w:highlight w:val="none"/>
          <w:lang w:val="en-US" w:eastAsia="zh-CN" w:bidi="ar-SA"/>
        </w:rPr>
        <w:t>是否</w:t>
      </w:r>
      <w:r>
        <w:rPr>
          <w:rFonts w:hint="eastAsia" w:ascii="Times New Roman" w:hAnsi="Times New Roman" w:eastAsia="仿宋_GB2312" w:cs="Times New Roman"/>
          <w:b w:val="0"/>
          <w:color w:val="auto"/>
          <w:spacing w:val="17"/>
          <w:kern w:val="2"/>
          <w:sz w:val="32"/>
          <w:szCs w:val="32"/>
          <w:highlight w:val="none"/>
          <w:lang w:val="en-US" w:eastAsia="zh-CN" w:bidi="ar-SA"/>
        </w:rPr>
        <w:t>满意</w:t>
      </w:r>
      <w:r>
        <w:rPr>
          <w:rFonts w:hint="default" w:ascii="Times New Roman" w:hAnsi="Times New Roman" w:eastAsia="仿宋_GB2312" w:cs="Times New Roman"/>
          <w:b w:val="0"/>
          <w:color w:val="auto"/>
          <w:spacing w:val="17"/>
          <w:kern w:val="2"/>
          <w:sz w:val="32"/>
          <w:szCs w:val="32"/>
          <w:highlight w:val="none"/>
          <w:lang w:val="en-US" w:eastAsia="zh-CN" w:bidi="ar-SA"/>
        </w:rPr>
        <w:t>等方面进行反馈，使绩效评价更具全面性和客观性，也能增强评价结果的可信度和社会认可度。</w:t>
      </w:r>
    </w:p>
    <w:p w14:paraId="6456B99F">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99B9D03">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两个</w:t>
      </w:r>
      <w:r>
        <w:rPr>
          <w:rFonts w:hint="default" w:ascii="Times New Roman" w:hAnsi="Times New Roman" w:eastAsia="仿宋_GB2312" w:cs="Times New Roman"/>
          <w:color w:val="auto"/>
          <w:spacing w:val="17"/>
          <w:sz w:val="32"/>
          <w:szCs w:val="32"/>
          <w:highlight w:val="none"/>
        </w:rPr>
        <w:t>标准。</w:t>
      </w:r>
    </w:p>
    <w:p w14:paraId="2FB98605">
      <w:pPr>
        <w:spacing w:line="560" w:lineRule="exact"/>
        <w:ind w:firstLine="708" w:firstLineChars="200"/>
        <w:rPr>
          <w:rFonts w:hint="default" w:ascii="Times New Roman" w:hAnsi="Times New Roman" w:eastAsia="仿宋_GB2312" w:cs="Times New Roman"/>
          <w:color w:val="auto"/>
          <w:spacing w:val="17"/>
          <w:sz w:val="32"/>
          <w:szCs w:val="32"/>
          <w:highlight w:val="none"/>
        </w:rPr>
      </w:pPr>
      <w:bookmarkStart w:id="81" w:name="_Toc21435"/>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3410F4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0DCFEC5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r>
        <w:rPr>
          <w:rFonts w:hint="eastAsia" w:ascii="Times New Roman" w:hAnsi="Times New Roman" w:eastAsia="楷体_GB2312" w:cs="Times New Roman"/>
          <w:color w:val="auto"/>
          <w:kern w:val="28"/>
          <w:sz w:val="32"/>
          <w:szCs w:val="32"/>
          <w:lang w:val="en-US" w:eastAsia="zh-CN"/>
        </w:rPr>
        <w:t>（三）绩效评价工作过程</w:t>
      </w:r>
      <w:bookmarkEnd w:id="81"/>
    </w:p>
    <w:p w14:paraId="44044113">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28D6D5F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13EEA4A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4E6FBBF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100BE03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阜康市“乐享消费·惠购阜康”惠民消费活动经费项目实施内容、目标信息、预算信息以及其他的一些项目基本信息，有了初步了解，为制定绩效评价工作方案做好准备。</w:t>
      </w:r>
      <w:bookmarkEnd w:id="84"/>
    </w:p>
    <w:p w14:paraId="7A86B5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70FDDA3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212383EB">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89F8A0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0D5740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479205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43361C2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0831682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3D69211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0A0C17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0EF364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0C44F2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53639EC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5BA7727C">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357F98B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3230126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1DB10D8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5CB11BD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7FDC5FE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7C87C27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rPr>
      </w:pPr>
      <w:bookmarkStart w:id="104" w:name="_Toc19261"/>
      <w:r>
        <w:rPr>
          <w:rFonts w:hint="eastAsia" w:ascii="黑体" w:hAnsi="黑体" w:eastAsia="黑体" w:cs="黑体"/>
          <w:b w:val="0"/>
          <w:bCs w:val="0"/>
          <w:color w:val="auto"/>
          <w:sz w:val="32"/>
          <w:szCs w:val="32"/>
          <w:highlight w:val="none"/>
          <w:shd w:val="clear" w:color="auto" w:fill="auto"/>
          <w:lang w:val="en-US" w:eastAsia="zh-CN"/>
        </w:rPr>
        <w:t>三、</w:t>
      </w:r>
      <w:r>
        <w:rPr>
          <w:rFonts w:hint="eastAsia" w:ascii="黑体" w:hAnsi="黑体" w:eastAsia="黑体" w:cs="黑体"/>
          <w:b w:val="0"/>
          <w:bCs w:val="0"/>
          <w:color w:val="auto"/>
          <w:sz w:val="32"/>
          <w:szCs w:val="32"/>
          <w:highlight w:val="none"/>
          <w:shd w:val="clear" w:color="auto" w:fill="auto"/>
        </w:rPr>
        <w:t>综合评价情况及评价结论</w:t>
      </w:r>
      <w:bookmarkEnd w:id="104"/>
    </w:p>
    <w:p w14:paraId="1755A4F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05" w:name="_Toc23319"/>
      <w:r>
        <w:rPr>
          <w:rFonts w:hint="eastAsia" w:ascii="Times New Roman" w:hAnsi="Times New Roman" w:eastAsia="楷体_GB2312" w:cs="Times New Roman"/>
          <w:color w:val="auto"/>
          <w:kern w:val="28"/>
          <w:sz w:val="32"/>
          <w:szCs w:val="32"/>
          <w:lang w:val="en-US" w:eastAsia="zh-CN"/>
        </w:rPr>
        <w:t>（一）综合评价情况及评价结论</w:t>
      </w:r>
      <w:bookmarkEnd w:id="105"/>
    </w:p>
    <w:p w14:paraId="1DC882A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阜康市“乐享消费·惠购阜康”惠民消费活动经费项目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65E06D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阜康市商务和工业信息化局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A288CD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w:t>
      </w:r>
      <w:r>
        <w:rPr>
          <w:rFonts w:hint="eastAsia" w:ascii="Times New Roman" w:hAnsi="Times New Roman" w:eastAsia="仿宋_GB2312" w:cs="Times New Roman"/>
          <w:color w:val="auto"/>
          <w:sz w:val="32"/>
          <w:szCs w:val="32"/>
          <w:highlight w:val="none"/>
          <w:lang w:eastAsia="zh-CN"/>
        </w:rPr>
        <w:t>经济</w:t>
      </w:r>
      <w:r>
        <w:rPr>
          <w:rFonts w:hint="default" w:ascii="Times New Roman" w:hAnsi="Times New Roman" w:eastAsia="仿宋_GB2312" w:cs="Times New Roman"/>
          <w:color w:val="auto"/>
          <w:sz w:val="32"/>
          <w:szCs w:val="32"/>
          <w:highlight w:val="none"/>
        </w:rPr>
        <w:t>效益等方面产生了积极的影响。具体而言，</w:t>
      </w:r>
      <w:r>
        <w:rPr>
          <w:rFonts w:hint="eastAsia" w:ascii="Times New Roman" w:hAnsi="Times New Roman" w:eastAsia="仿宋_GB2312" w:cs="Times New Roman"/>
          <w:color w:val="auto"/>
          <w:sz w:val="32"/>
          <w:szCs w:val="32"/>
          <w:highlight w:val="none"/>
          <w:lang w:val="en-US" w:eastAsia="zh-CN"/>
        </w:rPr>
        <w:t>居民信息化生活幸福指数</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4F5234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阜康市“乐享消费·惠购阜康”惠民消费活动经费项目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76A9E2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06" w:name="_Toc11863"/>
      <w:r>
        <w:rPr>
          <w:rFonts w:hint="eastAsia" w:ascii="Times New Roman" w:hAnsi="Times New Roman" w:eastAsia="楷体_GB2312" w:cs="Times New Roman"/>
          <w:color w:val="auto"/>
          <w:kern w:val="28"/>
          <w:sz w:val="32"/>
          <w:szCs w:val="32"/>
          <w:lang w:val="en-US" w:eastAsia="zh-CN"/>
        </w:rPr>
        <w:t>（二）相关评分表</w:t>
      </w:r>
      <w:bookmarkEnd w:id="106"/>
    </w:p>
    <w:p w14:paraId="5B46F29C">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阜康市“乐享消费·惠购阜康”惠民消费活动经费服务项目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343CD051">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73C08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阜康市“乐享消费·惠购阜康”惠民消费活动经费</w:t>
            </w:r>
            <w:r>
              <w:rPr>
                <w:rFonts w:hint="eastAsia" w:ascii="宋体" w:hAnsi="宋体" w:eastAsia="宋体" w:cs="宋体"/>
                <w:b/>
                <w:bCs/>
                <w:color w:val="auto"/>
                <w:kern w:val="0"/>
                <w:sz w:val="28"/>
                <w:szCs w:val="28"/>
                <w:highlight w:val="none"/>
                <w:shd w:val="clear" w:color="auto" w:fill="auto"/>
                <w:lang w:val="en-US" w:eastAsia="zh-CN"/>
              </w:rPr>
              <w:t>项目得分表</w:t>
            </w:r>
          </w:p>
          <w:p w14:paraId="588B3E4A">
            <w:pPr>
              <w:keepNext w:val="0"/>
              <w:keepLines w:val="0"/>
              <w:pageBreakBefore w:val="0"/>
              <w:widowControl/>
              <w:kinsoku/>
              <w:wordWrap/>
              <w:overflowPunct/>
              <w:topLinePunct w:val="0"/>
              <w:autoSpaceDE/>
              <w:autoSpaceDN/>
              <w:bidi w:val="0"/>
              <w:adjustRightInd/>
              <w:snapToGrid w:val="0"/>
              <w:spacing w:line="560" w:lineRule="exact"/>
              <w:ind w:firstLine="0" w:firstLineChars="0"/>
              <w:jc w:val="both"/>
              <w:textAlignment w:val="auto"/>
              <w:rPr>
                <w:rFonts w:hint="eastAsia" w:ascii="宋体" w:hAnsi="宋体" w:eastAsia="宋体" w:cs="宋体"/>
                <w:color w:val="auto"/>
                <w:kern w:val="0"/>
                <w:sz w:val="24"/>
                <w:szCs w:val="24"/>
                <w:highlight w:val="none"/>
                <w:shd w:val="clear" w:color="auto" w:fill="auto"/>
              </w:rPr>
            </w:pPr>
          </w:p>
        </w:tc>
      </w:tr>
      <w:tr w14:paraId="475B17C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EB6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30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C19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AF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983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B73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7D0A584C">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3C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96C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4C1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803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375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74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6B2A7CF5">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85B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BCB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F05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74B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D8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E74C95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09C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50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259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5C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EAA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976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5E4290CC">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265153D1">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2D64D7E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4F7A0F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DE6638D">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3A4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8CF1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5F5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ECC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3536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4D1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A65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9F565A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37C9C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6F78C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30D77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359BE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2E1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5C1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383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85C4C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7BE16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AF12A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A1D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F1A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580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AD6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78A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olor w:val="auto"/>
                <w:lang w:val="en-US" w:eastAsia="zh-CN"/>
              </w:rPr>
            </w:pPr>
            <w:r>
              <w:rPr>
                <w:rFonts w:hint="eastAsia"/>
                <w:color w:val="auto"/>
                <w:sz w:val="20"/>
                <w:szCs w:val="20"/>
                <w:lang w:val="en-US" w:eastAsia="zh-CN"/>
              </w:rPr>
              <w:t>2</w:t>
            </w:r>
          </w:p>
        </w:tc>
      </w:tr>
      <w:tr w14:paraId="1473EAB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E8756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E06D3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364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486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E71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C1C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62B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BC654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EAEC6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C7CC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DB01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D7B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F314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0D9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8F9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06ED04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B9216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09FB1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B5D6B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E5904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3BB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8A6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6B7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DAB1DB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AB2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216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150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882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DC2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740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8BE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1954527">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DEF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14D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E8B2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F80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2ECF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52ED217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09" w:name="_Toc28069"/>
      <w:bookmarkStart w:id="110" w:name="_Toc13522"/>
      <w:r>
        <w:rPr>
          <w:rFonts w:hint="eastAsia" w:ascii="仿宋_GB2312" w:hAnsi="仿宋_GB2312" w:eastAsia="仿宋_GB2312" w:cs="仿宋_GB2312"/>
          <w:b/>
          <w:bCs/>
          <w:color w:val="auto"/>
          <w:sz w:val="32"/>
          <w:szCs w:val="32"/>
          <w:lang w:val="en-US" w:eastAsia="zh-CN"/>
        </w:rPr>
        <w:t>1.立项依据充分性</w:t>
      </w:r>
      <w:bookmarkEnd w:id="109"/>
      <w:bookmarkEnd w:id="110"/>
    </w:p>
    <w:p w14:paraId="5EDD2C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财务工作管理制度</w:t>
      </w:r>
      <w:r>
        <w:rPr>
          <w:rFonts w:hint="eastAsia" w:ascii="仿宋_GB2312" w:hAnsi="仿宋_GB2312" w:eastAsia="仿宋_GB2312" w:cs="仿宋_GB2312"/>
          <w:color w:val="auto"/>
          <w:sz w:val="32"/>
          <w:szCs w:val="32"/>
          <w:highlight w:val="none"/>
          <w:lang w:eastAsia="zh-CN"/>
        </w:rPr>
        <w:t>》，为扩大内需，促进消费为国家重点工作，通过政府补贴、商户优惠等多种方式，拉动消费，稳定社会消费品零售总额增长；</w:t>
      </w:r>
    </w:p>
    <w:p w14:paraId="2F3E8F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②项目立项符合《</w:t>
      </w:r>
      <w:r>
        <w:rPr>
          <w:rFonts w:hint="eastAsia" w:ascii="仿宋_GB2312" w:hAnsi="仿宋_GB2312" w:eastAsia="仿宋_GB2312" w:cs="仿宋_GB2312"/>
          <w:color w:val="auto"/>
          <w:sz w:val="32"/>
          <w:szCs w:val="32"/>
          <w:lang w:val="en-US" w:eastAsia="zh-CN"/>
        </w:rPr>
        <w:t>2024年</w:t>
      </w:r>
      <w:r>
        <w:rPr>
          <w:rFonts w:hint="eastAsia" w:ascii="Times New Roman" w:hAnsi="Times New Roman" w:eastAsia="仿宋_GB2312" w:cs="Times New Roman"/>
          <w:color w:val="auto"/>
          <w:sz w:val="32"/>
          <w:szCs w:val="32"/>
          <w:highlight w:val="none"/>
          <w:lang w:val="en-US" w:eastAsia="zh-CN"/>
        </w:rPr>
        <w:t>乐享消费·惠购阜康惠民消费活动方案</w:t>
      </w:r>
      <w:r>
        <w:rPr>
          <w:rFonts w:hint="eastAsia" w:ascii="仿宋_GB2312" w:hAnsi="仿宋_GB2312" w:eastAsia="仿宋_GB2312" w:cs="仿宋_GB2312"/>
          <w:color w:val="auto"/>
          <w:sz w:val="32"/>
          <w:szCs w:val="32"/>
          <w:lang w:eastAsia="zh-CN"/>
        </w:rPr>
        <w:t>》活动规划和政策要求；</w:t>
      </w:r>
    </w:p>
    <w:p w14:paraId="689449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③项目立项与负责</w:t>
      </w:r>
      <w:r>
        <w:rPr>
          <w:rFonts w:hint="eastAsia" w:ascii="仿宋_GB2312" w:hAnsi="仿宋_GB2312" w:eastAsia="仿宋_GB2312" w:cs="仿宋_GB2312"/>
          <w:color w:val="auto"/>
          <w:sz w:val="32"/>
          <w:szCs w:val="32"/>
          <w:highlight w:val="none"/>
          <w:lang w:val="en-US" w:eastAsia="zh-CN"/>
        </w:rPr>
        <w:t>阜康经济发展工作，</w:t>
      </w:r>
      <w:r>
        <w:rPr>
          <w:rStyle w:val="18"/>
          <w:rFonts w:hint="eastAsia" w:ascii="仿宋_GB2312" w:hAnsi="楷体" w:eastAsia="仿宋_GB2312" w:cs="Times New Roman"/>
          <w:b w:val="0"/>
          <w:color w:val="auto"/>
          <w:spacing w:val="-4"/>
          <w:sz w:val="32"/>
          <w:szCs w:val="32"/>
          <w:highlight w:val="none"/>
          <w:lang w:val="zh-TW" w:eastAsia="zh-CN"/>
        </w:rPr>
        <w:t>组织实施重要消费品市场调控和重要生产资料流通管理的责任</w:t>
      </w:r>
      <w:r>
        <w:rPr>
          <w:rFonts w:hint="eastAsia" w:ascii="仿宋_GB2312" w:hAnsi="仿宋_GB2312" w:eastAsia="仿宋_GB2312" w:cs="仿宋_GB2312"/>
          <w:color w:val="auto"/>
          <w:sz w:val="32"/>
          <w:szCs w:val="32"/>
          <w:lang w:eastAsia="zh-CN"/>
        </w:rPr>
        <w:t>相符，属于部门履职所需；</w:t>
      </w:r>
    </w:p>
    <w:p w14:paraId="06C0CE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④项目属于公共财政支持范围，符合中央、地方事权支出责任划分原则；</w:t>
      </w:r>
    </w:p>
    <w:p w14:paraId="49FDC3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67682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7055A90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684DC6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20D270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0AEE1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根据商务和工业信息化局财经领导小组会议领导小组成员集体决策通过市财政本级资金支付惠民消费活动</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款项。</w:t>
      </w:r>
    </w:p>
    <w:p w14:paraId="55BCF3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事前未经过必要的可行性研究、专家论证、风险评估、绩效评估。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扣除1分。。</w:t>
      </w:r>
    </w:p>
    <w:p w14:paraId="76D08C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46BE900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23542"/>
      <w:bookmarkStart w:id="114" w:name="_Toc15382"/>
      <w:r>
        <w:rPr>
          <w:rFonts w:hint="eastAsia" w:ascii="仿宋_GB2312" w:hAnsi="仿宋_GB2312" w:eastAsia="仿宋_GB2312" w:cs="仿宋_GB2312"/>
          <w:b/>
          <w:bCs/>
          <w:color w:val="auto"/>
          <w:sz w:val="32"/>
          <w:szCs w:val="32"/>
          <w:lang w:val="en-US" w:eastAsia="zh-CN"/>
        </w:rPr>
        <w:t>3.绩效目标合理性</w:t>
      </w:r>
      <w:bookmarkEnd w:id="113"/>
      <w:bookmarkEnd w:id="114"/>
    </w:p>
    <w:p w14:paraId="683874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39EF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以投放消费券方式，促进扩大消费。消费者通过云闪付（预计）APP投放、领取消费券，在参加活动的重点商贸流通企业、大个体进行消费，按不同商品、服务类别及每一单消费金额，享受不同消费券抵扣优惠。本次活动共投放消费补贴金额100万元，其中阜康市财政本级投放100万元消费券。</w:t>
      </w:r>
    </w:p>
    <w:p w14:paraId="742163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③该项目按照绩效目标完成数量指标、质量指标、时效指标、成本指标，完成了数量指标、质量指标、时效指标、成本指标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，达到拉动限额以上企业零售额预计增长达到5.8%以上以及消费拉动乘数7.27倍的效益，预期产出效益和效果符合正常的业绩水平。</w:t>
      </w:r>
    </w:p>
    <w:p w14:paraId="096B4D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779C56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7A449FB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8198"/>
      <w:bookmarkStart w:id="116" w:name="_Toc10650"/>
      <w:r>
        <w:rPr>
          <w:rFonts w:hint="eastAsia" w:ascii="仿宋_GB2312" w:hAnsi="仿宋_GB2312" w:eastAsia="仿宋_GB2312" w:cs="仿宋_GB2312"/>
          <w:b/>
          <w:bCs/>
          <w:color w:val="auto"/>
          <w:sz w:val="32"/>
          <w:szCs w:val="32"/>
          <w:lang w:val="en-US" w:eastAsia="zh-CN"/>
        </w:rPr>
        <w:t>4.绩效指标明确性</w:t>
      </w:r>
      <w:bookmarkEnd w:id="115"/>
      <w:bookmarkEnd w:id="116"/>
    </w:p>
    <w:p w14:paraId="6DF2E8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4D2F6D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量化率达到100%</w:t>
      </w:r>
      <w:r>
        <w:rPr>
          <w:rFonts w:hint="eastAsia" w:ascii="仿宋_GB2312" w:hAnsi="仿宋_GB2312" w:eastAsia="仿宋_GB2312" w:cs="仿宋_GB2312"/>
          <w:color w:val="auto"/>
          <w:sz w:val="32"/>
          <w:szCs w:val="32"/>
          <w:lang w:eastAsia="zh-CN"/>
        </w:rPr>
        <w:t>；</w:t>
      </w:r>
    </w:p>
    <w:p w14:paraId="241F8D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541335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370313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8C1DC7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19401"/>
      <w:bookmarkStart w:id="118" w:name="_Toc8296"/>
      <w:r>
        <w:rPr>
          <w:rFonts w:hint="eastAsia" w:ascii="仿宋_GB2312" w:hAnsi="仿宋_GB2312" w:eastAsia="仿宋_GB2312" w:cs="仿宋_GB2312"/>
          <w:b/>
          <w:bCs/>
          <w:color w:val="auto"/>
          <w:sz w:val="32"/>
          <w:szCs w:val="32"/>
          <w:lang w:val="en-US" w:eastAsia="zh-CN"/>
        </w:rPr>
        <w:t>5.预算编制科学性</w:t>
      </w:r>
      <w:bookmarkEnd w:id="117"/>
      <w:bookmarkEnd w:id="118"/>
    </w:p>
    <w:p w14:paraId="0EAFCC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75AB86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以投放消费券方式投放100万元（阜财经办字[2024]123号），促进扩大消费。按1：5向重点零售企业发放消费券，促进消费，计划30万元消费券用于促家电消费活动，30万元消费券用于促进餐饮消费活动，40万元消费券用于商场超市、加油站等零售百货促消费活动，预算申请与项目内容匹配；</w:t>
      </w:r>
    </w:p>
    <w:p w14:paraId="14EB02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100万</w:t>
      </w:r>
      <w:r>
        <w:rPr>
          <w:rFonts w:hint="eastAsia" w:ascii="仿宋_GB2312" w:hAnsi="仿宋_GB2312" w:eastAsia="仿宋_GB2312" w:cs="仿宋_GB2312"/>
          <w:color w:val="auto"/>
          <w:sz w:val="32"/>
          <w:szCs w:val="32"/>
          <w:lang w:eastAsia="zh-CN"/>
        </w:rPr>
        <w:t>元，我单位在预算申请中严格按照项目实施内容及测算标准进行核算，其中：以投放消费券方式投放100万元（阜财经办字[2024]123号），促进扩大消费。按1：5向重点零售企业发放消费券，促进消费，计划30万元消费券用于促家电消费活动，30万元消费券用于促进餐饮消费活动，40万元消费券用于商场超市、加油站等零售百货促消费活动。。</w:t>
      </w:r>
    </w:p>
    <w:p w14:paraId="5FBF74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5A3814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E061E9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20556"/>
      <w:bookmarkStart w:id="120" w:name="_Toc697"/>
      <w:r>
        <w:rPr>
          <w:rFonts w:hint="eastAsia" w:ascii="仿宋_GB2312" w:hAnsi="仿宋_GB2312" w:eastAsia="仿宋_GB2312" w:cs="仿宋_GB2312"/>
          <w:b/>
          <w:bCs/>
          <w:color w:val="auto"/>
          <w:sz w:val="32"/>
          <w:szCs w:val="32"/>
          <w:lang w:val="en-US" w:eastAsia="zh-CN"/>
        </w:rPr>
        <w:t>6.资金分配合理性</w:t>
      </w:r>
      <w:bookmarkEnd w:id="119"/>
      <w:bookmarkEnd w:id="120"/>
    </w:p>
    <w:p w14:paraId="33A3366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申请阜康市“乐享消费·惠购阜康”惠民消费活动经费项目资金的请示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1AD9605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179FF303">
      <w:pPr>
        <w:pageBreakBefore w:val="0"/>
        <w:kinsoku/>
        <w:wordWrap/>
        <w:overflowPunct/>
        <w:topLinePunct w:val="0"/>
        <w:autoSpaceDE/>
        <w:autoSpaceDN/>
        <w:bidi w:val="0"/>
        <w:spacing w:line="560" w:lineRule="exact"/>
        <w:textAlignment w:val="auto"/>
        <w:rPr>
          <w:rFonts w:hint="eastAsia"/>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0363B859">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szCs w:val="32"/>
        </w:rPr>
      </w:pPr>
      <w:bookmarkStart w:id="121" w:name="_Toc10564"/>
      <w:r>
        <w:rPr>
          <w:rFonts w:hint="eastAsia" w:ascii="Times New Roman" w:hAnsi="Times New Roman" w:eastAsia="楷体" w:cs="Times New Roman"/>
          <w:color w:val="auto"/>
          <w:kern w:val="28"/>
          <w:sz w:val="32"/>
          <w:szCs w:val="32"/>
          <w:lang w:eastAsia="zh-CN"/>
        </w:rPr>
        <w:t>（</w:t>
      </w:r>
      <w:r>
        <w:rPr>
          <w:rFonts w:hint="eastAsia" w:ascii="Times New Roman" w:hAnsi="Times New Roman" w:eastAsia="楷体" w:cs="Times New Roman"/>
          <w:color w:val="auto"/>
          <w:kern w:val="28"/>
          <w:sz w:val="32"/>
          <w:szCs w:val="32"/>
          <w:lang w:val="en-US" w:eastAsia="zh-CN"/>
        </w:rPr>
        <w:t>二</w:t>
      </w:r>
      <w:r>
        <w:rPr>
          <w:rFonts w:hint="eastAsia" w:ascii="Times New Roman" w:hAnsi="Times New Roman" w:eastAsia="楷体" w:cs="Times New Roman"/>
          <w:color w:val="auto"/>
          <w:kern w:val="28"/>
          <w:sz w:val="32"/>
          <w:szCs w:val="32"/>
          <w:lang w:eastAsia="zh-CN"/>
        </w:rPr>
        <w:t>）</w:t>
      </w:r>
      <w:r>
        <w:rPr>
          <w:rFonts w:hint="eastAsia" w:ascii="Times New Roman" w:hAnsi="Times New Roman" w:eastAsia="楷体" w:cs="Times New Roman"/>
          <w:color w:val="auto"/>
          <w:kern w:val="28"/>
          <w:sz w:val="32"/>
          <w:szCs w:val="32"/>
        </w:rPr>
        <w:t>项目过程情况</w:t>
      </w:r>
      <w:bookmarkEnd w:id="121"/>
    </w:p>
    <w:p w14:paraId="5A1A0CC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36A44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51E98B8">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AA4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EE1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AF4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5C6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89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F90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1D1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3AA9249">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C63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CADB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537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0DCA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C8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886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29C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1D6556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147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47D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E20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09C2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734B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FA9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E57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007D9D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813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20D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E87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79AF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E91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0B0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227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7ED34D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107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D209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293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880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0E48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848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E40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F82AB0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663B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EF3B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6AF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AA0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B0B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1E2D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FCC8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21F8AD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EB7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060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B8E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4ED9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D3B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B36C27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3886"/>
      <w:bookmarkStart w:id="123" w:name="_Toc20449"/>
      <w:r>
        <w:rPr>
          <w:rFonts w:hint="eastAsia" w:ascii="仿宋_GB2312" w:hAnsi="仿宋_GB2312" w:eastAsia="仿宋_GB2312" w:cs="仿宋_GB2312"/>
          <w:b/>
          <w:bCs/>
          <w:color w:val="auto"/>
          <w:sz w:val="32"/>
          <w:szCs w:val="32"/>
          <w:lang w:val="en-US" w:eastAsia="zh-CN"/>
        </w:rPr>
        <w:t>1.资金到位率</w:t>
      </w:r>
      <w:bookmarkEnd w:id="122"/>
      <w:bookmarkEnd w:id="123"/>
    </w:p>
    <w:p w14:paraId="079E2D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338D18E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4B9A05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54980A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3258209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color w:val="auto"/>
          <w:sz w:val="32"/>
          <w:szCs w:val="32"/>
          <w:lang w:val="en-US" w:eastAsia="zh-CN"/>
        </w:rPr>
        <w:t>万元。</w:t>
      </w:r>
    </w:p>
    <w:p w14:paraId="417FED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color w:val="auto"/>
          <w:sz w:val="32"/>
          <w:szCs w:val="32"/>
          <w:lang w:eastAsia="zh-CN"/>
        </w:rPr>
        <w:t>）×10</w:t>
      </w:r>
      <w:r>
        <w:rPr>
          <w:rFonts w:hint="eastAsia" w:ascii="仿宋_GB2312" w:hAnsi="仿宋_GB2312" w:eastAsia="仿宋_GB2312" w:cs="仿宋_GB2312"/>
          <w:b w:val="0"/>
          <w:bCs w:val="0"/>
          <w:color w:val="auto"/>
          <w:sz w:val="32"/>
          <w:szCs w:val="32"/>
          <w:lang w:eastAsia="zh-CN"/>
        </w:rPr>
        <w:t>0%</w:t>
      </w:r>
      <w:r>
        <w:rPr>
          <w:rFonts w:hint="eastAsia" w:ascii="仿宋_GB2312" w:hAnsi="仿宋_GB2312" w:eastAsia="仿宋_GB2312" w:cs="仿宋_GB2312"/>
          <w:b w:val="0"/>
          <w:bCs w:val="0"/>
          <w:color w:val="auto"/>
          <w:sz w:val="32"/>
          <w:szCs w:val="32"/>
          <w:lang w:val="en-US" w:eastAsia="zh-CN"/>
        </w:rPr>
        <w:t>=100%</w:t>
      </w:r>
    </w:p>
    <w:p w14:paraId="282D55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26EE78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28875"/>
      <w:bookmarkStart w:id="127" w:name="_Toc18691"/>
      <w:r>
        <w:rPr>
          <w:rFonts w:hint="eastAsia" w:ascii="仿宋_GB2312" w:hAnsi="仿宋_GB2312" w:eastAsia="仿宋_GB2312" w:cs="仿宋_GB2312"/>
          <w:b/>
          <w:bCs/>
          <w:color w:val="auto"/>
          <w:sz w:val="32"/>
          <w:szCs w:val="32"/>
          <w:lang w:val="en-US" w:eastAsia="zh-CN"/>
        </w:rPr>
        <w:t>3.资金使用合规性</w:t>
      </w:r>
      <w:bookmarkEnd w:id="126"/>
      <w:bookmarkEnd w:id="127"/>
    </w:p>
    <w:p w14:paraId="44E0D9E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①本项目资金支出符合国家财经法规、《政府会计制度》《阜康市商务和工业信息化局单位资金管理办法》《阜康市商务和工业信息化局专项资金管理办法》；</w:t>
      </w:r>
    </w:p>
    <w:p w14:paraId="1DDC73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05350A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4BD3FE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486A4B7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9BBB4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D5861AD">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031D98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我单位已制定《阜康市商务和工业信息化局资金管理办法》《阜康市商务和工业信息化局收支业务管理制度》《阜康市商务和工业信息化局政府采购业务管理制度》《阜康市商务和工业信息化局合同管理制度》，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CFA950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20353E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E72AAC2">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31684"/>
      <w:bookmarkStart w:id="129" w:name="_Toc139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0B4A41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7E3E3D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41BD6D46">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087CD6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阜康市“乐享消费·惠购阜康”惠民消费活动经费项目工作领导小组，由张舒超任组长，负责项目的组织工作；组员</w:t>
      </w:r>
      <w:r>
        <w:rPr>
          <w:rFonts w:hint="eastAsia" w:ascii="仿宋_GB2312" w:hAnsi="仿宋_GB2312" w:eastAsia="仿宋_GB2312" w:cs="仿宋_GB2312"/>
          <w:color w:val="auto"/>
          <w:sz w:val="32"/>
          <w:szCs w:val="32"/>
          <w:highlight w:val="none"/>
          <w:shd w:val="clear" w:color="auto" w:fill="auto"/>
          <w:lang w:val="en-US" w:eastAsia="zh-CN"/>
        </w:rPr>
        <w:t>张新辉负责配合组长开展工作，协调各部门配合活动开展。李胜平负责制定实施方案，联系支付平台合作商和配合此项活动的相关部门，，协调人员配合开展工作。贾峻晖负责联系活动涉及的商铺。杨燕负责审计资金使用情况，丁红丽负责监督活动过程、资金使用情况。</w:t>
      </w:r>
    </w:p>
    <w:p w14:paraId="1D72E0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69F6BC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6A0CC48C">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C8CC6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261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50" w:hRule="atLeast"/>
        </w:trPr>
        <w:tc>
          <w:tcPr>
            <w:tcW w:w="634" w:type="dxa"/>
            <w:shd w:val="clear" w:color="auto" w:fill="auto"/>
            <w:tcMar>
              <w:top w:w="15" w:type="dxa"/>
              <w:left w:w="15" w:type="dxa"/>
              <w:right w:w="15" w:type="dxa"/>
            </w:tcMar>
            <w:vAlign w:val="center"/>
          </w:tcPr>
          <w:p w14:paraId="600A5A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shd w:val="clear" w:color="auto" w:fill="auto"/>
            <w:tcMar>
              <w:top w:w="15" w:type="dxa"/>
              <w:left w:w="15" w:type="dxa"/>
              <w:right w:w="15" w:type="dxa"/>
            </w:tcMar>
            <w:vAlign w:val="center"/>
          </w:tcPr>
          <w:p w14:paraId="7E4B3E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shd w:val="clear" w:color="auto" w:fill="auto"/>
            <w:tcMar>
              <w:top w:w="15" w:type="dxa"/>
              <w:left w:w="15" w:type="dxa"/>
              <w:right w:w="15" w:type="dxa"/>
            </w:tcMar>
            <w:vAlign w:val="center"/>
          </w:tcPr>
          <w:p w14:paraId="3A1DFC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shd w:val="clear" w:color="auto" w:fill="auto"/>
            <w:tcMar>
              <w:top w:w="15" w:type="dxa"/>
              <w:left w:w="15" w:type="dxa"/>
              <w:right w:w="15" w:type="dxa"/>
            </w:tcMar>
            <w:vAlign w:val="center"/>
          </w:tcPr>
          <w:p w14:paraId="1CBED6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shd w:val="clear" w:color="auto" w:fill="auto"/>
            <w:tcMar>
              <w:top w:w="15" w:type="dxa"/>
              <w:left w:w="15" w:type="dxa"/>
              <w:right w:w="15" w:type="dxa"/>
            </w:tcMar>
            <w:vAlign w:val="center"/>
          </w:tcPr>
          <w:p w14:paraId="32426D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shd w:val="clear" w:color="auto" w:fill="auto"/>
            <w:tcMar>
              <w:top w:w="15" w:type="dxa"/>
              <w:left w:w="15" w:type="dxa"/>
              <w:right w:w="15" w:type="dxa"/>
            </w:tcMar>
            <w:vAlign w:val="center"/>
          </w:tcPr>
          <w:p w14:paraId="1B0F2F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shd w:val="clear" w:color="auto" w:fill="auto"/>
            <w:tcMar>
              <w:top w:w="15" w:type="dxa"/>
              <w:left w:w="15" w:type="dxa"/>
              <w:right w:w="15" w:type="dxa"/>
            </w:tcMar>
            <w:vAlign w:val="center"/>
          </w:tcPr>
          <w:p w14:paraId="279D0A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063F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15" w:hRule="atLeast"/>
        </w:trPr>
        <w:tc>
          <w:tcPr>
            <w:tcW w:w="634" w:type="dxa"/>
            <w:vMerge w:val="restart"/>
            <w:shd w:val="clear" w:color="auto" w:fill="auto"/>
            <w:tcMar>
              <w:top w:w="15" w:type="dxa"/>
              <w:left w:w="15" w:type="dxa"/>
              <w:right w:w="15" w:type="dxa"/>
            </w:tcMar>
            <w:vAlign w:val="center"/>
          </w:tcPr>
          <w:p w14:paraId="3A72C1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shd w:val="clear" w:color="auto" w:fill="auto"/>
            <w:tcMar>
              <w:top w:w="15" w:type="dxa"/>
              <w:left w:w="15" w:type="dxa"/>
              <w:right w:w="15" w:type="dxa"/>
            </w:tcMar>
            <w:vAlign w:val="center"/>
          </w:tcPr>
          <w:p w14:paraId="4370D8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shd w:val="clear" w:color="auto" w:fill="auto"/>
            <w:tcMar>
              <w:top w:w="15" w:type="dxa"/>
              <w:left w:w="15" w:type="dxa"/>
              <w:right w:w="15" w:type="dxa"/>
            </w:tcMar>
            <w:vAlign w:val="center"/>
          </w:tcPr>
          <w:p w14:paraId="2836AC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消费券种类</w:t>
            </w:r>
          </w:p>
        </w:tc>
        <w:tc>
          <w:tcPr>
            <w:tcW w:w="1437" w:type="dxa"/>
            <w:shd w:val="clear" w:color="auto" w:fill="auto"/>
            <w:tcMar>
              <w:top w:w="15" w:type="dxa"/>
              <w:left w:w="15" w:type="dxa"/>
              <w:right w:w="15" w:type="dxa"/>
            </w:tcMar>
            <w:vAlign w:val="center"/>
          </w:tcPr>
          <w:p w14:paraId="70F39B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≥3种</w:t>
            </w:r>
          </w:p>
        </w:tc>
        <w:tc>
          <w:tcPr>
            <w:tcW w:w="558" w:type="dxa"/>
            <w:shd w:val="clear" w:color="auto" w:fill="auto"/>
            <w:tcMar>
              <w:top w:w="15" w:type="dxa"/>
              <w:left w:w="15" w:type="dxa"/>
              <w:right w:w="15" w:type="dxa"/>
            </w:tcMar>
            <w:vAlign w:val="center"/>
          </w:tcPr>
          <w:p w14:paraId="422BEA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shd w:val="clear" w:color="auto" w:fill="auto"/>
            <w:tcMar>
              <w:top w:w="15" w:type="dxa"/>
              <w:left w:w="15" w:type="dxa"/>
              <w:right w:w="15" w:type="dxa"/>
            </w:tcMar>
            <w:vAlign w:val="center"/>
          </w:tcPr>
          <w:p w14:paraId="3117CB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3种</w:t>
            </w:r>
          </w:p>
        </w:tc>
        <w:tc>
          <w:tcPr>
            <w:tcW w:w="631" w:type="dxa"/>
            <w:shd w:val="clear" w:color="auto" w:fill="auto"/>
            <w:tcMar>
              <w:top w:w="15" w:type="dxa"/>
              <w:left w:w="15" w:type="dxa"/>
              <w:right w:w="15" w:type="dxa"/>
            </w:tcMar>
            <w:vAlign w:val="center"/>
          </w:tcPr>
          <w:p w14:paraId="63795A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DCE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15" w:hRule="atLeast"/>
        </w:trPr>
        <w:tc>
          <w:tcPr>
            <w:tcW w:w="634" w:type="dxa"/>
            <w:vMerge w:val="continue"/>
            <w:shd w:val="clear" w:color="auto" w:fill="auto"/>
            <w:tcMar>
              <w:top w:w="15" w:type="dxa"/>
              <w:left w:w="15" w:type="dxa"/>
              <w:right w:w="15" w:type="dxa"/>
            </w:tcMar>
            <w:vAlign w:val="center"/>
          </w:tcPr>
          <w:p w14:paraId="5C8EE9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shd w:val="clear" w:color="auto" w:fill="auto"/>
            <w:tcMar>
              <w:top w:w="15" w:type="dxa"/>
              <w:left w:w="15" w:type="dxa"/>
              <w:right w:w="15" w:type="dxa"/>
            </w:tcMar>
            <w:vAlign w:val="center"/>
          </w:tcPr>
          <w:p w14:paraId="69C0D0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shd w:val="clear" w:color="auto" w:fill="auto"/>
            <w:tcMar>
              <w:top w:w="15" w:type="dxa"/>
              <w:left w:w="15" w:type="dxa"/>
              <w:right w:w="15" w:type="dxa"/>
            </w:tcMar>
            <w:vAlign w:val="center"/>
          </w:tcPr>
          <w:p w14:paraId="72872A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覆盖商户数量</w:t>
            </w:r>
          </w:p>
        </w:tc>
        <w:tc>
          <w:tcPr>
            <w:tcW w:w="1437" w:type="dxa"/>
            <w:shd w:val="clear" w:color="auto" w:fill="auto"/>
            <w:tcMar>
              <w:top w:w="15" w:type="dxa"/>
              <w:left w:w="15" w:type="dxa"/>
              <w:right w:w="15" w:type="dxa"/>
            </w:tcMar>
            <w:vAlign w:val="center"/>
          </w:tcPr>
          <w:p w14:paraId="4F84D8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≥26家</w:t>
            </w:r>
          </w:p>
        </w:tc>
        <w:tc>
          <w:tcPr>
            <w:tcW w:w="558" w:type="dxa"/>
            <w:shd w:val="clear" w:color="auto" w:fill="auto"/>
            <w:tcMar>
              <w:top w:w="15" w:type="dxa"/>
              <w:left w:w="15" w:type="dxa"/>
              <w:right w:w="15" w:type="dxa"/>
            </w:tcMar>
            <w:vAlign w:val="center"/>
          </w:tcPr>
          <w:p w14:paraId="05A4F9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shd w:val="clear" w:color="auto" w:fill="auto"/>
            <w:tcMar>
              <w:top w:w="15" w:type="dxa"/>
              <w:left w:w="15" w:type="dxa"/>
              <w:right w:w="15" w:type="dxa"/>
            </w:tcMar>
            <w:vAlign w:val="center"/>
          </w:tcPr>
          <w:p w14:paraId="454D25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26家</w:t>
            </w:r>
          </w:p>
        </w:tc>
        <w:tc>
          <w:tcPr>
            <w:tcW w:w="631" w:type="dxa"/>
            <w:shd w:val="clear" w:color="auto" w:fill="auto"/>
            <w:tcMar>
              <w:top w:w="15" w:type="dxa"/>
              <w:left w:w="15" w:type="dxa"/>
              <w:right w:w="15" w:type="dxa"/>
            </w:tcMar>
            <w:vAlign w:val="center"/>
          </w:tcPr>
          <w:p w14:paraId="3C272D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3962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90" w:hRule="atLeast"/>
        </w:trPr>
        <w:tc>
          <w:tcPr>
            <w:tcW w:w="634" w:type="dxa"/>
            <w:vMerge w:val="continue"/>
            <w:shd w:val="clear" w:color="auto" w:fill="auto"/>
            <w:tcMar>
              <w:top w:w="15" w:type="dxa"/>
              <w:left w:w="15" w:type="dxa"/>
              <w:right w:w="15" w:type="dxa"/>
            </w:tcMar>
            <w:vAlign w:val="center"/>
          </w:tcPr>
          <w:p w14:paraId="39A405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shd w:val="clear" w:color="auto" w:fill="auto"/>
            <w:tcMar>
              <w:top w:w="15" w:type="dxa"/>
              <w:left w:w="15" w:type="dxa"/>
              <w:right w:w="15" w:type="dxa"/>
            </w:tcMar>
            <w:vAlign w:val="center"/>
          </w:tcPr>
          <w:p w14:paraId="15DCD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shd w:val="clear" w:color="auto" w:fill="auto"/>
            <w:tcMar>
              <w:top w:w="15" w:type="dxa"/>
              <w:left w:w="15" w:type="dxa"/>
              <w:right w:w="15" w:type="dxa"/>
            </w:tcMar>
            <w:vAlign w:val="center"/>
          </w:tcPr>
          <w:p w14:paraId="380F75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核销审核合规率</w:t>
            </w:r>
          </w:p>
        </w:tc>
        <w:tc>
          <w:tcPr>
            <w:tcW w:w="1437" w:type="dxa"/>
            <w:shd w:val="clear" w:color="auto" w:fill="auto"/>
            <w:tcMar>
              <w:top w:w="15" w:type="dxa"/>
              <w:left w:w="15" w:type="dxa"/>
              <w:right w:w="15" w:type="dxa"/>
            </w:tcMar>
            <w:vAlign w:val="center"/>
          </w:tcPr>
          <w:p w14:paraId="58DFF2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shd w:val="clear" w:color="auto" w:fill="auto"/>
            <w:tcMar>
              <w:top w:w="15" w:type="dxa"/>
              <w:left w:w="15" w:type="dxa"/>
              <w:right w:w="15" w:type="dxa"/>
            </w:tcMar>
            <w:vAlign w:val="center"/>
          </w:tcPr>
          <w:p w14:paraId="0724A8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shd w:val="clear" w:color="auto" w:fill="auto"/>
            <w:tcMar>
              <w:top w:w="15" w:type="dxa"/>
              <w:left w:w="15" w:type="dxa"/>
              <w:right w:w="15" w:type="dxa"/>
            </w:tcMar>
            <w:vAlign w:val="center"/>
          </w:tcPr>
          <w:p w14:paraId="60EB4F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shd w:val="clear" w:color="auto" w:fill="auto"/>
            <w:tcMar>
              <w:top w:w="15" w:type="dxa"/>
              <w:left w:w="15" w:type="dxa"/>
              <w:right w:w="15" w:type="dxa"/>
            </w:tcMar>
            <w:vAlign w:val="center"/>
          </w:tcPr>
          <w:p w14:paraId="08C5CA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3514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10" w:hRule="atLeast"/>
        </w:trPr>
        <w:tc>
          <w:tcPr>
            <w:tcW w:w="634" w:type="dxa"/>
            <w:vMerge w:val="continue"/>
            <w:shd w:val="clear" w:color="auto" w:fill="auto"/>
            <w:tcMar>
              <w:top w:w="15" w:type="dxa"/>
              <w:left w:w="15" w:type="dxa"/>
              <w:right w:w="15" w:type="dxa"/>
            </w:tcMar>
            <w:vAlign w:val="center"/>
          </w:tcPr>
          <w:p w14:paraId="6569F6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shd w:val="clear" w:color="auto" w:fill="auto"/>
            <w:tcMar>
              <w:top w:w="15" w:type="dxa"/>
              <w:left w:w="15" w:type="dxa"/>
              <w:right w:w="15" w:type="dxa"/>
            </w:tcMar>
            <w:vAlign w:val="center"/>
          </w:tcPr>
          <w:p w14:paraId="50922E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shd w:val="clear" w:color="auto" w:fill="auto"/>
            <w:tcMar>
              <w:top w:w="15" w:type="dxa"/>
              <w:left w:w="15" w:type="dxa"/>
              <w:right w:w="15" w:type="dxa"/>
            </w:tcMar>
            <w:vAlign w:val="center"/>
          </w:tcPr>
          <w:p w14:paraId="763CB8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消费券发放及时性</w:t>
            </w:r>
          </w:p>
        </w:tc>
        <w:tc>
          <w:tcPr>
            <w:tcW w:w="1437" w:type="dxa"/>
            <w:shd w:val="clear" w:color="auto" w:fill="auto"/>
            <w:tcMar>
              <w:top w:w="15" w:type="dxa"/>
              <w:left w:w="15" w:type="dxa"/>
              <w:right w:w="15" w:type="dxa"/>
            </w:tcMar>
            <w:vAlign w:val="center"/>
          </w:tcPr>
          <w:p w14:paraId="672011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shd w:val="clear" w:color="auto" w:fill="auto"/>
            <w:tcMar>
              <w:top w:w="15" w:type="dxa"/>
              <w:left w:w="15" w:type="dxa"/>
              <w:right w:w="15" w:type="dxa"/>
            </w:tcMar>
            <w:vAlign w:val="center"/>
          </w:tcPr>
          <w:p w14:paraId="186F81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shd w:val="clear" w:color="auto" w:fill="auto"/>
            <w:tcMar>
              <w:top w:w="15" w:type="dxa"/>
              <w:left w:w="15" w:type="dxa"/>
              <w:right w:w="15" w:type="dxa"/>
            </w:tcMar>
            <w:vAlign w:val="center"/>
          </w:tcPr>
          <w:p w14:paraId="5AAACE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5秒</w:t>
            </w:r>
          </w:p>
        </w:tc>
        <w:tc>
          <w:tcPr>
            <w:tcW w:w="631" w:type="dxa"/>
            <w:shd w:val="clear" w:color="auto" w:fill="auto"/>
            <w:tcMar>
              <w:top w:w="15" w:type="dxa"/>
              <w:left w:w="15" w:type="dxa"/>
              <w:right w:w="15" w:type="dxa"/>
            </w:tcMar>
            <w:vAlign w:val="center"/>
          </w:tcPr>
          <w:p w14:paraId="3EBB5C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CC7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trPr>
        <w:tc>
          <w:tcPr>
            <w:tcW w:w="634" w:type="dxa"/>
            <w:vMerge w:val="continue"/>
            <w:shd w:val="clear" w:color="auto" w:fill="auto"/>
            <w:tcMar>
              <w:top w:w="15" w:type="dxa"/>
              <w:left w:w="15" w:type="dxa"/>
              <w:right w:w="15" w:type="dxa"/>
            </w:tcMar>
            <w:vAlign w:val="center"/>
          </w:tcPr>
          <w:p w14:paraId="47C28D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shd w:val="clear" w:color="auto" w:fill="auto"/>
            <w:tcMar>
              <w:top w:w="15" w:type="dxa"/>
              <w:left w:w="15" w:type="dxa"/>
              <w:right w:w="15" w:type="dxa"/>
            </w:tcMar>
            <w:vAlign w:val="center"/>
          </w:tcPr>
          <w:p w14:paraId="5DC154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shd w:val="clear" w:color="auto" w:fill="auto"/>
            <w:tcMar>
              <w:top w:w="15" w:type="dxa"/>
              <w:left w:w="15" w:type="dxa"/>
              <w:right w:w="15" w:type="dxa"/>
            </w:tcMar>
            <w:vAlign w:val="center"/>
          </w:tcPr>
          <w:p w14:paraId="4908E2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消费券发放总量</w:t>
            </w:r>
          </w:p>
        </w:tc>
        <w:tc>
          <w:tcPr>
            <w:tcW w:w="1437" w:type="dxa"/>
            <w:shd w:val="clear" w:color="auto" w:fill="auto"/>
            <w:tcMar>
              <w:top w:w="15" w:type="dxa"/>
              <w:left w:w="15" w:type="dxa"/>
              <w:right w:w="15" w:type="dxa"/>
            </w:tcMar>
            <w:vAlign w:val="center"/>
          </w:tcPr>
          <w:p w14:paraId="624BF6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≤100万元</w:t>
            </w:r>
          </w:p>
        </w:tc>
        <w:tc>
          <w:tcPr>
            <w:tcW w:w="558" w:type="dxa"/>
            <w:shd w:val="clear" w:color="auto" w:fill="auto"/>
            <w:tcMar>
              <w:top w:w="15" w:type="dxa"/>
              <w:left w:w="15" w:type="dxa"/>
              <w:right w:w="15" w:type="dxa"/>
            </w:tcMar>
            <w:vAlign w:val="center"/>
          </w:tcPr>
          <w:p w14:paraId="4EE2F4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shd w:val="clear" w:color="auto" w:fill="auto"/>
            <w:tcMar>
              <w:top w:w="15" w:type="dxa"/>
              <w:left w:w="15" w:type="dxa"/>
              <w:right w:w="15" w:type="dxa"/>
            </w:tcMar>
            <w:vAlign w:val="center"/>
          </w:tcPr>
          <w:p w14:paraId="5026E737">
            <w:pPr>
              <w:keepNext w:val="0"/>
              <w:keepLines w:val="0"/>
              <w:pageBreakBefore w:val="0"/>
              <w:kinsoku/>
              <w:wordWrap/>
              <w:overflowPunct/>
              <w:topLinePunct w:val="0"/>
              <w:autoSpaceDE/>
              <w:autoSpaceDN/>
              <w:bidi w:val="0"/>
              <w:adjustRightInd/>
              <w:spacing w:line="300" w:lineRule="exact"/>
              <w:ind w:left="0" w:leftChars="0" w:firstLine="0" w:firstLineChars="0"/>
              <w:jc w:val="center"/>
              <w:textAlignment w:val="auto"/>
              <w:rPr>
                <w:color w:val="auto"/>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万元</w:t>
            </w:r>
          </w:p>
        </w:tc>
        <w:tc>
          <w:tcPr>
            <w:tcW w:w="631" w:type="dxa"/>
            <w:shd w:val="clear" w:color="auto" w:fill="auto"/>
            <w:tcMar>
              <w:top w:w="15" w:type="dxa"/>
              <w:left w:w="15" w:type="dxa"/>
              <w:right w:w="15" w:type="dxa"/>
            </w:tcMar>
            <w:vAlign w:val="center"/>
          </w:tcPr>
          <w:p w14:paraId="734DB5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1CA6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3" w:hRule="atLeast"/>
        </w:trPr>
        <w:tc>
          <w:tcPr>
            <w:tcW w:w="5643" w:type="dxa"/>
            <w:gridSpan w:val="4"/>
            <w:shd w:val="clear" w:color="auto" w:fill="auto"/>
            <w:tcMar>
              <w:top w:w="15" w:type="dxa"/>
              <w:left w:w="15" w:type="dxa"/>
              <w:right w:w="15" w:type="dxa"/>
            </w:tcMar>
            <w:vAlign w:val="center"/>
          </w:tcPr>
          <w:p w14:paraId="50E275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shd w:val="clear" w:color="auto" w:fill="auto"/>
            <w:tcMar>
              <w:top w:w="15" w:type="dxa"/>
              <w:left w:w="15" w:type="dxa"/>
              <w:right w:w="15" w:type="dxa"/>
            </w:tcMar>
            <w:vAlign w:val="center"/>
          </w:tcPr>
          <w:p w14:paraId="18435D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shd w:val="clear" w:color="auto" w:fill="auto"/>
            <w:tcMar>
              <w:top w:w="15" w:type="dxa"/>
              <w:left w:w="15" w:type="dxa"/>
              <w:right w:w="15" w:type="dxa"/>
            </w:tcMar>
            <w:vAlign w:val="center"/>
          </w:tcPr>
          <w:p w14:paraId="27156C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shd w:val="clear" w:color="auto" w:fill="auto"/>
            <w:tcMar>
              <w:top w:w="15" w:type="dxa"/>
              <w:left w:w="15" w:type="dxa"/>
              <w:right w:w="15" w:type="dxa"/>
            </w:tcMar>
            <w:vAlign w:val="center"/>
          </w:tcPr>
          <w:p w14:paraId="13127A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7D8E08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31" w:name="_Toc26689"/>
      <w:bookmarkStart w:id="132" w:name="_Toc11067"/>
      <w:r>
        <w:rPr>
          <w:rFonts w:hint="eastAsia" w:ascii="仿宋_GB2312" w:hAnsi="仿宋_GB2312" w:eastAsia="仿宋_GB2312" w:cs="仿宋_GB2312"/>
          <w:b/>
          <w:bCs/>
          <w:color w:val="auto"/>
          <w:sz w:val="32"/>
          <w:szCs w:val="32"/>
          <w:lang w:val="en-US" w:eastAsia="zh-CN"/>
        </w:rPr>
        <w:t>1.数量指标完成情况</w:t>
      </w:r>
      <w:bookmarkEnd w:id="131"/>
      <w:bookmarkEnd w:id="132"/>
    </w:p>
    <w:p w14:paraId="5F7082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“消费券种类”指标，预期目标值为≥3种，实际完成为3种。实际完成率=（3种/3种）×100%=100%。</w:t>
      </w:r>
    </w:p>
    <w:p w14:paraId="4AB00D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（2）“覆盖商户数量”指标，预期目标值为≥26家，实际完成为26家。实际完成率=（26家/26家）×100%=100%。</w:t>
      </w:r>
    </w:p>
    <w:p w14:paraId="7A5206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综上，该项指标满分16分，得分16分。</w:t>
      </w:r>
    </w:p>
    <w:p w14:paraId="6C87722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bookmarkStart w:id="133" w:name="_Toc31739"/>
      <w:bookmarkStart w:id="134" w:name="_Toc14255"/>
      <w:r>
        <w:rPr>
          <w:rFonts w:hint="eastAsia" w:ascii="仿宋_GB2312" w:hAnsi="仿宋_GB2312" w:eastAsia="仿宋_GB2312" w:cs="仿宋_GB2312"/>
          <w:color w:val="auto"/>
          <w:sz w:val="32"/>
          <w:szCs w:val="32"/>
          <w:lang w:val="en-US" w:eastAsia="zh-CN"/>
        </w:rPr>
        <w:t>2.</w:t>
      </w:r>
      <w:bookmarkEnd w:id="133"/>
      <w:r>
        <w:rPr>
          <w:rFonts w:hint="eastAsia" w:ascii="仿宋_GB2312" w:hAnsi="仿宋_GB2312" w:eastAsia="仿宋_GB2312" w:cs="仿宋_GB2312"/>
          <w:color w:val="auto"/>
          <w:sz w:val="32"/>
          <w:szCs w:val="32"/>
          <w:lang w:val="en-US" w:eastAsia="zh-CN"/>
        </w:rPr>
        <w:t>质量指标完成情况</w:t>
      </w:r>
      <w:bookmarkEnd w:id="134"/>
    </w:p>
    <w:p w14:paraId="1E85E4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（1）“核销审核合规率”指标，预期目标值为100%，实际完成为100%。实际完成率100%。</w:t>
      </w:r>
    </w:p>
    <w:p w14:paraId="591681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p>
    <w:p w14:paraId="4A6F8C6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bookmarkStart w:id="135" w:name="_Toc18307"/>
      <w:bookmarkStart w:id="136" w:name="_Toc28885"/>
      <w:r>
        <w:rPr>
          <w:rFonts w:hint="eastAsia" w:ascii="仿宋_GB2312" w:hAnsi="仿宋_GB2312" w:eastAsia="仿宋_GB2312" w:cs="仿宋_GB2312"/>
          <w:color w:val="auto"/>
          <w:sz w:val="32"/>
          <w:szCs w:val="32"/>
          <w:lang w:val="en-US" w:eastAsia="zh-CN"/>
        </w:rPr>
        <w:t>3.</w:t>
      </w:r>
      <w:bookmarkEnd w:id="135"/>
      <w:r>
        <w:rPr>
          <w:rFonts w:hint="eastAsia" w:ascii="仿宋_GB2312" w:hAnsi="仿宋_GB2312" w:eastAsia="仿宋_GB2312" w:cs="仿宋_GB2312"/>
          <w:color w:val="auto"/>
          <w:sz w:val="32"/>
          <w:szCs w:val="32"/>
          <w:lang w:val="en-US" w:eastAsia="zh-CN"/>
        </w:rPr>
        <w:t>时效指标完成情况</w:t>
      </w:r>
      <w:bookmarkEnd w:id="136"/>
    </w:p>
    <w:p w14:paraId="5DBEC5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（1）“消费券发放及时性”指标，预期目标值为100%，实际完成为100%。实际完成率100%。</w:t>
      </w:r>
    </w:p>
    <w:p w14:paraId="2B5AB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p>
    <w:p w14:paraId="4BDA9EB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17B4EC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67D759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“消费券发放总量”指标，预期目标值为≤100万元，实际完成为100万元。实际完成率=（100万元/100万元）×100%=100%。</w:t>
      </w:r>
    </w:p>
    <w:p w14:paraId="131A92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r>
        <w:rPr>
          <w:rFonts w:hint="eastAsia" w:ascii="仿宋_GB2312" w:hAnsi="仿宋_GB2312" w:eastAsia="仿宋_GB2312" w:cs="仿宋_GB2312"/>
          <w:color w:val="auto"/>
          <w:sz w:val="32"/>
          <w:szCs w:val="32"/>
          <w:lang w:val="en-US" w:eastAsia="zh-CN"/>
        </w:rPr>
        <w:t>。</w:t>
      </w:r>
    </w:p>
    <w:p w14:paraId="4C8DD71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487727F3">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C023F5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78D496C">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35931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11BBFB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21A0C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9CC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534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37070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F08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068B3C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19A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1E8A59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F39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6C5858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50ECFB1">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140E14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03DBA4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经济</w:t>
            </w:r>
            <w:r>
              <w:rPr>
                <w:rFonts w:hint="eastAsia" w:ascii="宋体" w:hAnsi="宋体" w:eastAsia="宋体" w:cs="宋体"/>
                <w:color w:val="auto"/>
                <w:kern w:val="0"/>
                <w:sz w:val="20"/>
                <w:szCs w:val="20"/>
                <w:highlight w:val="none"/>
                <w:shd w:val="clear" w:color="auto" w:fill="auto"/>
                <w:lang w:val="en-US" w:eastAsia="zh-CN"/>
              </w:rPr>
              <w:t>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0B9DE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消费拉动乘数</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F5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7.27倍</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A2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08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7.27倍</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B13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1947619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1ECCA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95A60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A4257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限额以上企业零售同比增长</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35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45B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4EA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A47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64D9AFD">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A2A79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E71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E12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市民满意度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47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70B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CBC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E90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14479238">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24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456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0EC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1F8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C65FF5F">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8010"/>
      <w:bookmarkStart w:id="141" w:name="_Toc5170"/>
      <w:r>
        <w:rPr>
          <w:rFonts w:hint="eastAsia" w:ascii="仿宋_GB2312" w:hAnsi="仿宋_GB2312" w:eastAsia="仿宋_GB2312" w:cs="仿宋_GB2312"/>
          <w:b/>
          <w:bCs/>
          <w:color w:val="auto"/>
          <w:sz w:val="32"/>
          <w:szCs w:val="32"/>
          <w:lang w:val="en-US" w:eastAsia="zh-CN"/>
        </w:rPr>
        <w:t>1.经济效益指标</w:t>
      </w:r>
      <w:bookmarkEnd w:id="140"/>
      <w:r>
        <w:rPr>
          <w:rFonts w:hint="eastAsia" w:ascii="仿宋_GB2312" w:hAnsi="仿宋_GB2312" w:eastAsia="仿宋_GB2312" w:cs="仿宋_GB2312"/>
          <w:b/>
          <w:bCs/>
          <w:color w:val="auto"/>
          <w:sz w:val="32"/>
          <w:szCs w:val="32"/>
          <w:lang w:val="en-US" w:eastAsia="zh-CN"/>
        </w:rPr>
        <w:t>完成情况</w:t>
      </w:r>
      <w:bookmarkEnd w:id="141"/>
    </w:p>
    <w:p w14:paraId="7AFC140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消费拉动乘数</w:t>
      </w:r>
      <w:r>
        <w:rPr>
          <w:rFonts w:hint="eastAsia" w:ascii="仿宋_GB2312" w:hAnsi="仿宋_GB2312" w:eastAsia="仿宋_GB2312" w:cs="仿宋_GB2312"/>
          <w:color w:val="auto"/>
          <w:sz w:val="32"/>
          <w:szCs w:val="32"/>
          <w:highlight w:val="none"/>
          <w:lang w:val="en-US" w:eastAsia="zh-CN"/>
        </w:rPr>
        <w:t>”指标，预期目标值为</w:t>
      </w:r>
      <w:r>
        <w:rPr>
          <w:rFonts w:hint="default" w:ascii="仿宋_GB2312" w:hAnsi="仿宋_GB2312" w:eastAsia="仿宋_GB2312" w:cs="仿宋_GB2312"/>
          <w:color w:val="auto"/>
          <w:sz w:val="32"/>
          <w:szCs w:val="32"/>
          <w:highlight w:val="none"/>
          <w:lang w:val="en-US" w:eastAsia="zh-CN"/>
        </w:rPr>
        <w:t>7.27倍</w:t>
      </w:r>
      <w:r>
        <w:rPr>
          <w:rFonts w:hint="eastAsia" w:ascii="仿宋_GB2312" w:hAnsi="仿宋_GB2312" w:eastAsia="仿宋_GB2312" w:cs="仿宋_GB2312"/>
          <w:color w:val="auto"/>
          <w:sz w:val="32"/>
          <w:szCs w:val="32"/>
          <w:highlight w:val="none"/>
          <w:lang w:val="en-US" w:eastAsia="zh-CN"/>
        </w:rPr>
        <w:t>，实际完成为</w:t>
      </w:r>
      <w:r>
        <w:rPr>
          <w:rFonts w:hint="default" w:ascii="仿宋_GB2312" w:hAnsi="仿宋_GB2312" w:eastAsia="仿宋_GB2312" w:cs="仿宋_GB2312"/>
          <w:color w:val="auto"/>
          <w:sz w:val="32"/>
          <w:szCs w:val="32"/>
          <w:highlight w:val="none"/>
          <w:lang w:val="en-US" w:eastAsia="zh-CN"/>
        </w:rPr>
        <w:t>达到7.27倍</w:t>
      </w:r>
      <w:r>
        <w:rPr>
          <w:rFonts w:hint="eastAsia" w:ascii="仿宋_GB2312" w:hAnsi="仿宋_GB2312" w:eastAsia="仿宋_GB2312" w:cs="仿宋_GB2312"/>
          <w:color w:val="auto"/>
          <w:sz w:val="32"/>
          <w:szCs w:val="32"/>
          <w:highlight w:val="none"/>
          <w:lang w:val="en-US" w:eastAsia="zh-CN"/>
        </w:rPr>
        <w:t>。</w:t>
      </w:r>
    </w:p>
    <w:p w14:paraId="7F2ADE98">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（1）“限额以上企业零售同比增长”指标，预期目标值为≥5.8%，实际完成为</w:t>
      </w:r>
      <w:r>
        <w:rPr>
          <w:rFonts w:hint="default" w:ascii="仿宋_GB2312" w:hAnsi="仿宋_GB2312" w:eastAsia="仿宋_GB2312" w:cs="仿宋_GB2312"/>
          <w:color w:val="auto"/>
          <w:sz w:val="32"/>
          <w:szCs w:val="32"/>
          <w:highlight w:val="none"/>
          <w:lang w:val="en-US" w:eastAsia="zh-CN"/>
        </w:rPr>
        <w:t>达到</w:t>
      </w:r>
      <w:r>
        <w:rPr>
          <w:rFonts w:hint="eastAsia" w:ascii="仿宋_GB2312" w:hAnsi="仿宋_GB2312" w:eastAsia="仿宋_GB2312" w:cs="仿宋_GB2312"/>
          <w:color w:val="auto"/>
          <w:sz w:val="32"/>
          <w:szCs w:val="32"/>
          <w:highlight w:val="none"/>
          <w:lang w:val="en-US" w:eastAsia="zh-CN"/>
        </w:rPr>
        <w:t>5.8%。</w:t>
      </w:r>
    </w:p>
    <w:p w14:paraId="0ABA192E">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综上，该项指标满分13分，得分13分。</w:t>
      </w:r>
    </w:p>
    <w:p w14:paraId="50D4D5DA">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szCs w:val="32"/>
          <w:highlight w:val="none"/>
          <w:lang w:val="en-US" w:eastAsia="zh-CN"/>
        </w:rPr>
      </w:pPr>
      <w:bookmarkStart w:id="142" w:name="_Toc23313"/>
      <w:r>
        <w:rPr>
          <w:rFonts w:hint="eastAsia" w:ascii="Times New Roman" w:hAnsi="Times New Roman" w:eastAsia="楷体_GB2312" w:cs="Times New Roman"/>
          <w:b/>
          <w:bCs/>
          <w:color w:val="auto"/>
          <w:kern w:val="28"/>
          <w:sz w:val="32"/>
          <w:szCs w:val="32"/>
          <w:highlight w:val="none"/>
          <w:lang w:val="en-US" w:eastAsia="zh-CN"/>
        </w:rPr>
        <w:t>（五）满意度指标完成情况分析</w:t>
      </w:r>
      <w:bookmarkEnd w:id="142"/>
    </w:p>
    <w:p w14:paraId="5C75BC50">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“市民满意度”指标，预期目标值为≥95%，实际完成为95%。</w:t>
      </w:r>
    </w:p>
    <w:p w14:paraId="41B2EDAC">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3CA9426E">
      <w:pPr>
        <w:pStyle w:val="3"/>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bookmarkStart w:id="143" w:name="_Toc6622"/>
      <w:r>
        <w:rPr>
          <w:rFonts w:hint="eastAsia" w:ascii="黑体" w:hAnsi="黑体" w:cs="黑体"/>
          <w:b w:val="0"/>
          <w:bCs w:val="0"/>
          <w:color w:val="auto"/>
          <w:sz w:val="32"/>
          <w:szCs w:val="32"/>
          <w:highlight w:val="none"/>
          <w:shd w:val="clear" w:color="auto" w:fill="auto"/>
          <w:lang w:val="en-US" w:eastAsia="zh-CN"/>
        </w:rPr>
        <w:t>五</w:t>
      </w:r>
      <w:r>
        <w:rPr>
          <w:rFonts w:hint="eastAsia" w:ascii="黑体" w:hAnsi="黑体" w:eastAsia="黑体" w:cs="黑体"/>
          <w:b w:val="0"/>
          <w:bCs w:val="0"/>
          <w:color w:val="auto"/>
          <w:sz w:val="32"/>
          <w:szCs w:val="32"/>
          <w:highlight w:val="none"/>
          <w:shd w:val="clear" w:color="auto" w:fill="auto"/>
          <w:lang w:val="en-US" w:eastAsia="zh-CN"/>
        </w:rPr>
        <w:t>、主要经验及做法、存在的问题及原因分析</w:t>
      </w:r>
      <w:bookmarkEnd w:id="143"/>
    </w:p>
    <w:p w14:paraId="18E9C33D">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szCs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color w:val="auto"/>
          <w:kern w:val="28"/>
          <w:sz w:val="32"/>
          <w:szCs w:val="32"/>
          <w:highlight w:val="none"/>
          <w:lang w:val="en-US" w:eastAsia="zh-CN"/>
        </w:rPr>
        <w:t>（一）主要经验及做法</w:t>
      </w:r>
      <w:bookmarkEnd w:id="144"/>
    </w:p>
    <w:p w14:paraId="46CB7A34">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阜康市“乐享消费·惠购阜康”惠民消费活动经费项目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5AA8DF25">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阜康市商务和工业信息化局</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阜康市商务和工业信息化局</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5"/>
    <w:bookmarkEnd w:id="146"/>
    <w:p w14:paraId="7967AEB2">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szCs w:val="32"/>
          <w:highlight w:val="none"/>
          <w:lang w:val="en-US" w:eastAsia="zh-CN"/>
        </w:rPr>
      </w:pPr>
      <w:bookmarkStart w:id="147" w:name="_Toc29168"/>
      <w:r>
        <w:rPr>
          <w:rFonts w:hint="eastAsia" w:ascii="Times New Roman" w:hAnsi="Times New Roman" w:eastAsia="楷体_GB2312" w:cs="Times New Roman"/>
          <w:b/>
          <w:bCs/>
          <w:color w:val="auto"/>
          <w:kern w:val="28"/>
          <w:sz w:val="32"/>
          <w:szCs w:val="32"/>
          <w:highlight w:val="none"/>
          <w:lang w:val="en-US" w:eastAsia="zh-CN"/>
        </w:rPr>
        <w:t>（二）存在的问题及原因分析</w:t>
      </w:r>
      <w:bookmarkEnd w:id="147"/>
    </w:p>
    <w:p w14:paraId="352D87FA">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8" w:name="_Toc3333"/>
      <w:r>
        <w:rPr>
          <w:rFonts w:hint="eastAsia" w:ascii="仿宋_GB2312" w:hAnsi="仿宋_GB2312" w:eastAsia="仿宋_GB2312" w:cs="仿宋_GB2312"/>
          <w:color w:val="auto"/>
          <w:sz w:val="32"/>
          <w:szCs w:val="32"/>
          <w:highlight w:val="none"/>
          <w:lang w:val="en-US" w:eastAsia="zh-CN"/>
        </w:rPr>
        <w:t>1.资金管理方面</w:t>
      </w:r>
    </w:p>
    <w:p w14:paraId="70E1A90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w:t>
      </w:r>
      <w:r>
        <w:rPr>
          <w:rFonts w:hint="eastAsia" w:ascii="仿宋" w:hAnsi="仿宋" w:eastAsia="仿宋" w:cs="Times New Roman"/>
          <w:color w:val="auto"/>
          <w:kern w:val="0"/>
          <w:sz w:val="32"/>
          <w:szCs w:val="32"/>
          <w:lang w:val="zh-CN"/>
        </w:rPr>
        <w:t>单位对</w:t>
      </w:r>
      <w:r>
        <w:rPr>
          <w:rFonts w:hint="eastAsia" w:ascii="仿宋_GB2312" w:hAnsi="仿宋" w:eastAsia="仿宋_GB2312" w:cs="Times New Roman"/>
          <w:color w:val="auto"/>
          <w:sz w:val="32"/>
          <w:szCs w:val="32"/>
          <w:lang w:val="en-US" w:eastAsia="zh-CN"/>
        </w:rPr>
        <w:t>财务管理工作缺乏管理，不能及时</w:t>
      </w:r>
      <w:r>
        <w:rPr>
          <w:rFonts w:ascii="仿宋" w:hAnsi="仿宋" w:eastAsia="仿宋"/>
          <w:color w:val="auto"/>
          <w:kern w:val="0"/>
          <w:sz w:val="32"/>
          <w:szCs w:val="32"/>
          <w:lang w:val="zh-CN"/>
        </w:rPr>
        <w:t>推进</w:t>
      </w:r>
      <w:r>
        <w:rPr>
          <w:rFonts w:hint="eastAsia" w:ascii="仿宋_GB2312" w:hAnsi="仿宋" w:eastAsia="仿宋_GB2312" w:cs="Times New Roman"/>
          <w:color w:val="auto"/>
          <w:sz w:val="32"/>
          <w:szCs w:val="32"/>
          <w:lang w:val="en-US" w:eastAsia="zh-CN"/>
        </w:rPr>
        <w:t>财务支付管理工作</w:t>
      </w:r>
      <w:r>
        <w:rPr>
          <w:rFonts w:hint="eastAsia" w:ascii="仿宋" w:hAnsi="仿宋" w:eastAsia="仿宋"/>
          <w:color w:val="auto"/>
          <w:kern w:val="0"/>
          <w:sz w:val="32"/>
          <w:szCs w:val="32"/>
          <w:lang w:val="zh-CN"/>
        </w:rPr>
        <w:t>的</w:t>
      </w:r>
      <w:r>
        <w:rPr>
          <w:rFonts w:ascii="仿宋" w:hAnsi="仿宋" w:eastAsia="仿宋"/>
          <w:color w:val="auto"/>
          <w:kern w:val="0"/>
          <w:sz w:val="32"/>
          <w:szCs w:val="32"/>
          <w:lang w:val="zh-CN"/>
        </w:rPr>
        <w:t>监督检查工作。</w:t>
      </w:r>
    </w:p>
    <w:p w14:paraId="4EB2870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资金的需求和使用时间节点把握不准确</w:t>
      </w:r>
      <w:r>
        <w:rPr>
          <w:rFonts w:hint="eastAsia" w:ascii="仿宋_GB2312" w:hAnsi="仿宋_GB2312" w:eastAsia="仿宋_GB2312" w:cs="仿宋_GB2312"/>
          <w:color w:val="auto"/>
          <w:sz w:val="32"/>
          <w:szCs w:val="32"/>
          <w:highlight w:val="none"/>
          <w:lang w:val="en-US" w:eastAsia="zh-CN"/>
        </w:rPr>
        <w:t>。</w:t>
      </w:r>
      <w:r>
        <w:rPr>
          <w:rFonts w:hint="eastAsia" w:ascii="仿宋" w:hAnsi="仿宋" w:eastAsia="仿宋"/>
          <w:color w:val="auto"/>
          <w:kern w:val="0"/>
          <w:sz w:val="32"/>
          <w:szCs w:val="32"/>
          <w:lang w:val="zh-CN"/>
        </w:rPr>
        <w:t>使得财务工作存在</w:t>
      </w:r>
      <w:r>
        <w:rPr>
          <w:rFonts w:hint="eastAsia" w:ascii="仿宋_GB2312" w:hAnsi="仿宋" w:eastAsia="仿宋_GB2312" w:cs="Times New Roman"/>
          <w:color w:val="auto"/>
          <w:sz w:val="32"/>
          <w:szCs w:val="32"/>
          <w:lang w:val="en-US" w:eastAsia="zh-CN"/>
        </w:rPr>
        <w:t>一定的折扣。</w:t>
      </w:r>
    </w:p>
    <w:p w14:paraId="235A049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68D75BB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ascii="仿宋" w:hAnsi="仿宋" w:eastAsia="仿宋"/>
          <w:b/>
          <w:color w:val="auto"/>
          <w:kern w:val="0"/>
          <w:sz w:val="32"/>
          <w:szCs w:val="32"/>
          <w:highlight w:val="yellow"/>
          <w:lang w:val="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w:t>
      </w:r>
      <w:r>
        <w:rPr>
          <w:rFonts w:hint="eastAsia" w:ascii="仿宋_GB2312" w:hAnsi="仿宋_GB2312" w:eastAsia="仿宋_GB2312" w:cs="仿宋_GB2312"/>
          <w:color w:val="auto"/>
          <w:sz w:val="32"/>
          <w:szCs w:val="32"/>
          <w:lang w:eastAsia="zh-CN"/>
        </w:rPr>
        <w:t>惠民消费活动</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工作缺乏统一的组织领导，各部门之间职责不清、协调不畅；</w:t>
      </w:r>
      <w:r>
        <w:rPr>
          <w:rFonts w:hint="eastAsia" w:ascii="仿宋_GB2312" w:hAnsi="仿宋_GB2312" w:eastAsia="仿宋_GB2312" w:cs="仿宋_GB2312"/>
          <w:color w:val="auto"/>
          <w:sz w:val="32"/>
          <w:szCs w:val="32"/>
          <w:lang w:eastAsia="zh-CN"/>
        </w:rPr>
        <w:t>惠民消费活动</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的考核监督机制不完善，对</w:t>
      </w:r>
      <w:r>
        <w:rPr>
          <w:rFonts w:hint="eastAsia" w:ascii="仿宋_GB2312" w:hAnsi="仿宋_GB2312" w:eastAsia="仿宋_GB2312" w:cs="仿宋_GB2312"/>
          <w:color w:val="auto"/>
          <w:sz w:val="32"/>
          <w:szCs w:val="32"/>
          <w:lang w:eastAsia="zh-CN"/>
        </w:rPr>
        <w:t>惠民消费活动</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的成效缺乏有效的评估和考核，无法充分调动各部门和人员的积极性。</w:t>
      </w:r>
    </w:p>
    <w:p w14:paraId="1E5862E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 w:hAnsi="仿宋" w:eastAsia="仿宋"/>
          <w:color w:val="auto"/>
          <w:kern w:val="0"/>
          <w:sz w:val="32"/>
          <w:szCs w:val="32"/>
          <w:lang w:val="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原因分析：考核监督机制不健全，没有建立科学合理的考核指标体系和评价方法</w:t>
      </w:r>
      <w:r>
        <w:rPr>
          <w:rFonts w:hint="eastAsia" w:ascii="仿宋_GB2312" w:hAnsi="仿宋_GB2312" w:eastAsia="仿宋_GB2312" w:cs="仿宋_GB2312"/>
          <w:color w:val="auto"/>
          <w:sz w:val="32"/>
          <w:szCs w:val="32"/>
          <w:highlight w:val="none"/>
          <w:lang w:val="en-US" w:eastAsia="zh-CN"/>
        </w:rPr>
        <w:t>；</w:t>
      </w:r>
      <w:r>
        <w:rPr>
          <w:rFonts w:hint="eastAsia" w:ascii="仿宋" w:hAnsi="仿宋" w:eastAsia="仿宋"/>
          <w:color w:val="auto"/>
          <w:kern w:val="0"/>
          <w:sz w:val="32"/>
          <w:szCs w:val="32"/>
          <w:lang w:val="zh-CN"/>
        </w:rPr>
        <w:t>单位</w:t>
      </w:r>
      <w:r>
        <w:rPr>
          <w:rFonts w:ascii="仿宋" w:hAnsi="仿宋" w:eastAsia="仿宋"/>
          <w:color w:val="auto"/>
          <w:kern w:val="0"/>
          <w:sz w:val="32"/>
          <w:szCs w:val="32"/>
          <w:lang w:val="zh-CN"/>
        </w:rPr>
        <w:t>各</w:t>
      </w:r>
      <w:r>
        <w:rPr>
          <w:rFonts w:hint="eastAsia" w:ascii="仿宋" w:hAnsi="仿宋" w:eastAsia="仿宋"/>
          <w:color w:val="auto"/>
          <w:kern w:val="0"/>
          <w:sz w:val="32"/>
          <w:szCs w:val="32"/>
          <w:lang w:val="zh-CN"/>
        </w:rPr>
        <w:t>成员</w:t>
      </w:r>
      <w:r>
        <w:rPr>
          <w:rFonts w:ascii="仿宋" w:hAnsi="仿宋" w:eastAsia="仿宋"/>
          <w:color w:val="auto"/>
          <w:kern w:val="0"/>
          <w:sz w:val="32"/>
          <w:szCs w:val="32"/>
          <w:lang w:val="zh-CN"/>
        </w:rPr>
        <w:t>对</w:t>
      </w:r>
      <w:r>
        <w:rPr>
          <w:rFonts w:hint="eastAsia" w:ascii="仿宋_GB2312" w:hAnsi="仿宋" w:eastAsia="仿宋_GB2312" w:cs="Times New Roman"/>
          <w:color w:val="auto"/>
          <w:sz w:val="32"/>
          <w:szCs w:val="32"/>
          <w:lang w:val="en-US" w:eastAsia="zh-CN"/>
        </w:rPr>
        <w:t>财务支付管理工作</w:t>
      </w:r>
      <w:r>
        <w:rPr>
          <w:rFonts w:ascii="仿宋" w:hAnsi="仿宋" w:eastAsia="仿宋"/>
          <w:color w:val="auto"/>
          <w:kern w:val="0"/>
          <w:sz w:val="32"/>
          <w:szCs w:val="32"/>
          <w:lang w:val="zh-CN"/>
        </w:rPr>
        <w:t>承担责任</w:t>
      </w:r>
      <w:r>
        <w:rPr>
          <w:rFonts w:hint="eastAsia" w:ascii="仿宋" w:hAnsi="仿宋" w:eastAsia="仿宋"/>
          <w:color w:val="auto"/>
          <w:kern w:val="0"/>
          <w:sz w:val="32"/>
          <w:szCs w:val="32"/>
          <w:lang w:val="zh-CN"/>
        </w:rPr>
        <w:t>不明显</w:t>
      </w:r>
      <w:r>
        <w:rPr>
          <w:rFonts w:ascii="仿宋" w:hAnsi="仿宋" w:eastAsia="仿宋"/>
          <w:color w:val="auto"/>
          <w:kern w:val="0"/>
          <w:sz w:val="32"/>
          <w:szCs w:val="32"/>
          <w:lang w:val="zh-CN"/>
        </w:rPr>
        <w:t>，制度</w:t>
      </w:r>
      <w:r>
        <w:rPr>
          <w:rFonts w:hint="eastAsia" w:ascii="仿宋" w:hAnsi="仿宋" w:eastAsia="仿宋"/>
          <w:color w:val="auto"/>
          <w:kern w:val="0"/>
          <w:sz w:val="32"/>
          <w:szCs w:val="32"/>
          <w:lang w:val="zh-CN"/>
        </w:rPr>
        <w:t>不够</w:t>
      </w:r>
      <w:r>
        <w:rPr>
          <w:rFonts w:ascii="仿宋" w:hAnsi="仿宋" w:eastAsia="仿宋"/>
          <w:color w:val="auto"/>
          <w:kern w:val="0"/>
          <w:sz w:val="32"/>
          <w:szCs w:val="32"/>
          <w:lang w:val="zh-CN"/>
        </w:rPr>
        <w:t>健全、</w:t>
      </w:r>
      <w:r>
        <w:rPr>
          <w:rFonts w:hint="eastAsia" w:ascii="仿宋" w:hAnsi="仿宋" w:eastAsia="仿宋"/>
          <w:color w:val="auto"/>
          <w:kern w:val="0"/>
          <w:sz w:val="32"/>
          <w:szCs w:val="32"/>
          <w:lang w:val="zh-CN"/>
        </w:rPr>
        <w:t>缺乏</w:t>
      </w:r>
      <w:r>
        <w:rPr>
          <w:rFonts w:ascii="仿宋" w:hAnsi="仿宋" w:eastAsia="仿宋"/>
          <w:color w:val="auto"/>
          <w:kern w:val="0"/>
          <w:sz w:val="32"/>
          <w:szCs w:val="32"/>
          <w:lang w:val="zh-CN"/>
        </w:rPr>
        <w:t>执行力</w:t>
      </w:r>
      <w:r>
        <w:rPr>
          <w:rFonts w:hint="eastAsia" w:ascii="仿宋" w:hAnsi="仿宋" w:eastAsia="仿宋"/>
          <w:color w:val="auto"/>
          <w:kern w:val="0"/>
          <w:sz w:val="32"/>
          <w:szCs w:val="32"/>
          <w:lang w:val="zh-CN"/>
        </w:rPr>
        <w:t>度</w:t>
      </w:r>
      <w:r>
        <w:rPr>
          <w:rFonts w:ascii="仿宋" w:hAnsi="仿宋" w:eastAsia="仿宋"/>
          <w:color w:val="auto"/>
          <w:kern w:val="0"/>
          <w:sz w:val="32"/>
          <w:szCs w:val="32"/>
          <w:lang w:val="zh-CN"/>
        </w:rPr>
        <w:t>、监督</w:t>
      </w:r>
      <w:r>
        <w:rPr>
          <w:rFonts w:hint="eastAsia" w:ascii="仿宋" w:hAnsi="仿宋" w:eastAsia="仿宋"/>
          <w:color w:val="auto"/>
          <w:kern w:val="0"/>
          <w:sz w:val="32"/>
          <w:szCs w:val="32"/>
          <w:lang w:val="zh-CN"/>
        </w:rPr>
        <w:t>不</w:t>
      </w:r>
      <w:r>
        <w:rPr>
          <w:rFonts w:ascii="仿宋" w:hAnsi="仿宋" w:eastAsia="仿宋"/>
          <w:color w:val="auto"/>
          <w:kern w:val="0"/>
          <w:sz w:val="32"/>
          <w:szCs w:val="32"/>
          <w:lang w:val="zh-CN"/>
        </w:rPr>
        <w:t>到位</w:t>
      </w:r>
      <w:r>
        <w:rPr>
          <w:rFonts w:hint="eastAsia" w:ascii="仿宋" w:hAnsi="仿宋" w:eastAsia="仿宋"/>
          <w:color w:val="auto"/>
          <w:kern w:val="0"/>
          <w:sz w:val="32"/>
          <w:szCs w:val="32"/>
          <w:lang w:val="zh-CN"/>
        </w:rPr>
        <w:t>。</w:t>
      </w:r>
      <w:bookmarkEnd w:id="148"/>
      <w:bookmarkStart w:id="149" w:name="_Toc14256"/>
    </w:p>
    <w:p w14:paraId="601D71B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六、有关建议</w:t>
      </w:r>
      <w:bookmarkStart w:id="150" w:name="_Toc20454"/>
      <w:bookmarkStart w:id="151" w:name="_Toc3948"/>
    </w:p>
    <w:bookmarkEnd w:id="150"/>
    <w:bookmarkEnd w:id="151"/>
    <w:p w14:paraId="723E449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楷体_GB2312" w:cs="Times New Roman"/>
          <w:b w:val="0"/>
          <w:bCs w:val="0"/>
          <w:color w:val="auto"/>
          <w:kern w:val="28"/>
          <w:sz w:val="32"/>
          <w:szCs w:val="32"/>
          <w:highlight w:val="none"/>
          <w:lang w:val="en-US" w:eastAsia="zh-CN" w:bidi="ar-SA"/>
        </w:rPr>
        <w:t>1.</w:t>
      </w:r>
      <w:r>
        <w:rPr>
          <w:rFonts w:hint="eastAsia" w:ascii="仿宋_GB2312" w:hAnsi="仿宋_GB2312" w:eastAsia="仿宋_GB2312" w:cs="仿宋_GB2312"/>
          <w:b w:val="0"/>
          <w:bCs w:val="0"/>
          <w:color w:val="auto"/>
          <w:sz w:val="32"/>
          <w:szCs w:val="32"/>
          <w:highlight w:val="none"/>
          <w:lang w:val="en-US" w:eastAsia="zh-CN"/>
        </w:rPr>
        <w:t>建议</w:t>
      </w:r>
      <w:r>
        <w:rPr>
          <w:rFonts w:hint="eastAsia" w:ascii="仿宋_GB2312" w:hAnsi="仿宋_GB2312" w:eastAsia="仿宋_GB2312" w:cs="仿宋_GB2312"/>
          <w:color w:val="auto"/>
          <w:sz w:val="32"/>
          <w:szCs w:val="32"/>
          <w:highlight w:val="none"/>
          <w:lang w:val="en-US" w:eastAsia="zh-CN"/>
        </w:rPr>
        <w:t>政府加强对全体财务人员科学、有效专业的培训，培训内容向实际操作倾，加强本级财政资金支付审核流程的完善，进一步增强预算编制的科学性，建立健全财务管理职能，确保单位各项工作工作正常开展</w:t>
      </w:r>
      <w:r>
        <w:rPr>
          <w:rFonts w:hint="eastAsia" w:ascii="Times New Roman" w:hAnsi="Times New Roman" w:eastAsia="楷体_GB2312" w:cs="Times New Roman"/>
          <w:b w:val="0"/>
          <w:bCs w:val="0"/>
          <w:color w:val="auto"/>
          <w:kern w:val="28"/>
          <w:sz w:val="32"/>
          <w:szCs w:val="32"/>
          <w:highlight w:val="none"/>
          <w:lang w:val="en-US" w:eastAsia="zh-CN" w:bidi="ar-SA"/>
        </w:rPr>
        <w:t>2.</w:t>
      </w:r>
      <w:r>
        <w:rPr>
          <w:rFonts w:hint="eastAsia" w:ascii="仿宋_GB2312" w:hAnsi="仿宋_GB2312" w:eastAsia="仿宋_GB2312" w:cs="仿宋_GB2312"/>
          <w:b w:val="0"/>
          <w:bCs w:val="0"/>
          <w:color w:val="auto"/>
          <w:sz w:val="32"/>
          <w:szCs w:val="32"/>
          <w:highlight w:val="none"/>
          <w:lang w:val="en-US" w:eastAsia="zh-CN"/>
        </w:rPr>
        <w:t>建立</w:t>
      </w:r>
      <w:r>
        <w:rPr>
          <w:rFonts w:hint="eastAsia" w:ascii="仿宋_GB2312" w:hAnsi="仿宋_GB2312" w:eastAsia="仿宋_GB2312" w:cs="仿宋_GB2312"/>
          <w:color w:val="auto"/>
          <w:sz w:val="32"/>
          <w:szCs w:val="32"/>
          <w:highlight w:val="none"/>
          <w:lang w:val="en-US" w:eastAsia="zh-CN"/>
        </w:rPr>
        <w:t>健全财务管理职能，确保单位各项工作工作正常开展</w:t>
      </w:r>
      <w:r>
        <w:rPr>
          <w:rFonts w:hint="eastAsia" w:ascii="仿宋_GB2312" w:hAnsi="仿宋_GB2312" w:eastAsia="仿宋_GB2312" w:cs="仿宋_GB2312"/>
          <w:color w:val="auto"/>
          <w:sz w:val="32"/>
          <w:szCs w:val="32"/>
          <w:highlight w:val="none"/>
          <w:lang w:eastAsia="zh-CN"/>
        </w:rPr>
        <w:t>，明确</w:t>
      </w:r>
      <w:r>
        <w:rPr>
          <w:rFonts w:hint="eastAsia" w:ascii="仿宋_GB2312" w:hAnsi="仿宋_GB2312" w:eastAsia="仿宋_GB2312" w:cs="仿宋_GB2312"/>
          <w:color w:val="auto"/>
          <w:sz w:val="32"/>
          <w:szCs w:val="32"/>
          <w:highlight w:val="none"/>
          <w:lang w:val="en-US" w:eastAsia="zh-CN"/>
        </w:rPr>
        <w:t>各相关部门</w:t>
      </w:r>
      <w:r>
        <w:rPr>
          <w:rFonts w:hint="eastAsia" w:ascii="仿宋_GB2312" w:hAnsi="仿宋_GB2312" w:eastAsia="仿宋_GB2312" w:cs="仿宋_GB2312"/>
          <w:color w:val="auto"/>
          <w:sz w:val="32"/>
          <w:szCs w:val="32"/>
          <w:highlight w:val="none"/>
          <w:lang w:eastAsia="zh-CN"/>
        </w:rPr>
        <w:t>的职责分工，</w:t>
      </w:r>
      <w:r>
        <w:rPr>
          <w:rFonts w:hint="eastAsia" w:ascii="仿宋_GB2312" w:hAnsi="仿宋_GB2312" w:eastAsia="仿宋_GB2312" w:cs="仿宋_GB2312"/>
          <w:color w:val="auto"/>
          <w:sz w:val="32"/>
          <w:szCs w:val="32"/>
          <w:highlight w:val="none"/>
          <w:lang w:val="en-US" w:eastAsia="zh-CN"/>
        </w:rPr>
        <w:t>完善项目工作的考核监督机制，建立科学合理的考核指标体系，加强对项目工作进展和成效的评估考核，建立</w:t>
      </w:r>
      <w:r>
        <w:rPr>
          <w:rFonts w:hint="eastAsia" w:ascii="仿宋_GB2312" w:hAnsi="仿宋_GB2312" w:eastAsia="仿宋_GB2312" w:cs="仿宋_GB2312"/>
          <w:color w:val="auto"/>
          <w:sz w:val="32"/>
          <w:szCs w:val="32"/>
          <w:highlight w:val="none"/>
          <w:lang w:eastAsia="zh-CN"/>
        </w:rPr>
        <w:t>有效的沟通平台和沟通渠道，</w:t>
      </w:r>
      <w:r>
        <w:rPr>
          <w:rFonts w:hint="eastAsia" w:ascii="仿宋_GB2312" w:hAnsi="仿宋_GB2312" w:eastAsia="仿宋_GB2312" w:cs="仿宋_GB2312"/>
          <w:color w:val="auto"/>
          <w:sz w:val="32"/>
          <w:szCs w:val="32"/>
          <w:highlight w:val="none"/>
          <w:lang w:val="en-US" w:eastAsia="zh-CN"/>
        </w:rPr>
        <w:t>保障财务工作的正常运行。</w:t>
      </w:r>
    </w:p>
    <w:p w14:paraId="70B9856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七、其他需要说明的问题</w:t>
      </w:r>
      <w:bookmarkEnd w:id="149"/>
    </w:p>
    <w:p w14:paraId="7E5837D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无其他需要说明的问题。</w:t>
      </w:r>
    </w:p>
    <w:p w14:paraId="06C76510">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pacing w:before="0" w:line="560" w:lineRule="exact"/>
        <w:ind w:right="0" w:rightChars="0"/>
        <w:textAlignment w:val="auto"/>
        <w:rPr>
          <w:rFonts w:hint="eastAsia" w:cs="宋体"/>
          <w:color w:val="auto"/>
          <w:sz w:val="32"/>
          <w:szCs w:val="32"/>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6E61B4F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rPr>
      </w:pPr>
      <w:bookmarkStart w:id="152" w:name="_Toc28971"/>
      <w:bookmarkStart w:id="153" w:name="_Toc11349"/>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298"/>
        <w:gridCol w:w="1135"/>
        <w:gridCol w:w="1053"/>
        <w:gridCol w:w="1217"/>
        <w:gridCol w:w="890"/>
        <w:gridCol w:w="890"/>
        <w:gridCol w:w="890"/>
        <w:gridCol w:w="890"/>
        <w:gridCol w:w="1135"/>
      </w:tblGrid>
      <w:tr w14:paraId="1A9D6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24F79A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0DAA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690F0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126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477ED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93C2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阜康市“乐享消费·惠购阜康”惠民消费活动经费</w:t>
            </w:r>
          </w:p>
        </w:tc>
      </w:tr>
      <w:tr w14:paraId="5649C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7A4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E1D1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阜康市商务和工业信息化局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63D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E28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阜康市商务和工业信息化局</w:t>
            </w:r>
          </w:p>
        </w:tc>
      </w:tr>
      <w:tr w14:paraId="01952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A46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182FB">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31B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085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A04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FE8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2CC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CE6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5417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FD44C">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1B6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75A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DD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F9F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3C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81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59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183D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6910B">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4E3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06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CD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D0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49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7E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84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5BF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31798">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591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661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7CA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D5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27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34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36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9B4B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8F3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B0D1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F108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F507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BAD9">
            <w:pPr>
              <w:jc w:val="center"/>
              <w:rPr>
                <w:rFonts w:hint="eastAsia" w:ascii="宋体" w:hAnsi="宋体" w:eastAsia="宋体" w:cs="宋体"/>
                <w:b/>
                <w:bCs/>
                <w:i w:val="0"/>
                <w:iCs w:val="0"/>
                <w:color w:val="000000"/>
                <w:sz w:val="18"/>
                <w:szCs w:val="18"/>
                <w:u w:val="none"/>
              </w:rPr>
            </w:pP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143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释放消费潜能，提高经济循环质量和水平，推动高质量耐用消费品更多进入居民生活，2024年阜康市商务和工业信息化局通过开展以促进成品油消费、餐饮消费、家电消费等商品消费为重点的惠民消费活动，发挥“乐享消费·惠购阜康”促进消费品牌效应，发放消费券100万元，预计覆盖商户数量26家，核销率预计达到100%，通过项目的实施，预计达到拉动限额以上企业零售额预计增长达到5.8%以上以及消费拉动乘数7.27倍的效益。消费券核销满意度预计达到95%以上。</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AA52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消费券发放总量共计100.00万元的资金发放。发放家电、餐饮、其他零售品3种消费券，覆盖商户数量26家，核销审核合规率达到100%，消费券发放及时性达到100%，通过项目的实施，完成拉动消费券总量的7.27倍，限额以上企业零售额增长达到5.8%。市民满意度达到95%。</w:t>
            </w:r>
          </w:p>
        </w:tc>
      </w:tr>
      <w:tr w14:paraId="7E75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D94ED6">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542B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ECE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3753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513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6A0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BB0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235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832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23C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33AF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976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3A7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682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7B3B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B2F14">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F153D">
            <w:pPr>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EF2F9">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62B3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CAB7D">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C647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33EBE">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96C55">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A24F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4DFA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262B1">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BC518">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4D08A">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95FA7">
            <w:pPr>
              <w:jc w:val="center"/>
              <w:rPr>
                <w:rFonts w:hint="eastAsia" w:ascii="宋体" w:hAnsi="宋体" w:eastAsia="宋体" w:cs="宋体"/>
                <w:b/>
                <w:bCs/>
                <w:i w:val="0"/>
                <w:iCs w:val="0"/>
                <w:color w:val="000000"/>
                <w:sz w:val="18"/>
                <w:szCs w:val="18"/>
                <w:u w:val="none"/>
              </w:rPr>
            </w:pPr>
          </w:p>
        </w:tc>
      </w:tr>
      <w:tr w14:paraId="43C2B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D6D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89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07A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FC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消费券种类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9E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54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&gt;=3种</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2F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=3种</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3056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D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F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168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1CF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01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FBA23">
            <w:pPr>
              <w:jc w:val="center"/>
              <w:rPr>
                <w:rFonts w:hint="eastAsia" w:ascii="宋体" w:hAnsi="宋体" w:eastAsia="宋体" w:cs="宋体"/>
                <w:i w:val="0"/>
                <w:iCs w:val="0"/>
                <w:color w:val="000000"/>
                <w:sz w:val="18"/>
                <w:szCs w:val="18"/>
                <w:u w:val="none"/>
              </w:rPr>
            </w:pPr>
          </w:p>
        </w:tc>
      </w:tr>
      <w:tr w14:paraId="6CF3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044A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BDD14">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94A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B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覆盖商户数量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B9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AA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&gt;=26家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4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=26家</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320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1C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FA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EAA6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5A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E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0425B">
            <w:pPr>
              <w:jc w:val="center"/>
              <w:rPr>
                <w:rFonts w:hint="eastAsia" w:ascii="宋体" w:hAnsi="宋体" w:eastAsia="宋体" w:cs="宋体"/>
                <w:i w:val="0"/>
                <w:iCs w:val="0"/>
                <w:color w:val="000000"/>
                <w:sz w:val="18"/>
                <w:szCs w:val="18"/>
                <w:u w:val="none"/>
              </w:rPr>
            </w:pPr>
          </w:p>
        </w:tc>
      </w:tr>
      <w:tr w14:paraId="2022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F899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E6423">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D0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D0D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核销审核合规率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1D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2C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4F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AB8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26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31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949A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8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4C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5155">
            <w:pPr>
              <w:jc w:val="center"/>
              <w:rPr>
                <w:rFonts w:hint="eastAsia" w:ascii="宋体" w:hAnsi="宋体" w:eastAsia="宋体" w:cs="宋体"/>
                <w:i w:val="0"/>
                <w:iCs w:val="0"/>
                <w:color w:val="000000"/>
                <w:sz w:val="18"/>
                <w:szCs w:val="18"/>
                <w:u w:val="none"/>
              </w:rPr>
            </w:pPr>
          </w:p>
        </w:tc>
      </w:tr>
      <w:tr w14:paraId="2DB3F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060F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B0641">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A1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F7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消费券发放及时性</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3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51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2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BD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FD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3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80B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0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F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DD827">
            <w:pPr>
              <w:jc w:val="center"/>
              <w:rPr>
                <w:rFonts w:hint="eastAsia" w:ascii="宋体" w:hAnsi="宋体" w:eastAsia="宋体" w:cs="宋体"/>
                <w:i w:val="0"/>
                <w:iCs w:val="0"/>
                <w:color w:val="000000"/>
                <w:sz w:val="18"/>
                <w:szCs w:val="18"/>
                <w:u w:val="none"/>
              </w:rPr>
            </w:pPr>
          </w:p>
        </w:tc>
      </w:tr>
      <w:tr w14:paraId="1AFE6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0AB63">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188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5F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3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消费券发放总量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0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8F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A9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1D5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C1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81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65737">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88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FC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8AD6">
            <w:pPr>
              <w:jc w:val="center"/>
              <w:rPr>
                <w:rFonts w:hint="eastAsia" w:ascii="宋体" w:hAnsi="宋体" w:eastAsia="宋体" w:cs="宋体"/>
                <w:i w:val="0"/>
                <w:iCs w:val="0"/>
                <w:color w:val="000000"/>
                <w:sz w:val="18"/>
                <w:szCs w:val="18"/>
                <w:u w:val="none"/>
              </w:rPr>
            </w:pPr>
          </w:p>
        </w:tc>
      </w:tr>
      <w:tr w14:paraId="451A0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B054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B04A2">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B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32A1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B46F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EE07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E19B5">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1EA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BFDE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E26A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BDF9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EE0B2">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5C36">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6D25">
            <w:pPr>
              <w:jc w:val="center"/>
              <w:rPr>
                <w:rFonts w:hint="eastAsia" w:ascii="宋体" w:hAnsi="宋体" w:eastAsia="宋体" w:cs="宋体"/>
                <w:i w:val="0"/>
                <w:iCs w:val="0"/>
                <w:color w:val="000000"/>
                <w:sz w:val="18"/>
                <w:szCs w:val="18"/>
                <w:u w:val="none"/>
              </w:rPr>
            </w:pPr>
          </w:p>
        </w:tc>
      </w:tr>
      <w:tr w14:paraId="3C166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802D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011FD">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F6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0C45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AC9A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C61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944EF">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478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601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A891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4A1A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AA04">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9B009">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E5A3B">
            <w:pPr>
              <w:jc w:val="center"/>
              <w:rPr>
                <w:rFonts w:hint="eastAsia" w:ascii="宋体" w:hAnsi="宋体" w:eastAsia="宋体" w:cs="宋体"/>
                <w:i w:val="0"/>
                <w:iCs w:val="0"/>
                <w:color w:val="000000"/>
                <w:sz w:val="18"/>
                <w:szCs w:val="18"/>
                <w:u w:val="none"/>
              </w:rPr>
            </w:pPr>
          </w:p>
        </w:tc>
      </w:tr>
      <w:tr w14:paraId="2ABBC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EB3E6">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DC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AA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E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消费拉动乘数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B0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32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=7.27倍</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73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=7.27倍</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13C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38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C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F536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14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95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D732B">
            <w:pPr>
              <w:jc w:val="center"/>
              <w:rPr>
                <w:rFonts w:hint="eastAsia" w:ascii="宋体" w:hAnsi="宋体" w:eastAsia="宋体" w:cs="宋体"/>
                <w:i w:val="0"/>
                <w:iCs w:val="0"/>
                <w:color w:val="000000"/>
                <w:sz w:val="18"/>
                <w:szCs w:val="18"/>
                <w:u w:val="none"/>
              </w:rPr>
            </w:pPr>
          </w:p>
        </w:tc>
      </w:tr>
      <w:tr w14:paraId="39DB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11C0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9C824">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A3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E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限额以上企业零售同比增长</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9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49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&gt;=5.80%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51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BC5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30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E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9C8B">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14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C3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D05D">
            <w:pPr>
              <w:jc w:val="center"/>
              <w:rPr>
                <w:rFonts w:hint="eastAsia" w:ascii="宋体" w:hAnsi="宋体" w:eastAsia="宋体" w:cs="宋体"/>
                <w:i w:val="0"/>
                <w:iCs w:val="0"/>
                <w:color w:val="000000"/>
                <w:sz w:val="18"/>
                <w:szCs w:val="18"/>
                <w:u w:val="none"/>
              </w:rPr>
            </w:pPr>
          </w:p>
        </w:tc>
      </w:tr>
      <w:tr w14:paraId="56796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73CE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328CE">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2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05D7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217A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C5E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821B3">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220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D472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3FC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D037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8257">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0AADF">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0946D">
            <w:pPr>
              <w:jc w:val="center"/>
              <w:rPr>
                <w:rFonts w:hint="eastAsia" w:ascii="宋体" w:hAnsi="宋体" w:eastAsia="宋体" w:cs="宋体"/>
                <w:i w:val="0"/>
                <w:iCs w:val="0"/>
                <w:color w:val="000000"/>
                <w:sz w:val="18"/>
                <w:szCs w:val="18"/>
                <w:u w:val="none"/>
              </w:rPr>
            </w:pPr>
          </w:p>
        </w:tc>
      </w:tr>
      <w:tr w14:paraId="2461A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63AB6">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CCDA1">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C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DFCA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329B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DAD7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ED34">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A90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9A88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C68F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57B7F">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D1A0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2663">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957F6">
            <w:pPr>
              <w:jc w:val="center"/>
              <w:rPr>
                <w:rFonts w:hint="eastAsia" w:ascii="宋体" w:hAnsi="宋体" w:eastAsia="宋体" w:cs="宋体"/>
                <w:i w:val="0"/>
                <w:iCs w:val="0"/>
                <w:color w:val="000000"/>
                <w:sz w:val="18"/>
                <w:szCs w:val="18"/>
                <w:u w:val="none"/>
              </w:rPr>
            </w:pPr>
          </w:p>
        </w:tc>
      </w:tr>
      <w:tr w14:paraId="67BA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99F7C">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BC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85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79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市民满意度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ED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36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22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B77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C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6C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8EBC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04C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C9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D06DD">
            <w:pPr>
              <w:jc w:val="center"/>
              <w:rPr>
                <w:rFonts w:hint="eastAsia" w:ascii="宋体" w:hAnsi="宋体" w:eastAsia="宋体" w:cs="宋体"/>
                <w:i w:val="0"/>
                <w:iCs w:val="0"/>
                <w:color w:val="000000"/>
                <w:sz w:val="18"/>
                <w:szCs w:val="18"/>
                <w:u w:val="none"/>
              </w:rPr>
            </w:pPr>
          </w:p>
        </w:tc>
      </w:tr>
      <w:tr w14:paraId="1019A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3" w:type="pct"/>
            <w:gridSpan w:val="4"/>
            <w:tcBorders>
              <w:top w:val="single" w:color="000000" w:sz="4" w:space="0"/>
              <w:left w:val="single" w:color="000000" w:sz="4" w:space="0"/>
              <w:bottom w:val="single" w:color="000000" w:sz="4" w:space="0"/>
              <w:right w:val="nil"/>
            </w:tcBorders>
            <w:shd w:val="clear" w:color="auto" w:fill="auto"/>
            <w:vAlign w:val="center"/>
          </w:tcPr>
          <w:p w14:paraId="62198E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FD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11F86D19">
            <w:pPr>
              <w:rPr>
                <w:rFonts w:hint="eastAsia" w:ascii="宋体" w:hAnsi="宋体" w:eastAsia="宋体" w:cs="宋体"/>
                <w:b/>
                <w:bCs/>
                <w:i w:val="0"/>
                <w:iCs w:val="0"/>
                <w:color w:val="000000"/>
                <w:sz w:val="18"/>
                <w:szCs w:val="18"/>
                <w:u w:val="none"/>
              </w:rPr>
            </w:pPr>
            <w:bookmarkStart w:id="156" w:name="_GoBack"/>
            <w:bookmarkEnd w:id="156"/>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3564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964A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9E0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24BD3">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F6C21">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267E">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88773">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4A566">
            <w:pPr>
              <w:rPr>
                <w:rFonts w:hint="eastAsia" w:ascii="宋体" w:hAnsi="宋体" w:eastAsia="宋体" w:cs="宋体"/>
                <w:i w:val="0"/>
                <w:iCs w:val="0"/>
                <w:color w:val="000000"/>
                <w:sz w:val="18"/>
                <w:szCs w:val="18"/>
                <w:u w:val="none"/>
              </w:rPr>
            </w:pPr>
          </w:p>
        </w:tc>
      </w:tr>
    </w:tbl>
    <w:p w14:paraId="4D47E661">
      <w:pPr>
        <w:ind w:left="0" w:leftChars="0" w:firstLine="0" w:firstLineChars="0"/>
        <w:rPr>
          <w:color w:val="auto"/>
        </w:rPr>
      </w:pPr>
      <w:r>
        <w:rPr>
          <w:color w:val="auto"/>
        </w:rPr>
        <w:br w:type="page"/>
      </w:r>
    </w:p>
    <w:p w14:paraId="2DA33C74">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1223"/>
      <w:bookmarkStart w:id="15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7896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9CACAF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0F397EA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1817757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3C3DC58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DC3749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B75D61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5695617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highlight w:val="none"/>
                <w:lang w:val="en-US" w:eastAsia="zh-CN"/>
              </w:rPr>
              <w:t>得分</w:t>
            </w:r>
          </w:p>
        </w:tc>
      </w:tr>
      <w:tr w14:paraId="3E078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09AC55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决策</w:t>
            </w:r>
          </w:p>
        </w:tc>
        <w:tc>
          <w:tcPr>
            <w:tcW w:w="727" w:type="dxa"/>
            <w:vMerge w:val="restart"/>
            <w:shd w:val="clear" w:color="auto" w:fill="auto"/>
            <w:noWrap w:val="0"/>
            <w:vAlign w:val="center"/>
          </w:tcPr>
          <w:p w14:paraId="3F9E9FB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72432C8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1B11CF8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274009F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1ED0D0B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FCEEDA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1BBBD1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34D4488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7EF5AEC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420603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22E59B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C099D2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2</w:t>
            </w:r>
          </w:p>
        </w:tc>
      </w:tr>
      <w:tr w14:paraId="54EA0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7D0CD80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5E8B376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820" w:type="dxa"/>
            <w:shd w:val="clear" w:color="auto" w:fill="auto"/>
            <w:noWrap w:val="0"/>
            <w:vAlign w:val="center"/>
          </w:tcPr>
          <w:p w14:paraId="482BBCF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115B9B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6E4F354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E5032B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2B98C0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7E1E901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3D694CC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FF5F51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1A104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2</w:t>
            </w:r>
          </w:p>
        </w:tc>
      </w:tr>
      <w:tr w14:paraId="6C557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00E000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shd w:val="clear" w:color="auto" w:fill="auto"/>
            <w:noWrap w:val="0"/>
            <w:vAlign w:val="center"/>
          </w:tcPr>
          <w:p w14:paraId="1DC88E7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2FCA085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A063CD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48917D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398023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383AB0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04131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5CB9215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50C993D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1F1D344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4DED2DF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981881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5</w:t>
            </w:r>
          </w:p>
        </w:tc>
      </w:tr>
      <w:tr w14:paraId="5653C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FFB322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7EBD598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46AFF8E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46CD852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7730CC6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6BE86EB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E2AB8D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40641AD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63234EE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BB3B0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lang w:eastAsia="zh-CN"/>
              </w:rPr>
            </w:pPr>
          </w:p>
        </w:tc>
        <w:tc>
          <w:tcPr>
            <w:tcW w:w="785" w:type="dxa"/>
            <w:shd w:val="clear" w:color="auto" w:fill="auto"/>
            <w:noWrap w:val="0"/>
            <w:vAlign w:val="center"/>
          </w:tcPr>
          <w:p w14:paraId="246F404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7F9222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5</w:t>
            </w:r>
          </w:p>
        </w:tc>
      </w:tr>
      <w:tr w14:paraId="007ED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7AB3809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564B9E8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7527134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2B50E3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BDEB1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81707E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C5F80C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4DD760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46DC6B7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5363FD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6B13AD5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11D1E74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D6C3F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2</w:t>
            </w:r>
          </w:p>
        </w:tc>
      </w:tr>
      <w:tr w14:paraId="2C87F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024D137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5FB67B2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820" w:type="dxa"/>
            <w:shd w:val="clear" w:color="auto" w:fill="auto"/>
            <w:noWrap w:val="0"/>
            <w:vAlign w:val="center"/>
          </w:tcPr>
          <w:p w14:paraId="5A1F7A7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326AEF5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78C2D08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BBD42D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C3BA70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10F7F4C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15AA783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E279D5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3</w:t>
            </w:r>
          </w:p>
        </w:tc>
      </w:tr>
      <w:tr w14:paraId="22979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C1063C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95E5D1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55FD47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6B56A6F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777B836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2ED8FEF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7E92FED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71B1E87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A9EE92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4</w:t>
            </w:r>
          </w:p>
        </w:tc>
      </w:tr>
      <w:tr w14:paraId="11C04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3062573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3AE8B49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03D1B55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4D68798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AA9E55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BD09F4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343B15A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0E721C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4</w:t>
            </w:r>
          </w:p>
        </w:tc>
      </w:tr>
      <w:tr w14:paraId="282D9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F48ECC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B3E6DF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3050ABF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22052EA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E1C7C9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2707FA4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50F41A5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EECFB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702E81A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1A72F5C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20A8A4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4D3D974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69E8BD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4</w:t>
            </w:r>
          </w:p>
        </w:tc>
      </w:tr>
      <w:tr w14:paraId="0FE29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AF328F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56D4DDD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0DD3B8D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7560645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02675F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5A7ED1F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2265E00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8824B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15653A3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871E33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E97903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4</w:t>
            </w:r>
          </w:p>
        </w:tc>
      </w:tr>
      <w:tr w14:paraId="0BB7D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613F1D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606E874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p>
        </w:tc>
        <w:tc>
          <w:tcPr>
            <w:tcW w:w="820" w:type="dxa"/>
            <w:shd w:val="clear" w:color="auto" w:fill="auto"/>
            <w:noWrap w:val="0"/>
            <w:vAlign w:val="center"/>
          </w:tcPr>
          <w:p w14:paraId="49A7FDC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6BE943E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6D50B25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45D7ED5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2DB872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10B0065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7836E1B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5A3C739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4B42D2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82DC3E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4</w:t>
            </w:r>
          </w:p>
        </w:tc>
      </w:tr>
      <w:tr w14:paraId="7A4BE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6B3DAC7E">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47924FE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4ADDC5B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消费券种类</w:t>
            </w:r>
          </w:p>
        </w:tc>
        <w:tc>
          <w:tcPr>
            <w:tcW w:w="2141" w:type="dxa"/>
            <w:shd w:val="clear" w:color="auto" w:fill="auto"/>
            <w:noWrap w:val="0"/>
            <w:vAlign w:val="center"/>
          </w:tcPr>
          <w:p w14:paraId="1A7BAF4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48320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BBADC9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245ADC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AC587C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22B66E7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r>
      <w:tr w14:paraId="06332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23F9EEF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yellow"/>
              </w:rPr>
            </w:pPr>
          </w:p>
        </w:tc>
        <w:tc>
          <w:tcPr>
            <w:tcW w:w="727" w:type="dxa"/>
            <w:shd w:val="clear" w:color="auto" w:fill="auto"/>
            <w:noWrap w:val="0"/>
            <w:vAlign w:val="center"/>
          </w:tcPr>
          <w:p w14:paraId="7100F6C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D6B118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覆盖商户数量</w:t>
            </w:r>
          </w:p>
        </w:tc>
        <w:tc>
          <w:tcPr>
            <w:tcW w:w="2141" w:type="dxa"/>
            <w:shd w:val="clear" w:color="auto" w:fill="auto"/>
            <w:noWrap w:val="0"/>
            <w:vAlign w:val="center"/>
          </w:tcPr>
          <w:p w14:paraId="2B934F9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057231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72FB3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E3D0E5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6BE5B2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462744E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r>
      <w:tr w14:paraId="3BD6C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66133A6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08D8B2D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0529F7A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核销审核合规率</w:t>
            </w:r>
          </w:p>
        </w:tc>
        <w:tc>
          <w:tcPr>
            <w:tcW w:w="2141" w:type="dxa"/>
            <w:shd w:val="clear" w:color="auto" w:fill="auto"/>
            <w:noWrap w:val="0"/>
            <w:vAlign w:val="center"/>
          </w:tcPr>
          <w:p w14:paraId="51BDDDA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FCE583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3486A2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8D0715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30685AC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r>
      <w:tr w14:paraId="4A856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6631BD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yellow"/>
              </w:rPr>
            </w:pPr>
          </w:p>
        </w:tc>
        <w:tc>
          <w:tcPr>
            <w:tcW w:w="727" w:type="dxa"/>
            <w:shd w:val="clear" w:color="auto" w:fill="auto"/>
            <w:noWrap w:val="0"/>
            <w:vAlign w:val="center"/>
          </w:tcPr>
          <w:p w14:paraId="62DE447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5B7A9D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消费券发放及时性</w:t>
            </w:r>
          </w:p>
        </w:tc>
        <w:tc>
          <w:tcPr>
            <w:tcW w:w="2141" w:type="dxa"/>
            <w:shd w:val="clear" w:color="auto" w:fill="auto"/>
            <w:noWrap w:val="0"/>
            <w:vAlign w:val="center"/>
          </w:tcPr>
          <w:p w14:paraId="72750E0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433D37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D746C2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76567D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4D88E39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r>
      <w:tr w14:paraId="1619F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8F23A6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6A6A5DB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047D249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消费券发放总量</w:t>
            </w:r>
          </w:p>
        </w:tc>
        <w:tc>
          <w:tcPr>
            <w:tcW w:w="2141" w:type="dxa"/>
            <w:shd w:val="clear" w:color="auto" w:fill="auto"/>
            <w:noWrap w:val="0"/>
            <w:vAlign w:val="center"/>
          </w:tcPr>
          <w:p w14:paraId="3C30240C">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AD66990">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p>
          <w:p w14:paraId="3B1BCB2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C7C1F5B">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FF8610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4A98E8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45F64F8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8</w:t>
            </w:r>
          </w:p>
        </w:tc>
      </w:tr>
      <w:tr w14:paraId="3F53D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83" w:hRule="atLeast"/>
          <w:jc w:val="center"/>
        </w:trPr>
        <w:tc>
          <w:tcPr>
            <w:tcW w:w="861" w:type="dxa"/>
            <w:vMerge w:val="restart"/>
            <w:shd w:val="clear" w:color="auto" w:fill="auto"/>
            <w:noWrap w:val="0"/>
            <w:vAlign w:val="center"/>
          </w:tcPr>
          <w:p w14:paraId="654A93B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41CBEC0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5D5EB511">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default" w:ascii="宋体" w:hAnsi="宋体" w:eastAsia="宋体" w:cs="宋体"/>
                <w:color w:val="auto"/>
                <w:kern w:val="0"/>
                <w:sz w:val="20"/>
                <w:szCs w:val="20"/>
                <w:highlight w:val="none"/>
                <w:shd w:val="clear" w:color="auto" w:fill="auto"/>
                <w:lang w:val="en-US" w:eastAsia="zh-CN"/>
              </w:rPr>
              <w:t>消费拉动乘数</w:t>
            </w:r>
          </w:p>
        </w:tc>
        <w:tc>
          <w:tcPr>
            <w:tcW w:w="2141" w:type="dxa"/>
            <w:shd w:val="clear" w:color="auto" w:fill="auto"/>
            <w:noWrap w:val="0"/>
            <w:vAlign w:val="center"/>
          </w:tcPr>
          <w:p w14:paraId="677609FD">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87AB39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9B8605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34DD25A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7</w:t>
            </w:r>
          </w:p>
        </w:tc>
      </w:tr>
      <w:tr w14:paraId="2935C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580CBFA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727" w:type="dxa"/>
            <w:vMerge w:val="continue"/>
            <w:shd w:val="clear" w:color="auto" w:fill="auto"/>
            <w:noWrap w:val="0"/>
            <w:vAlign w:val="center"/>
          </w:tcPr>
          <w:p w14:paraId="3F65D32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820" w:type="dxa"/>
            <w:shd w:val="clear" w:color="auto" w:fill="auto"/>
            <w:noWrap w:val="0"/>
            <w:vAlign w:val="center"/>
          </w:tcPr>
          <w:p w14:paraId="5A0E746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限额以上企业零售同比增长</w:t>
            </w:r>
          </w:p>
        </w:tc>
        <w:tc>
          <w:tcPr>
            <w:tcW w:w="2141" w:type="dxa"/>
            <w:shd w:val="clear" w:color="auto" w:fill="auto"/>
            <w:noWrap w:val="0"/>
            <w:vAlign w:val="center"/>
          </w:tcPr>
          <w:p w14:paraId="1BCD6485">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BF87A1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29D40A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37A75C1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6</w:t>
            </w:r>
          </w:p>
        </w:tc>
      </w:tr>
      <w:tr w14:paraId="2CFB2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63EAEA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727" w:type="dxa"/>
            <w:vMerge w:val="continue"/>
            <w:shd w:val="clear" w:color="auto" w:fill="auto"/>
            <w:noWrap w:val="0"/>
            <w:vAlign w:val="center"/>
          </w:tcPr>
          <w:p w14:paraId="73F72129">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highlight w:val="yellow"/>
              </w:rPr>
            </w:pPr>
          </w:p>
        </w:tc>
        <w:tc>
          <w:tcPr>
            <w:tcW w:w="820" w:type="dxa"/>
            <w:shd w:val="clear" w:color="auto" w:fill="auto"/>
            <w:noWrap w:val="0"/>
            <w:vAlign w:val="center"/>
          </w:tcPr>
          <w:p w14:paraId="0E48B916">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default" w:ascii="宋体" w:hAnsi="宋体" w:eastAsia="宋体" w:cs="宋体"/>
                <w:color w:val="auto"/>
                <w:kern w:val="0"/>
                <w:sz w:val="22"/>
                <w:szCs w:val="22"/>
                <w:highlight w:val="yellow"/>
                <w:lang w:val="en-US" w:eastAsia="zh-CN"/>
              </w:rPr>
            </w:pPr>
            <w:r>
              <w:rPr>
                <w:rFonts w:hint="eastAsia" w:ascii="宋体" w:hAnsi="宋体" w:eastAsia="宋体" w:cs="宋体"/>
                <w:color w:val="auto"/>
                <w:kern w:val="0"/>
                <w:sz w:val="20"/>
                <w:szCs w:val="20"/>
                <w:highlight w:val="none"/>
                <w:shd w:val="clear" w:color="auto" w:fill="auto"/>
                <w:lang w:val="en-US" w:eastAsia="zh-CN"/>
              </w:rPr>
              <w:t>市民满意度</w:t>
            </w:r>
          </w:p>
        </w:tc>
        <w:tc>
          <w:tcPr>
            <w:tcW w:w="2141" w:type="dxa"/>
            <w:shd w:val="clear" w:color="auto" w:fill="auto"/>
            <w:noWrap w:val="0"/>
            <w:vAlign w:val="center"/>
          </w:tcPr>
          <w:p w14:paraId="5A5F2082">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5EDC551A">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B4991D7">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EC72694">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7</w:t>
            </w:r>
          </w:p>
        </w:tc>
      </w:tr>
      <w:tr w14:paraId="08F40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AB320E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604BAD43">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3B65BD38">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4014B50F">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default" w:ascii="宋体" w:hAnsi="宋体" w:eastAsia="宋体" w:cs="宋体"/>
                <w:color w:val="auto"/>
                <w:kern w:val="0"/>
                <w:sz w:val="22"/>
                <w:szCs w:val="22"/>
                <w:lang w:val="en-US"/>
              </w:rPr>
            </w:pPr>
            <w:r>
              <w:rPr>
                <w:rFonts w:hint="eastAsia" w:cs="宋体"/>
                <w:color w:val="auto"/>
                <w:kern w:val="0"/>
                <w:sz w:val="22"/>
                <w:szCs w:val="22"/>
                <w:highlight w:val="none"/>
                <w:lang w:val="en-US" w:eastAsia="zh-CN"/>
              </w:rPr>
              <w:t>99</w:t>
            </w:r>
          </w:p>
        </w:tc>
      </w:tr>
    </w:tbl>
    <w:p w14:paraId="2A475181">
      <w:pPr>
        <w:pageBreakBefore w:val="0"/>
        <w:kinsoku/>
        <w:wordWrap/>
        <w:overflowPunct/>
        <w:topLinePunct w:val="0"/>
        <w:autoSpaceDE/>
        <w:autoSpaceDN/>
        <w:bidi w:val="0"/>
        <w:spacing w:line="560" w:lineRule="exact"/>
        <w:textAlignment w:val="auto"/>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3839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DB49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0DB49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AA83"/>
    <w:multiLevelType w:val="singleLevel"/>
    <w:tmpl w:val="D0EAAA8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D7371"/>
    <w:rsid w:val="007D6A04"/>
    <w:rsid w:val="00E23C81"/>
    <w:rsid w:val="01253350"/>
    <w:rsid w:val="01282E62"/>
    <w:rsid w:val="014029CF"/>
    <w:rsid w:val="01470C4C"/>
    <w:rsid w:val="02200440"/>
    <w:rsid w:val="02284B43"/>
    <w:rsid w:val="02B015E2"/>
    <w:rsid w:val="02DC08FA"/>
    <w:rsid w:val="033B569D"/>
    <w:rsid w:val="039C3BA0"/>
    <w:rsid w:val="03A845BB"/>
    <w:rsid w:val="03B03D9B"/>
    <w:rsid w:val="03B45AD1"/>
    <w:rsid w:val="04D12EE4"/>
    <w:rsid w:val="04D63993"/>
    <w:rsid w:val="070C0969"/>
    <w:rsid w:val="07890F4F"/>
    <w:rsid w:val="08892439"/>
    <w:rsid w:val="08EB30F3"/>
    <w:rsid w:val="09237408"/>
    <w:rsid w:val="09623579"/>
    <w:rsid w:val="09781BD6"/>
    <w:rsid w:val="09F359DF"/>
    <w:rsid w:val="0A575E65"/>
    <w:rsid w:val="0ACA0AB6"/>
    <w:rsid w:val="0C032502"/>
    <w:rsid w:val="0C27698C"/>
    <w:rsid w:val="0CE509C2"/>
    <w:rsid w:val="0D4452F3"/>
    <w:rsid w:val="0F5E5042"/>
    <w:rsid w:val="0F676CD7"/>
    <w:rsid w:val="0FE95707"/>
    <w:rsid w:val="10510571"/>
    <w:rsid w:val="10787A20"/>
    <w:rsid w:val="108672DE"/>
    <w:rsid w:val="10EC685A"/>
    <w:rsid w:val="11FA6155"/>
    <w:rsid w:val="12CF0947"/>
    <w:rsid w:val="12F1313F"/>
    <w:rsid w:val="1325063C"/>
    <w:rsid w:val="136C678E"/>
    <w:rsid w:val="13EB2FF5"/>
    <w:rsid w:val="14ED4CAC"/>
    <w:rsid w:val="15A46B04"/>
    <w:rsid w:val="165825BC"/>
    <w:rsid w:val="16BC5D73"/>
    <w:rsid w:val="176F36D7"/>
    <w:rsid w:val="1795226D"/>
    <w:rsid w:val="18456B1E"/>
    <w:rsid w:val="193F644E"/>
    <w:rsid w:val="1C1171C5"/>
    <w:rsid w:val="1CD10EAC"/>
    <w:rsid w:val="1D265138"/>
    <w:rsid w:val="1D4B2A07"/>
    <w:rsid w:val="1D7B6BCA"/>
    <w:rsid w:val="1DA41A79"/>
    <w:rsid w:val="1DF53469"/>
    <w:rsid w:val="1E2F24F2"/>
    <w:rsid w:val="1E58492F"/>
    <w:rsid w:val="1E5B6757"/>
    <w:rsid w:val="1ED10AC6"/>
    <w:rsid w:val="1F89225F"/>
    <w:rsid w:val="1F900A1F"/>
    <w:rsid w:val="1FC0575D"/>
    <w:rsid w:val="206132C7"/>
    <w:rsid w:val="21B00C1D"/>
    <w:rsid w:val="221B63A0"/>
    <w:rsid w:val="23031BEB"/>
    <w:rsid w:val="235F6700"/>
    <w:rsid w:val="23917691"/>
    <w:rsid w:val="244D65B8"/>
    <w:rsid w:val="245E1E24"/>
    <w:rsid w:val="25AD5E5D"/>
    <w:rsid w:val="2732478D"/>
    <w:rsid w:val="27661469"/>
    <w:rsid w:val="27900EAD"/>
    <w:rsid w:val="279B538A"/>
    <w:rsid w:val="286F545C"/>
    <w:rsid w:val="29314FBC"/>
    <w:rsid w:val="2AA2081A"/>
    <w:rsid w:val="2AA27C71"/>
    <w:rsid w:val="2BFB4E0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BD137C"/>
    <w:rsid w:val="378E0F6A"/>
    <w:rsid w:val="38053EDF"/>
    <w:rsid w:val="380812A4"/>
    <w:rsid w:val="385D37E7"/>
    <w:rsid w:val="38782EDD"/>
    <w:rsid w:val="3B42664A"/>
    <w:rsid w:val="3CAD1E92"/>
    <w:rsid w:val="3D836A4E"/>
    <w:rsid w:val="3DAD0536"/>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2510D3"/>
    <w:rsid w:val="4A583887"/>
    <w:rsid w:val="4B2E0B43"/>
    <w:rsid w:val="4B9F6E02"/>
    <w:rsid w:val="4C89637B"/>
    <w:rsid w:val="4E5B43DC"/>
    <w:rsid w:val="4E6E48A8"/>
    <w:rsid w:val="4EEC036B"/>
    <w:rsid w:val="4F714FA1"/>
    <w:rsid w:val="501D2673"/>
    <w:rsid w:val="50C80BF1"/>
    <w:rsid w:val="510355DE"/>
    <w:rsid w:val="51852833"/>
    <w:rsid w:val="52C14701"/>
    <w:rsid w:val="52F11AC8"/>
    <w:rsid w:val="534F49D9"/>
    <w:rsid w:val="53555F0F"/>
    <w:rsid w:val="535D23D5"/>
    <w:rsid w:val="56D701D6"/>
    <w:rsid w:val="56F4341A"/>
    <w:rsid w:val="575A7321"/>
    <w:rsid w:val="57DA7A76"/>
    <w:rsid w:val="580C3AB9"/>
    <w:rsid w:val="583C7AE0"/>
    <w:rsid w:val="586C1E9A"/>
    <w:rsid w:val="586E0800"/>
    <w:rsid w:val="58BE1B7C"/>
    <w:rsid w:val="59216F96"/>
    <w:rsid w:val="598C4145"/>
    <w:rsid w:val="59957D1B"/>
    <w:rsid w:val="59D4294E"/>
    <w:rsid w:val="5B634312"/>
    <w:rsid w:val="5B9D2CCD"/>
    <w:rsid w:val="5B9E71EA"/>
    <w:rsid w:val="5DEA626C"/>
    <w:rsid w:val="5E226FBC"/>
    <w:rsid w:val="5FE72BD2"/>
    <w:rsid w:val="60120613"/>
    <w:rsid w:val="618D5292"/>
    <w:rsid w:val="622E78FA"/>
    <w:rsid w:val="63343F70"/>
    <w:rsid w:val="640756FB"/>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A8B6EC2"/>
    <w:rsid w:val="6B4B4368"/>
    <w:rsid w:val="6B79100E"/>
    <w:rsid w:val="6C844C00"/>
    <w:rsid w:val="6E10212C"/>
    <w:rsid w:val="6E43561A"/>
    <w:rsid w:val="6E557973"/>
    <w:rsid w:val="6E9568DB"/>
    <w:rsid w:val="6F0D6C22"/>
    <w:rsid w:val="6F47657F"/>
    <w:rsid w:val="6FA74442"/>
    <w:rsid w:val="6FAF23D9"/>
    <w:rsid w:val="70635CF6"/>
    <w:rsid w:val="70670707"/>
    <w:rsid w:val="707D50FC"/>
    <w:rsid w:val="720E3691"/>
    <w:rsid w:val="7249173A"/>
    <w:rsid w:val="724E244C"/>
    <w:rsid w:val="72DA6946"/>
    <w:rsid w:val="732764B3"/>
    <w:rsid w:val="74026044"/>
    <w:rsid w:val="74325A77"/>
    <w:rsid w:val="74746410"/>
    <w:rsid w:val="74D53759"/>
    <w:rsid w:val="75C8506C"/>
    <w:rsid w:val="75E5007C"/>
    <w:rsid w:val="76163AB8"/>
    <w:rsid w:val="76A2766B"/>
    <w:rsid w:val="77636B63"/>
    <w:rsid w:val="77813724"/>
    <w:rsid w:val="77861774"/>
    <w:rsid w:val="78036512"/>
    <w:rsid w:val="785F1FAC"/>
    <w:rsid w:val="78F31435"/>
    <w:rsid w:val="79300B45"/>
    <w:rsid w:val="794D3E18"/>
    <w:rsid w:val="79F3729A"/>
    <w:rsid w:val="7A880722"/>
    <w:rsid w:val="7ABE6120"/>
    <w:rsid w:val="7ACB0498"/>
    <w:rsid w:val="7AED0B4D"/>
    <w:rsid w:val="7C0F244C"/>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11925</Words>
  <Characters>12432</Characters>
  <Lines>0</Lines>
  <Paragraphs>0</Paragraphs>
  <TotalTime>1</TotalTime>
  <ScaleCrop>false</ScaleCrop>
  <LinksUpToDate>false</LinksUpToDate>
  <CharactersWithSpaces>12502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2025-10-23T09:17:03Z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08BB88ED2A9F4AD8A0D7751F800A61C4</vt:lpwstr>
  </property>
  <property fmtid="{D5CDD505-2E9C-101B-9397-08002B2CF9AE}" pid="4" name="KSOTemplateDocerSaveRecord">
    <vt:lpwstr>eyJoZGlkIjoiNTY3MmI4ODZmMjljZWZhNGFkN2U2N2Y4ODgwYjM5ZGIiLCJ1c2VySWQiOiIzNjI1MzY3NzcifQ==</vt:lpwstr>
  </property>
</Properties>
</file>