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BE5B53">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6E9D4AE">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41F8F4E6">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E73BE12">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sz w:val="40"/>
          <w:szCs w:val="40"/>
          <w:highlight w:val="none"/>
          <w:shd w:val="clear" w:color="auto" w:fill="auto"/>
        </w:rPr>
      </w:pPr>
      <w:bookmarkStart w:id="0" w:name="_Toc29123"/>
      <w:bookmarkStart w:id="1" w:name="_Toc1949"/>
      <w:bookmarkStart w:id="2" w:name="_Toc15679"/>
      <w:bookmarkStart w:id="3" w:name="_Toc25575"/>
      <w:r>
        <w:rPr>
          <w:rFonts w:hint="eastAsia" w:cs="宋体"/>
          <w:b/>
          <w:bCs/>
          <w:color w:val="auto"/>
          <w:sz w:val="40"/>
          <w:szCs w:val="40"/>
          <w:highlight w:val="none"/>
          <w:shd w:val="clear" w:color="auto" w:fill="auto"/>
          <w:lang w:val="en-US" w:eastAsia="zh-CN"/>
        </w:rPr>
        <w:t>2024年选聘教师工资补助经费</w:t>
      </w:r>
      <w:r>
        <w:rPr>
          <w:rFonts w:hint="eastAsia" w:ascii="宋体" w:hAnsi="宋体" w:eastAsia="宋体" w:cs="宋体"/>
          <w:b/>
          <w:bCs/>
          <w:color w:val="auto"/>
          <w:sz w:val="40"/>
          <w:szCs w:val="40"/>
          <w:highlight w:val="none"/>
          <w:shd w:val="clear" w:color="auto" w:fill="auto"/>
          <w:lang w:val="en-US" w:eastAsia="zh-CN"/>
        </w:rPr>
        <w:t>项目</w:t>
      </w:r>
      <w:r>
        <w:rPr>
          <w:rFonts w:hint="eastAsia" w:ascii="宋体" w:hAnsi="宋体" w:eastAsia="宋体" w:cs="宋体"/>
          <w:b/>
          <w:bCs/>
          <w:color w:val="auto"/>
          <w:sz w:val="40"/>
          <w:szCs w:val="40"/>
          <w:highlight w:val="none"/>
          <w:shd w:val="clear" w:color="auto" w:fill="auto"/>
        </w:rPr>
        <w:t>支出绩效评价报告</w:t>
      </w:r>
      <w:bookmarkEnd w:id="0"/>
      <w:bookmarkEnd w:id="1"/>
      <w:bookmarkEnd w:id="2"/>
      <w:bookmarkEnd w:id="3"/>
    </w:p>
    <w:p w14:paraId="0D929AF9">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021F4C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4EE7BC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7245AF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2DEF54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606D85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auto"/>
          <w:sz w:val="36"/>
          <w:szCs w:val="36"/>
          <w:highlight w:val="none"/>
          <w:shd w:val="clear" w:color="auto" w:fill="auto"/>
        </w:rPr>
      </w:pPr>
    </w:p>
    <w:p w14:paraId="5C5351FB">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auto"/>
          <w:sz w:val="36"/>
          <w:szCs w:val="36"/>
          <w:highlight w:val="none"/>
          <w:shd w:val="clear" w:color="auto" w:fill="auto"/>
        </w:rPr>
      </w:pPr>
    </w:p>
    <w:p w14:paraId="44C4FA82">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rPr>
        <w:t>项目名称：2024年选聘教师工资补助经费</w:t>
      </w:r>
    </w:p>
    <w:p w14:paraId="1920B7FF">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实施单位：阜康市三工河哈萨克族乡中心幼儿园</w:t>
      </w:r>
    </w:p>
    <w:p w14:paraId="0E79D547">
      <w:pPr>
        <w:spacing w:line="360" w:lineRule="auto"/>
        <w:ind w:firstLine="0" w:firstLineChars="0"/>
        <w:jc w:val="left"/>
        <w:rPr>
          <w:rFonts w:hint="eastAsia" w:ascii="黑体" w:hAnsi="Times New Roman" w:eastAsia="黑体"/>
          <w:b w:val="0"/>
          <w:bCs/>
          <w:color w:val="auto"/>
          <w:sz w:val="30"/>
          <w:szCs w:val="30"/>
          <w:highlight w:val="none"/>
        </w:rPr>
      </w:pPr>
      <w:r>
        <w:rPr>
          <w:rFonts w:hint="eastAsia" w:ascii="黑体" w:hAnsi="Times New Roman" w:eastAsia="黑体"/>
          <w:b w:val="0"/>
          <w:bCs/>
          <w:color w:val="auto"/>
          <w:sz w:val="30"/>
          <w:szCs w:val="30"/>
          <w:highlight w:val="none"/>
        </w:rPr>
        <w:t>主管部门：阜康市教育局</w:t>
      </w:r>
    </w:p>
    <w:p w14:paraId="4D9AE3FB">
      <w:pPr>
        <w:spacing w:line="360" w:lineRule="auto"/>
        <w:ind w:firstLine="0" w:firstLineChars="0"/>
        <w:jc w:val="left"/>
        <w:rPr>
          <w:rFonts w:hint="eastAsia" w:ascii="黑体" w:hAnsi="Times New Roman" w:eastAsia="黑体"/>
          <w:b w:val="0"/>
          <w:bCs/>
          <w:color w:val="auto"/>
          <w:sz w:val="30"/>
          <w:szCs w:val="30"/>
          <w:highlight w:val="none"/>
          <w:lang w:val="en-US" w:eastAsia="zh-CN"/>
        </w:rPr>
      </w:pPr>
      <w:r>
        <w:rPr>
          <w:rFonts w:hint="eastAsia" w:ascii="黑体" w:hAnsi="Times New Roman" w:eastAsia="黑体"/>
          <w:b w:val="0"/>
          <w:bCs/>
          <w:color w:val="auto"/>
          <w:sz w:val="30"/>
          <w:szCs w:val="30"/>
          <w:highlight w:val="none"/>
          <w:lang w:eastAsia="zh-CN"/>
        </w:rPr>
        <w:t>项目负责人：</w:t>
      </w:r>
      <w:r>
        <w:rPr>
          <w:rFonts w:hint="eastAsia" w:ascii="黑体" w:hAnsi="Times New Roman" w:eastAsia="黑体"/>
          <w:b w:val="0"/>
          <w:bCs/>
          <w:color w:val="auto"/>
          <w:sz w:val="30"/>
          <w:szCs w:val="30"/>
          <w:highlight w:val="none"/>
          <w:lang w:val="en-US" w:eastAsia="zh-CN"/>
        </w:rPr>
        <w:t>赵建文</w:t>
      </w:r>
    </w:p>
    <w:p w14:paraId="7B980981">
      <w:pPr>
        <w:spacing w:line="360" w:lineRule="auto"/>
        <w:ind w:firstLine="0" w:firstLineChars="0"/>
        <w:jc w:val="left"/>
        <w:rPr>
          <w:rFonts w:hint="default"/>
          <w:b w:val="0"/>
          <w:bCs/>
          <w:color w:val="auto"/>
          <w:highlight w:val="none"/>
          <w:lang w:val="en-US" w:eastAsia="zh-CN"/>
        </w:rPr>
      </w:pPr>
      <w:r>
        <w:rPr>
          <w:rFonts w:hint="eastAsia" w:ascii="黑体" w:hAnsi="Times New Roman" w:eastAsia="黑体"/>
          <w:b w:val="0"/>
          <w:bCs/>
          <w:color w:val="auto"/>
          <w:sz w:val="30"/>
          <w:szCs w:val="30"/>
          <w:highlight w:val="none"/>
          <w:lang w:eastAsia="zh-CN"/>
        </w:rPr>
        <w:t>填报时间：</w:t>
      </w:r>
      <w:r>
        <w:rPr>
          <w:rFonts w:hint="eastAsia" w:ascii="黑体" w:hAnsi="Times New Roman" w:eastAsia="黑体"/>
          <w:b w:val="0"/>
          <w:bCs/>
          <w:color w:val="auto"/>
          <w:sz w:val="30"/>
          <w:szCs w:val="30"/>
          <w:highlight w:val="none"/>
          <w:lang w:val="en-US" w:eastAsia="zh-CN"/>
        </w:rPr>
        <w:t>2025年3月31日</w:t>
      </w:r>
    </w:p>
    <w:p w14:paraId="1C841C89">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auto"/>
          <w:kern w:val="2"/>
          <w:sz w:val="28"/>
          <w:szCs w:val="28"/>
          <w:highlight w:val="none"/>
          <w:shd w:val="clear" w:color="auto" w:fill="auto"/>
          <w:lang w:val="en-US" w:eastAsia="zh-CN"/>
        </w:rPr>
      </w:pPr>
    </w:p>
    <w:p w14:paraId="6F58D129">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r>
        <w:rPr>
          <w:rFonts w:hint="eastAsia"/>
          <w:color w:val="auto"/>
          <w:highlight w:val="none"/>
          <w:lang w:val="en-US" w:eastAsia="zh-CN"/>
        </w:rPr>
        <w:br w:type="page"/>
      </w:r>
    </w:p>
    <w:p w14:paraId="5BD810A1">
      <w:pPr>
        <w:pageBreakBefore w:val="0"/>
        <w:kinsoku/>
        <w:wordWrap/>
        <w:overflowPunct/>
        <w:topLinePunct w:val="0"/>
        <w:autoSpaceDE/>
        <w:autoSpaceDN/>
        <w:bidi w:val="0"/>
        <w:spacing w:line="560" w:lineRule="exact"/>
        <w:textAlignment w:val="auto"/>
        <w:rPr>
          <w:rFonts w:hint="eastAsia"/>
          <w:color w:val="auto"/>
          <w:highlight w:val="none"/>
          <w:lang w:val="en-US" w:eastAsia="zh-CN"/>
        </w:rPr>
      </w:pPr>
    </w:p>
    <w:sdt>
      <w:sdtPr>
        <w:rPr>
          <w:rFonts w:ascii="宋体" w:hAnsi="宋体" w:eastAsia="宋体" w:cs="宋体"/>
          <w:b/>
          <w:bCs/>
          <w:color w:val="auto"/>
          <w:kern w:val="2"/>
          <w:sz w:val="28"/>
          <w:szCs w:val="40"/>
          <w:highlight w:val="none"/>
          <w:lang w:val="en-US" w:eastAsia="zh-CN" w:bidi="ar-SA"/>
        </w:rPr>
        <w:id w:val="147474046"/>
        <w15:color w:val="DBDBDB"/>
        <w:docPartObj>
          <w:docPartGallery w:val="Table of Contents"/>
          <w:docPartUnique/>
        </w:docPartObj>
      </w:sdtPr>
      <w:sdtEndPr>
        <w:rPr>
          <w:rFonts w:hint="eastAsia" w:ascii="宋体" w:hAnsi="宋体" w:eastAsia="宋体" w:cs="宋体"/>
          <w:b/>
          <w:bCs/>
          <w:color w:val="auto"/>
          <w:kern w:val="2"/>
          <w:sz w:val="28"/>
          <w:szCs w:val="28"/>
          <w:highlight w:val="none"/>
          <w:lang w:val="en-US" w:eastAsia="zh-CN" w:bidi="ar-SA"/>
        </w:rPr>
      </w:sdtEndPr>
      <w:sdtContent>
        <w:p w14:paraId="2F68CF37">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color w:val="auto"/>
              <w:sz w:val="40"/>
              <w:szCs w:val="40"/>
              <w:highlight w:val="none"/>
            </w:rPr>
          </w:pPr>
          <w:r>
            <w:rPr>
              <w:rFonts w:ascii="宋体" w:hAnsi="宋体" w:eastAsia="宋体"/>
              <w:b/>
              <w:bCs/>
              <w:color w:val="auto"/>
              <w:sz w:val="40"/>
              <w:szCs w:val="40"/>
              <w:highlight w:val="none"/>
            </w:rPr>
            <w:t>目录</w:t>
          </w:r>
        </w:p>
        <w:p w14:paraId="4DFA600F">
          <w:pPr>
            <w:pStyle w:val="10"/>
            <w:tabs>
              <w:tab w:val="right" w:leader="dot" w:pos="8844"/>
            </w:tabs>
            <w:rPr>
              <w:color w:val="auto"/>
              <w:highlight w:val="none"/>
            </w:rPr>
          </w:pPr>
          <w:r>
            <w:rPr>
              <w:rFonts w:hint="eastAsia"/>
              <w:color w:val="auto"/>
              <w:sz w:val="28"/>
              <w:szCs w:val="28"/>
              <w:highlight w:val="none"/>
              <w:lang w:val="en-US" w:eastAsia="zh-CN"/>
            </w:rPr>
            <w:fldChar w:fldCharType="begin"/>
          </w:r>
          <w:r>
            <w:rPr>
              <w:rFonts w:hint="eastAsia"/>
              <w:color w:val="auto"/>
              <w:sz w:val="28"/>
              <w:szCs w:val="28"/>
              <w:highlight w:val="none"/>
              <w:lang w:val="en-US" w:eastAsia="zh-CN"/>
            </w:rPr>
            <w:instrText xml:space="preserve">TOC \o "1-3" \h \u </w:instrText>
          </w:r>
          <w:r>
            <w:rPr>
              <w:rFonts w:hint="eastAsia"/>
              <w:color w:val="auto"/>
              <w:sz w:val="28"/>
              <w:szCs w:val="28"/>
              <w:highlight w:val="none"/>
              <w:lang w:val="en-US" w:eastAsia="zh-CN"/>
            </w:rPr>
            <w:fldChar w:fldCharType="separate"/>
          </w:r>
        </w:p>
        <w:p w14:paraId="2784A18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_Toc18485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rPr>
            <w:t>一、基本情况</w:t>
          </w:r>
          <w:r>
            <w:rPr>
              <w:color w:val="auto"/>
              <w:highlight w:val="none"/>
            </w:rPr>
            <w:tab/>
          </w:r>
          <w:r>
            <w:rPr>
              <w:color w:val="auto"/>
              <w:highlight w:val="none"/>
            </w:rPr>
            <w:fldChar w:fldCharType="begin"/>
          </w:r>
          <w:r>
            <w:rPr>
              <w:color w:val="auto"/>
              <w:highlight w:val="none"/>
            </w:rPr>
            <w:instrText xml:space="preserve"> PAGEREF _Toc18485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2A4CED3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_Toc23184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（一）项目概况</w:t>
          </w:r>
          <w:r>
            <w:rPr>
              <w:color w:val="auto"/>
              <w:highlight w:val="none"/>
            </w:rPr>
            <w:tab/>
          </w:r>
          <w:r>
            <w:rPr>
              <w:color w:val="auto"/>
              <w:highlight w:val="none"/>
            </w:rPr>
            <w:fldChar w:fldCharType="begin"/>
          </w:r>
          <w:r>
            <w:rPr>
              <w:color w:val="auto"/>
              <w:highlight w:val="none"/>
            </w:rPr>
            <w:instrText xml:space="preserve"> PAGEREF _Toc23184 \h </w:instrText>
          </w:r>
          <w:r>
            <w:rPr>
              <w:color w:val="auto"/>
              <w:highlight w:val="none"/>
            </w:rPr>
            <w:fldChar w:fldCharType="separate"/>
          </w:r>
          <w:r>
            <w:rPr>
              <w:color w:val="auto"/>
              <w:highlight w:val="none"/>
            </w:rPr>
            <w:t>4</w:t>
          </w:r>
          <w:r>
            <w:rPr>
              <w:color w:val="auto"/>
              <w:highlight w:val="none"/>
            </w:rPr>
            <w:fldChar w:fldCharType="end"/>
          </w:r>
          <w:r>
            <w:rPr>
              <w:rFonts w:hint="eastAsia"/>
              <w:color w:val="auto"/>
              <w:szCs w:val="28"/>
              <w:highlight w:val="none"/>
              <w:lang w:val="en-US" w:eastAsia="zh-CN"/>
            </w:rPr>
            <w:fldChar w:fldCharType="end"/>
          </w:r>
        </w:p>
        <w:p w14:paraId="2D760F4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_Toc9109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（二）项目绩效目标</w:t>
          </w:r>
          <w:r>
            <w:rPr>
              <w:color w:val="auto"/>
              <w:highlight w:val="none"/>
            </w:rPr>
            <w:tab/>
          </w:r>
          <w:r>
            <w:rPr>
              <w:color w:val="auto"/>
              <w:highlight w:val="none"/>
            </w:rPr>
            <w:fldChar w:fldCharType="begin"/>
          </w:r>
          <w:r>
            <w:rPr>
              <w:color w:val="auto"/>
              <w:highlight w:val="none"/>
            </w:rPr>
            <w:instrText xml:space="preserve"> PAGEREF _Toc9109 \h </w:instrText>
          </w:r>
          <w:r>
            <w:rPr>
              <w:color w:val="auto"/>
              <w:highlight w:val="none"/>
            </w:rPr>
            <w:fldChar w:fldCharType="separate"/>
          </w:r>
          <w:r>
            <w:rPr>
              <w:color w:val="auto"/>
              <w:highlight w:val="none"/>
            </w:rPr>
            <w:t>5</w:t>
          </w:r>
          <w:r>
            <w:rPr>
              <w:color w:val="auto"/>
              <w:highlight w:val="none"/>
            </w:rPr>
            <w:fldChar w:fldCharType="end"/>
          </w:r>
          <w:r>
            <w:rPr>
              <w:rFonts w:hint="eastAsia"/>
              <w:color w:val="auto"/>
              <w:szCs w:val="28"/>
              <w:highlight w:val="none"/>
              <w:lang w:val="en-US" w:eastAsia="zh-CN"/>
            </w:rPr>
            <w:fldChar w:fldCharType="end"/>
          </w:r>
        </w:p>
        <w:p w14:paraId="3AEE4897">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_Toc26567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rPr>
            <w:t>二、绩效评价工作开展情况</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_Toc26567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98E53CD">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_Toc22839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（一）绩效评价的目的、对象和范围</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7</w:t>
          </w:r>
          <w:r>
            <w:rPr>
              <w:color w:val="auto"/>
              <w:highlight w:val="none"/>
            </w:rPr>
            <w:fldChar w:fldCharType="end"/>
          </w:r>
          <w:r>
            <w:rPr>
              <w:rFonts w:hint="eastAsia"/>
              <w:color w:val="auto"/>
              <w:szCs w:val="28"/>
              <w:highlight w:val="none"/>
              <w:lang w:val="en-US" w:eastAsia="zh-CN"/>
            </w:rPr>
            <w:fldChar w:fldCharType="end"/>
          </w:r>
        </w:p>
        <w:p w14:paraId="3F71F7D7">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_Toc29785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（二）绩效评价原则、评价指标体系（</w:t>
          </w:r>
          <w:r>
            <w:rPr>
              <w:rFonts w:hint="default" w:ascii="Times New Roman" w:hAnsi="Times New Roman" w:eastAsia="楷体_GB2312" w:cs="Times New Roman"/>
              <w:color w:val="auto"/>
              <w:kern w:val="28"/>
              <w:highlight w:val="none"/>
              <w:lang w:val="en-US" w:eastAsia="zh-CN"/>
            </w:rPr>
            <w:t>详情见</w:t>
          </w:r>
          <w:r>
            <w:rPr>
              <w:rFonts w:hint="eastAsia" w:ascii="Times New Roman" w:hAnsi="Times New Roman" w:eastAsia="楷体_GB2312" w:cs="Times New Roman"/>
              <w:color w:val="auto"/>
              <w:kern w:val="28"/>
              <w:highlight w:val="none"/>
              <w:lang w:val="en-US" w:eastAsia="zh-CN"/>
            </w:rPr>
            <w:t>附件二）、评价方法、评价标准</w:t>
          </w:r>
          <w:r>
            <w:rPr>
              <w:color w:val="auto"/>
              <w:highlight w:val="none"/>
            </w:rPr>
            <w:tab/>
          </w:r>
          <w:r>
            <w:rPr>
              <w:color w:val="auto"/>
              <w:highlight w:val="none"/>
            </w:rPr>
            <w:fldChar w:fldCharType="begin"/>
          </w:r>
          <w:r>
            <w:rPr>
              <w:color w:val="auto"/>
              <w:highlight w:val="none"/>
            </w:rPr>
            <w:instrText xml:space="preserve"> PAGEREF _Toc29785 \h </w:instrText>
          </w:r>
          <w:r>
            <w:rPr>
              <w:color w:val="auto"/>
              <w:highlight w:val="none"/>
            </w:rPr>
            <w:fldChar w:fldCharType="separate"/>
          </w:r>
          <w:r>
            <w:rPr>
              <w:color w:val="auto"/>
              <w:highlight w:val="none"/>
            </w:rPr>
            <w:t>11</w:t>
          </w:r>
          <w:r>
            <w:rPr>
              <w:color w:val="auto"/>
              <w:highlight w:val="none"/>
            </w:rPr>
            <w:fldChar w:fldCharType="end"/>
          </w:r>
          <w:r>
            <w:rPr>
              <w:rFonts w:hint="eastAsia"/>
              <w:color w:val="auto"/>
              <w:szCs w:val="28"/>
              <w:highlight w:val="none"/>
              <w:lang w:val="en-US" w:eastAsia="zh-CN"/>
            </w:rPr>
            <w:fldChar w:fldCharType="end"/>
          </w:r>
        </w:p>
        <w:p w14:paraId="50785DA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_Toc21435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（三）绩效评价工作过程</w:t>
          </w:r>
          <w:r>
            <w:rPr>
              <w:color w:val="auto"/>
              <w:highlight w:val="none"/>
            </w:rPr>
            <w:tab/>
          </w:r>
          <w:r>
            <w:rPr>
              <w:color w:val="auto"/>
              <w:highlight w:val="none"/>
            </w:rPr>
            <w:fldChar w:fldCharType="begin"/>
          </w:r>
          <w:r>
            <w:rPr>
              <w:color w:val="auto"/>
              <w:highlight w:val="none"/>
            </w:rPr>
            <w:instrText xml:space="preserve"> PAGEREF _Toc21435 \h </w:instrText>
          </w:r>
          <w:r>
            <w:rPr>
              <w:color w:val="auto"/>
              <w:highlight w:val="none"/>
            </w:rPr>
            <w:fldChar w:fldCharType="separate"/>
          </w:r>
          <w:r>
            <w:rPr>
              <w:color w:val="auto"/>
              <w:highlight w:val="none"/>
            </w:rPr>
            <w:t>14</w:t>
          </w:r>
          <w:r>
            <w:rPr>
              <w:color w:val="auto"/>
              <w:highlight w:val="none"/>
            </w:rPr>
            <w:fldChar w:fldCharType="end"/>
          </w:r>
          <w:r>
            <w:rPr>
              <w:rFonts w:hint="eastAsia"/>
              <w:color w:val="auto"/>
              <w:szCs w:val="28"/>
              <w:highlight w:val="none"/>
              <w:lang w:val="en-US" w:eastAsia="zh-CN"/>
            </w:rPr>
            <w:fldChar w:fldCharType="end"/>
          </w:r>
        </w:p>
        <w:p w14:paraId="2C97622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_Toc19261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三、</w:t>
          </w:r>
          <w:r>
            <w:rPr>
              <w:rFonts w:hint="eastAsia" w:ascii="黑体" w:hAnsi="黑体" w:eastAsia="黑体" w:cs="黑体"/>
              <w:bCs w:val="0"/>
              <w:color w:val="auto"/>
              <w:highlight w:val="none"/>
              <w:shd w:val="clear" w:color="auto" w:fill="auto"/>
            </w:rPr>
            <w:t>综合评价情况及评价结论</w:t>
          </w:r>
          <w:r>
            <w:rPr>
              <w:color w:val="auto"/>
              <w:highlight w:val="none"/>
            </w:rPr>
            <w:tab/>
          </w:r>
          <w:r>
            <w:rPr>
              <w:color w:val="auto"/>
              <w:highlight w:val="none"/>
            </w:rPr>
            <w:fldChar w:fldCharType="begin"/>
          </w:r>
          <w:r>
            <w:rPr>
              <w:color w:val="auto"/>
              <w:highlight w:val="none"/>
            </w:rPr>
            <w:instrText xml:space="preserve"> PAGEREF _Toc19261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79BD6A7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（一）综合评价情况及评价结论</w:t>
          </w:r>
          <w:r>
            <w:rPr>
              <w:color w:val="auto"/>
              <w:highlight w:val="none"/>
            </w:rPr>
            <w:tab/>
          </w:r>
          <w:r>
            <w:rPr>
              <w:color w:val="auto"/>
              <w:highlight w:val="none"/>
            </w:rPr>
            <w:fldChar w:fldCharType="begin"/>
          </w:r>
          <w:r>
            <w:rPr>
              <w:color w:val="auto"/>
              <w:highlight w:val="none"/>
            </w:rPr>
            <w:instrText xml:space="preserve"> PAGEREF _Toc23319 \h </w:instrText>
          </w:r>
          <w:r>
            <w:rPr>
              <w:color w:val="auto"/>
              <w:highlight w:val="none"/>
            </w:rPr>
            <w:fldChar w:fldCharType="separate"/>
          </w:r>
          <w:r>
            <w:rPr>
              <w:color w:val="auto"/>
              <w:highlight w:val="none"/>
            </w:rPr>
            <w:t>16</w:t>
          </w:r>
          <w:r>
            <w:rPr>
              <w:color w:val="auto"/>
              <w:highlight w:val="none"/>
            </w:rPr>
            <w:fldChar w:fldCharType="end"/>
          </w:r>
          <w:r>
            <w:rPr>
              <w:rFonts w:hint="eastAsia"/>
              <w:color w:val="auto"/>
              <w:szCs w:val="28"/>
              <w:highlight w:val="none"/>
              <w:lang w:val="en-US" w:eastAsia="zh-CN"/>
            </w:rPr>
            <w:fldChar w:fldCharType="end"/>
          </w:r>
        </w:p>
        <w:p w14:paraId="4465E890">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_Toc11863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（二）相关评分表</w:t>
          </w:r>
          <w:r>
            <w:rPr>
              <w:color w:val="auto"/>
              <w:highlight w:val="none"/>
            </w:rPr>
            <w:tab/>
          </w:r>
          <w:r>
            <w:rPr>
              <w:color w:val="auto"/>
              <w:highlight w:val="none"/>
            </w:rPr>
            <w:fldChar w:fldCharType="begin"/>
          </w:r>
          <w:r>
            <w:rPr>
              <w:color w:val="auto"/>
              <w:highlight w:val="none"/>
            </w:rPr>
            <w:instrText xml:space="preserve"> PAGEREF _Toc11863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4523B571">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_Toc14941 </w:instrText>
          </w:r>
          <w:r>
            <w:rPr>
              <w:rFonts w:hint="eastAsia"/>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四、绩效评价指标分析</w:t>
          </w:r>
          <w:r>
            <w:rPr>
              <w:color w:val="auto"/>
              <w:highlight w:val="none"/>
            </w:rPr>
            <w:tab/>
          </w:r>
          <w:r>
            <w:rPr>
              <w:color w:val="auto"/>
              <w:highlight w:val="none"/>
            </w:rPr>
            <w:fldChar w:fldCharType="begin"/>
          </w:r>
          <w:r>
            <w:rPr>
              <w:color w:val="auto"/>
              <w:highlight w:val="none"/>
            </w:rPr>
            <w:instrText xml:space="preserve"> PAGEREF _Toc14941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2CF3CAE8">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_Toc6759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rPr>
            <w:t>（一）项目决策情况</w:t>
          </w:r>
          <w:r>
            <w:rPr>
              <w:color w:val="auto"/>
              <w:highlight w:val="none"/>
            </w:rPr>
            <w:tab/>
          </w:r>
          <w:r>
            <w:rPr>
              <w:color w:val="auto"/>
              <w:highlight w:val="none"/>
            </w:rPr>
            <w:fldChar w:fldCharType="begin"/>
          </w:r>
          <w:r>
            <w:rPr>
              <w:color w:val="auto"/>
              <w:highlight w:val="none"/>
            </w:rPr>
            <w:instrText xml:space="preserve"> PAGEREF _Toc6759 \h </w:instrText>
          </w:r>
          <w:r>
            <w:rPr>
              <w:color w:val="auto"/>
              <w:highlight w:val="none"/>
            </w:rPr>
            <w:fldChar w:fldCharType="separate"/>
          </w:r>
          <w:r>
            <w:rPr>
              <w:color w:val="auto"/>
              <w:highlight w:val="none"/>
            </w:rPr>
            <w:t>17</w:t>
          </w:r>
          <w:r>
            <w:rPr>
              <w:color w:val="auto"/>
              <w:highlight w:val="none"/>
            </w:rPr>
            <w:fldChar w:fldCharType="end"/>
          </w:r>
          <w:r>
            <w:rPr>
              <w:rFonts w:hint="eastAsia"/>
              <w:color w:val="auto"/>
              <w:szCs w:val="28"/>
              <w:highlight w:val="none"/>
              <w:lang w:val="en-US" w:eastAsia="zh-CN"/>
            </w:rPr>
            <w:fldChar w:fldCharType="end"/>
          </w:r>
        </w:p>
        <w:p w14:paraId="0FDB453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_Toc10564 </w:instrText>
          </w:r>
          <w:r>
            <w:rPr>
              <w:rFonts w:hint="eastAsia"/>
              <w:color w:val="auto"/>
              <w:szCs w:val="28"/>
              <w:highlight w:val="none"/>
              <w:lang w:val="en-US" w:eastAsia="zh-CN"/>
            </w:rPr>
            <w:fldChar w:fldCharType="separate"/>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lang w:val="en-US" w:eastAsia="zh-CN"/>
            </w:rPr>
            <w:t>二</w:t>
          </w:r>
          <w:r>
            <w:rPr>
              <w:rFonts w:hint="eastAsia" w:ascii="Times New Roman" w:hAnsi="Times New Roman" w:eastAsia="楷体" w:cs="Times New Roman"/>
              <w:color w:val="auto"/>
              <w:kern w:val="28"/>
              <w:highlight w:val="none"/>
              <w:lang w:eastAsia="zh-CN"/>
            </w:rPr>
            <w:t>）</w:t>
          </w:r>
          <w:r>
            <w:rPr>
              <w:rFonts w:hint="eastAsia" w:ascii="Times New Roman" w:hAnsi="Times New Roman" w:eastAsia="楷体" w:cs="Times New Roman"/>
              <w:color w:val="auto"/>
              <w:kern w:val="28"/>
              <w:highlight w:val="none"/>
            </w:rPr>
            <w:t>项目过程情况</w:t>
          </w:r>
          <w:r>
            <w:rPr>
              <w:color w:val="auto"/>
              <w:highlight w:val="none"/>
            </w:rPr>
            <w:tab/>
          </w:r>
          <w:r>
            <w:rPr>
              <w:color w:val="auto"/>
              <w:highlight w:val="none"/>
            </w:rPr>
            <w:fldChar w:fldCharType="begin"/>
          </w:r>
          <w:r>
            <w:rPr>
              <w:color w:val="auto"/>
              <w:highlight w:val="none"/>
            </w:rPr>
            <w:instrText xml:space="preserve"> PAGEREF _Toc10564 \h </w:instrText>
          </w:r>
          <w:r>
            <w:rPr>
              <w:color w:val="auto"/>
              <w:highlight w:val="none"/>
            </w:rPr>
            <w:fldChar w:fldCharType="separate"/>
          </w:r>
          <w:r>
            <w:rPr>
              <w:color w:val="auto"/>
              <w:highlight w:val="none"/>
            </w:rPr>
            <w:t>20</w:t>
          </w:r>
          <w:r>
            <w:rPr>
              <w:color w:val="auto"/>
              <w:highlight w:val="none"/>
            </w:rPr>
            <w:fldChar w:fldCharType="end"/>
          </w:r>
          <w:r>
            <w:rPr>
              <w:rFonts w:hint="eastAsia"/>
              <w:color w:val="auto"/>
              <w:szCs w:val="28"/>
              <w:highlight w:val="none"/>
              <w:lang w:val="en-US" w:eastAsia="zh-CN"/>
            </w:rPr>
            <w:fldChar w:fldCharType="end"/>
          </w:r>
        </w:p>
        <w:p w14:paraId="41623604">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_Toc2441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（三）项目产出情况</w:t>
          </w:r>
          <w:r>
            <w:rPr>
              <w:color w:val="auto"/>
              <w:highlight w:val="none"/>
            </w:rPr>
            <w:tab/>
          </w:r>
          <w:r>
            <w:rPr>
              <w:color w:val="auto"/>
              <w:highlight w:val="none"/>
            </w:rPr>
            <w:fldChar w:fldCharType="begin"/>
          </w:r>
          <w:r>
            <w:rPr>
              <w:color w:val="auto"/>
              <w:highlight w:val="none"/>
            </w:rPr>
            <w:instrText xml:space="preserve"> PAGEREF _Toc2441 \h </w:instrText>
          </w:r>
          <w:r>
            <w:rPr>
              <w:color w:val="auto"/>
              <w:highlight w:val="none"/>
            </w:rPr>
            <w:fldChar w:fldCharType="separate"/>
          </w:r>
          <w:r>
            <w:rPr>
              <w:color w:val="auto"/>
              <w:highlight w:val="none"/>
            </w:rPr>
            <w:t>23</w:t>
          </w:r>
          <w:r>
            <w:rPr>
              <w:color w:val="auto"/>
              <w:highlight w:val="none"/>
            </w:rPr>
            <w:fldChar w:fldCharType="end"/>
          </w:r>
          <w:r>
            <w:rPr>
              <w:rFonts w:hint="eastAsia"/>
              <w:color w:val="auto"/>
              <w:szCs w:val="28"/>
              <w:highlight w:val="none"/>
              <w:lang w:val="en-US" w:eastAsia="zh-CN"/>
            </w:rPr>
            <w:fldChar w:fldCharType="end"/>
          </w:r>
        </w:p>
        <w:p w14:paraId="71BE7B59">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_Toc19424 </w:instrText>
          </w:r>
          <w:r>
            <w:rPr>
              <w:rFonts w:hint="eastAsia"/>
              <w:color w:val="auto"/>
              <w:szCs w:val="28"/>
              <w:highlight w:val="none"/>
              <w:lang w:val="en-US" w:eastAsia="zh-CN"/>
            </w:rPr>
            <w:fldChar w:fldCharType="separate"/>
          </w:r>
          <w:r>
            <w:rPr>
              <w:rFonts w:hint="eastAsia" w:ascii="Times New Roman" w:hAnsi="Times New Roman" w:eastAsia="楷体_GB2312" w:cs="Times New Roman"/>
              <w:color w:val="auto"/>
              <w:kern w:val="28"/>
              <w:highlight w:val="none"/>
              <w:lang w:val="en-US" w:eastAsia="zh-CN"/>
            </w:rPr>
            <w:t>（四）项目效益情况</w:t>
          </w:r>
          <w:r>
            <w:rPr>
              <w:color w:val="auto"/>
              <w:highlight w:val="none"/>
            </w:rPr>
            <w:tab/>
          </w:r>
          <w:r>
            <w:rPr>
              <w:color w:val="auto"/>
              <w:highlight w:val="none"/>
            </w:rPr>
            <w:fldChar w:fldCharType="begin"/>
          </w:r>
          <w:r>
            <w:rPr>
              <w:color w:val="auto"/>
              <w:highlight w:val="none"/>
            </w:rPr>
            <w:instrText xml:space="preserve"> PAGEREF _Toc19424 \h </w:instrText>
          </w:r>
          <w:r>
            <w:rPr>
              <w:color w:val="auto"/>
              <w:highlight w:val="none"/>
            </w:rPr>
            <w:fldChar w:fldCharType="separate"/>
          </w:r>
          <w:r>
            <w:rPr>
              <w:color w:val="auto"/>
              <w:highlight w:val="none"/>
            </w:rPr>
            <w:t>24</w:t>
          </w:r>
          <w:r>
            <w:rPr>
              <w:color w:val="auto"/>
              <w:highlight w:val="none"/>
            </w:rPr>
            <w:fldChar w:fldCharType="end"/>
          </w:r>
          <w:r>
            <w:rPr>
              <w:rFonts w:hint="eastAsia"/>
              <w:color w:val="auto"/>
              <w:szCs w:val="28"/>
              <w:highlight w:val="none"/>
              <w:lang w:val="en-US" w:eastAsia="zh-CN"/>
            </w:rPr>
            <w:fldChar w:fldCharType="end"/>
          </w:r>
        </w:p>
        <w:p w14:paraId="7F28AD36">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_Toc23313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（五）满意度指标完成情况分析</w:t>
          </w:r>
          <w:r>
            <w:rPr>
              <w:color w:val="auto"/>
              <w:highlight w:val="none"/>
            </w:rPr>
            <w:tab/>
          </w:r>
          <w:r>
            <w:rPr>
              <w:color w:val="auto"/>
              <w:highlight w:val="none"/>
            </w:rPr>
            <w:fldChar w:fldCharType="begin"/>
          </w:r>
          <w:r>
            <w:rPr>
              <w:color w:val="auto"/>
              <w:highlight w:val="none"/>
            </w:rPr>
            <w:instrText xml:space="preserve"> PAGEREF _Toc23313 \h </w:instrText>
          </w:r>
          <w:r>
            <w:rPr>
              <w:color w:val="auto"/>
              <w:highlight w:val="none"/>
            </w:rPr>
            <w:fldChar w:fldCharType="separate"/>
          </w:r>
          <w:r>
            <w:rPr>
              <w:color w:val="auto"/>
              <w:highlight w:val="none"/>
            </w:rPr>
            <w:t>25</w:t>
          </w:r>
          <w:r>
            <w:rPr>
              <w:color w:val="auto"/>
              <w:highlight w:val="none"/>
            </w:rPr>
            <w:fldChar w:fldCharType="end"/>
          </w:r>
          <w:r>
            <w:rPr>
              <w:rFonts w:hint="eastAsia"/>
              <w:color w:val="auto"/>
              <w:szCs w:val="28"/>
              <w:highlight w:val="none"/>
              <w:lang w:val="en-US" w:eastAsia="zh-CN"/>
            </w:rPr>
            <w:fldChar w:fldCharType="end"/>
          </w:r>
        </w:p>
        <w:p w14:paraId="2E9A8485">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_Toc6622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五、主要经验及做法、存在的问题及原因分析</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_Toc6622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26</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EC27C0F">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_Toc15449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（一）主要经验及做法</w:t>
          </w:r>
          <w:r>
            <w:rPr>
              <w:color w:val="auto"/>
              <w:highlight w:val="none"/>
            </w:rPr>
            <w:tab/>
          </w:r>
          <w:r>
            <w:rPr>
              <w:color w:val="auto"/>
              <w:highlight w:val="none"/>
            </w:rPr>
            <w:fldChar w:fldCharType="begin"/>
          </w:r>
          <w:r>
            <w:rPr>
              <w:color w:val="auto"/>
              <w:highlight w:val="none"/>
            </w:rPr>
            <w:instrText xml:space="preserve"> PAGEREF _Toc15449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6A1CFA9A">
          <w:pPr>
            <w:pStyle w:val="10"/>
            <w:tabs>
              <w:tab w:val="right" w:leader="dot" w:pos="8844"/>
            </w:tabs>
            <w:rPr>
              <w:color w:val="auto"/>
              <w:highlight w:val="none"/>
            </w:rPr>
          </w:pPr>
          <w:r>
            <w:rPr>
              <w:rFonts w:hint="eastAsia"/>
              <w:color w:val="auto"/>
              <w:szCs w:val="28"/>
              <w:highlight w:val="none"/>
              <w:lang w:val="en-US" w:eastAsia="zh-CN"/>
            </w:rPr>
            <w:fldChar w:fldCharType="begin"/>
          </w:r>
          <w:r>
            <w:rPr>
              <w:rFonts w:hint="eastAsia"/>
              <w:color w:val="auto"/>
              <w:szCs w:val="28"/>
              <w:highlight w:val="none"/>
              <w:lang w:val="en-US" w:eastAsia="zh-CN"/>
            </w:rPr>
            <w:instrText xml:space="preserve"> HYPERLINK \l _Toc29168 </w:instrText>
          </w:r>
          <w:r>
            <w:rPr>
              <w:rFonts w:hint="eastAsia"/>
              <w:color w:val="auto"/>
              <w:szCs w:val="28"/>
              <w:highlight w:val="none"/>
              <w:lang w:val="en-US" w:eastAsia="zh-CN"/>
            </w:rPr>
            <w:fldChar w:fldCharType="separate"/>
          </w:r>
          <w:r>
            <w:rPr>
              <w:rFonts w:hint="eastAsia" w:ascii="Times New Roman" w:hAnsi="Times New Roman" w:eastAsia="楷体_GB2312" w:cs="Times New Roman"/>
              <w:bCs/>
              <w:color w:val="auto"/>
              <w:kern w:val="28"/>
              <w:highlight w:val="none"/>
              <w:lang w:val="en-US" w:eastAsia="zh-CN"/>
            </w:rPr>
            <w:t>（二）存在的问题及原因分析</w:t>
          </w:r>
          <w:r>
            <w:rPr>
              <w:color w:val="auto"/>
              <w:highlight w:val="none"/>
            </w:rPr>
            <w:tab/>
          </w:r>
          <w:r>
            <w:rPr>
              <w:color w:val="auto"/>
              <w:highlight w:val="none"/>
            </w:rPr>
            <w:fldChar w:fldCharType="begin"/>
          </w:r>
          <w:r>
            <w:rPr>
              <w:color w:val="auto"/>
              <w:highlight w:val="none"/>
            </w:rPr>
            <w:instrText xml:space="preserve"> PAGEREF _Toc29168 \h </w:instrText>
          </w:r>
          <w:r>
            <w:rPr>
              <w:color w:val="auto"/>
              <w:highlight w:val="none"/>
            </w:rPr>
            <w:fldChar w:fldCharType="separate"/>
          </w:r>
          <w:r>
            <w:rPr>
              <w:color w:val="auto"/>
              <w:highlight w:val="none"/>
            </w:rPr>
            <w:t>26</w:t>
          </w:r>
          <w:r>
            <w:rPr>
              <w:color w:val="auto"/>
              <w:highlight w:val="none"/>
            </w:rPr>
            <w:fldChar w:fldCharType="end"/>
          </w:r>
          <w:r>
            <w:rPr>
              <w:rFonts w:hint="eastAsia"/>
              <w:color w:val="auto"/>
              <w:szCs w:val="28"/>
              <w:highlight w:val="none"/>
              <w:lang w:val="en-US" w:eastAsia="zh-CN"/>
            </w:rPr>
            <w:fldChar w:fldCharType="end"/>
          </w:r>
        </w:p>
        <w:p w14:paraId="21B32043">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_Toc3333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六、有关建议</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_Toc3333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27</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7FC6AF1">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_Toc14256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val="0"/>
              <w:color w:val="auto"/>
              <w:highlight w:val="none"/>
              <w:shd w:val="clear" w:color="auto" w:fill="auto"/>
              <w:lang w:val="en-US" w:eastAsia="zh-CN"/>
            </w:rPr>
            <w:t>七、其他需要说明的问题</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_Toc14256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28</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07E1D82">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_Toc28971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附件一、项目支出绩效自评表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_Toc28971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29</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F642E03">
          <w:pPr>
            <w:pStyle w:val="10"/>
            <w:tabs>
              <w:tab w:val="right" w:leader="dot" w:pos="8844"/>
            </w:tabs>
            <w:rPr>
              <w:rFonts w:hint="eastAsia" w:ascii="黑体" w:hAnsi="黑体" w:eastAsia="黑体" w:cs="黑体"/>
              <w:color w:val="auto"/>
              <w:highlight w:val="none"/>
            </w:rPr>
          </w:pPr>
          <w:r>
            <w:rPr>
              <w:rFonts w:hint="eastAsia" w:ascii="黑体" w:hAnsi="黑体" w:eastAsia="黑体" w:cs="黑体"/>
              <w:color w:val="auto"/>
              <w:szCs w:val="28"/>
              <w:highlight w:val="none"/>
              <w:lang w:val="en-US" w:eastAsia="zh-CN"/>
            </w:rPr>
            <w:fldChar w:fldCharType="begin"/>
          </w:r>
          <w:r>
            <w:rPr>
              <w:rFonts w:hint="eastAsia" w:ascii="黑体" w:hAnsi="黑体" w:eastAsia="黑体" w:cs="黑体"/>
              <w:color w:val="auto"/>
              <w:szCs w:val="28"/>
              <w:highlight w:val="none"/>
              <w:lang w:val="en-US" w:eastAsia="zh-CN"/>
            </w:rPr>
            <w:instrText xml:space="preserve"> HYPERLINK \l _Toc11223 </w:instrText>
          </w:r>
          <w:r>
            <w:rPr>
              <w:rFonts w:hint="eastAsia" w:ascii="黑体" w:hAnsi="黑体" w:eastAsia="黑体" w:cs="黑体"/>
              <w:color w:val="auto"/>
              <w:szCs w:val="28"/>
              <w:highlight w:val="none"/>
              <w:lang w:val="en-US" w:eastAsia="zh-CN"/>
            </w:rPr>
            <w:fldChar w:fldCharType="separate"/>
          </w:r>
          <w:r>
            <w:rPr>
              <w:rFonts w:hint="eastAsia" w:ascii="黑体" w:hAnsi="黑体" w:eastAsia="黑体" w:cs="黑体"/>
              <w:bCs/>
              <w:color w:val="auto"/>
              <w:highlight w:val="none"/>
              <w:shd w:val="clear" w:color="auto" w:fill="auto"/>
              <w:lang w:val="en-US" w:eastAsia="zh-CN"/>
            </w:rPr>
            <w:t>附件二、项目支出绩效评价指标体系打分表</w:t>
          </w:r>
          <w:r>
            <w:rPr>
              <w:rFonts w:hint="eastAsia" w:ascii="黑体" w:hAnsi="黑体" w:eastAsia="黑体" w:cs="黑体"/>
              <w:color w:val="auto"/>
              <w:highlight w:val="none"/>
            </w:rPr>
            <w:tab/>
          </w:r>
          <w:r>
            <w:rPr>
              <w:rFonts w:hint="eastAsia" w:ascii="黑体" w:hAnsi="黑体" w:eastAsia="黑体" w:cs="黑体"/>
              <w:color w:val="auto"/>
              <w:highlight w:val="none"/>
            </w:rPr>
            <w:fldChar w:fldCharType="begin"/>
          </w:r>
          <w:r>
            <w:rPr>
              <w:rFonts w:hint="eastAsia" w:ascii="黑体" w:hAnsi="黑体" w:eastAsia="黑体" w:cs="黑体"/>
              <w:color w:val="auto"/>
              <w:highlight w:val="none"/>
            </w:rPr>
            <w:instrText xml:space="preserve"> PAGEREF _Toc11223 \h </w:instrText>
          </w:r>
          <w:r>
            <w:rPr>
              <w:rFonts w:hint="eastAsia" w:ascii="黑体" w:hAnsi="黑体" w:eastAsia="黑体" w:cs="黑体"/>
              <w:color w:val="auto"/>
              <w:highlight w:val="none"/>
            </w:rPr>
            <w:fldChar w:fldCharType="separate"/>
          </w:r>
          <w:r>
            <w:rPr>
              <w:rFonts w:hint="eastAsia" w:ascii="黑体" w:hAnsi="黑体" w:eastAsia="黑体" w:cs="黑体"/>
              <w:color w:val="auto"/>
              <w:highlight w:val="none"/>
            </w:rPr>
            <w:t>33</w:t>
          </w:r>
          <w:r>
            <w:rPr>
              <w:rFonts w:hint="eastAsia" w:ascii="黑体" w:hAnsi="黑体" w:eastAsia="黑体" w:cs="黑体"/>
              <w:color w:val="auto"/>
              <w:highlight w:val="none"/>
            </w:rPr>
            <w:fldChar w:fldCharType="end"/>
          </w:r>
          <w:r>
            <w:rPr>
              <w:rFonts w:hint="eastAsia" w:ascii="黑体" w:hAnsi="黑体" w:eastAsia="黑体" w:cs="黑体"/>
              <w:color w:val="auto"/>
              <w:szCs w:val="28"/>
              <w:highlight w:val="none"/>
              <w:lang w:val="en-US" w:eastAsia="zh-CN"/>
            </w:rPr>
            <w:fldChar w:fldCharType="end"/>
          </w:r>
        </w:p>
        <w:p w14:paraId="1D6CA6E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color w:val="auto"/>
              <w:highlight w:val="none"/>
              <w:lang w:val="en-US" w:eastAsia="zh-CN"/>
            </w:rPr>
            <w:sectPr>
              <w:pgSz w:w="11906" w:h="16838"/>
              <w:pgMar w:top="1928" w:right="1531" w:bottom="1701" w:left="1531" w:header="737" w:footer="851" w:gutter="0"/>
              <w:cols w:space="720" w:num="1"/>
              <w:docGrid w:type="lines" w:linePitch="408" w:charSpace="0"/>
            </w:sectPr>
          </w:pPr>
          <w:r>
            <w:rPr>
              <w:rFonts w:hint="eastAsia"/>
              <w:color w:val="auto"/>
              <w:szCs w:val="28"/>
              <w:highlight w:val="none"/>
              <w:lang w:val="en-US" w:eastAsia="zh-CN"/>
            </w:rPr>
            <w:fldChar w:fldCharType="end"/>
          </w:r>
        </w:p>
      </w:sdtContent>
    </w:sdt>
    <w:p w14:paraId="2CD8ACED">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auto"/>
          <w:highlight w:val="none"/>
          <w:shd w:val="clear" w:color="auto" w:fill="auto"/>
        </w:rPr>
      </w:pPr>
      <w:bookmarkStart w:id="4" w:name="OLE_LINK1"/>
      <w:bookmarkStart w:id="5" w:name="OLE_LINK2"/>
      <w:bookmarkStart w:id="6" w:name="_Toc20432"/>
      <w:bookmarkStart w:id="7" w:name="_Toc3663"/>
      <w:bookmarkStart w:id="8" w:name="_Toc1194"/>
      <w:bookmarkStart w:id="9" w:name="_Toc22946"/>
      <w:r>
        <w:rPr>
          <w:rFonts w:hint="eastAsia" w:cs="宋体"/>
          <w:b/>
          <w:bCs/>
          <w:color w:val="auto"/>
          <w:sz w:val="36"/>
          <w:szCs w:val="36"/>
          <w:highlight w:val="none"/>
          <w:shd w:val="clear" w:color="auto" w:fill="auto"/>
          <w:lang w:val="en-US" w:eastAsia="zh-CN"/>
        </w:rPr>
        <w:t>2024年选聘教师工资补助经费</w:t>
      </w:r>
      <w:bookmarkEnd w:id="4"/>
      <w:r>
        <w:rPr>
          <w:rFonts w:hint="eastAsia" w:ascii="宋体" w:hAnsi="宋体" w:eastAsia="宋体" w:cs="宋体"/>
          <w:b/>
          <w:bCs/>
          <w:color w:val="auto"/>
          <w:sz w:val="36"/>
          <w:szCs w:val="36"/>
          <w:highlight w:val="none"/>
          <w:shd w:val="clear" w:color="auto" w:fill="auto"/>
          <w:lang w:val="en-US" w:eastAsia="zh-CN"/>
        </w:rPr>
        <w:t>项目</w:t>
      </w:r>
      <w:bookmarkEnd w:id="5"/>
      <w:r>
        <w:rPr>
          <w:rFonts w:hint="eastAsia" w:ascii="宋体" w:hAnsi="宋体" w:eastAsia="宋体" w:cs="宋体"/>
          <w:b/>
          <w:bCs/>
          <w:color w:val="auto"/>
          <w:sz w:val="36"/>
          <w:szCs w:val="36"/>
          <w:highlight w:val="none"/>
          <w:shd w:val="clear" w:color="auto" w:fill="auto"/>
        </w:rPr>
        <w:t>支出绩效评价报告</w:t>
      </w:r>
      <w:bookmarkEnd w:id="6"/>
      <w:bookmarkEnd w:id="7"/>
      <w:bookmarkEnd w:id="8"/>
      <w:bookmarkEnd w:id="9"/>
    </w:p>
    <w:p w14:paraId="723B15AF">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 w:name="_Toc18485"/>
      <w:r>
        <w:rPr>
          <w:rFonts w:hint="eastAsia" w:ascii="黑体" w:hAnsi="黑体" w:eastAsia="黑体" w:cs="黑体"/>
          <w:b w:val="0"/>
          <w:bCs w:val="0"/>
          <w:color w:val="auto"/>
          <w:highlight w:val="none"/>
          <w:shd w:val="clear" w:color="auto" w:fill="auto"/>
        </w:rPr>
        <w:t>一、基本情况</w:t>
      </w:r>
      <w:bookmarkEnd w:id="10"/>
    </w:p>
    <w:p w14:paraId="204CCD64">
      <w:pPr>
        <w:pStyle w:val="14"/>
        <w:keepNext w:val="0"/>
        <w:keepLines w:val="0"/>
        <w:pageBreakBefore w:val="0"/>
        <w:widowControl/>
        <w:kinsoku/>
        <w:wordWrap/>
        <w:overflowPunct/>
        <w:topLinePunct w:val="0"/>
        <w:autoSpaceDE/>
        <w:autoSpaceDN/>
        <w:bidi w:val="0"/>
        <w:adjustRightInd/>
        <w:snapToGrid/>
        <w:spacing w:before="0" w:beforeLines="0" w:after="0" w:afterLines="0" w:line="240" w:lineRule="auto"/>
        <w:ind w:firstLine="0" w:firstLineChars="0"/>
        <w:jc w:val="left"/>
        <w:textAlignment w:val="auto"/>
        <w:outlineLvl w:val="1"/>
        <w:rPr>
          <w:rFonts w:hint="eastAsia" w:ascii="Times New Roman" w:hAnsi="Times New Roman" w:eastAsia="楷体_GB2312" w:cs="Times New Roman"/>
          <w:color w:val="auto"/>
          <w:kern w:val="28"/>
          <w:sz w:val="32"/>
          <w:highlight w:val="none"/>
          <w:lang w:val="en-US" w:eastAsia="zh-CN"/>
        </w:rPr>
      </w:pPr>
      <w:bookmarkStart w:id="11" w:name="_Toc23184"/>
      <w:r>
        <w:rPr>
          <w:rFonts w:hint="eastAsia" w:ascii="Times New Roman" w:hAnsi="Times New Roman" w:eastAsia="楷体_GB2312" w:cs="Times New Roman"/>
          <w:color w:val="auto"/>
          <w:kern w:val="28"/>
          <w:sz w:val="32"/>
          <w:highlight w:val="none"/>
          <w:lang w:val="en-US" w:eastAsia="zh-CN"/>
        </w:rPr>
        <w:t>（一）项目概况</w:t>
      </w:r>
      <w:bookmarkEnd w:id="11"/>
    </w:p>
    <w:p w14:paraId="3791E05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lang w:eastAsia="zh-CN"/>
        </w:rPr>
      </w:pPr>
      <w:bookmarkStart w:id="12" w:name="_Toc29812"/>
      <w:bookmarkStart w:id="13" w:name="_Toc22346"/>
      <w:bookmarkStart w:id="14" w:name="_Toc10645"/>
      <w:bookmarkStart w:id="15" w:name="_Toc5043"/>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项目背景</w:t>
      </w:r>
      <w:bookmarkEnd w:id="12"/>
      <w:bookmarkEnd w:id="13"/>
      <w:bookmarkEnd w:id="14"/>
      <w:bookmarkEnd w:id="15"/>
    </w:p>
    <w:p w14:paraId="1EE0D09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bookmarkStart w:id="16" w:name="_Toc17880"/>
      <w:bookmarkStart w:id="17" w:name="_Toc10730"/>
      <w:bookmarkStart w:id="18" w:name="_Toc27343"/>
      <w:bookmarkStart w:id="19" w:name="_Toc1630"/>
      <w:r>
        <w:rPr>
          <w:rFonts w:hint="eastAsia" w:ascii="仿宋_GB2312" w:hAnsi="仿宋_GB2312" w:eastAsia="仿宋_GB2312" w:cs="仿宋_GB2312"/>
          <w:sz w:val="32"/>
          <w:szCs w:val="32"/>
          <w:lang w:val="en-US" w:eastAsia="zh-CN"/>
        </w:rPr>
        <w:t>在学前教育蓬勃发展的当下，社会对优质学前教育的需求日益增长。为响应《中华人民共和国学前教育法》中推进普及学前教育，构建公益普惠、安全优质的学前教育公共服务体系，保障幼儿园教师工资福利、依法缴纳社会保险 、实行同工同酬的号召，本地区积极推动学前教育事业发展。然而，随着公办幼儿园在园幼儿数量持续上升，现有编制内教师难以满足教学需求，师资力量不足的问题愈发突出。同时，周边幼儿园调研显示，教师工资待遇较低是导致教师流动性大的关键因素，严重影响教学稳定性和教育质量。为解决这些问题，特设立 2024 年选聘教师工资补助经费。</w:t>
      </w:r>
    </w:p>
    <w:p w14:paraId="36274D1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主要内容及实施情况</w:t>
      </w:r>
      <w:bookmarkEnd w:id="16"/>
      <w:bookmarkEnd w:id="17"/>
      <w:bookmarkEnd w:id="18"/>
      <w:bookmarkEnd w:id="19"/>
    </w:p>
    <w:p w14:paraId="2DD321E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bookmarkStart w:id="20" w:name="_Toc27409"/>
      <w:bookmarkStart w:id="21" w:name="_Toc21898"/>
      <w:bookmarkStart w:id="22" w:name="_Toc16592"/>
      <w:bookmarkStart w:id="23" w:name="_Toc27245"/>
      <w:r>
        <w:rPr>
          <w:rFonts w:hint="eastAsia" w:ascii="仿宋_GB2312" w:hAnsi="仿宋_GB2312" w:eastAsia="仿宋_GB2312" w:cs="仿宋_GB2312"/>
          <w:sz w:val="32"/>
          <w:szCs w:val="32"/>
          <w:lang w:val="en-US" w:eastAsia="zh-CN"/>
        </w:rPr>
        <w:t>项目主要内容：</w:t>
      </w:r>
      <w:bookmarkEnd w:id="20"/>
      <w:bookmarkEnd w:id="21"/>
      <w:bookmarkEnd w:id="22"/>
      <w:bookmarkEnd w:id="23"/>
    </w:p>
    <w:p w14:paraId="428FCCE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①资金筹集：</w:t>
      </w:r>
      <w:r>
        <w:rPr>
          <w:rFonts w:hint="eastAsia" w:ascii="仿宋_GB2312" w:hAnsi="仿宋_GB2312" w:eastAsia="仿宋_GB2312" w:cs="仿宋_GB2312"/>
          <w:sz w:val="32"/>
          <w:szCs w:val="32"/>
          <w:lang w:val="en-US" w:eastAsia="zh-CN"/>
        </w:rPr>
        <w:t>通过财政拨款等渠道，筹集选聘教师工资补助经费28.11万元，确保资金充足。</w:t>
      </w:r>
    </w:p>
    <w:p w14:paraId="5A99A0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②教师选聘：</w:t>
      </w:r>
      <w:r>
        <w:rPr>
          <w:rFonts w:hint="eastAsia" w:ascii="仿宋_GB2312" w:hAnsi="仿宋_GB2312" w:eastAsia="仿宋_GB2312" w:cs="仿宋_GB2312"/>
          <w:sz w:val="32"/>
          <w:szCs w:val="32"/>
          <w:lang w:val="en-US" w:eastAsia="zh-CN"/>
        </w:rPr>
        <w:t>依据严格的招聘流程，面向社会公开选聘优秀幼儿园教师。明确招聘条件，要求应聘者具备学前教育专业背景、相应教师资格证书，且有一定教学经验或突出教学能力。</w:t>
      </w:r>
    </w:p>
    <w:p w14:paraId="60C7615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③工资发放：</w:t>
      </w:r>
      <w:r>
        <w:rPr>
          <w:rFonts w:hint="eastAsia" w:ascii="仿宋_GB2312" w:hAnsi="仿宋_GB2312" w:eastAsia="仿宋_GB2312" w:cs="仿宋_GB2312"/>
          <w:sz w:val="32"/>
          <w:szCs w:val="32"/>
          <w:lang w:val="en-US" w:eastAsia="zh-CN"/>
        </w:rPr>
        <w:t>根据当地教师工资水平和市场行情，制定合理的工资标准。为选聘教师按时、足额发放工资，包含基本工资、工龄工资等，确保教师待遇具有竞争力。同时，依法为教师缴纳社会保险和住房公积金，保障其合法权益。</w:t>
      </w:r>
    </w:p>
    <w:p w14:paraId="48E112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项目实施情况：</w:t>
      </w:r>
      <w:r>
        <w:rPr>
          <w:rFonts w:hint="eastAsia" w:ascii="仿宋_GB2312" w:hAnsi="仿宋_GB2312" w:eastAsia="仿宋_GB2312" w:cs="仿宋_GB2312"/>
          <w:sz w:val="32"/>
          <w:szCs w:val="32"/>
          <w:lang w:val="en-US" w:eastAsia="zh-CN"/>
        </w:rPr>
        <w:t>本项目自2024年2月1日经</w:t>
      </w:r>
      <w:bookmarkStart w:id="24" w:name="OLE_LINK14"/>
      <w:r>
        <w:rPr>
          <w:rFonts w:hint="eastAsia" w:ascii="仿宋_GB2312" w:hAnsi="仿宋_GB2312" w:eastAsia="仿宋_GB2312" w:cs="仿宋_GB2312"/>
          <w:sz w:val="32"/>
          <w:szCs w:val="32"/>
          <w:lang w:val="en-US" w:eastAsia="zh-CN"/>
        </w:rPr>
        <w:t>《阜康市财政局关于2024年部门预算批复》【阜财预字（2024）7号】</w:t>
      </w:r>
      <w:bookmarkEnd w:id="24"/>
      <w:r>
        <w:rPr>
          <w:rFonts w:hint="eastAsia" w:ascii="仿宋_GB2312" w:hAnsi="仿宋_GB2312" w:eastAsia="仿宋_GB2312" w:cs="仿宋_GB2312"/>
          <w:sz w:val="32"/>
          <w:szCs w:val="32"/>
          <w:lang w:val="en-US" w:eastAsia="zh-CN"/>
        </w:rPr>
        <w:t>文件批复，经阜康市三工河哈萨克族乡中心幼儿园财经会议和党支部会议，确定了项目领导小组，明确了责任分工：</w:t>
      </w:r>
    </w:p>
    <w:p w14:paraId="7027544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组长为赵建文，副组长为马晓丽，项目负责人为索金梅,组员为阿加尔、海兰，其中：阿加尔负责监管工作，海兰负责项目档案资料，索金梅负责资金拨付工作。</w:t>
      </w:r>
    </w:p>
    <w:p w14:paraId="7674CCF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2024年12月31日，本项目按每人每月0.47万元的标准，完成5名选聘教师工资发放12次，共支付28.11万元。项目实施达到保障教师的正常工资待遇，提高教师的归属感，减少教师队伍人员流失，有效改善教学环境，提供良好的幼儿成长条件。</w:t>
      </w:r>
    </w:p>
    <w:p w14:paraId="1F66DD50">
      <w:pPr>
        <w:pStyle w:val="5"/>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25" w:name="_Toc1858"/>
      <w:bookmarkStart w:id="26" w:name="_Toc569"/>
      <w:bookmarkStart w:id="27" w:name="_Toc12348"/>
      <w:bookmarkStart w:id="28" w:name="_Toc10240"/>
      <w:r>
        <w:rPr>
          <w:rFonts w:hint="eastAsia" w:ascii="仿宋_GB2312" w:hAnsi="仿宋_GB2312" w:eastAsia="仿宋_GB2312" w:cs="仿宋_GB2312"/>
          <w:color w:val="auto"/>
          <w:sz w:val="32"/>
          <w:szCs w:val="32"/>
          <w:highlight w:val="none"/>
          <w:shd w:val="clear" w:color="auto" w:fill="auto"/>
          <w:lang w:val="en-US" w:eastAsia="zh-CN"/>
        </w:rPr>
        <w:t>3.资金投入和使用情况</w:t>
      </w:r>
      <w:bookmarkEnd w:id="25"/>
      <w:bookmarkEnd w:id="26"/>
      <w:bookmarkEnd w:id="27"/>
      <w:bookmarkEnd w:id="28"/>
    </w:p>
    <w:p w14:paraId="55B93E24">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26369"/>
      <w:bookmarkStart w:id="30" w:name="_Toc23509"/>
      <w:bookmarkStart w:id="31" w:name="_Toc694"/>
      <w:r>
        <w:rPr>
          <w:rFonts w:hint="eastAsia" w:ascii="仿宋_GB2312" w:hAnsi="仿宋_GB2312" w:eastAsia="仿宋_GB2312" w:cs="仿宋_GB2312"/>
          <w:color w:val="auto"/>
          <w:sz w:val="32"/>
          <w:szCs w:val="32"/>
          <w:highlight w:val="none"/>
          <w:lang w:val="en-US" w:eastAsia="zh-CN"/>
        </w:rPr>
        <w:t>（1）资金投入情况</w:t>
      </w:r>
      <w:bookmarkEnd w:id="29"/>
      <w:bookmarkEnd w:id="30"/>
      <w:bookmarkEnd w:id="31"/>
    </w:p>
    <w:p w14:paraId="30EFFEE6">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2" w:name="_Toc29190"/>
      <w:bookmarkStart w:id="33" w:name="_Toc9464"/>
      <w:bookmarkStart w:id="34" w:name="_Toc5573"/>
      <w:r>
        <w:rPr>
          <w:rFonts w:hint="eastAsia" w:ascii="仿宋_GB2312" w:hAnsi="仿宋_GB2312" w:eastAsia="仿宋_GB2312" w:cs="仿宋_GB2312"/>
          <w:color w:val="auto"/>
          <w:sz w:val="32"/>
          <w:szCs w:val="32"/>
          <w:highlight w:val="none"/>
          <w:lang w:val="en-US" w:eastAsia="zh-CN"/>
        </w:rPr>
        <w:t>该项目年初预算数28.11万元，全年预算数28.11万元，该项目资金已全部落实到位，资金来源为财政拨款。</w:t>
      </w:r>
      <w:bookmarkEnd w:id="32"/>
      <w:bookmarkEnd w:id="33"/>
      <w:bookmarkEnd w:id="34"/>
      <w:bookmarkStart w:id="35" w:name="_Toc28187"/>
      <w:bookmarkStart w:id="36" w:name="_Toc1166"/>
      <w:bookmarkStart w:id="37" w:name="_Toc3409"/>
    </w:p>
    <w:p w14:paraId="202A6063">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5"/>
      <w:bookmarkEnd w:id="36"/>
      <w:bookmarkEnd w:id="37"/>
    </w:p>
    <w:p w14:paraId="51A118F2">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8" w:name="_Toc29121"/>
      <w:bookmarkStart w:id="39" w:name="_Toc1430"/>
      <w:bookmarkStart w:id="40" w:name="_Toc11647"/>
      <w:r>
        <w:rPr>
          <w:rFonts w:hint="eastAsia" w:ascii="仿宋_GB2312" w:hAnsi="仿宋_GB2312" w:eastAsia="仿宋_GB2312" w:cs="仿宋_GB2312"/>
          <w:color w:val="auto"/>
          <w:sz w:val="32"/>
          <w:szCs w:val="32"/>
          <w:highlight w:val="none"/>
          <w:lang w:val="en-US" w:eastAsia="zh-CN"/>
        </w:rPr>
        <w:t>该项目年初预算数28.11万元，全年预算数28.11万元，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全年执行数28.11万元，预算执行率为100%，主要用于：选聘教师工资发放、社保缴纳。</w:t>
      </w:r>
      <w:bookmarkEnd w:id="38"/>
      <w:bookmarkEnd w:id="39"/>
      <w:bookmarkEnd w:id="40"/>
    </w:p>
    <w:p w14:paraId="0115BAF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41" w:name="_Toc9109"/>
      <w:r>
        <w:rPr>
          <w:rFonts w:hint="eastAsia" w:ascii="Times New Roman" w:hAnsi="Times New Roman" w:eastAsia="楷体_GB2312" w:cs="Times New Roman"/>
          <w:color w:val="auto"/>
          <w:kern w:val="28"/>
          <w:sz w:val="32"/>
          <w:highlight w:val="none"/>
          <w:lang w:val="en-US" w:eastAsia="zh-CN"/>
        </w:rPr>
        <w:t>（二）项目绩效目标</w:t>
      </w:r>
      <w:bookmarkEnd w:id="41"/>
    </w:p>
    <w:p w14:paraId="4AA27584">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2" w:name="_Toc8528"/>
      <w:bookmarkStart w:id="43" w:name="_Toc10047"/>
      <w:bookmarkStart w:id="44" w:name="_Toc14758"/>
      <w:bookmarkStart w:id="45" w:name="_Toc2547"/>
      <w:r>
        <w:rPr>
          <w:rFonts w:hint="eastAsia" w:ascii="仿宋_GB2312" w:hAnsi="仿宋_GB2312" w:eastAsia="仿宋_GB2312" w:cs="仿宋_GB2312"/>
          <w:color w:val="auto"/>
          <w:sz w:val="32"/>
          <w:szCs w:val="32"/>
          <w:highlight w:val="none"/>
          <w:shd w:val="clear" w:color="auto" w:fill="auto"/>
          <w:lang w:val="en-US" w:eastAsia="zh-CN"/>
        </w:rPr>
        <w:t>1.总体目标</w:t>
      </w:r>
      <w:bookmarkEnd w:id="42"/>
      <w:bookmarkEnd w:id="43"/>
      <w:bookmarkEnd w:id="44"/>
      <w:bookmarkEnd w:id="45"/>
    </w:p>
    <w:p w14:paraId="5A7D858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绩效总体目标为：保障2024年幼儿园正常运转，维持幼儿园正常教学秩序。计划全年按时支付选聘教师5人12次工资补助经费，每人每月0.47万元。通过按时发放选聘教师工资，保障教师的正常工资待遇，提高教师的归属感，减少教师队伍人员流失，有效改善教学环境，提供良好的幼儿成长条件，达到幼儿园正常运转的目的。</w:t>
      </w:r>
    </w:p>
    <w:p w14:paraId="068F97E0">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46" w:name="_Toc3255"/>
      <w:bookmarkStart w:id="47" w:name="_Toc4007"/>
      <w:bookmarkStart w:id="48" w:name="_Toc4487"/>
      <w:bookmarkStart w:id="49" w:name="_Toc8990"/>
      <w:r>
        <w:rPr>
          <w:rFonts w:hint="eastAsia" w:ascii="仿宋_GB2312" w:hAnsi="仿宋_GB2312" w:eastAsia="仿宋_GB2312" w:cs="仿宋_GB2312"/>
          <w:color w:val="auto"/>
          <w:sz w:val="32"/>
          <w:szCs w:val="32"/>
          <w:highlight w:val="none"/>
          <w:shd w:val="clear" w:color="auto" w:fill="auto"/>
          <w:lang w:val="en-US" w:eastAsia="zh-CN"/>
        </w:rPr>
        <w:t>2.阶段性目标</w:t>
      </w:r>
      <w:bookmarkEnd w:id="46"/>
      <w:bookmarkEnd w:id="47"/>
      <w:bookmarkEnd w:id="48"/>
      <w:bookmarkEnd w:id="49"/>
    </w:p>
    <w:p w14:paraId="38268B0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highlight w:val="none"/>
          <w:shd w:val="clear" w:color="auto" w:fill="auto"/>
          <w:lang w:eastAsia="zh-CN"/>
        </w:rPr>
      </w:pPr>
      <w:r>
        <w:rPr>
          <w:rFonts w:hint="eastAsia" w:ascii="仿宋_GB2312" w:hAnsi="仿宋_GB2312" w:eastAsia="仿宋_GB2312" w:cs="仿宋_GB2312"/>
          <w:bCs/>
          <w:color w:val="auto"/>
          <w:sz w:val="32"/>
          <w:szCs w:val="32"/>
          <w:highlight w:val="none"/>
          <w:shd w:val="clear" w:color="auto" w:fill="auto"/>
          <w:lang w:eastAsia="zh-CN"/>
        </w:rPr>
        <w:t>根据《预算法》《财政支出绩效评价管理暂行办法》（财预〔20</w:t>
      </w:r>
      <w:r>
        <w:rPr>
          <w:rFonts w:hint="eastAsia" w:ascii="仿宋_GB2312" w:hAnsi="仿宋_GB2312" w:eastAsia="仿宋_GB2312" w:cs="仿宋_GB2312"/>
          <w:bCs/>
          <w:color w:val="auto"/>
          <w:sz w:val="32"/>
          <w:szCs w:val="32"/>
          <w:highlight w:val="none"/>
          <w:shd w:val="clear" w:color="auto" w:fill="auto"/>
          <w:lang w:val="en-US" w:eastAsia="zh-CN"/>
        </w:rPr>
        <w:t>20</w:t>
      </w:r>
      <w:r>
        <w:rPr>
          <w:rFonts w:hint="eastAsia" w:ascii="仿宋_GB2312" w:hAnsi="仿宋_GB2312" w:eastAsia="仿宋_GB2312" w:cs="仿宋_GB2312"/>
          <w:bCs/>
          <w:color w:val="auto"/>
          <w:sz w:val="32"/>
          <w:szCs w:val="32"/>
          <w:highlight w:val="none"/>
          <w:shd w:val="clear" w:color="auto" w:fill="auto"/>
          <w:lang w:eastAsia="zh-CN"/>
        </w:rPr>
        <w:t>〕</w:t>
      </w:r>
      <w:r>
        <w:rPr>
          <w:rFonts w:hint="eastAsia" w:ascii="仿宋_GB2312" w:hAnsi="仿宋_GB2312" w:eastAsia="仿宋_GB2312" w:cs="仿宋_GB2312"/>
          <w:bCs/>
          <w:color w:val="auto"/>
          <w:sz w:val="32"/>
          <w:szCs w:val="32"/>
          <w:highlight w:val="none"/>
          <w:shd w:val="clear" w:color="auto" w:fill="auto"/>
          <w:lang w:val="en-US" w:eastAsia="zh-CN"/>
        </w:rPr>
        <w:t>10</w:t>
      </w:r>
      <w:r>
        <w:rPr>
          <w:rFonts w:hint="eastAsia" w:ascii="仿宋_GB2312" w:hAnsi="仿宋_GB2312" w:eastAsia="仿宋_GB2312" w:cs="仿宋_GB2312"/>
          <w:bCs/>
          <w:color w:val="auto"/>
          <w:sz w:val="32"/>
          <w:szCs w:val="32"/>
          <w:highlight w:val="none"/>
          <w:shd w:val="clear" w:color="auto" w:fill="auto"/>
          <w:lang w:eastAsia="zh-CN"/>
        </w:rPr>
        <w:t>号）</w:t>
      </w:r>
      <w:r>
        <w:rPr>
          <w:rFonts w:hint="eastAsia" w:ascii="仿宋_GB2312" w:hAnsi="仿宋_GB2312" w:eastAsia="仿宋_GB2312" w:cs="仿宋_GB2312"/>
          <w:color w:val="auto"/>
          <w:sz w:val="32"/>
          <w:szCs w:val="32"/>
          <w:highlight w:val="none"/>
          <w:shd w:val="clear" w:color="auto" w:fill="auto"/>
          <w:lang w:val="en-US" w:eastAsia="zh-CN"/>
        </w:rPr>
        <w:t>等文件</w:t>
      </w:r>
      <w:r>
        <w:rPr>
          <w:rFonts w:hint="eastAsia" w:ascii="仿宋_GB2312" w:hAnsi="仿宋_GB2312" w:eastAsia="仿宋_GB2312" w:cs="仿宋_GB2312"/>
          <w:bCs/>
          <w:color w:val="auto"/>
          <w:sz w:val="32"/>
          <w:szCs w:val="32"/>
          <w:highlight w:val="none"/>
          <w:shd w:val="clear" w:color="auto" w:fill="auto"/>
          <w:lang w:eastAsia="zh-CN"/>
        </w:rPr>
        <w:t>的规定，结合项目实施单位的规章制度以及财务相关资料，评价小组对项目绩效目标进行了进一步的完善，完善</w:t>
      </w:r>
      <w:r>
        <w:rPr>
          <w:rFonts w:hint="eastAsia" w:ascii="仿宋_GB2312" w:hAnsi="仿宋_GB2312" w:eastAsia="仿宋_GB2312" w:cs="仿宋_GB2312"/>
          <w:bCs/>
          <w:color w:val="auto"/>
          <w:sz w:val="32"/>
          <w:szCs w:val="32"/>
          <w:highlight w:val="none"/>
          <w:shd w:val="clear" w:color="auto" w:fill="auto"/>
          <w:lang w:val="en-US" w:eastAsia="zh-CN"/>
        </w:rPr>
        <w:t>后</w:t>
      </w:r>
      <w:r>
        <w:rPr>
          <w:rFonts w:hint="eastAsia" w:ascii="仿宋_GB2312" w:hAnsi="仿宋_GB2312" w:eastAsia="仿宋_GB2312" w:cs="仿宋_GB2312"/>
          <w:bCs/>
          <w:color w:val="auto"/>
          <w:sz w:val="32"/>
          <w:szCs w:val="32"/>
          <w:highlight w:val="none"/>
          <w:shd w:val="clear" w:color="auto" w:fill="auto"/>
          <w:lang w:eastAsia="zh-CN"/>
        </w:rPr>
        <w:t>绩效目标如下：</w:t>
      </w:r>
    </w:p>
    <w:p w14:paraId="7C30BF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1</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rPr>
        <w:t>项目产出</w:t>
      </w:r>
      <w:r>
        <w:rPr>
          <w:rFonts w:hint="eastAsia" w:ascii="仿宋_GB2312" w:hAnsi="仿宋_GB2312" w:eastAsia="仿宋_GB2312" w:cs="仿宋_GB2312"/>
          <w:color w:val="auto"/>
          <w:sz w:val="32"/>
          <w:szCs w:val="32"/>
          <w:highlight w:val="none"/>
          <w:shd w:val="clear" w:color="auto" w:fill="auto"/>
          <w:lang w:val="en-US" w:eastAsia="zh-CN"/>
        </w:rPr>
        <w:t>目标</w:t>
      </w:r>
    </w:p>
    <w:p w14:paraId="76D179C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6D89035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选聘教师人数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指标，预期目标值为≧5人；</w:t>
      </w:r>
    </w:p>
    <w:p w14:paraId="386B4242">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工资支付次数</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指标，预期目标值为=12次；</w:t>
      </w:r>
    </w:p>
    <w:p w14:paraId="4207308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50" w:name="OLE_LINK3"/>
      <w:r>
        <w:rPr>
          <w:rFonts w:hint="eastAsia" w:ascii="仿宋_GB2312" w:hAnsi="仿宋_GB2312" w:eastAsia="仿宋_GB2312" w:cs="仿宋_GB2312"/>
          <w:color w:val="auto"/>
          <w:sz w:val="32"/>
          <w:szCs w:val="32"/>
          <w:highlight w:val="none"/>
          <w:shd w:val="clear" w:color="auto" w:fill="auto"/>
          <w:lang w:val="en-US" w:eastAsia="zh-CN"/>
        </w:rPr>
        <w:t>②质量指标</w:t>
      </w:r>
    </w:p>
    <w:p w14:paraId="078DA23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人员经费享受比例</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bookmarkEnd w:id="50"/>
    </w:p>
    <w:p w14:paraId="4155B1C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7AB3417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“选聘教师工资发放时间”指标，预期目标值为=1次/月；</w:t>
      </w:r>
    </w:p>
    <w:p w14:paraId="37DD0D1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（2）成本指标</w:t>
      </w:r>
    </w:p>
    <w:p w14:paraId="4C625DA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人员经费标准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指标，预期目标值为=5.62万元/人/学年；</w:t>
      </w:r>
    </w:p>
    <w:p w14:paraId="789CB97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）项目效益</w:t>
      </w:r>
      <w:r>
        <w:rPr>
          <w:rFonts w:hint="eastAsia" w:ascii="仿宋_GB2312" w:hAnsi="仿宋_GB2312" w:eastAsia="仿宋_GB2312" w:cs="仿宋_GB2312"/>
          <w:color w:val="auto"/>
          <w:sz w:val="32"/>
          <w:szCs w:val="32"/>
          <w:highlight w:val="none"/>
          <w:shd w:val="clear" w:color="auto" w:fill="auto"/>
          <w:lang w:val="en-US" w:eastAsia="zh-CN"/>
        </w:rPr>
        <w:t>目标</w:t>
      </w:r>
    </w:p>
    <w:p w14:paraId="757611F3">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①经济效益指标</w:t>
      </w:r>
    </w:p>
    <w:p w14:paraId="3CC2D747">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color w:va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项目不涉及经济效益指标。</w:t>
      </w:r>
    </w:p>
    <w:p w14:paraId="1C2D224D">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②社会效益指标</w:t>
      </w:r>
    </w:p>
    <w:p w14:paraId="21BAFF83">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学校正常运转率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r>
        <w:rPr>
          <w:rFonts w:hint="eastAsia" w:ascii="仿宋_GB2312" w:hAnsi="仿宋_GB2312" w:eastAsia="仿宋_GB2312" w:cs="仿宋_GB2312"/>
          <w:color w:val="auto"/>
          <w:sz w:val="32"/>
          <w:szCs w:val="32"/>
          <w:highlight w:val="none"/>
          <w:shd w:val="clear" w:color="auto" w:fill="auto"/>
          <w:lang w:val="en-US" w:eastAsia="zh-CN"/>
        </w:rPr>
        <w:tab/>
      </w:r>
      <w:r>
        <w:rPr>
          <w:rFonts w:hint="eastAsia" w:ascii="仿宋_GB2312" w:hAnsi="仿宋_GB2312" w:eastAsia="仿宋_GB2312" w:cs="仿宋_GB2312"/>
          <w:color w:val="auto"/>
          <w:sz w:val="32"/>
          <w:szCs w:val="32"/>
          <w:highlight w:val="none"/>
          <w:shd w:val="clear" w:color="auto" w:fill="auto"/>
          <w:lang w:val="en-US" w:eastAsia="zh-CN"/>
        </w:rPr>
        <w:tab/>
      </w:r>
    </w:p>
    <w:p w14:paraId="0E80C51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改善教学环境，提供良好的学生成长条件</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指标，预期目标值为改善。</w:t>
      </w:r>
    </w:p>
    <w:p w14:paraId="6228A1C0">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③生态效益指标</w:t>
      </w:r>
    </w:p>
    <w:p w14:paraId="3D8D3992">
      <w:pPr>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项目不涉及生态效益指标。</w:t>
      </w:r>
    </w:p>
    <w:p w14:paraId="15E0ECF8">
      <w:pPr>
        <w:pageBreakBefore w:val="0"/>
        <w:widowControl w:val="0"/>
        <w:kinsoku/>
        <w:wordWrap/>
        <w:overflowPunct/>
        <w:topLinePunct w:val="0"/>
        <w:autoSpaceDE/>
        <w:autoSpaceDN/>
        <w:bidi w:val="0"/>
        <w:adjustRightInd/>
        <w:snapToGrid/>
        <w:spacing w:line="560" w:lineRule="exact"/>
        <w:textAlignment w:val="auto"/>
        <w:rPr>
          <w:rFonts w:hint="default"/>
          <w:color w:va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④可持续影响指标</w:t>
      </w:r>
    </w:p>
    <w:p w14:paraId="796ECF3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项目不涉及可持续影响指标。</w:t>
      </w:r>
    </w:p>
    <w:p w14:paraId="5FF6BFE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⑤满意度指标</w:t>
      </w:r>
    </w:p>
    <w:p w14:paraId="7F5C4A3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项目不涉及满意度指标。</w:t>
      </w:r>
    </w:p>
    <w:p w14:paraId="405B96C3">
      <w:pPr>
        <w:pStyle w:val="3"/>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51" w:name="_Toc26567"/>
      <w:r>
        <w:rPr>
          <w:rFonts w:hint="eastAsia" w:ascii="宋体" w:hAnsi="宋体" w:eastAsia="宋体" w:cs="宋体"/>
          <w:b/>
          <w:bCs/>
          <w:color w:val="auto"/>
          <w:highlight w:val="none"/>
          <w:shd w:val="clear" w:color="auto" w:fill="auto"/>
        </w:rPr>
        <w:t>二、绩效评价工作开展情况</w:t>
      </w:r>
      <w:bookmarkEnd w:id="51"/>
    </w:p>
    <w:p w14:paraId="7154FF4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52" w:name="_Toc26632"/>
      <w:bookmarkStart w:id="53" w:name="_Toc5258"/>
      <w:bookmarkStart w:id="54" w:name="_Toc5462343"/>
      <w:bookmarkStart w:id="55" w:name="_Toc21664"/>
      <w:bookmarkStart w:id="56" w:name="_Toc22922"/>
      <w:bookmarkStart w:id="57" w:name="_Toc22169_WPSOffice_Level2"/>
      <w:bookmarkStart w:id="58" w:name="_Toc480473081"/>
      <w:bookmarkStart w:id="59" w:name="_Toc12868"/>
      <w:bookmarkStart w:id="60" w:name="_Toc22839"/>
      <w:r>
        <w:rPr>
          <w:rFonts w:hint="eastAsia" w:ascii="Times New Roman" w:hAnsi="Times New Roman" w:eastAsia="楷体_GB2312" w:cs="Times New Roman"/>
          <w:color w:val="auto"/>
          <w:kern w:val="28"/>
          <w:sz w:val="32"/>
          <w:highlight w:val="none"/>
          <w:lang w:val="en-US" w:eastAsia="zh-CN"/>
        </w:rPr>
        <w:t>（一）绩效评价的目的</w:t>
      </w:r>
      <w:bookmarkEnd w:id="52"/>
      <w:bookmarkEnd w:id="53"/>
      <w:bookmarkEnd w:id="54"/>
      <w:bookmarkEnd w:id="55"/>
      <w:bookmarkEnd w:id="56"/>
      <w:bookmarkEnd w:id="57"/>
      <w:bookmarkEnd w:id="58"/>
      <w:bookmarkEnd w:id="59"/>
      <w:r>
        <w:rPr>
          <w:rFonts w:hint="eastAsia" w:ascii="Times New Roman" w:hAnsi="Times New Roman" w:eastAsia="楷体_GB2312" w:cs="Times New Roman"/>
          <w:color w:val="auto"/>
          <w:kern w:val="28"/>
          <w:sz w:val="32"/>
          <w:highlight w:val="none"/>
          <w:lang w:val="en-US" w:eastAsia="zh-CN"/>
        </w:rPr>
        <w:t>、对象和范围</w:t>
      </w:r>
      <w:bookmarkEnd w:id="60"/>
    </w:p>
    <w:p w14:paraId="3374E15E">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color w:val="auto"/>
          <w:kern w:val="2"/>
          <w:sz w:val="32"/>
          <w:szCs w:val="32"/>
          <w:highlight w:val="none"/>
          <w:lang w:val="en-US" w:eastAsia="zh-CN" w:bidi="ar-SA"/>
        </w:rPr>
      </w:pPr>
      <w:bookmarkStart w:id="61" w:name="_Toc15732"/>
      <w:r>
        <w:rPr>
          <w:rFonts w:hint="default" w:ascii="Times New Roman" w:hAnsi="Times New Roman" w:eastAsia="仿宋_GB2312" w:cs="Times New Roman"/>
          <w:b/>
          <w:bCs/>
          <w:color w:val="auto"/>
          <w:kern w:val="2"/>
          <w:sz w:val="32"/>
          <w:szCs w:val="32"/>
          <w:highlight w:val="none"/>
          <w:lang w:val="en-US" w:eastAsia="zh-CN" w:bidi="ar-SA"/>
        </w:rPr>
        <w:t>1.绩效评价完整性</w:t>
      </w:r>
    </w:p>
    <w:p w14:paraId="2C2551C2">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0EB2E2A">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等多个维度，力求全方位反映项目的绩效状况。同时，对于每个指标的评价标准和数据来源均进行了明确说明，确保评价结果的客观性和可追溯性。</w:t>
      </w:r>
    </w:p>
    <w:p w14:paraId="5F0E934D">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7C0293F4">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C3F7367">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11F0FC47">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2" w:name="_Toc21770"/>
      <w:bookmarkStart w:id="63" w:name="_Toc417"/>
      <w:r>
        <w:rPr>
          <w:rFonts w:hint="eastAsia" w:cs="仿宋_GB2312"/>
          <w:color w:val="auto"/>
          <w:sz w:val="32"/>
          <w:szCs w:val="32"/>
          <w:highlight w:val="none"/>
          <w:shd w:val="clear" w:color="auto" w:fill="auto"/>
          <w:lang w:val="en-US" w:eastAsia="zh-CN"/>
        </w:rPr>
        <w:t>2</w:t>
      </w:r>
      <w:r>
        <w:rPr>
          <w:rFonts w:hint="eastAsia"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eastAsia="zh-CN"/>
        </w:rPr>
        <w:t>绩效评价的目的</w:t>
      </w:r>
      <w:bookmarkEnd w:id="61"/>
      <w:bookmarkEnd w:id="62"/>
      <w:bookmarkEnd w:id="63"/>
    </w:p>
    <w:p w14:paraId="3223154B">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shd w:val="clear" w:color="auto" w:fill="auto"/>
          <w:lang w:eastAsia="zh-CN"/>
        </w:rPr>
      </w:pPr>
      <w:r>
        <w:rPr>
          <w:rFonts w:hint="eastAsia" w:ascii="仿宋_GB2312" w:hAnsi="仿宋_GB2312" w:eastAsia="仿宋_GB2312" w:cs="仿宋_GB2312"/>
          <w:color w:val="auto"/>
          <w:sz w:val="32"/>
          <w:szCs w:val="32"/>
          <w:highlight w:val="none"/>
          <w:shd w:val="clear" w:color="auto" w:fill="auto"/>
          <w:lang w:eastAsia="zh-CN"/>
        </w:rPr>
        <w:t>为全面了解</w:t>
      </w:r>
      <w:r>
        <w:rPr>
          <w:rFonts w:hint="eastAsia" w:ascii="仿宋_GB2312" w:hAnsi="仿宋_GB2312" w:eastAsia="仿宋_GB2312" w:cs="仿宋_GB2312"/>
          <w:color w:val="auto"/>
          <w:sz w:val="32"/>
          <w:szCs w:val="32"/>
          <w:highlight w:val="none"/>
          <w:shd w:val="clear" w:color="auto" w:fill="auto"/>
          <w:lang w:val="en-US" w:eastAsia="zh-CN"/>
        </w:rPr>
        <w:t>该</w:t>
      </w:r>
      <w:r>
        <w:rPr>
          <w:rFonts w:hint="eastAsia" w:ascii="仿宋_GB2312" w:hAnsi="仿宋_GB2312" w:eastAsia="仿宋_GB2312" w:cs="仿宋_GB2312"/>
          <w:color w:val="auto"/>
          <w:sz w:val="32"/>
          <w:szCs w:val="32"/>
          <w:highlight w:val="none"/>
          <w:shd w:val="clear" w:color="auto" w:fill="auto"/>
          <w:lang w:eastAsia="zh-CN"/>
        </w:rPr>
        <w:t>项目预算编制合理性、资金使用合规性、项目管理的规范性、</w:t>
      </w:r>
      <w:r>
        <w:rPr>
          <w:rFonts w:hint="eastAsia" w:ascii="仿宋_GB2312" w:hAnsi="仿宋_GB2312" w:eastAsia="仿宋_GB2312" w:cs="仿宋_GB2312"/>
          <w:color w:val="auto"/>
          <w:sz w:val="32"/>
          <w:szCs w:val="32"/>
          <w:highlight w:val="none"/>
          <w:shd w:val="clear" w:color="auto" w:fill="auto"/>
          <w:lang w:val="en-US" w:eastAsia="zh-CN"/>
        </w:rPr>
        <w:t>绩效</w:t>
      </w:r>
      <w:r>
        <w:rPr>
          <w:rFonts w:hint="eastAsia" w:ascii="仿宋_GB2312" w:hAnsi="仿宋_GB2312" w:eastAsia="仿宋_GB2312" w:cs="仿宋_GB2312"/>
          <w:color w:val="auto"/>
          <w:sz w:val="32"/>
          <w:szCs w:val="32"/>
          <w:highlight w:val="none"/>
          <w:shd w:val="clear" w:color="auto" w:fill="auto"/>
          <w:lang w:eastAsia="zh-CN"/>
        </w:rPr>
        <w:t>目标的实现情况、服务对象的满意度等，通过本次</w:t>
      </w:r>
      <w:r>
        <w:rPr>
          <w:rFonts w:hint="eastAsia" w:ascii="仿宋_GB2312" w:hAnsi="仿宋_GB2312" w:eastAsia="仿宋_GB2312" w:cs="仿宋_GB2312"/>
          <w:color w:val="auto"/>
          <w:sz w:val="32"/>
          <w:szCs w:val="32"/>
          <w:highlight w:val="none"/>
          <w:shd w:val="clear" w:color="auto" w:fill="auto"/>
          <w:lang w:val="en-US" w:eastAsia="zh-CN"/>
        </w:rPr>
        <w:t>部门</w:t>
      </w:r>
      <w:r>
        <w:rPr>
          <w:rFonts w:hint="eastAsia" w:ascii="仿宋_GB2312" w:hAnsi="仿宋_GB2312" w:eastAsia="仿宋_GB2312" w:cs="仿宋_GB2312"/>
          <w:color w:val="auto"/>
          <w:sz w:val="32"/>
          <w:szCs w:val="32"/>
          <w:highlight w:val="none"/>
          <w:shd w:val="clear" w:color="auto" w:fill="auto"/>
          <w:lang w:eastAsia="zh-CN"/>
        </w:rPr>
        <w:t>绩效评价来总结经验和教训，促进项目成果转化和应用，为今后类似项目的长效管理，提供可行性参考建议。</w:t>
      </w:r>
    </w:p>
    <w:p w14:paraId="62040B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bookmarkStart w:id="64" w:name="_Toc30609"/>
      <w:r>
        <w:rPr>
          <w:rFonts w:hint="default" w:ascii="Times New Roman" w:hAnsi="Times New Roman" w:eastAsia="仿宋_GB2312" w:cs="Times New Roman"/>
          <w:color w:val="auto"/>
          <w:sz w:val="32"/>
          <w:szCs w:val="32"/>
          <w:highlight w:val="none"/>
        </w:rPr>
        <w:t>（1）评估项目实施效果</w:t>
      </w:r>
    </w:p>
    <w:p w14:paraId="0CACB2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通过对项目预算执行情况及各项绩效目标达成程度的系统性分析，全面、客观地评估项目在预定周期内的实施效果，包括社会效益以及可持续性等多维度指标，为项目后续的改进与优化提供科学依据。</w:t>
      </w:r>
    </w:p>
    <w:p w14:paraId="7CE523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7737C7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629A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D55CC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6066D9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5CE79A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4C7DB8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5CEC95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77AA0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48CD9478">
      <w:pPr>
        <w:pStyle w:val="5"/>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65" w:name="_Toc31970"/>
      <w:bookmarkStart w:id="66" w:name="_Toc16346"/>
      <w:r>
        <w:rPr>
          <w:rFonts w:hint="eastAsia"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lang w:val="en-US" w:eastAsia="zh-CN"/>
        </w:rPr>
        <w:t>.绩效评价的对象</w:t>
      </w:r>
      <w:bookmarkEnd w:id="64"/>
      <w:bookmarkEnd w:id="65"/>
      <w:bookmarkEnd w:id="66"/>
    </w:p>
    <w:p w14:paraId="177E460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此次我单位根据</w:t>
      </w:r>
      <w:r>
        <w:rPr>
          <w:rFonts w:hint="eastAsia" w:ascii="仿宋_GB2312" w:hAnsi="仿宋_GB2312" w:eastAsia="仿宋_GB2312" w:cs="仿宋_GB2312"/>
          <w:color w:val="auto"/>
          <w:sz w:val="32"/>
          <w:szCs w:val="32"/>
          <w:highlight w:val="none"/>
          <w:shd w:val="clear" w:color="auto" w:fill="auto"/>
        </w:rPr>
        <w:t>《财政支出绩效评价管理暂行办法》（</w:t>
      </w:r>
      <w:r>
        <w:rPr>
          <w:rFonts w:hint="eastAsia" w:ascii="仿宋_GB2312" w:hAnsi="仿宋_GB2312" w:eastAsia="仿宋_GB2312" w:cs="仿宋_GB2312"/>
          <w:color w:val="auto"/>
          <w:sz w:val="32"/>
          <w:szCs w:val="32"/>
          <w:highlight w:val="none"/>
          <w:shd w:val="clear" w:color="auto" w:fill="auto"/>
          <w:lang w:eastAsia="zh-CN"/>
        </w:rPr>
        <w:t>财预〔2020〕10号</w:t>
      </w:r>
      <w:r>
        <w:rPr>
          <w:rFonts w:hint="eastAsia" w:ascii="仿宋_GB2312" w:hAnsi="仿宋_GB2312" w:eastAsia="仿宋_GB2312" w:cs="仿宋_GB2312"/>
          <w:color w:val="auto"/>
          <w:sz w:val="32"/>
          <w:szCs w:val="32"/>
          <w:highlight w:val="none"/>
          <w:shd w:val="clear" w:color="auto" w:fill="auto"/>
        </w:rPr>
        <w:t>）</w:t>
      </w:r>
      <w:r>
        <w:rPr>
          <w:rFonts w:hint="eastAsia" w:ascii="仿宋_GB2312" w:hAnsi="仿宋_GB2312" w:eastAsia="仿宋_GB2312" w:cs="仿宋_GB2312"/>
          <w:color w:val="auto"/>
          <w:sz w:val="32"/>
          <w:szCs w:val="32"/>
          <w:highlight w:val="none"/>
          <w:shd w:val="clear" w:color="auto" w:fill="auto"/>
          <w:lang w:val="en-US" w:eastAsia="zh-CN"/>
        </w:rPr>
        <w:t>文件要求对2024年度我单位实施的</w:t>
      </w:r>
      <w:bookmarkStart w:id="67" w:name="OLE_LINK5"/>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bookmarkEnd w:id="67"/>
      <w:r>
        <w:rPr>
          <w:rFonts w:hint="default" w:ascii="仿宋_GB2312" w:hAnsi="仿宋_GB2312" w:eastAsia="仿宋_GB2312" w:cs="仿宋_GB2312"/>
          <w:color w:val="auto"/>
          <w:sz w:val="32"/>
          <w:szCs w:val="32"/>
          <w:highlight w:val="none"/>
          <w:shd w:val="clear" w:color="auto" w:fill="auto"/>
        </w:rPr>
        <w:t>及其预算执行情况</w:t>
      </w:r>
      <w:r>
        <w:rPr>
          <w:rFonts w:hint="eastAsia" w:ascii="仿宋_GB2312" w:hAnsi="仿宋_GB2312" w:eastAsia="仿宋_GB2312" w:cs="仿宋_GB2312"/>
          <w:color w:val="auto"/>
          <w:sz w:val="32"/>
          <w:szCs w:val="32"/>
          <w:highlight w:val="none"/>
          <w:shd w:val="clear" w:color="auto" w:fill="auto"/>
          <w:lang w:val="en-US" w:eastAsia="zh-CN"/>
        </w:rPr>
        <w:t>开展部门绩效评价。</w:t>
      </w:r>
    </w:p>
    <w:p w14:paraId="55ED3D35">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pP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该项目由</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阜康市三工河哈萨克族乡中心幼儿园</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负责实施，旨在</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保障教师的正常工资待遇，提高教师的归属感，减少教师队伍人员流失，有效改善教学环境，提供良好的幼儿成长条件</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。项目预算涵盖从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的全部资金投入与支出，涉及资金总额为</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28.11</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万元。</w:t>
      </w:r>
    </w:p>
    <w:p w14:paraId="0A7B152F">
      <w:pPr>
        <w:pStyle w:val="5"/>
        <w:pageBreakBefore w:val="0"/>
        <w:kinsoku/>
        <w:wordWrap/>
        <w:overflowPunct/>
        <w:topLinePunct w:val="0"/>
        <w:autoSpaceDE/>
        <w:autoSpaceDN/>
        <w:bidi w:val="0"/>
        <w:adjustRightInd/>
        <w:spacing w:line="560" w:lineRule="exact"/>
        <w:textAlignment w:val="auto"/>
        <w:rPr>
          <w:rFonts w:hint="default" w:cs="仿宋_GB2312"/>
          <w:color w:val="auto"/>
          <w:sz w:val="32"/>
          <w:szCs w:val="32"/>
          <w:highlight w:val="none"/>
          <w:shd w:val="clear" w:color="auto" w:fill="auto"/>
          <w:lang w:val="en-US" w:eastAsia="zh-CN"/>
        </w:rPr>
      </w:pPr>
      <w:bookmarkStart w:id="68" w:name="_Toc21311"/>
      <w:bookmarkStart w:id="69" w:name="_Toc11666"/>
      <w:r>
        <w:rPr>
          <w:rFonts w:hint="default" w:cs="仿宋_GB2312"/>
          <w:color w:val="auto"/>
          <w:sz w:val="32"/>
          <w:szCs w:val="32"/>
          <w:highlight w:val="none"/>
          <w:shd w:val="clear" w:color="auto" w:fill="auto"/>
          <w:lang w:val="en-US" w:eastAsia="zh-CN"/>
        </w:rPr>
        <w:t>4.绩效评价的范围</w:t>
      </w:r>
      <w:bookmarkEnd w:id="68"/>
      <w:bookmarkEnd w:id="69"/>
    </w:p>
    <w:p w14:paraId="6C949430">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3184E01B">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14:paraId="430CCF57">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14:paraId="7CC60C7A">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14:paraId="208A9B76">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val="en-US" w:eastAsia="zh-CN"/>
        </w:rPr>
        <w:t>等</w:t>
      </w:r>
      <w:r>
        <w:rPr>
          <w:rFonts w:hint="eastAsia" w:ascii="仿宋_GB2312" w:hAnsi="仿宋_GB2312" w:eastAsia="仿宋_GB2312" w:cs="仿宋_GB2312"/>
          <w:b w:val="0"/>
          <w:bCs w:val="0"/>
          <w:color w:val="auto"/>
          <w:sz w:val="32"/>
          <w:szCs w:val="32"/>
          <w:highlight w:val="none"/>
        </w:rPr>
        <w:t>影响：考察项目对社会等方面的综合影响。</w:t>
      </w:r>
    </w:p>
    <w:p w14:paraId="0206627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70" w:name="_Toc1286"/>
      <w:bookmarkStart w:id="71" w:name="_Toc29785"/>
      <w:r>
        <w:rPr>
          <w:rFonts w:hint="eastAsia" w:ascii="Times New Roman" w:hAnsi="Times New Roman" w:eastAsia="楷体_GB2312" w:cs="Times New Roman"/>
          <w:color w:val="auto"/>
          <w:kern w:val="28"/>
          <w:sz w:val="32"/>
          <w:highlight w:val="none"/>
          <w:lang w:val="en-US" w:eastAsia="zh-CN"/>
        </w:rPr>
        <w:t>（二）绩效评价原则、评价指标体系（</w:t>
      </w:r>
      <w:r>
        <w:rPr>
          <w:rFonts w:hint="default" w:ascii="Times New Roman" w:hAnsi="Times New Roman" w:eastAsia="楷体_GB2312" w:cs="Times New Roman"/>
          <w:color w:val="auto"/>
          <w:kern w:val="28"/>
          <w:sz w:val="32"/>
          <w:highlight w:val="none"/>
          <w:lang w:val="en-US" w:eastAsia="zh-CN"/>
        </w:rPr>
        <w:t>详情见</w:t>
      </w:r>
      <w:r>
        <w:rPr>
          <w:rFonts w:hint="eastAsia" w:ascii="Times New Roman" w:hAnsi="Times New Roman" w:eastAsia="楷体_GB2312" w:cs="Times New Roman"/>
          <w:color w:val="auto"/>
          <w:kern w:val="28"/>
          <w:sz w:val="32"/>
          <w:highlight w:val="none"/>
          <w:lang w:val="en-US" w:eastAsia="zh-CN"/>
        </w:rPr>
        <w:t>附件二）、评价方法、评价标准</w:t>
      </w:r>
      <w:bookmarkEnd w:id="70"/>
      <w:bookmarkEnd w:id="71"/>
    </w:p>
    <w:p w14:paraId="7AC99046">
      <w:pPr>
        <w:pStyle w:val="5"/>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auto"/>
          <w:kern w:val="2"/>
          <w:sz w:val="32"/>
          <w:szCs w:val="32"/>
          <w:highlight w:val="none"/>
          <w:lang w:val="en-US" w:eastAsia="zh-CN" w:bidi="ar-SA"/>
        </w:rPr>
      </w:pPr>
      <w:bookmarkStart w:id="72" w:name="_Toc5354"/>
      <w:bookmarkStart w:id="73" w:name="_Toc13694"/>
      <w:bookmarkStart w:id="74" w:name="_Toc24506"/>
      <w:r>
        <w:rPr>
          <w:rFonts w:hint="eastAsia" w:ascii="Times New Roman" w:hAnsi="Times New Roman" w:eastAsia="仿宋_GB2312" w:cs="Times New Roman"/>
          <w:b/>
          <w:bCs/>
          <w:color w:val="auto"/>
          <w:kern w:val="2"/>
          <w:sz w:val="32"/>
          <w:szCs w:val="32"/>
          <w:highlight w:val="none"/>
          <w:lang w:val="en-US" w:eastAsia="zh-CN" w:bidi="ar-SA"/>
        </w:rPr>
        <w:t>1.绩效评价原则</w:t>
      </w:r>
      <w:bookmarkEnd w:id="72"/>
      <w:bookmarkEnd w:id="73"/>
      <w:bookmarkEnd w:id="74"/>
    </w:p>
    <w:p w14:paraId="6207ADEE">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依据《财政支出绩效评价管理暂行办法》（财预〔20</w:t>
      </w:r>
      <w:r>
        <w:rPr>
          <w:rFonts w:hint="eastAsia" w:ascii="Times New Roman" w:hAnsi="Times New Roman" w:eastAsia="仿宋_GB2312" w:cs="Times New Roman"/>
          <w:color w:val="auto"/>
          <w:sz w:val="32"/>
          <w:szCs w:val="32"/>
          <w:highlight w:val="none"/>
          <w:lang w:val="en-US" w:eastAsia="zh-CN"/>
        </w:rPr>
        <w:t>20</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lang w:eastAsia="zh-CN"/>
        </w:rPr>
        <w:t>号）本次绩效评价秉承科学规范、公正公开、分级分类、绩效相关等原则，按照从投入、过程到产出效果和影响的绩效逻辑路径，结合</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z w:val="32"/>
          <w:szCs w:val="32"/>
          <w:highlight w:val="none"/>
          <w:lang w:eastAsia="zh-CN"/>
        </w:rPr>
        <w:t>实际开展情况，运用定量和定性分析相结合的方法，总结经验做法，反思项目实施和管理中的问题，以切实提升财政资金管理的科学化、规范化和精细化水平。</w:t>
      </w:r>
    </w:p>
    <w:p w14:paraId="4A8FD21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根据以上原则，绩效评价应遵循如下要求：</w:t>
      </w:r>
    </w:p>
    <w:p w14:paraId="16868712">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lang w:eastAsia="zh-CN"/>
        </w:rPr>
        <w:t>）科学公正。绩效评价应当运用科学合理的方法，按照规范的程序，对项目绩效进行客观、公正的反映。</w:t>
      </w:r>
    </w:p>
    <w:p w14:paraId="52352243">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eastAsia="zh-CN"/>
        </w:rPr>
        <w:t>）统筹兼顾。单位自评、部门评价和财政评价应职责明确，各有侧重，相互衔接。单位自评应由项目单位自主实施，即“谁支出、谁自评”。</w:t>
      </w:r>
    </w:p>
    <w:p w14:paraId="5A9EEDED">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3</w:t>
      </w:r>
      <w:r>
        <w:rPr>
          <w:rFonts w:hint="eastAsia" w:ascii="Times New Roman" w:hAnsi="Times New Roman" w:eastAsia="仿宋_GB2312" w:cs="Times New Roman"/>
          <w:color w:val="auto"/>
          <w:sz w:val="32"/>
          <w:szCs w:val="32"/>
          <w:highlight w:val="none"/>
          <w:lang w:eastAsia="zh-CN"/>
        </w:rPr>
        <w:t>）激励约束。绩效评价结果应与预算安排、政策调整、改进管理实质性挂钩，体现奖优罚劣和激励相容导向，有效要安排、低效要压减、无效要问责。</w:t>
      </w:r>
    </w:p>
    <w:p w14:paraId="569A2C34">
      <w:pPr>
        <w:spacing w:line="560" w:lineRule="exact"/>
        <w:ind w:firstLine="640" w:firstLineChars="200"/>
        <w:rPr>
          <w:rFonts w:hint="eastAsia"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4</w:t>
      </w:r>
      <w:r>
        <w:rPr>
          <w:rFonts w:hint="eastAsia" w:ascii="Times New Roman" w:hAnsi="Times New Roman" w:eastAsia="仿宋_GB2312" w:cs="Times New Roman"/>
          <w:color w:val="auto"/>
          <w:sz w:val="32"/>
          <w:szCs w:val="32"/>
          <w:highlight w:val="none"/>
          <w:lang w:eastAsia="zh-CN"/>
        </w:rPr>
        <w:t>）公开透明。绩效评价结果应依法依规公开，并自觉接受社会监督。</w:t>
      </w:r>
    </w:p>
    <w:p w14:paraId="400B1FB8">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bookmarkStart w:id="75" w:name="_Toc1913"/>
      <w:bookmarkStart w:id="76" w:name="_Toc26131"/>
      <w:bookmarkStart w:id="77" w:name="_Toc419984722"/>
      <w:bookmarkStart w:id="78" w:name="_Toc24396"/>
      <w:bookmarkStart w:id="79" w:name="_Toc428278230"/>
      <w:r>
        <w:rPr>
          <w:rFonts w:hint="eastAsia" w:ascii="仿宋_GB2312" w:hAnsi="仿宋_GB2312" w:eastAsia="仿宋_GB2312" w:cs="仿宋_GB2312"/>
          <w:b/>
          <w:bCs/>
          <w:color w:val="auto"/>
          <w:sz w:val="32"/>
          <w:szCs w:val="32"/>
          <w:highlight w:val="none"/>
          <w:lang w:val="en-US" w:eastAsia="zh-CN"/>
        </w:rPr>
        <w:t>2.</w:t>
      </w:r>
      <w:r>
        <w:rPr>
          <w:rFonts w:hint="eastAsia" w:ascii="仿宋_GB2312" w:hAnsi="仿宋_GB2312" w:eastAsia="仿宋_GB2312" w:cs="仿宋_GB2312"/>
          <w:b/>
          <w:bCs/>
          <w:color w:val="auto"/>
          <w:sz w:val="32"/>
          <w:szCs w:val="32"/>
          <w:highlight w:val="none"/>
          <w:lang w:eastAsia="zh-CN"/>
        </w:rPr>
        <w:t>绩效评价指标体系</w:t>
      </w:r>
      <w:bookmarkEnd w:id="75"/>
      <w:bookmarkEnd w:id="76"/>
      <w:bookmarkEnd w:id="77"/>
      <w:bookmarkEnd w:id="78"/>
      <w:bookmarkEnd w:id="79"/>
    </w:p>
    <w:p w14:paraId="0CDBB968">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0" w:name="_Toc9941"/>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1035E45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14:paraId="060C0B0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07A07639">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14:paraId="4F0ABE5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77654DD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14:paraId="2DCE1C8D">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2AE65BD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绩效评价总分值100分，根据综合评分结果，90（含）-100分为优、80（含）-90分为良、60（含）-80分为中、60分以下为差。</w:t>
      </w:r>
    </w:p>
    <w:p w14:paraId="2DC8344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w:t>
      </w:r>
      <w:r>
        <w:rPr>
          <w:rFonts w:hint="eastAsia" w:ascii="仿宋_GB2312" w:hAnsi="仿宋_GB2312" w:eastAsia="仿宋_GB2312" w:cs="仿宋_GB2312"/>
          <w:color w:val="auto"/>
          <w:sz w:val="32"/>
          <w:szCs w:val="32"/>
          <w:highlight w:val="none"/>
          <w:lang w:val="zh-TW" w:eastAsia="zh-TW"/>
        </w:rPr>
        <w:t>根据项目的</w:t>
      </w:r>
      <w:r>
        <w:rPr>
          <w:rFonts w:hint="eastAsia" w:ascii="仿宋_GB2312" w:hAnsi="仿宋_GB2312" w:eastAsia="仿宋_GB2312" w:cs="仿宋_GB2312"/>
          <w:color w:val="auto"/>
          <w:sz w:val="32"/>
          <w:szCs w:val="32"/>
          <w:highlight w:val="none"/>
          <w:lang w:val="en-US" w:eastAsia="zh-CN"/>
        </w:rPr>
        <w:t>实施</w:t>
      </w:r>
      <w:r>
        <w:rPr>
          <w:rFonts w:hint="eastAsia" w:ascii="仿宋_GB2312" w:hAnsi="仿宋_GB2312" w:eastAsia="仿宋_GB2312" w:cs="仿宋_GB2312"/>
          <w:color w:val="auto"/>
          <w:sz w:val="32"/>
          <w:szCs w:val="32"/>
          <w:highlight w:val="none"/>
          <w:lang w:val="zh-TW" w:eastAsia="zh-TW"/>
        </w:rPr>
        <w:t>资料研读及前期调研，结合项目的实际开展情况，最终形成了项目绩效评价指标体系</w:t>
      </w:r>
      <w:r>
        <w:rPr>
          <w:rFonts w:hint="eastAsia" w:ascii="仿宋_GB2312" w:hAnsi="仿宋_GB2312" w:eastAsia="仿宋_GB2312" w:cs="仿宋_GB2312"/>
          <w:color w:val="auto"/>
          <w:sz w:val="32"/>
          <w:szCs w:val="32"/>
          <w:highlight w:val="none"/>
          <w:lang w:val="zh-TW" w:eastAsia="zh-CN"/>
        </w:rPr>
        <w:t>，</w:t>
      </w:r>
      <w:r>
        <w:rPr>
          <w:rFonts w:hint="eastAsia" w:ascii="仿宋_GB2312" w:hAnsi="仿宋_GB2312" w:eastAsia="仿宋_GB2312" w:cs="仿宋_GB2312"/>
          <w:color w:val="auto"/>
          <w:sz w:val="32"/>
          <w:szCs w:val="32"/>
          <w:highlight w:val="none"/>
          <w:lang w:val="en-US" w:eastAsia="zh-CN"/>
        </w:rPr>
        <w:t>详见上传的附件二。</w:t>
      </w:r>
    </w:p>
    <w:p w14:paraId="2125B067">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bookmarkStart w:id="81" w:name="_Toc30114"/>
      <w:bookmarkStart w:id="82" w:name="_Toc5690"/>
      <w:r>
        <w:rPr>
          <w:rFonts w:hint="eastAsia" w:ascii="仿宋_GB2312" w:hAnsi="仿宋_GB2312" w:eastAsia="仿宋_GB2312" w:cs="仿宋_GB2312"/>
          <w:color w:val="auto"/>
          <w:sz w:val="32"/>
          <w:szCs w:val="32"/>
          <w:highlight w:val="none"/>
          <w:shd w:val="clear" w:color="auto" w:fill="auto"/>
          <w:lang w:val="en-US" w:eastAsia="zh-CN"/>
        </w:rPr>
        <w:t>3.</w:t>
      </w:r>
      <w:r>
        <w:rPr>
          <w:rFonts w:hint="eastAsia" w:ascii="仿宋_GB2312" w:hAnsi="仿宋_GB2312" w:eastAsia="仿宋_GB2312" w:cs="仿宋_GB2312"/>
          <w:color w:val="auto"/>
          <w:sz w:val="32"/>
          <w:szCs w:val="32"/>
          <w:highlight w:val="none"/>
          <w:shd w:val="clear" w:color="auto" w:fill="auto"/>
        </w:rPr>
        <w:t>评价</w:t>
      </w:r>
      <w:r>
        <w:rPr>
          <w:rFonts w:hint="eastAsia" w:ascii="仿宋_GB2312" w:hAnsi="仿宋_GB2312" w:eastAsia="仿宋_GB2312" w:cs="仿宋_GB2312"/>
          <w:color w:val="auto"/>
          <w:sz w:val="32"/>
          <w:szCs w:val="32"/>
          <w:highlight w:val="none"/>
          <w:shd w:val="clear" w:color="auto" w:fill="auto"/>
          <w:lang w:val="en-US" w:eastAsia="zh-CN"/>
        </w:rPr>
        <w:t>方法</w:t>
      </w:r>
      <w:bookmarkEnd w:id="80"/>
      <w:bookmarkEnd w:id="81"/>
      <w:bookmarkEnd w:id="82"/>
    </w:p>
    <w:p w14:paraId="0CFF6B15">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auto"/>
          <w:spacing w:val="17"/>
          <w:sz w:val="32"/>
          <w:szCs w:val="32"/>
          <w:highlight w:val="none"/>
        </w:rPr>
      </w:pPr>
      <w:bookmarkStart w:id="83" w:name="_Toc25391"/>
      <w:r>
        <w:rPr>
          <w:rFonts w:hint="eastAsia" w:ascii="仿宋_GB2312" w:hAnsi="仿宋_GB2312" w:eastAsia="仿宋_GB2312" w:cs="仿宋_GB2312"/>
          <w:color w:val="auto"/>
          <w:spacing w:val="17"/>
          <w:sz w:val="32"/>
          <w:szCs w:val="32"/>
          <w:highlight w:val="none"/>
        </w:rPr>
        <w:t>绩效评价从项目决策、项目过程、项目产出、项目效益四个维度进行评价。评价对象为项目目标实施情况</w:t>
      </w:r>
      <w:r>
        <w:rPr>
          <w:rFonts w:hint="eastAsia" w:ascii="仿宋_GB2312" w:hAnsi="仿宋_GB2312" w:eastAsia="仿宋_GB2312" w:cs="仿宋_GB2312"/>
          <w:color w:val="auto"/>
          <w:spacing w:val="17"/>
          <w:sz w:val="32"/>
          <w:szCs w:val="32"/>
          <w:highlight w:val="none"/>
          <w:lang w:eastAsia="zh-CN"/>
        </w:rPr>
        <w:t>，</w:t>
      </w:r>
      <w:r>
        <w:rPr>
          <w:rFonts w:hint="eastAsia" w:ascii="仿宋_GB2312" w:hAnsi="仿宋_GB2312" w:eastAsia="仿宋_GB2312" w:cs="仿宋_GB2312"/>
          <w:color w:val="auto"/>
          <w:spacing w:val="17"/>
          <w:sz w:val="32"/>
          <w:szCs w:val="32"/>
          <w:highlight w:val="none"/>
        </w:rPr>
        <w:t>评价核心为资金的支出完成情况和项目的产出效益。</w:t>
      </w:r>
    </w:p>
    <w:p w14:paraId="6B96F38F">
      <w:pPr>
        <w:spacing w:line="560" w:lineRule="exact"/>
        <w:ind w:firstLine="708" w:firstLineChars="200"/>
        <w:rPr>
          <w:rFonts w:hint="eastAsia" w:ascii="Times New Roman" w:hAnsi="Times New Roman" w:eastAsia="仿宋_GB2312" w:cs="Times New Roman"/>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3B29DBAF">
      <w:pPr>
        <w:spacing w:line="560" w:lineRule="exact"/>
        <w:ind w:firstLine="708" w:firstLineChars="200"/>
        <w:rPr>
          <w:rFonts w:hint="default" w:ascii="Times New Roman" w:hAnsi="Times New Roman" w:eastAsia="仿宋_GB2312" w:cs="Times New Roman"/>
          <w:color w:val="auto"/>
          <w:spacing w:val="17"/>
          <w:sz w:val="32"/>
          <w:szCs w:val="32"/>
          <w:highlight w:val="none"/>
        </w:rPr>
      </w:pPr>
      <w:bookmarkStart w:id="84" w:name="_Toc6081"/>
      <w:bookmarkStart w:id="85" w:name="_Toc25651"/>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rPr>
        <w:t>）比较法。是指将实施情况与绩效目标、历史情况、不同部门和地区同类支出情况进行比较的方法。</w:t>
      </w:r>
    </w:p>
    <w:p w14:paraId="0619FB9B">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rPr>
        <w:t>）因素分析法。是指综合分析影响绩效目标实现、实施效果的内外部因素的方法。</w:t>
      </w:r>
    </w:p>
    <w:p w14:paraId="68D99C32">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default" w:ascii="Times New Roman" w:hAnsi="Times New Roman" w:eastAsia="仿宋_GB2312" w:cs="Times New Roman"/>
          <w:color w:val="auto"/>
          <w:spacing w:val="17"/>
          <w:sz w:val="32"/>
          <w:szCs w:val="32"/>
          <w:highlight w:val="none"/>
        </w:rPr>
        <w:t>（</w:t>
      </w:r>
      <w:r>
        <w:rPr>
          <w:rFonts w:hint="eastAsia" w:ascii="Times New Roman" w:hAnsi="Times New Roman" w:eastAsia="仿宋_GB2312" w:cs="Times New Roman"/>
          <w:color w:val="auto"/>
          <w:spacing w:val="17"/>
          <w:sz w:val="32"/>
          <w:szCs w:val="32"/>
          <w:highlight w:val="none"/>
          <w:lang w:val="en-US" w:eastAsia="zh-CN"/>
        </w:rPr>
        <w:t>3</w:t>
      </w:r>
      <w:r>
        <w:rPr>
          <w:rFonts w:hint="default" w:ascii="Times New Roman" w:hAnsi="Times New Roman" w:eastAsia="仿宋_GB2312" w:cs="Times New Roman"/>
          <w:color w:val="auto"/>
          <w:spacing w:val="17"/>
          <w:sz w:val="32"/>
          <w:szCs w:val="32"/>
          <w:highlight w:val="none"/>
        </w:rPr>
        <w:t>）最低成本法。是指在绩效目标确定的前提下，成本最小者为优的方法</w:t>
      </w:r>
      <w:r>
        <w:rPr>
          <w:rFonts w:hint="eastAsia" w:ascii="Times New Roman" w:hAnsi="Times New Roman" w:eastAsia="仿宋_GB2312" w:cs="Times New Roman"/>
          <w:color w:val="auto"/>
          <w:spacing w:val="17"/>
          <w:sz w:val="32"/>
          <w:szCs w:val="32"/>
          <w:highlight w:val="none"/>
          <w:lang w:val="en-US" w:eastAsia="zh-CN"/>
        </w:rPr>
        <w:t>。</w:t>
      </w:r>
    </w:p>
    <w:p w14:paraId="55D7FF55">
      <w:pPr>
        <w:pStyle w:val="5"/>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4.评价标准</w:t>
      </w:r>
      <w:bookmarkEnd w:id="83"/>
      <w:bookmarkEnd w:id="84"/>
      <w:bookmarkEnd w:id="85"/>
    </w:p>
    <w:p w14:paraId="1B5A445F">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color w:val="auto"/>
          <w:spacing w:val="17"/>
          <w:sz w:val="32"/>
          <w:szCs w:val="32"/>
          <w:highlight w:val="none"/>
          <w:lang w:val="en-US" w:eastAsia="zh-CN"/>
        </w:rPr>
        <w:t>计划</w:t>
      </w:r>
      <w:r>
        <w:rPr>
          <w:rFonts w:hint="default" w:ascii="Times New Roman" w:hAnsi="Times New Roman" w:eastAsia="仿宋_GB2312" w:cs="Times New Roman"/>
          <w:color w:val="auto"/>
          <w:spacing w:val="17"/>
          <w:sz w:val="32"/>
          <w:szCs w:val="32"/>
          <w:highlight w:val="none"/>
        </w:rPr>
        <w:t>标准</w:t>
      </w:r>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预算支出标准</w:t>
      </w:r>
      <w:r>
        <w:rPr>
          <w:rFonts w:hint="default" w:ascii="Times New Roman" w:hAnsi="Times New Roman" w:eastAsia="仿宋_GB2312" w:cs="Times New Roman"/>
          <w:color w:val="auto"/>
          <w:spacing w:val="17"/>
          <w:sz w:val="32"/>
          <w:szCs w:val="32"/>
          <w:highlight w:val="none"/>
        </w:rPr>
        <w:t>。</w:t>
      </w:r>
    </w:p>
    <w:p w14:paraId="273DED4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lang w:val="en-US" w:eastAsia="zh-CN"/>
        </w:rPr>
        <w:t>1</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计划标准。指以预先制定的目标、计划、预算、定额等作为评价标准。</w:t>
      </w:r>
    </w:p>
    <w:p w14:paraId="671E0A8F">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2</w:t>
      </w:r>
      <w:r>
        <w:rPr>
          <w:rFonts w:hint="default" w:ascii="Times New Roman" w:hAnsi="Times New Roman" w:eastAsia="仿宋_GB2312" w:cs="Times New Roman"/>
          <w:color w:val="auto"/>
          <w:spacing w:val="17"/>
          <w:sz w:val="32"/>
          <w:szCs w:val="32"/>
          <w:highlight w:val="none"/>
          <w:lang w:eastAsia="zh-CN"/>
        </w:rPr>
        <w:t>）</w:t>
      </w:r>
      <w:r>
        <w:rPr>
          <w:rFonts w:hint="default" w:ascii="Times New Roman" w:hAnsi="Times New Roman" w:eastAsia="仿宋_GB2312" w:cs="Times New Roman"/>
          <w:color w:val="auto"/>
          <w:spacing w:val="17"/>
          <w:sz w:val="32"/>
          <w:szCs w:val="32"/>
          <w:highlight w:val="none"/>
        </w:rPr>
        <w:t>财政部门和预算部门确认或认可的其他标准。</w:t>
      </w:r>
    </w:p>
    <w:p w14:paraId="7A4A9E9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86" w:name="_Toc21435"/>
      <w:r>
        <w:rPr>
          <w:rFonts w:hint="eastAsia" w:ascii="Times New Roman" w:hAnsi="Times New Roman" w:eastAsia="楷体_GB2312" w:cs="Times New Roman"/>
          <w:color w:val="auto"/>
          <w:kern w:val="28"/>
          <w:sz w:val="32"/>
          <w:highlight w:val="none"/>
          <w:lang w:val="en-US" w:eastAsia="zh-CN"/>
        </w:rPr>
        <w:t>（三）绩效评价工作过程</w:t>
      </w:r>
      <w:bookmarkEnd w:id="86"/>
    </w:p>
    <w:p w14:paraId="19F90666">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87" w:name="_Toc12862"/>
      <w:r>
        <w:rPr>
          <w:rFonts w:hint="eastAsia" w:ascii="Times New Roman" w:hAnsi="Times New Roman" w:eastAsia="仿宋_GB2312" w:cs="Times New Roman"/>
          <w:b/>
          <w:bCs/>
          <w:color w:val="auto"/>
          <w:spacing w:val="17"/>
          <w:sz w:val="32"/>
          <w:szCs w:val="32"/>
          <w:highlight w:val="none"/>
          <w:lang w:val="en-US" w:eastAsia="zh-CN"/>
        </w:rPr>
        <w:t>1.前期准备</w:t>
      </w:r>
      <w:bookmarkEnd w:id="87"/>
    </w:p>
    <w:p w14:paraId="0DCE4555">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（1）成立绩效评价项目小组</w:t>
      </w:r>
    </w:p>
    <w:p w14:paraId="7FD9A89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r>
        <w:rPr>
          <w:rFonts w:hint="eastAsia" w:ascii="Times New Roman" w:hAnsi="Times New Roman" w:eastAsia="仿宋_GB2312" w:cs="Times New Roman"/>
          <w:color w:val="auto"/>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40023AE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8" w:name="_Toc31571"/>
      <w:r>
        <w:rPr>
          <w:rFonts w:hint="eastAsia" w:ascii="Times New Roman" w:hAnsi="Times New Roman" w:eastAsia="仿宋_GB2312" w:cs="Times New Roman"/>
          <w:color w:val="auto"/>
          <w:spacing w:val="17"/>
          <w:sz w:val="32"/>
          <w:szCs w:val="32"/>
          <w:highlight w:val="none"/>
          <w:lang w:val="en-US" w:eastAsia="zh-CN"/>
        </w:rPr>
        <w:t>（2）开展前期调研</w:t>
      </w:r>
      <w:bookmarkEnd w:id="88"/>
    </w:p>
    <w:p w14:paraId="2552885D">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89" w:name="_Toc21240"/>
      <w:r>
        <w:rPr>
          <w:rFonts w:hint="eastAsia" w:ascii="Times New Roman" w:hAnsi="Times New Roman" w:eastAsia="仿宋_GB2312" w:cs="Times New Roman"/>
          <w:color w:val="auto"/>
          <w:spacing w:val="17"/>
          <w:sz w:val="32"/>
          <w:szCs w:val="32"/>
          <w:highlight w:val="none"/>
          <w:lang w:val="en-US" w:eastAsia="zh-CN"/>
        </w:rPr>
        <w:t>绩效评价项目小组依据此次绩效评价受委托内容，对拟评价的项目实施前期调研。通过调研对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en-US" w:eastAsia="zh-CN"/>
        </w:rPr>
        <w:t>实施内容、目标信息、预算信息以及其他的一些项目基本信息，有了初步了解，为制定绩效评价工作方案做好准备。</w:t>
      </w:r>
      <w:bookmarkEnd w:id="89"/>
    </w:p>
    <w:p w14:paraId="2C9018E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0" w:name="_Toc27977"/>
      <w:r>
        <w:rPr>
          <w:rFonts w:hint="eastAsia" w:ascii="Times New Roman" w:hAnsi="Times New Roman" w:eastAsia="仿宋_GB2312" w:cs="Times New Roman"/>
          <w:color w:val="auto"/>
          <w:spacing w:val="17"/>
          <w:sz w:val="32"/>
          <w:szCs w:val="32"/>
          <w:highlight w:val="none"/>
          <w:lang w:val="en-US" w:eastAsia="zh-CN"/>
        </w:rPr>
        <w:t>（3）制订绩效评价工作方案</w:t>
      </w:r>
      <w:bookmarkEnd w:id="90"/>
    </w:p>
    <w:p w14:paraId="7AB6CD4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1" w:name="_Toc19659"/>
      <w:r>
        <w:rPr>
          <w:rFonts w:hint="eastAsia" w:ascii="Times New Roman" w:hAnsi="Times New Roman" w:eastAsia="仿宋_GB2312" w:cs="Times New Roman"/>
          <w:color w:val="auto"/>
          <w:spacing w:val="17"/>
          <w:sz w:val="32"/>
          <w:szCs w:val="32"/>
          <w:highlight w:val="none"/>
          <w:lang w:val="en-US" w:eastAsia="zh-CN"/>
        </w:rPr>
        <w:t>绩效评价项目小组根据有关规定和评价对象的特点以及前期调研收集的一些信息，拟定详细的绩效评价工作方案。</w:t>
      </w:r>
      <w:bookmarkEnd w:id="91"/>
    </w:p>
    <w:p w14:paraId="322740A7">
      <w:pPr>
        <w:spacing w:line="560" w:lineRule="exact"/>
        <w:ind w:firstLine="711" w:firstLineChars="200"/>
        <w:rPr>
          <w:rFonts w:hint="eastAsia" w:ascii="Times New Roman" w:hAnsi="Times New Roman" w:eastAsia="仿宋_GB2312" w:cs="Times New Roman"/>
          <w:b/>
          <w:bCs/>
          <w:color w:val="auto"/>
          <w:spacing w:val="17"/>
          <w:sz w:val="32"/>
          <w:szCs w:val="32"/>
          <w:highlight w:val="none"/>
          <w:lang w:val="en-US" w:eastAsia="zh-CN"/>
        </w:rPr>
      </w:pPr>
      <w:bookmarkStart w:id="92" w:name="_Toc11353"/>
      <w:r>
        <w:rPr>
          <w:rFonts w:hint="eastAsia" w:ascii="Times New Roman" w:hAnsi="Times New Roman" w:eastAsia="仿宋_GB2312" w:cs="Times New Roman"/>
          <w:b/>
          <w:bCs/>
          <w:color w:val="auto"/>
          <w:spacing w:val="17"/>
          <w:sz w:val="32"/>
          <w:szCs w:val="32"/>
          <w:highlight w:val="none"/>
          <w:lang w:val="en-US" w:eastAsia="zh-CN"/>
        </w:rPr>
        <w:t>2.具体实施</w:t>
      </w:r>
      <w:bookmarkEnd w:id="92"/>
    </w:p>
    <w:p w14:paraId="449E802B">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3" w:name="_Toc14111"/>
      <w:r>
        <w:rPr>
          <w:rFonts w:hint="eastAsia" w:ascii="Times New Roman" w:hAnsi="Times New Roman" w:eastAsia="仿宋_GB2312" w:cs="Times New Roman"/>
          <w:color w:val="auto"/>
          <w:spacing w:val="17"/>
          <w:sz w:val="32"/>
          <w:szCs w:val="32"/>
          <w:highlight w:val="none"/>
          <w:lang w:val="en-US" w:eastAsia="zh-CN"/>
        </w:rPr>
        <w:t>（1）收集基础资料</w:t>
      </w:r>
      <w:bookmarkEnd w:id="93"/>
    </w:p>
    <w:p w14:paraId="7D69F340">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4" w:name="_Toc28524"/>
      <w:r>
        <w:rPr>
          <w:rFonts w:hint="eastAsia" w:ascii="Times New Roman" w:hAnsi="Times New Roman" w:eastAsia="仿宋_GB2312" w:cs="Times New Roman"/>
          <w:color w:val="auto"/>
          <w:spacing w:val="17"/>
          <w:sz w:val="32"/>
          <w:szCs w:val="32"/>
          <w:highlight w:val="none"/>
          <w:lang w:val="en-US" w:eastAsia="zh-CN"/>
        </w:rPr>
        <w:t>根据评价工作的需要和要求，在前期调研的基础上，通过多种渠道全面收集项目基础信息资料，主要包括：</w:t>
      </w:r>
      <w:bookmarkEnd w:id="94"/>
    </w:p>
    <w:p w14:paraId="0C302D0C">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5" w:name="_Toc32216"/>
      <w:r>
        <w:rPr>
          <w:rFonts w:hint="eastAsia" w:ascii="Times New Roman" w:hAnsi="Times New Roman" w:eastAsia="仿宋_GB2312" w:cs="Times New Roman"/>
          <w:color w:val="auto"/>
          <w:spacing w:val="17"/>
          <w:sz w:val="32"/>
          <w:szCs w:val="32"/>
          <w:highlight w:val="none"/>
          <w:lang w:val="en-US" w:eastAsia="zh-CN"/>
        </w:rPr>
        <w:t>①被评价单位基本概况，如单位职能、事业发展规划、预决算情况、项目立项依据等；</w:t>
      </w:r>
      <w:bookmarkEnd w:id="95"/>
    </w:p>
    <w:p w14:paraId="5D301234">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6" w:name="_Toc10505"/>
      <w:r>
        <w:rPr>
          <w:rFonts w:hint="eastAsia" w:ascii="Times New Roman" w:hAnsi="Times New Roman" w:eastAsia="仿宋_GB2312" w:cs="Times New Roman"/>
          <w:color w:val="auto"/>
          <w:spacing w:val="17"/>
          <w:sz w:val="32"/>
          <w:szCs w:val="32"/>
          <w:highlight w:val="none"/>
          <w:lang w:val="en-US" w:eastAsia="zh-CN"/>
        </w:rPr>
        <w:t>②绩效目标及其设立依据和调整情况；</w:t>
      </w:r>
      <w:bookmarkEnd w:id="96"/>
    </w:p>
    <w:p w14:paraId="0CA134B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7" w:name="_Toc28365"/>
      <w:r>
        <w:rPr>
          <w:rFonts w:hint="eastAsia" w:ascii="Times New Roman" w:hAnsi="Times New Roman" w:eastAsia="仿宋_GB2312" w:cs="Times New Roman"/>
          <w:color w:val="auto"/>
          <w:spacing w:val="17"/>
          <w:sz w:val="32"/>
          <w:szCs w:val="32"/>
          <w:highlight w:val="none"/>
          <w:lang w:val="en-US" w:eastAsia="zh-CN"/>
        </w:rPr>
        <w:t>③管理措施及组织实施情况；</w:t>
      </w:r>
      <w:bookmarkEnd w:id="97"/>
    </w:p>
    <w:p w14:paraId="35D2CB1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8" w:name="_Toc10091"/>
      <w:r>
        <w:rPr>
          <w:rFonts w:hint="eastAsia" w:ascii="Times New Roman" w:hAnsi="Times New Roman" w:eastAsia="仿宋_GB2312" w:cs="Times New Roman"/>
          <w:color w:val="auto"/>
          <w:spacing w:val="17"/>
          <w:sz w:val="32"/>
          <w:szCs w:val="32"/>
          <w:highlight w:val="none"/>
          <w:lang w:val="en-US" w:eastAsia="zh-CN"/>
        </w:rPr>
        <w:t>④被评价单位总结分析的绩效目标完成情况及绩效报告；</w:t>
      </w:r>
      <w:bookmarkEnd w:id="98"/>
    </w:p>
    <w:p w14:paraId="41C695E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99" w:name="_Toc1"/>
      <w:r>
        <w:rPr>
          <w:rFonts w:hint="eastAsia" w:ascii="Times New Roman" w:hAnsi="Times New Roman" w:eastAsia="仿宋_GB2312" w:cs="Times New Roman"/>
          <w:color w:val="auto"/>
          <w:spacing w:val="17"/>
          <w:sz w:val="32"/>
          <w:szCs w:val="32"/>
          <w:highlight w:val="none"/>
          <w:lang w:val="en-US" w:eastAsia="zh-CN"/>
        </w:rPr>
        <w:t>⑤与绩效评价相关的计划标准、行业标准、历史标准等；</w:t>
      </w:r>
      <w:bookmarkEnd w:id="99"/>
    </w:p>
    <w:p w14:paraId="21DABA6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0" w:name="_Toc20059"/>
      <w:r>
        <w:rPr>
          <w:rFonts w:hint="eastAsia" w:ascii="Times New Roman" w:hAnsi="Times New Roman" w:eastAsia="仿宋_GB2312" w:cs="Times New Roman"/>
          <w:color w:val="auto"/>
          <w:spacing w:val="17"/>
          <w:sz w:val="32"/>
          <w:szCs w:val="32"/>
          <w:highlight w:val="none"/>
          <w:lang w:val="en-US" w:eastAsia="zh-CN"/>
        </w:rPr>
        <w:t>⑥其他必要的相关资料等。</w:t>
      </w:r>
      <w:bookmarkEnd w:id="100"/>
    </w:p>
    <w:p w14:paraId="0F92F4F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1" w:name="_Toc31911"/>
      <w:r>
        <w:rPr>
          <w:rFonts w:hint="eastAsia" w:ascii="Times New Roman" w:hAnsi="Times New Roman" w:eastAsia="仿宋_GB2312" w:cs="Times New Roman"/>
          <w:color w:val="auto"/>
          <w:spacing w:val="17"/>
          <w:sz w:val="32"/>
          <w:szCs w:val="32"/>
          <w:highlight w:val="none"/>
          <w:lang w:val="en-US" w:eastAsia="zh-CN"/>
        </w:rPr>
        <w:t>（2）整理、研读基础资料</w:t>
      </w:r>
      <w:bookmarkEnd w:id="101"/>
    </w:p>
    <w:p w14:paraId="1B6788E9">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2" w:name="_Toc167"/>
      <w:r>
        <w:rPr>
          <w:rFonts w:hint="eastAsia" w:ascii="Times New Roman" w:hAnsi="Times New Roman" w:eastAsia="仿宋_GB2312" w:cs="Times New Roman"/>
          <w:color w:val="auto"/>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102"/>
    </w:p>
    <w:p w14:paraId="4AE9662B">
      <w:pPr>
        <w:spacing w:line="560" w:lineRule="exact"/>
        <w:ind w:firstLine="711" w:firstLineChars="200"/>
        <w:rPr>
          <w:rFonts w:hint="default" w:ascii="Times New Roman" w:hAnsi="Times New Roman" w:eastAsia="仿宋_GB2312" w:cs="Times New Roman"/>
          <w:b/>
          <w:bCs/>
          <w:color w:val="auto"/>
          <w:spacing w:val="17"/>
          <w:sz w:val="32"/>
          <w:szCs w:val="32"/>
          <w:highlight w:val="none"/>
          <w:lang w:val="en-US" w:eastAsia="zh-CN"/>
        </w:rPr>
      </w:pPr>
      <w:bookmarkStart w:id="103" w:name="_Toc30513"/>
      <w:r>
        <w:rPr>
          <w:rFonts w:hint="eastAsia" w:ascii="Times New Roman" w:hAnsi="Times New Roman" w:eastAsia="仿宋_GB2312" w:cs="Times New Roman"/>
          <w:b/>
          <w:bCs/>
          <w:color w:val="auto"/>
          <w:spacing w:val="17"/>
          <w:sz w:val="32"/>
          <w:szCs w:val="32"/>
          <w:highlight w:val="none"/>
          <w:lang w:val="en-US" w:eastAsia="zh-CN"/>
        </w:rPr>
        <w:t>3.分析评价和撰写报告</w:t>
      </w:r>
      <w:bookmarkEnd w:id="103"/>
    </w:p>
    <w:p w14:paraId="746D6AA6">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4" w:name="_Toc15974"/>
      <w:r>
        <w:rPr>
          <w:rFonts w:hint="eastAsia" w:ascii="Times New Roman" w:hAnsi="Times New Roman" w:eastAsia="仿宋_GB2312" w:cs="Times New Roman"/>
          <w:color w:val="auto"/>
          <w:spacing w:val="17"/>
          <w:sz w:val="32"/>
          <w:szCs w:val="32"/>
          <w:highlight w:val="none"/>
          <w:lang w:eastAsia="zh-CN"/>
        </w:rPr>
        <w:t>（</w:t>
      </w:r>
      <w:r>
        <w:rPr>
          <w:rFonts w:hint="eastAsia" w:ascii="Times New Roman" w:hAnsi="Times New Roman" w:eastAsia="仿宋_GB2312" w:cs="Times New Roman"/>
          <w:color w:val="auto"/>
          <w:spacing w:val="17"/>
          <w:sz w:val="32"/>
          <w:szCs w:val="32"/>
          <w:highlight w:val="none"/>
          <w:lang w:val="en-US" w:eastAsia="zh-CN"/>
        </w:rPr>
        <w:t>1）综合分析评价</w:t>
      </w:r>
      <w:bookmarkEnd w:id="104"/>
    </w:p>
    <w:p w14:paraId="39A99388">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5" w:name="_Toc4352"/>
      <w:r>
        <w:rPr>
          <w:rFonts w:hint="eastAsia" w:ascii="Times New Roman" w:hAnsi="Times New Roman" w:eastAsia="仿宋_GB2312" w:cs="Times New Roman"/>
          <w:color w:val="auto"/>
          <w:spacing w:val="17"/>
          <w:sz w:val="32"/>
          <w:szCs w:val="32"/>
          <w:highlight w:val="none"/>
          <w:lang w:val="en-US" w:eastAsia="zh-CN"/>
        </w:rPr>
        <w:t>①根据所收集的基础资料，结合现场核查的有关情况，整理出绩效评价所需的项目材料和基础数据。</w:t>
      </w:r>
      <w:bookmarkEnd w:id="105"/>
    </w:p>
    <w:p w14:paraId="51C4566A">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6" w:name="_Toc26231"/>
      <w:r>
        <w:rPr>
          <w:rFonts w:hint="eastAsia" w:ascii="Times New Roman" w:hAnsi="Times New Roman" w:eastAsia="仿宋_GB2312" w:cs="Times New Roman"/>
          <w:color w:val="auto"/>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6"/>
    </w:p>
    <w:p w14:paraId="75F2A437">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7" w:name="_Toc27759"/>
      <w:r>
        <w:rPr>
          <w:rFonts w:hint="eastAsia" w:ascii="Times New Roman" w:hAnsi="Times New Roman" w:eastAsia="仿宋_GB2312" w:cs="Times New Roman"/>
          <w:color w:val="auto"/>
          <w:spacing w:val="17"/>
          <w:sz w:val="32"/>
          <w:szCs w:val="32"/>
          <w:highlight w:val="none"/>
          <w:lang w:val="en-US" w:eastAsia="zh-CN"/>
        </w:rPr>
        <w:t>（2）撰写报告</w:t>
      </w:r>
      <w:bookmarkEnd w:id="107"/>
    </w:p>
    <w:p w14:paraId="4ADBA741">
      <w:pPr>
        <w:spacing w:line="560" w:lineRule="exact"/>
        <w:ind w:firstLine="708" w:firstLineChars="200"/>
        <w:rPr>
          <w:rFonts w:hint="eastAsia" w:ascii="Times New Roman" w:hAnsi="Times New Roman" w:eastAsia="仿宋_GB2312" w:cs="Times New Roman"/>
          <w:color w:val="auto"/>
          <w:spacing w:val="17"/>
          <w:sz w:val="32"/>
          <w:szCs w:val="32"/>
          <w:highlight w:val="none"/>
          <w:lang w:val="en-US" w:eastAsia="zh-CN"/>
        </w:rPr>
      </w:pPr>
      <w:bookmarkStart w:id="108" w:name="_Toc15579"/>
      <w:r>
        <w:rPr>
          <w:rFonts w:hint="eastAsia" w:ascii="Times New Roman" w:hAnsi="Times New Roman" w:eastAsia="仿宋_GB2312" w:cs="Times New Roman"/>
          <w:color w:val="auto"/>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8"/>
    </w:p>
    <w:p w14:paraId="0B3D2F7A">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rPr>
      </w:pPr>
      <w:bookmarkStart w:id="109" w:name="_Toc19261"/>
      <w:r>
        <w:rPr>
          <w:rFonts w:hint="eastAsia" w:ascii="黑体" w:hAnsi="黑体" w:eastAsia="黑体" w:cs="黑体"/>
          <w:b w:val="0"/>
          <w:bCs w:val="0"/>
          <w:color w:val="auto"/>
          <w:highlight w:val="none"/>
          <w:shd w:val="clear" w:color="auto" w:fill="auto"/>
          <w:lang w:val="en-US" w:eastAsia="zh-CN"/>
        </w:rPr>
        <w:t>三、</w:t>
      </w:r>
      <w:r>
        <w:rPr>
          <w:rFonts w:hint="eastAsia" w:ascii="黑体" w:hAnsi="黑体" w:eastAsia="黑体" w:cs="黑体"/>
          <w:b w:val="0"/>
          <w:bCs w:val="0"/>
          <w:color w:val="auto"/>
          <w:highlight w:val="none"/>
          <w:shd w:val="clear" w:color="auto" w:fill="auto"/>
        </w:rPr>
        <w:t>综合评价情况及评价结论</w:t>
      </w:r>
      <w:bookmarkEnd w:id="109"/>
    </w:p>
    <w:p w14:paraId="30DC4AA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0" w:name="_Toc23319"/>
      <w:r>
        <w:rPr>
          <w:rFonts w:hint="eastAsia" w:ascii="Times New Roman" w:hAnsi="Times New Roman" w:eastAsia="楷体_GB2312" w:cs="Times New Roman"/>
          <w:color w:val="auto"/>
          <w:kern w:val="28"/>
          <w:sz w:val="32"/>
          <w:highlight w:val="none"/>
          <w:lang w:val="en-US" w:eastAsia="zh-CN"/>
        </w:rPr>
        <w:t>（一）综合评价情况及评价结论</w:t>
      </w:r>
      <w:bookmarkEnd w:id="110"/>
    </w:p>
    <w:p w14:paraId="4F1472E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项目产出方面完成较好</w:t>
      </w:r>
      <w:r>
        <w:rPr>
          <w:rFonts w:hint="default" w:ascii="Times New Roman" w:hAnsi="Times New Roman" w:eastAsia="仿宋_GB2312" w:cs="Times New Roman"/>
          <w:color w:val="auto"/>
          <w:sz w:val="32"/>
          <w:szCs w:val="32"/>
          <w:highlight w:val="none"/>
        </w:rPr>
        <w:t>，达到了预期的标准与要求。</w:t>
      </w:r>
    </w:p>
    <w:p w14:paraId="79158069">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ascii="Times New Roman" w:hAnsi="Times New Roman" w:eastAsia="仿宋_GB2312" w:cs="Times New Roman"/>
          <w:color w:val="auto"/>
          <w:sz w:val="32"/>
          <w:szCs w:val="32"/>
          <w:highlight w:val="none"/>
          <w:lang w:val="en-US" w:eastAsia="zh-CN"/>
        </w:rPr>
        <w:t>阜康市三工河哈萨克族乡中心幼儿园</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7D062ADD">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w:t>
      </w:r>
      <w:r>
        <w:rPr>
          <w:rFonts w:hint="eastAsia" w:ascii="Times New Roman" w:hAnsi="Times New Roman" w:eastAsia="仿宋_GB2312" w:cs="Times New Roman"/>
          <w:color w:val="auto"/>
          <w:sz w:val="32"/>
          <w:szCs w:val="32"/>
          <w:highlight w:val="none"/>
          <w:lang w:val="en-US" w:eastAsia="zh-CN"/>
        </w:rPr>
        <w:t>保障教师的正常工资待遇，提高教师的归属感，减少教师队伍人员流失</w:t>
      </w:r>
      <w:r>
        <w:rPr>
          <w:rFonts w:hint="default" w:ascii="Times New Roman" w:hAnsi="Times New Roman" w:eastAsia="仿宋_GB2312" w:cs="Times New Roman"/>
          <w:color w:val="auto"/>
          <w:sz w:val="32"/>
          <w:szCs w:val="32"/>
          <w:highlight w:val="none"/>
        </w:rPr>
        <w:t>等方面的提升，为项目的利益相关者带来了实实在在的利益。</w:t>
      </w:r>
    </w:p>
    <w:p w14:paraId="0CBF159E">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default" w:ascii="Times New Roman" w:hAnsi="Times New Roman" w:eastAsia="仿宋_GB2312" w:cs="Times New Roman"/>
          <w:color w:val="auto"/>
          <w:sz w:val="32"/>
          <w:szCs w:val="32"/>
          <w:highlight w:val="none"/>
        </w:rPr>
        <w:t>在绩效评价中表现出色，达到了项目的预期目标，并在多个方面取得了显著的成效</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评价等级为优</w:t>
      </w:r>
      <w:r>
        <w:rPr>
          <w:rFonts w:hint="default" w:ascii="Times New Roman" w:hAnsi="Times New Roman" w:eastAsia="仿宋_GB2312" w:cs="Times New Roman"/>
          <w:color w:val="auto"/>
          <w:sz w:val="32"/>
          <w:szCs w:val="32"/>
          <w:highlight w:val="none"/>
        </w:rPr>
        <w:t>。</w:t>
      </w:r>
    </w:p>
    <w:p w14:paraId="654BA128">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11" w:name="_Toc11863"/>
      <w:r>
        <w:rPr>
          <w:rFonts w:hint="eastAsia" w:ascii="Times New Roman" w:hAnsi="Times New Roman" w:eastAsia="楷体_GB2312" w:cs="Times New Roman"/>
          <w:color w:val="auto"/>
          <w:kern w:val="28"/>
          <w:sz w:val="32"/>
          <w:highlight w:val="none"/>
          <w:lang w:val="en-US" w:eastAsia="zh-CN"/>
        </w:rPr>
        <w:t>（二）相关评分表</w:t>
      </w:r>
      <w:bookmarkEnd w:id="111"/>
    </w:p>
    <w:p w14:paraId="60BC9BC7">
      <w:pPr>
        <w:spacing w:line="560" w:lineRule="exact"/>
        <w:ind w:firstLine="708" w:firstLineChars="200"/>
        <w:rPr>
          <w:rFonts w:hint="eastAsia" w:ascii="Times New Roman" w:hAnsi="Times New Roman" w:eastAsia="仿宋_GB2312" w:cs="Times New Roman"/>
          <w:color w:val="auto"/>
          <w:spacing w:val="17"/>
          <w:sz w:val="32"/>
          <w:szCs w:val="32"/>
          <w:highlight w:val="none"/>
          <w:lang w:val="zh-TW" w:eastAsia="zh-TW"/>
        </w:rPr>
      </w:pPr>
      <w:r>
        <w:rPr>
          <w:rFonts w:hint="eastAsia" w:ascii="Times New Roman" w:hAnsi="Times New Roman" w:eastAsia="仿宋_GB2312" w:cs="Times New Roman"/>
          <w:color w:val="auto"/>
          <w:spacing w:val="17"/>
          <w:sz w:val="32"/>
          <w:szCs w:val="32"/>
          <w:highlight w:val="none"/>
          <w:lang w:val="en-US" w:eastAsia="zh-CN"/>
        </w:rPr>
        <w:t>此次绩效评价</w:t>
      </w:r>
      <w:r>
        <w:rPr>
          <w:rFonts w:hint="eastAsia" w:ascii="Times New Roman" w:hAnsi="Times New Roman" w:eastAsia="仿宋_GB2312" w:cs="Times New Roman"/>
          <w:color w:val="auto"/>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auto"/>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auto"/>
          <w:spacing w:val="17"/>
          <w:sz w:val="32"/>
          <w:szCs w:val="32"/>
          <w:highlight w:val="none"/>
          <w:lang w:val="zh-TW" w:eastAsia="zh-TW"/>
        </w:rPr>
        <w:t>对</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Times New Roman" w:hAnsi="Times New Roman" w:eastAsia="仿宋_GB2312" w:cs="Times New Roman"/>
          <w:color w:val="auto"/>
          <w:spacing w:val="17"/>
          <w:sz w:val="32"/>
          <w:szCs w:val="32"/>
          <w:highlight w:val="none"/>
          <w:lang w:val="zh-TW" w:eastAsia="zh-TW"/>
        </w:rPr>
        <w:t>绩效进行客观评价，最终评分结果：</w:t>
      </w:r>
      <w:r>
        <w:rPr>
          <w:rFonts w:hint="default" w:ascii="Times New Roman" w:hAnsi="Times New Roman" w:eastAsia="仿宋_GB2312" w:cs="Times New Roman"/>
          <w:color w:val="auto"/>
          <w:spacing w:val="17"/>
          <w:sz w:val="32"/>
          <w:szCs w:val="32"/>
          <w:highlight w:val="none"/>
          <w:lang w:val="en-US" w:eastAsia="zh-CN"/>
        </w:rPr>
        <w:t>总得分为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19.2</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96</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汇总</w:t>
      </w:r>
      <w:r>
        <w:rPr>
          <w:rFonts w:hint="eastAsia" w:ascii="Times New Roman" w:hAnsi="Times New Roman" w:eastAsia="仿宋_GB2312" w:cs="Times New Roman"/>
          <w:color w:val="auto"/>
          <w:spacing w:val="17"/>
          <w:sz w:val="32"/>
          <w:szCs w:val="32"/>
          <w:highlight w:val="none"/>
          <w:lang w:val="zh-TW" w:eastAsia="zh-TW"/>
        </w:rPr>
        <w:t>分值如下表</w:t>
      </w:r>
      <w:r>
        <w:rPr>
          <w:rFonts w:hint="eastAsia" w:ascii="Times New Roman" w:hAnsi="Times New Roman" w:eastAsia="仿宋_GB2312" w:cs="Times New Roman"/>
          <w:color w:val="auto"/>
          <w:spacing w:val="17"/>
          <w:sz w:val="32"/>
          <w:szCs w:val="32"/>
          <w:highlight w:val="none"/>
          <w:lang w:val="en-US" w:eastAsia="zh-CN"/>
        </w:rPr>
        <w:t>3-1</w:t>
      </w:r>
      <w:r>
        <w:rPr>
          <w:rFonts w:hint="eastAsia" w:ascii="Times New Roman" w:hAnsi="Times New Roman" w:eastAsia="仿宋_GB2312" w:cs="Times New Roman"/>
          <w:color w:val="auto"/>
          <w:spacing w:val="17"/>
          <w:sz w:val="32"/>
          <w:szCs w:val="32"/>
          <w:highlight w:val="none"/>
          <w:lang w:val="zh-TW" w:eastAsia="zh-TW"/>
        </w:rPr>
        <w:t>所示</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en-US" w:eastAsia="zh-CN"/>
        </w:rPr>
        <w:t>详见上传的附件</w:t>
      </w:r>
      <w:r>
        <w:rPr>
          <w:rFonts w:hint="eastAsia" w:ascii="Times New Roman" w:hAnsi="Times New Roman" w:eastAsia="仿宋_GB2312" w:cs="Times New Roman"/>
          <w:color w:val="auto"/>
          <w:spacing w:val="17"/>
          <w:sz w:val="32"/>
          <w:szCs w:val="32"/>
          <w:highlight w:val="none"/>
          <w:lang w:val="zh-TW" w:eastAsia="zh-CN"/>
        </w:rPr>
        <w:t>）</w:t>
      </w:r>
      <w:r>
        <w:rPr>
          <w:rFonts w:hint="eastAsia" w:ascii="Times New Roman" w:hAnsi="Times New Roman" w:eastAsia="仿宋_GB2312" w:cs="Times New Roman"/>
          <w:color w:val="auto"/>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04927DAD">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5209554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w:t>
            </w:r>
            <w:r>
              <w:rPr>
                <w:rFonts w:hint="eastAsia" w:ascii="仿宋_GB2312" w:hAnsi="仿宋_GB2312" w:eastAsia="仿宋_GB2312" w:cs="仿宋_GB2312"/>
                <w:color w:val="auto"/>
                <w:sz w:val="32"/>
                <w:szCs w:val="32"/>
                <w:highlight w:val="none"/>
                <w:shd w:val="clear" w:color="auto" w:fill="auto"/>
                <w:lang w:val="en-US" w:eastAsia="zh-CN"/>
              </w:rPr>
              <w:t>2024年选聘教师工资补助经费项目</w:t>
            </w:r>
            <w:r>
              <w:rPr>
                <w:rFonts w:hint="eastAsia" w:ascii="宋体" w:hAnsi="宋体" w:eastAsia="宋体" w:cs="宋体"/>
                <w:b/>
                <w:bCs/>
                <w:color w:val="auto"/>
                <w:kern w:val="0"/>
                <w:sz w:val="28"/>
                <w:szCs w:val="28"/>
                <w:highlight w:val="none"/>
                <w:shd w:val="clear" w:color="auto" w:fill="auto"/>
                <w:lang w:val="en-US" w:eastAsia="zh-CN"/>
              </w:rPr>
              <w:t>得分表</w:t>
            </w:r>
          </w:p>
        </w:tc>
      </w:tr>
      <w:tr w14:paraId="72FA718B">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730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304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07A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41CC3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0E3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B42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43DE2AA4">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6F8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bookmarkStart w:id="112" w:name="OLE_LINK6" w:colFirst="1" w:colLast="5"/>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C893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A394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E8B5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4EBA0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A5D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bookmarkEnd w:id="112"/>
      <w:tr w14:paraId="470B0C42">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3B6D1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587A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19.2</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15B3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B746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869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134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p>
        </w:tc>
      </w:tr>
      <w:tr w14:paraId="1F4E05AD">
        <w:tblPrEx>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44C3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A61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bookmarkStart w:id="113" w:name="OLE_LINK7"/>
            <w:r>
              <w:rPr>
                <w:rFonts w:hint="eastAsia" w:cs="宋体"/>
                <w:color w:val="auto"/>
                <w:kern w:val="0"/>
                <w:sz w:val="21"/>
                <w:szCs w:val="21"/>
                <w:highlight w:val="none"/>
                <w:shd w:val="clear" w:color="auto" w:fill="auto"/>
                <w:lang w:val="en-US" w:eastAsia="zh-CN"/>
              </w:rPr>
              <w:t>96</w:t>
            </w:r>
            <w:r>
              <w:rPr>
                <w:rFonts w:hint="eastAsia" w:ascii="宋体" w:hAnsi="宋体" w:eastAsia="宋体" w:cs="宋体"/>
                <w:color w:val="auto"/>
                <w:kern w:val="0"/>
                <w:sz w:val="21"/>
                <w:szCs w:val="21"/>
                <w:highlight w:val="none"/>
                <w:shd w:val="clear" w:color="auto" w:fill="auto"/>
                <w:lang w:val="en-US" w:eastAsia="zh-CN"/>
              </w:rPr>
              <w:t>%</w:t>
            </w:r>
            <w:bookmarkEnd w:id="113"/>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6AF9C1">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33BA0">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7A73B">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7CF80">
            <w:pPr>
              <w:keepNext w:val="0"/>
              <w:keepLines w:val="0"/>
              <w:pageBreakBefore w:val="0"/>
              <w:widowControl/>
              <w:kinsoku/>
              <w:wordWrap/>
              <w:overflowPunct/>
              <w:topLinePunct w:val="0"/>
              <w:autoSpaceDE/>
              <w:autoSpaceDN/>
              <w:bidi w:val="0"/>
              <w:adjustRightInd/>
              <w:snapToGrid w:val="0"/>
              <w:spacing w:line="560" w:lineRule="exact"/>
              <w:ind w:firstLine="420" w:firstLineChars="200"/>
              <w:jc w:val="both"/>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99.2</w:t>
            </w:r>
            <w:r>
              <w:rPr>
                <w:rFonts w:hint="eastAsia" w:ascii="宋体" w:hAnsi="宋体" w:eastAsia="宋体" w:cs="宋体"/>
                <w:color w:val="auto"/>
                <w:kern w:val="0"/>
                <w:sz w:val="21"/>
                <w:szCs w:val="21"/>
                <w:highlight w:val="none"/>
                <w:shd w:val="clear" w:color="auto" w:fill="auto"/>
                <w:lang w:val="en-US" w:eastAsia="zh-CN"/>
              </w:rPr>
              <w:t>%</w:t>
            </w:r>
          </w:p>
        </w:tc>
      </w:tr>
    </w:tbl>
    <w:p w14:paraId="383FA4A0">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14" w:name="_Toc14941"/>
      <w:r>
        <w:rPr>
          <w:rFonts w:hint="eastAsia" w:ascii="黑体" w:hAnsi="黑体" w:eastAsia="黑体" w:cs="黑体"/>
          <w:b w:val="0"/>
          <w:bCs w:val="0"/>
          <w:color w:val="auto"/>
          <w:highlight w:val="none"/>
          <w:shd w:val="clear" w:color="auto" w:fill="auto"/>
          <w:lang w:val="en-US" w:eastAsia="zh-CN"/>
        </w:rPr>
        <w:t>四、绩效评价指标分析</w:t>
      </w:r>
      <w:bookmarkEnd w:id="114"/>
    </w:p>
    <w:p w14:paraId="1343D13D">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highlight w:val="none"/>
        </w:rPr>
      </w:pPr>
      <w:bookmarkStart w:id="115" w:name="_Toc6759"/>
      <w:r>
        <w:rPr>
          <w:rFonts w:hint="eastAsia" w:ascii="Times New Roman" w:hAnsi="Times New Roman" w:eastAsia="楷体_GB2312" w:cs="Times New Roman"/>
          <w:color w:val="auto"/>
          <w:kern w:val="28"/>
          <w:sz w:val="32"/>
          <w:highlight w:val="none"/>
        </w:rPr>
        <w:t>（一）项目决策情况</w:t>
      </w:r>
      <w:bookmarkEnd w:id="115"/>
    </w:p>
    <w:p w14:paraId="46971C43">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项目决策由3个二级指标和6个三级指标构成，权重分20分，实际得分19.2分，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5B0C96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en-US" w:eastAsia="zh-CN"/>
        </w:rPr>
      </w:pPr>
      <w:r>
        <w:rPr>
          <w:rFonts w:hint="eastAsia" w:ascii="仿宋_GB2312" w:hAnsi="仿宋_GB2312" w:eastAsia="仿宋_GB2312" w:cs="仿宋_GB2312"/>
          <w:b/>
          <w:bCs/>
          <w:color w:val="auto"/>
          <w:kern w:val="0"/>
          <w:sz w:val="32"/>
          <w:szCs w:val="32"/>
          <w:highlight w:val="none"/>
          <w:shd w:val="clear" w:color="auto" w:fill="auto"/>
          <w:lang w:val="zh-TW" w:eastAsia="zh-TW"/>
        </w:rPr>
        <w:t>表</w:t>
      </w:r>
      <w:r>
        <w:rPr>
          <w:rFonts w:hint="eastAsia" w:ascii="仿宋_GB2312" w:hAnsi="仿宋_GB2312" w:eastAsia="仿宋_GB2312" w:cs="仿宋_GB2312"/>
          <w:b/>
          <w:bCs/>
          <w:color w:val="auto"/>
          <w:kern w:val="0"/>
          <w:sz w:val="32"/>
          <w:szCs w:val="32"/>
          <w:highlight w:val="none"/>
          <w:shd w:val="clear" w:color="auto" w:fill="auto"/>
          <w:lang w:val="en-US" w:eastAsia="zh-CN"/>
        </w:rPr>
        <w:t>4-1</w:t>
      </w:r>
      <w:r>
        <w:rPr>
          <w:rFonts w:hint="eastAsia" w:ascii="仿宋_GB2312" w:hAnsi="仿宋_GB2312" w:eastAsia="仿宋_GB2312" w:cs="仿宋_GB2312"/>
          <w:b/>
          <w:bCs/>
          <w:color w:val="auto"/>
          <w:kern w:val="0"/>
          <w:sz w:val="32"/>
          <w:szCs w:val="32"/>
          <w:highlight w:val="none"/>
          <w:shd w:val="clear" w:color="auto" w:fill="auto"/>
          <w:lang w:val="zh-TW" w:eastAsia="zh-TW"/>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294E7C8A">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1371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F6D4E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F36A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560A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F1ECC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0E581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C0B7C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0ADDEE24">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36567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16" w:name="OLE_LINK8" w:colFirst="5" w:colLast="5"/>
            <w:r>
              <w:rPr>
                <w:rFonts w:hint="eastAsia" w:ascii="宋体" w:hAnsi="宋体" w:eastAsia="宋体" w:cs="宋体"/>
                <w:color w:val="auto"/>
                <w:kern w:val="0"/>
                <w:sz w:val="20"/>
                <w:szCs w:val="20"/>
                <w:highlight w:val="none"/>
                <w:shd w:val="clear" w:color="auto" w:fill="auto"/>
                <w:lang w:val="en-US" w:eastAsia="zh-CN"/>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1FAF7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D6813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9E1FB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0B9D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79BC4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F240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4AF49FD6">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658D8E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CD4723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FFC0B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4C6E9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7F407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258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4282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2.2</w:t>
            </w:r>
          </w:p>
        </w:tc>
      </w:tr>
      <w:tr w14:paraId="4CF1CE26">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A1871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EB233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476B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739B7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3F684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C8A9E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A5E7E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485CBC3C">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830AC5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9550E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6E5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6344A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E89A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34C72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5CE0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1C2998AB">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42A2EFD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F32559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3F24C3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229124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11350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85385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D641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2FE0521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578D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2D744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5AD5F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0C009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A5AB4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D741C9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BFF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bookmarkEnd w:id="116"/>
      <w:tr w14:paraId="5B4F20F1">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D75D1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731D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C38CC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9CFC6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648CE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19.2</w:t>
            </w:r>
          </w:p>
        </w:tc>
      </w:tr>
    </w:tbl>
    <w:p w14:paraId="5A31FA91">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7" w:name="_Toc28069"/>
      <w:bookmarkStart w:id="118" w:name="_Toc13522"/>
      <w:r>
        <w:rPr>
          <w:rFonts w:hint="eastAsia" w:ascii="仿宋_GB2312" w:hAnsi="仿宋_GB2312" w:eastAsia="仿宋_GB2312" w:cs="仿宋_GB2312"/>
          <w:b/>
          <w:bCs/>
          <w:color w:val="auto"/>
          <w:sz w:val="32"/>
          <w:szCs w:val="32"/>
          <w:highlight w:val="none"/>
          <w:lang w:val="en-US" w:eastAsia="zh-CN"/>
        </w:rPr>
        <w:t>1.立项依据充分性</w:t>
      </w:r>
      <w:bookmarkEnd w:id="117"/>
      <w:bookmarkEnd w:id="118"/>
    </w:p>
    <w:p w14:paraId="7536159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①项目立项符合《中华人民共和国学前教育法》、《关于学前教育深化改革规范发展的若干意见》</w:t>
      </w:r>
      <w:r>
        <w:rPr>
          <w:rFonts w:hint="eastAsia" w:ascii="仿宋_GB2312" w:hAnsi="仿宋_GB2312" w:eastAsia="仿宋_GB2312" w:cs="仿宋_GB2312"/>
          <w:color w:val="auto"/>
          <w:sz w:val="32"/>
          <w:szCs w:val="32"/>
          <w:highlight w:val="none"/>
          <w:lang w:val="en-US" w:eastAsia="zh-CN"/>
        </w:rPr>
        <w:t>等</w:t>
      </w:r>
      <w:r>
        <w:rPr>
          <w:rFonts w:hint="eastAsia" w:ascii="仿宋_GB2312" w:hAnsi="仿宋_GB2312" w:eastAsia="仿宋_GB2312" w:cs="仿宋_GB2312"/>
          <w:color w:val="auto"/>
          <w:sz w:val="32"/>
          <w:szCs w:val="32"/>
          <w:highlight w:val="none"/>
          <w:lang w:eastAsia="zh-CN"/>
        </w:rPr>
        <w:t>；</w:t>
      </w:r>
    </w:p>
    <w:p w14:paraId="5F04C26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②项目立项符合《幼儿园教职工配备标准（暂行）》</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政策要求；</w:t>
      </w:r>
    </w:p>
    <w:p w14:paraId="5833A5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③项目立项与</w:t>
      </w:r>
      <w:r>
        <w:rPr>
          <w:rFonts w:hint="eastAsia" w:ascii="仿宋_GB2312" w:hAnsi="仿宋_GB2312" w:eastAsia="仿宋_GB2312" w:cs="仿宋_GB2312"/>
          <w:color w:val="auto"/>
          <w:sz w:val="32"/>
          <w:szCs w:val="32"/>
          <w:highlight w:val="none"/>
          <w:lang w:val="en-US" w:eastAsia="zh-CN"/>
        </w:rPr>
        <w:t>宣传贯彻党和国家的教育方针、教育政策、教育法律法规、贯彻执行上级教育行政部门的各项规章制度的</w:t>
      </w:r>
      <w:r>
        <w:rPr>
          <w:rFonts w:hint="eastAsia" w:ascii="仿宋_GB2312" w:hAnsi="仿宋_GB2312" w:eastAsia="仿宋_GB2312" w:cs="仿宋_GB2312"/>
          <w:color w:val="auto"/>
          <w:sz w:val="32"/>
          <w:szCs w:val="32"/>
          <w:highlight w:val="none"/>
          <w:lang w:eastAsia="zh-CN"/>
        </w:rPr>
        <w:t>部门职责范围相符，属于部门履职所需；</w:t>
      </w:r>
    </w:p>
    <w:p w14:paraId="41BE88D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④项目属于公共财政支持范围，符合中央、地方事权支出责任划分原则；</w:t>
      </w:r>
    </w:p>
    <w:p w14:paraId="54AB621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⑤项目与相关部门同类项目、部门内部相关项目</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重复。</w:t>
      </w:r>
    </w:p>
    <w:p w14:paraId="165439D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55C54C0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19" w:name="_Toc23240"/>
      <w:bookmarkStart w:id="120" w:name="_Toc21976"/>
      <w:r>
        <w:rPr>
          <w:rFonts w:hint="eastAsia" w:ascii="仿宋_GB2312" w:hAnsi="仿宋_GB2312" w:eastAsia="仿宋_GB2312" w:cs="仿宋_GB2312"/>
          <w:b/>
          <w:bCs/>
          <w:color w:val="auto"/>
          <w:sz w:val="32"/>
          <w:szCs w:val="32"/>
          <w:highlight w:val="none"/>
          <w:lang w:val="en-US" w:eastAsia="zh-CN"/>
        </w:rPr>
        <w:t>2.立项程序规范性</w:t>
      </w:r>
      <w:bookmarkEnd w:id="119"/>
      <w:bookmarkEnd w:id="120"/>
    </w:p>
    <w:p w14:paraId="193DD9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①项目按照规定的程序申请设立；</w:t>
      </w:r>
    </w:p>
    <w:p w14:paraId="28F7896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②审批文件、材料符合相关要求；</w:t>
      </w:r>
    </w:p>
    <w:p w14:paraId="4A1665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③事前经过必要的集体决策，</w:t>
      </w:r>
      <w:r>
        <w:rPr>
          <w:rFonts w:hint="eastAsia" w:ascii="仿宋_GB2312" w:hAnsi="仿宋_GB2312" w:eastAsia="仿宋_GB2312" w:cs="仿宋_GB2312"/>
          <w:color w:val="auto"/>
          <w:sz w:val="32"/>
          <w:szCs w:val="32"/>
          <w:highlight w:val="none"/>
          <w:lang w:val="en-US" w:eastAsia="zh-CN"/>
        </w:rPr>
        <w:t>未经过可行性研究、</w:t>
      </w:r>
      <w:r>
        <w:rPr>
          <w:rFonts w:hint="eastAsia" w:ascii="仿宋_GB2312" w:hAnsi="仿宋_GB2312" w:eastAsia="仿宋_GB2312" w:cs="仿宋_GB2312"/>
          <w:color w:val="auto"/>
          <w:sz w:val="32"/>
          <w:szCs w:val="32"/>
          <w:highlight w:val="none"/>
          <w:lang w:eastAsia="zh-CN"/>
        </w:rPr>
        <w:t>风险评估、绩效评估。</w:t>
      </w:r>
    </w:p>
    <w:p w14:paraId="72FB187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综上，该项指标满分3分，得分2.2分。</w:t>
      </w:r>
    </w:p>
    <w:p w14:paraId="3C16479B">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1" w:name="_Toc23542"/>
      <w:bookmarkStart w:id="122" w:name="_Toc15382"/>
      <w:r>
        <w:rPr>
          <w:rFonts w:hint="eastAsia" w:ascii="仿宋_GB2312" w:hAnsi="仿宋_GB2312" w:eastAsia="仿宋_GB2312" w:cs="仿宋_GB2312"/>
          <w:b/>
          <w:bCs/>
          <w:color w:val="auto"/>
          <w:sz w:val="32"/>
          <w:szCs w:val="32"/>
          <w:highlight w:val="none"/>
          <w:lang w:val="en-US" w:eastAsia="zh-CN"/>
        </w:rPr>
        <w:t>3.绩效目标合理性</w:t>
      </w:r>
      <w:bookmarkEnd w:id="121"/>
      <w:bookmarkEnd w:id="122"/>
    </w:p>
    <w:p w14:paraId="119F201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001CF3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②该项目实际工作内容为：</w:t>
      </w:r>
      <w:bookmarkStart w:id="123" w:name="OLE_LINK13"/>
      <w:r>
        <w:rPr>
          <w:rFonts w:hint="eastAsia" w:ascii="仿宋_GB2312" w:hAnsi="仿宋_GB2312" w:eastAsia="仿宋_GB2312" w:cs="仿宋_GB2312"/>
          <w:color w:val="auto"/>
          <w:sz w:val="32"/>
          <w:szCs w:val="32"/>
          <w:highlight w:val="none"/>
          <w:lang w:eastAsia="zh-CN"/>
        </w:rPr>
        <w:t>按每人每月0.47万元的标准，完成5名选聘教师工资发放12次</w:t>
      </w:r>
      <w:bookmarkEnd w:id="123"/>
      <w:r>
        <w:rPr>
          <w:rFonts w:hint="eastAsia" w:ascii="仿宋_GB2312" w:hAnsi="仿宋_GB2312" w:eastAsia="仿宋_GB2312" w:cs="仿宋_GB2312"/>
          <w:color w:val="auto"/>
          <w:sz w:val="32"/>
          <w:szCs w:val="32"/>
          <w:highlight w:val="none"/>
          <w:lang w:eastAsia="zh-CN"/>
        </w:rPr>
        <w:t>，共支付28.11万元。绩效目标与实际工作内容一致，两者具有相关性。</w:t>
      </w:r>
    </w:p>
    <w:p w14:paraId="441D71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③该项目按照绩效目标完成数量指标、质量指标、时效指标、成本指标，完成了按每人每月0.47万元的标准</w:t>
      </w:r>
      <w:r>
        <w:rPr>
          <w:rFonts w:hint="eastAsia" w:ascii="仿宋_GB2312" w:hAnsi="仿宋_GB2312" w:eastAsia="仿宋_GB2312" w:cs="仿宋_GB2312"/>
          <w:color w:val="auto"/>
          <w:sz w:val="32"/>
          <w:szCs w:val="32"/>
          <w:highlight w:val="none"/>
          <w:lang w:val="en-US" w:eastAsia="zh-CN"/>
        </w:rPr>
        <w:t>发放</w:t>
      </w:r>
      <w:r>
        <w:rPr>
          <w:rFonts w:hint="eastAsia" w:ascii="仿宋_GB2312" w:hAnsi="仿宋_GB2312" w:eastAsia="仿宋_GB2312" w:cs="仿宋_GB2312"/>
          <w:color w:val="auto"/>
          <w:sz w:val="32"/>
          <w:szCs w:val="32"/>
          <w:highlight w:val="none"/>
          <w:lang w:eastAsia="zh-CN"/>
        </w:rPr>
        <w:t>5名选聘教师工资12次，达到改善教学环境，提供良好的学生成长条件，</w:t>
      </w:r>
      <w:r>
        <w:rPr>
          <w:rFonts w:hint="eastAsia" w:ascii="仿宋_GB2312" w:hAnsi="仿宋_GB2312" w:eastAsia="仿宋_GB2312" w:cs="仿宋_GB2312"/>
          <w:color w:val="auto"/>
          <w:sz w:val="32"/>
          <w:szCs w:val="32"/>
          <w:highlight w:val="none"/>
          <w:lang w:val="en-US" w:eastAsia="zh-CN"/>
        </w:rPr>
        <w:t>保障</w:t>
      </w:r>
      <w:r>
        <w:rPr>
          <w:rFonts w:hint="eastAsia" w:ascii="仿宋_GB2312" w:hAnsi="仿宋_GB2312" w:eastAsia="仿宋_GB2312" w:cs="仿宋_GB2312"/>
          <w:color w:val="auto"/>
          <w:sz w:val="32"/>
          <w:szCs w:val="32"/>
          <w:highlight w:val="none"/>
          <w:lang w:eastAsia="zh-CN"/>
        </w:rPr>
        <w:t>幼儿园正常运转的社会效益，预期产出效益和效果是否符合正常的业绩水平。</w:t>
      </w:r>
    </w:p>
    <w:p w14:paraId="45303C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④《项目支出绩效目标表》中预算金额为</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万元，预算确定的项目资金与预算确定的项目投资额相匹配。</w:t>
      </w:r>
    </w:p>
    <w:p w14:paraId="706D810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2994062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4" w:name="_Toc18198"/>
      <w:bookmarkStart w:id="125" w:name="_Toc10650"/>
      <w:r>
        <w:rPr>
          <w:rFonts w:hint="eastAsia" w:ascii="仿宋_GB2312" w:hAnsi="仿宋_GB2312" w:eastAsia="仿宋_GB2312" w:cs="仿宋_GB2312"/>
          <w:b/>
          <w:bCs/>
          <w:color w:val="auto"/>
          <w:sz w:val="32"/>
          <w:szCs w:val="32"/>
          <w:highlight w:val="none"/>
          <w:lang w:val="en-US" w:eastAsia="zh-CN"/>
        </w:rPr>
        <w:t>4.绩效指标明确性</w:t>
      </w:r>
      <w:bookmarkEnd w:id="124"/>
      <w:bookmarkEnd w:id="125"/>
    </w:p>
    <w:p w14:paraId="0DF083D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①将项目绩效目标细化分解为具体的绩效指标，</w:t>
      </w:r>
      <w:r>
        <w:rPr>
          <w:rFonts w:hint="eastAsia" w:ascii="仿宋_GB2312" w:hAnsi="仿宋_GB2312" w:eastAsia="仿宋_GB2312" w:cs="仿宋_GB2312"/>
          <w:color w:val="auto"/>
          <w:sz w:val="32"/>
          <w:szCs w:val="32"/>
          <w:highlight w:val="none"/>
          <w:lang w:val="en-US" w:eastAsia="zh-CN"/>
        </w:rPr>
        <w:t>其中三级指标共计7个</w:t>
      </w:r>
      <w:r>
        <w:rPr>
          <w:rFonts w:hint="eastAsia" w:ascii="仿宋_GB2312" w:hAnsi="仿宋_GB2312" w:eastAsia="仿宋_GB2312" w:cs="仿宋_GB2312"/>
          <w:color w:val="auto"/>
          <w:sz w:val="32"/>
          <w:szCs w:val="32"/>
          <w:highlight w:val="none"/>
          <w:lang w:eastAsia="zh-CN"/>
        </w:rPr>
        <w:t>；</w:t>
      </w:r>
    </w:p>
    <w:p w14:paraId="03D771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②通过清晰、可衡量的指标值予以体现，</w:t>
      </w:r>
      <w:r>
        <w:rPr>
          <w:rFonts w:hint="eastAsia" w:ascii="仿宋_GB2312" w:hAnsi="仿宋_GB2312" w:eastAsia="仿宋_GB2312" w:cs="仿宋_GB2312"/>
          <w:color w:val="auto"/>
          <w:sz w:val="32"/>
          <w:szCs w:val="32"/>
          <w:highlight w:val="none"/>
          <w:lang w:val="en-US" w:eastAsia="zh-CN"/>
        </w:rPr>
        <w:t>量化率达到71.43%</w:t>
      </w:r>
      <w:r>
        <w:rPr>
          <w:rFonts w:hint="eastAsia" w:ascii="仿宋_GB2312" w:hAnsi="仿宋_GB2312" w:eastAsia="仿宋_GB2312" w:cs="仿宋_GB2312"/>
          <w:color w:val="auto"/>
          <w:sz w:val="32"/>
          <w:szCs w:val="32"/>
          <w:highlight w:val="none"/>
          <w:lang w:eastAsia="zh-CN"/>
        </w:rPr>
        <w:t>；</w:t>
      </w:r>
    </w:p>
    <w:p w14:paraId="5BDA079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③《项目绩效目标申报表》中，三级指标的年度指标值与年度绩效目标中任务数一致。</w:t>
      </w:r>
    </w:p>
    <w:p w14:paraId="4C539BA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已设置的绩效目标具备明确性、可衡量性、可实现性、相关性、时限性。</w:t>
      </w:r>
    </w:p>
    <w:p w14:paraId="37650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29032A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6" w:name="_Toc8296"/>
      <w:bookmarkStart w:id="127" w:name="_Toc19401"/>
      <w:r>
        <w:rPr>
          <w:rFonts w:hint="eastAsia" w:ascii="仿宋_GB2312" w:hAnsi="仿宋_GB2312" w:eastAsia="仿宋_GB2312" w:cs="仿宋_GB2312"/>
          <w:b/>
          <w:bCs/>
          <w:color w:val="auto"/>
          <w:sz w:val="32"/>
          <w:szCs w:val="32"/>
          <w:highlight w:val="none"/>
          <w:lang w:val="en-US" w:eastAsia="zh-CN"/>
        </w:rPr>
        <w:t>5.预算编制科学性</w:t>
      </w:r>
      <w:bookmarkEnd w:id="126"/>
      <w:bookmarkEnd w:id="127"/>
    </w:p>
    <w:p w14:paraId="29E635F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lang w:val="en-US" w:eastAsia="zh-CN"/>
        </w:rPr>
        <w:t>根据项目预算批复，项目的</w:t>
      </w:r>
      <w:r>
        <w:rPr>
          <w:rFonts w:hint="eastAsia" w:ascii="仿宋_GB2312" w:hAnsi="仿宋_GB2312" w:eastAsia="仿宋_GB2312" w:cs="仿宋_GB2312"/>
          <w:color w:val="auto"/>
          <w:sz w:val="32"/>
          <w:szCs w:val="32"/>
          <w:highlight w:val="none"/>
          <w:lang w:eastAsia="zh-CN"/>
        </w:rPr>
        <w:t>预算编制经过科学论证；</w:t>
      </w:r>
    </w:p>
    <w:p w14:paraId="3180142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②</w:t>
      </w:r>
      <w:r>
        <w:rPr>
          <w:rFonts w:hint="eastAsia" w:ascii="仿宋_GB2312" w:hAnsi="仿宋_GB2312" w:eastAsia="仿宋_GB2312" w:cs="仿宋_GB2312"/>
          <w:color w:val="auto"/>
          <w:sz w:val="32"/>
          <w:szCs w:val="32"/>
          <w:highlight w:val="none"/>
          <w:lang w:eastAsia="zh-CN"/>
        </w:rPr>
        <w:t>预算申请内容为2024年选聘教师工资补助经费，项目实际内容为2024年选聘教师工资补助经费</w:t>
      </w: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eastAsia="zh-CN"/>
        </w:rPr>
        <w:t>，预算申请与项目内容匹配；</w:t>
      </w:r>
    </w:p>
    <w:p w14:paraId="574DB40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③</w:t>
      </w:r>
      <w:r>
        <w:rPr>
          <w:rFonts w:hint="eastAsia" w:ascii="仿宋_GB2312" w:hAnsi="仿宋_GB2312" w:eastAsia="仿宋_GB2312" w:cs="仿宋_GB2312"/>
          <w:color w:val="auto"/>
          <w:sz w:val="32"/>
          <w:szCs w:val="32"/>
          <w:highlight w:val="none"/>
          <w:lang w:eastAsia="zh-CN"/>
        </w:rPr>
        <w:t>项目预算申请资金</w:t>
      </w:r>
      <w:r>
        <w:rPr>
          <w:rFonts w:hint="eastAsia" w:ascii="仿宋_GB2312" w:hAnsi="仿宋_GB2312" w:eastAsia="仿宋_GB2312" w:cs="仿宋_GB2312"/>
          <w:color w:val="auto"/>
          <w:sz w:val="32"/>
          <w:szCs w:val="32"/>
          <w:highlight w:val="none"/>
          <w:lang w:val="en-US" w:eastAsia="zh-CN"/>
        </w:rPr>
        <w:t>28.11万</w:t>
      </w:r>
      <w:r>
        <w:rPr>
          <w:rFonts w:hint="eastAsia" w:ascii="仿宋_GB2312" w:hAnsi="仿宋_GB2312" w:eastAsia="仿宋_GB2312" w:cs="仿宋_GB2312"/>
          <w:color w:val="auto"/>
          <w:sz w:val="32"/>
          <w:szCs w:val="32"/>
          <w:highlight w:val="none"/>
          <w:lang w:eastAsia="zh-CN"/>
        </w:rPr>
        <w:t>元，我单位在预算申请中严格按照项目实施内容及测算标准进行核算，其中：</w:t>
      </w:r>
      <w:r>
        <w:rPr>
          <w:rFonts w:hint="eastAsia" w:ascii="仿宋_GB2312" w:hAnsi="仿宋_GB2312" w:eastAsia="仿宋_GB2312" w:cs="仿宋_GB2312"/>
          <w:color w:val="auto"/>
          <w:sz w:val="32"/>
          <w:szCs w:val="32"/>
          <w:highlight w:val="none"/>
          <w:lang w:val="en-US" w:eastAsia="zh-CN"/>
        </w:rPr>
        <w:t>商品服务支出中列支选聘教师工资的劳务费28.11</w:t>
      </w:r>
      <w:r>
        <w:rPr>
          <w:rFonts w:hint="eastAsia" w:ascii="仿宋_GB2312" w:hAnsi="仿宋_GB2312" w:eastAsia="仿宋_GB2312" w:cs="仿宋_GB2312"/>
          <w:color w:val="auto"/>
          <w:sz w:val="32"/>
          <w:szCs w:val="32"/>
          <w:highlight w:val="none"/>
          <w:lang w:eastAsia="zh-CN"/>
        </w:rPr>
        <w:t>万元。</w:t>
      </w:r>
    </w:p>
    <w:p w14:paraId="0967DF1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④</w:t>
      </w:r>
      <w:r>
        <w:rPr>
          <w:rFonts w:hint="eastAsia" w:ascii="仿宋_GB2312" w:hAnsi="仿宋_GB2312" w:eastAsia="仿宋_GB2312" w:cs="仿宋_GB2312"/>
          <w:color w:val="auto"/>
          <w:sz w:val="32"/>
          <w:szCs w:val="32"/>
          <w:highlight w:val="none"/>
          <w:lang w:eastAsia="zh-CN"/>
        </w:rPr>
        <w:t>预算确定资金量与实际工作任务相匹配。项目预算额度测算依据充分，严格按照标准编制，项目资金量与</w:t>
      </w:r>
      <w:r>
        <w:rPr>
          <w:rFonts w:hint="eastAsia" w:ascii="仿宋_GB2312" w:hAnsi="仿宋_GB2312" w:eastAsia="仿宋_GB2312" w:cs="仿宋_GB2312"/>
          <w:color w:val="auto"/>
          <w:sz w:val="32"/>
          <w:szCs w:val="32"/>
          <w:highlight w:val="none"/>
          <w:lang w:val="en-US" w:eastAsia="zh-CN"/>
        </w:rPr>
        <w:t>项目实施内容</w:t>
      </w:r>
      <w:r>
        <w:rPr>
          <w:rFonts w:hint="eastAsia" w:ascii="仿宋_GB2312" w:hAnsi="仿宋_GB2312" w:eastAsia="仿宋_GB2312" w:cs="仿宋_GB2312"/>
          <w:color w:val="auto"/>
          <w:sz w:val="32"/>
          <w:szCs w:val="32"/>
          <w:highlight w:val="none"/>
          <w:lang w:eastAsia="zh-CN"/>
        </w:rPr>
        <w:t>相匹配。</w:t>
      </w:r>
    </w:p>
    <w:p w14:paraId="64AF0A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综上，该项指标满分2分，得分2分。</w:t>
      </w:r>
    </w:p>
    <w:p w14:paraId="2A3D5D32">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28" w:name="_Toc697"/>
      <w:bookmarkStart w:id="129" w:name="_Toc20556"/>
      <w:r>
        <w:rPr>
          <w:rFonts w:hint="eastAsia" w:ascii="仿宋_GB2312" w:hAnsi="仿宋_GB2312" w:eastAsia="仿宋_GB2312" w:cs="仿宋_GB2312"/>
          <w:b/>
          <w:bCs/>
          <w:color w:val="auto"/>
          <w:sz w:val="32"/>
          <w:szCs w:val="32"/>
          <w:highlight w:val="none"/>
          <w:lang w:val="en-US" w:eastAsia="zh-CN"/>
        </w:rPr>
        <w:t>6.资金分配合理性</w:t>
      </w:r>
      <w:bookmarkEnd w:id="128"/>
      <w:bookmarkEnd w:id="129"/>
    </w:p>
    <w:p w14:paraId="68AAB57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①项目实际分配资金以</w:t>
      </w:r>
      <w:r>
        <w:rPr>
          <w:rFonts w:hint="eastAsia" w:ascii="仿宋_GB2312" w:hAnsi="仿宋_GB2312" w:eastAsia="仿宋_GB2312" w:cs="仿宋_GB2312"/>
          <w:color w:val="auto"/>
          <w:sz w:val="32"/>
          <w:szCs w:val="32"/>
          <w:highlight w:val="none"/>
          <w:shd w:val="clear" w:color="auto" w:fill="auto"/>
          <w:lang w:val="en-US" w:eastAsia="zh-CN"/>
        </w:rPr>
        <w:t>《阜康市财政局关于2024年部门预算批复》【阜财预字（2024）7号】</w:t>
      </w:r>
      <w:r>
        <w:rPr>
          <w:rFonts w:hint="eastAsia" w:ascii="仿宋_GB2312" w:hAnsi="仿宋_GB2312" w:eastAsia="仿宋_GB2312" w:cs="仿宋_GB2312"/>
          <w:color w:val="auto"/>
          <w:sz w:val="32"/>
          <w:szCs w:val="32"/>
          <w:highlight w:val="none"/>
          <w:lang w:val="en-US" w:eastAsia="zh-CN"/>
        </w:rPr>
        <w:t>为</w:t>
      </w:r>
      <w:r>
        <w:rPr>
          <w:rFonts w:hint="eastAsia" w:ascii="仿宋_GB2312" w:hAnsi="仿宋_GB2312" w:eastAsia="仿宋_GB2312" w:cs="仿宋_GB2312"/>
          <w:color w:val="auto"/>
          <w:sz w:val="32"/>
          <w:szCs w:val="32"/>
          <w:highlight w:val="none"/>
          <w:lang w:eastAsia="zh-Hans"/>
        </w:rPr>
        <w:t>依据进行资金分配，预算资金分配依据充分</w:t>
      </w:r>
      <w:r>
        <w:rPr>
          <w:rFonts w:hint="eastAsia" w:ascii="仿宋_GB2312" w:hAnsi="仿宋_GB2312" w:eastAsia="仿宋_GB2312" w:cs="仿宋_GB2312"/>
          <w:color w:val="auto"/>
          <w:sz w:val="32"/>
          <w:szCs w:val="32"/>
          <w:highlight w:val="none"/>
          <w:lang w:eastAsia="zh-CN"/>
        </w:rPr>
        <w:t>。</w:t>
      </w:r>
    </w:p>
    <w:p w14:paraId="354CC57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②项目实际到位资金</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万元，资金分配额度合理，与项目单位</w:t>
      </w:r>
      <w:r>
        <w:rPr>
          <w:rFonts w:hint="eastAsia" w:ascii="仿宋_GB2312" w:hAnsi="仿宋_GB2312" w:eastAsia="仿宋_GB2312" w:cs="仿宋_GB2312"/>
          <w:color w:val="auto"/>
          <w:sz w:val="32"/>
          <w:szCs w:val="32"/>
          <w:highlight w:val="none"/>
          <w:lang w:val="en-US" w:eastAsia="zh-CN"/>
        </w:rPr>
        <w:t>及项目实际实施情况相</w:t>
      </w:r>
      <w:r>
        <w:rPr>
          <w:rFonts w:hint="eastAsia" w:ascii="仿宋_GB2312" w:hAnsi="仿宋_GB2312" w:eastAsia="仿宋_GB2312" w:cs="仿宋_GB2312"/>
          <w:color w:val="auto"/>
          <w:sz w:val="32"/>
          <w:szCs w:val="32"/>
          <w:highlight w:val="none"/>
          <w:lang w:eastAsia="zh-CN"/>
        </w:rPr>
        <w:t>适应。</w:t>
      </w:r>
    </w:p>
    <w:p w14:paraId="0867A7AE">
      <w:pPr>
        <w:pageBreakBefore w:val="0"/>
        <w:kinsoku/>
        <w:wordWrap/>
        <w:overflowPunct/>
        <w:topLinePunct w:val="0"/>
        <w:autoSpaceDE/>
        <w:autoSpaceDN/>
        <w:bidi w:val="0"/>
        <w:spacing w:line="560" w:lineRule="exact"/>
        <w:textAlignment w:val="auto"/>
        <w:rPr>
          <w:rFonts w:hint="eastAsia"/>
          <w:color w:val="auto"/>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综上，该项指标满分3分，得分3分。</w:t>
      </w:r>
    </w:p>
    <w:p w14:paraId="188FEFD3">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highlight w:val="none"/>
        </w:rPr>
      </w:pPr>
      <w:bookmarkStart w:id="130" w:name="_Toc10564"/>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lang w:val="en-US" w:eastAsia="zh-CN"/>
        </w:rPr>
        <w:t>二</w:t>
      </w:r>
      <w:r>
        <w:rPr>
          <w:rFonts w:hint="eastAsia" w:ascii="Times New Roman" w:hAnsi="Times New Roman" w:eastAsia="楷体" w:cs="Times New Roman"/>
          <w:color w:val="auto"/>
          <w:kern w:val="28"/>
          <w:sz w:val="32"/>
          <w:highlight w:val="none"/>
          <w:lang w:eastAsia="zh-CN"/>
        </w:rPr>
        <w:t>）</w:t>
      </w:r>
      <w:r>
        <w:rPr>
          <w:rFonts w:hint="eastAsia" w:ascii="Times New Roman" w:hAnsi="Times New Roman" w:eastAsia="楷体" w:cs="Times New Roman"/>
          <w:color w:val="auto"/>
          <w:kern w:val="28"/>
          <w:sz w:val="32"/>
          <w:highlight w:val="none"/>
        </w:rPr>
        <w:t>项目过程情况</w:t>
      </w:r>
      <w:bookmarkEnd w:id="130"/>
    </w:p>
    <w:p w14:paraId="5761DD9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2256D49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4-2</w:t>
      </w:r>
      <w:r>
        <w:rPr>
          <w:rFonts w:hint="eastAsia" w:ascii="宋体" w:hAnsi="宋体" w:eastAsia="宋体" w:cs="宋体"/>
          <w:b/>
          <w:bCs/>
          <w:color w:val="auto"/>
          <w:kern w:val="0"/>
          <w:sz w:val="28"/>
          <w:szCs w:val="28"/>
          <w:highlight w:val="none"/>
          <w:shd w:val="clear" w:color="auto" w:fill="auto"/>
          <w:lang w:val="zh-TW" w:eastAsia="zh-TW"/>
        </w:rPr>
        <w:t>项目</w:t>
      </w:r>
      <w:r>
        <w:rPr>
          <w:rFonts w:hint="eastAsia" w:cs="宋体"/>
          <w:b/>
          <w:bCs/>
          <w:color w:val="auto"/>
          <w:kern w:val="0"/>
          <w:sz w:val="28"/>
          <w:szCs w:val="28"/>
          <w:highlight w:val="none"/>
          <w:shd w:val="clear" w:color="auto" w:fill="auto"/>
          <w:lang w:val="en-US" w:eastAsia="zh-CN"/>
        </w:rPr>
        <w:t>过程</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508A1D89">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CD488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D897E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5DC29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C066B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B3AED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DCD64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D7EA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7ADF1B9F">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3FC9F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CAD44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55D28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AA43E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92A0C7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4ADC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AECC5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7DE9A2D6">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E1B1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B383DD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DB6A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0A9654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E55D4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F85B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BAB1B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06F50A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0A95C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897B0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3F1B7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436C3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2C27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91C30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8BB8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7B45B33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65C8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777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6BE9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5DF3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8AFD6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23F3A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2AA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39524A5F">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19B4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0851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C6D337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7E5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EC84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D6038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75B8C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5EC16FC1">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86AE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83F98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1E952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C1DA7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225D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28C74FF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1" w:name="_Toc3886"/>
      <w:bookmarkStart w:id="132" w:name="_Toc20449"/>
      <w:r>
        <w:rPr>
          <w:rFonts w:hint="eastAsia" w:ascii="仿宋_GB2312" w:hAnsi="仿宋_GB2312" w:eastAsia="仿宋_GB2312" w:cs="仿宋_GB2312"/>
          <w:b/>
          <w:bCs/>
          <w:color w:val="auto"/>
          <w:sz w:val="32"/>
          <w:szCs w:val="32"/>
          <w:highlight w:val="none"/>
          <w:lang w:val="en-US" w:eastAsia="zh-CN"/>
        </w:rPr>
        <w:t>1.资金到位率</w:t>
      </w:r>
      <w:bookmarkEnd w:id="131"/>
      <w:bookmarkEnd w:id="132"/>
    </w:p>
    <w:p w14:paraId="1AEFC17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项目预算资金为</w:t>
      </w:r>
      <w:r>
        <w:rPr>
          <w:rFonts w:hint="eastAsia" w:ascii="仿宋_GB2312" w:hAnsi="仿宋_GB2312" w:eastAsia="仿宋_GB2312" w:cs="仿宋_GB2312"/>
          <w:b w:val="0"/>
          <w:bCs w:val="0"/>
          <w:color w:val="auto"/>
          <w:sz w:val="32"/>
          <w:szCs w:val="32"/>
          <w:highlight w:val="none"/>
          <w:lang w:val="en-US" w:eastAsia="zh-CN"/>
        </w:rPr>
        <w:t>28.11</w:t>
      </w:r>
      <w:r>
        <w:rPr>
          <w:rFonts w:hint="eastAsia" w:ascii="仿宋_GB2312" w:hAnsi="仿宋_GB2312" w:eastAsia="仿宋_GB2312" w:cs="仿宋_GB2312"/>
          <w:b w:val="0"/>
          <w:bCs w:val="0"/>
          <w:color w:val="auto"/>
          <w:sz w:val="32"/>
          <w:szCs w:val="32"/>
          <w:highlight w:val="none"/>
        </w:rPr>
        <w:t>万元，其中：财政安排资金</w:t>
      </w:r>
      <w:r>
        <w:rPr>
          <w:rFonts w:hint="eastAsia" w:ascii="仿宋_GB2312" w:hAnsi="仿宋_GB2312" w:eastAsia="仿宋_GB2312" w:cs="仿宋_GB2312"/>
          <w:b w:val="0"/>
          <w:bCs w:val="0"/>
          <w:color w:val="auto"/>
          <w:sz w:val="32"/>
          <w:szCs w:val="32"/>
          <w:highlight w:val="none"/>
          <w:lang w:val="en-US" w:eastAsia="zh-CN"/>
        </w:rPr>
        <w:t>28.11</w:t>
      </w:r>
      <w:r>
        <w:rPr>
          <w:rFonts w:hint="eastAsia" w:ascii="仿宋_GB2312" w:hAnsi="仿宋_GB2312" w:eastAsia="仿宋_GB2312" w:cs="仿宋_GB2312"/>
          <w:b w:val="0"/>
          <w:bCs w:val="0"/>
          <w:color w:val="auto"/>
          <w:sz w:val="32"/>
          <w:szCs w:val="32"/>
          <w:highlight w:val="none"/>
        </w:rPr>
        <w:t>万元，其他资金</w:t>
      </w:r>
      <w:r>
        <w:rPr>
          <w:rFonts w:hint="eastAsia" w:ascii="仿宋_GB2312" w:hAnsi="仿宋_GB2312" w:eastAsia="仿宋_GB2312" w:cs="仿宋_GB2312"/>
          <w:b w:val="0"/>
          <w:bCs w:val="0"/>
          <w:color w:val="auto"/>
          <w:sz w:val="32"/>
          <w:szCs w:val="32"/>
          <w:highlight w:val="none"/>
          <w:lang w:val="en-US" w:eastAsia="zh-CN"/>
        </w:rPr>
        <w:t>0</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p>
    <w:p w14:paraId="1DA77600">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资金到位率=</w:t>
      </w:r>
      <w:bookmarkStart w:id="133" w:name="OLE_LINK10"/>
      <w:bookmarkStart w:id="134" w:name="OLE_LINK11"/>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w:t>
      </w:r>
      <w:bookmarkEnd w:id="133"/>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lang w:eastAsia="zh-CN"/>
        </w:rPr>
        <w:t>。</w:t>
      </w:r>
    </w:p>
    <w:bookmarkEnd w:id="134"/>
    <w:p w14:paraId="6E2E6D4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7E8088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5" w:name="_Toc9705"/>
      <w:bookmarkStart w:id="136" w:name="_Toc17709"/>
      <w:r>
        <w:rPr>
          <w:rFonts w:hint="eastAsia" w:ascii="仿宋_GB2312" w:hAnsi="仿宋_GB2312" w:eastAsia="仿宋_GB2312" w:cs="仿宋_GB2312"/>
          <w:b/>
          <w:bCs/>
          <w:color w:val="auto"/>
          <w:sz w:val="32"/>
          <w:szCs w:val="32"/>
          <w:highlight w:val="none"/>
          <w:lang w:val="en-US" w:eastAsia="zh-CN"/>
        </w:rPr>
        <w:t>2.预算执行率</w:t>
      </w:r>
      <w:bookmarkEnd w:id="135"/>
      <w:bookmarkEnd w:id="136"/>
    </w:p>
    <w:p w14:paraId="7FB3256B">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截至2024年12月31日，项目实际支出</w:t>
      </w:r>
      <w:r>
        <w:rPr>
          <w:rFonts w:hint="eastAsia" w:ascii="仿宋_GB2312" w:hAnsi="仿宋_GB2312" w:eastAsia="仿宋_GB2312" w:cs="仿宋_GB2312"/>
          <w:b w:val="0"/>
          <w:bCs w:val="0"/>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val="en-US" w:eastAsia="zh-CN"/>
        </w:rPr>
        <w:t>万元。</w:t>
      </w:r>
    </w:p>
    <w:p w14:paraId="1ACC04F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预算执行率=（</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）×100%</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lang w:eastAsia="zh-CN"/>
        </w:rPr>
        <w:t>。</w:t>
      </w:r>
    </w:p>
    <w:p w14:paraId="261A26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19990E7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bookmarkStart w:id="137" w:name="_Toc28875"/>
      <w:bookmarkStart w:id="138" w:name="_Toc18691"/>
      <w:r>
        <w:rPr>
          <w:rFonts w:hint="eastAsia" w:ascii="仿宋_GB2312" w:hAnsi="仿宋_GB2312" w:eastAsia="仿宋_GB2312" w:cs="仿宋_GB2312"/>
          <w:b/>
          <w:bCs/>
          <w:color w:val="auto"/>
          <w:sz w:val="32"/>
          <w:szCs w:val="32"/>
          <w:highlight w:val="none"/>
          <w:lang w:val="en-US" w:eastAsia="zh-CN"/>
        </w:rPr>
        <w:t>3.资金使用合规性</w:t>
      </w:r>
      <w:bookmarkEnd w:id="137"/>
      <w:bookmarkEnd w:id="138"/>
    </w:p>
    <w:p w14:paraId="6F1DFE22">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auto"/>
          <w:sz w:val="32"/>
          <w:szCs w:val="32"/>
          <w:highlight w:val="none"/>
        </w:rPr>
      </w:pPr>
      <w:r>
        <w:rPr>
          <w:rFonts w:hint="eastAsia" w:ascii="仿宋_GB2312" w:hAnsi="仿宋_GB2312" w:eastAsia="仿宋_GB2312" w:cs="仿宋_GB2312"/>
          <w:color w:val="auto"/>
          <w:sz w:val="32"/>
          <w:szCs w:val="32"/>
          <w:highlight w:val="none"/>
          <w:lang w:eastAsia="zh-CN"/>
        </w:rPr>
        <w:t>①本项目资金支出符合国家财经法规、《政府会计制度》《</w:t>
      </w:r>
      <w:bookmarkStart w:id="139" w:name="OLE_LINK12"/>
      <w:r>
        <w:rPr>
          <w:rFonts w:hint="eastAsia" w:ascii="仿宋_GB2312" w:hAnsi="仿宋_GB2312" w:eastAsia="仿宋_GB2312" w:cs="仿宋_GB2312"/>
          <w:color w:val="auto"/>
          <w:sz w:val="32"/>
          <w:szCs w:val="32"/>
          <w:highlight w:val="none"/>
          <w:lang w:val="en-US" w:eastAsia="zh-CN"/>
        </w:rPr>
        <w:t>阜康市三工河哈萨克族乡中心幼儿园</w:t>
      </w:r>
      <w:bookmarkEnd w:id="139"/>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阜康市三工河哈萨克族乡中心幼儿园</w:t>
      </w:r>
      <w:r>
        <w:rPr>
          <w:rFonts w:hint="eastAsia" w:ascii="仿宋_GB2312" w:hAnsi="仿宋_GB2312" w:eastAsia="仿宋_GB2312" w:cs="仿宋_GB2312"/>
          <w:color w:val="auto"/>
          <w:sz w:val="32"/>
          <w:szCs w:val="32"/>
          <w:highlight w:val="none"/>
          <w:lang w:eastAsia="zh-CN"/>
        </w:rPr>
        <w:t>专项资金管理办法》；</w:t>
      </w:r>
    </w:p>
    <w:p w14:paraId="546E188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②资金的拨付有完整的审批程序和手续；</w:t>
      </w:r>
    </w:p>
    <w:p w14:paraId="50F29A8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③符合项目预算批复或合同规定的用途；</w:t>
      </w:r>
    </w:p>
    <w:p w14:paraId="7B92264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w:t>
      </w:r>
      <w:r>
        <w:rPr>
          <w:rFonts w:hint="eastAsia" w:ascii="仿宋_GB2312" w:hAnsi="仿宋_GB2312" w:eastAsia="仿宋_GB2312" w:cs="仿宋_GB2312"/>
          <w:color w:val="auto"/>
          <w:sz w:val="32"/>
          <w:szCs w:val="32"/>
          <w:highlight w:val="none"/>
          <w:lang w:val="en-US" w:eastAsia="zh-CN"/>
        </w:rPr>
        <w:t>不</w:t>
      </w:r>
      <w:r>
        <w:rPr>
          <w:rFonts w:hint="eastAsia" w:ascii="仿宋_GB2312" w:hAnsi="仿宋_GB2312" w:eastAsia="仿宋_GB2312" w:cs="仿宋_GB2312"/>
          <w:color w:val="auto"/>
          <w:sz w:val="32"/>
          <w:szCs w:val="32"/>
          <w:highlight w:val="none"/>
          <w:lang w:eastAsia="zh-CN"/>
        </w:rPr>
        <w:t>存在截留、挤占、挪用、虚列支出等情况。</w:t>
      </w:r>
    </w:p>
    <w:p w14:paraId="5D38452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65A0506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4658871">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kern w:val="2"/>
          <w:sz w:val="32"/>
          <w:szCs w:val="32"/>
          <w:highlight w:val="none"/>
          <w:lang w:val="en-US" w:eastAsia="zh-CN" w:bidi="ar-SA"/>
        </w:rPr>
        <w:t>4.</w:t>
      </w:r>
      <w:r>
        <w:rPr>
          <w:rFonts w:hint="eastAsia" w:ascii="仿宋_GB2312" w:hAnsi="仿宋_GB2312" w:eastAsia="仿宋_GB2312" w:cs="仿宋_GB2312"/>
          <w:b/>
          <w:bCs/>
          <w:color w:val="auto"/>
          <w:sz w:val="32"/>
          <w:szCs w:val="32"/>
          <w:highlight w:val="none"/>
          <w:lang w:val="en-US" w:eastAsia="zh-CN"/>
        </w:rPr>
        <w:t>管理制度健全性</w:t>
      </w:r>
    </w:p>
    <w:p w14:paraId="2F06416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lang w:eastAsia="zh-CN"/>
        </w:rPr>
        <w:t>我单位已制定《</w:t>
      </w:r>
      <w:r>
        <w:rPr>
          <w:rFonts w:hint="eastAsia" w:ascii="仿宋_GB2312" w:hAnsi="仿宋_GB2312" w:eastAsia="仿宋_GB2312" w:cs="仿宋_GB2312"/>
          <w:color w:val="auto"/>
          <w:sz w:val="32"/>
          <w:szCs w:val="32"/>
          <w:highlight w:val="none"/>
          <w:lang w:val="en-US" w:eastAsia="zh-CN"/>
        </w:rPr>
        <w:t>阜康市三工河哈萨克族乡中心幼儿园</w:t>
      </w:r>
      <w:r>
        <w:rPr>
          <w:rFonts w:hint="eastAsia" w:ascii="仿宋_GB2312" w:hAnsi="仿宋_GB2312" w:eastAsia="仿宋_GB2312" w:cs="仿宋_GB2312"/>
          <w:color w:val="auto"/>
          <w:sz w:val="32"/>
          <w:szCs w:val="32"/>
          <w:highlight w:val="none"/>
          <w:lang w:eastAsia="zh-CN"/>
        </w:rPr>
        <w:t>资金管理办法》《</w:t>
      </w:r>
      <w:r>
        <w:rPr>
          <w:rFonts w:hint="eastAsia" w:ascii="仿宋_GB2312" w:hAnsi="仿宋_GB2312" w:eastAsia="仿宋_GB2312" w:cs="仿宋_GB2312"/>
          <w:color w:val="auto"/>
          <w:sz w:val="32"/>
          <w:szCs w:val="32"/>
          <w:highlight w:val="none"/>
          <w:lang w:val="en-US" w:eastAsia="zh-CN"/>
        </w:rPr>
        <w:t>阜康市三工河哈萨克族乡中心幼儿园</w:t>
      </w:r>
      <w:r>
        <w:rPr>
          <w:rFonts w:hint="eastAsia" w:ascii="仿宋_GB2312" w:hAnsi="仿宋_GB2312" w:eastAsia="仿宋_GB2312" w:cs="仿宋_GB2312"/>
          <w:color w:val="auto"/>
          <w:sz w:val="32"/>
          <w:szCs w:val="32"/>
          <w:highlight w:val="none"/>
          <w:lang w:eastAsia="zh-CN"/>
        </w:rPr>
        <w:t>收支业务管理制度》《</w:t>
      </w:r>
      <w:r>
        <w:rPr>
          <w:rFonts w:hint="eastAsia" w:ascii="仿宋_GB2312" w:hAnsi="仿宋_GB2312" w:eastAsia="仿宋_GB2312" w:cs="仿宋_GB2312"/>
          <w:color w:val="auto"/>
          <w:sz w:val="32"/>
          <w:szCs w:val="32"/>
          <w:highlight w:val="none"/>
          <w:lang w:val="en-US" w:eastAsia="zh-CN"/>
        </w:rPr>
        <w:t>阜康市三工河哈萨克族乡中心幼儿园</w:t>
      </w:r>
      <w:r>
        <w:rPr>
          <w:rFonts w:hint="eastAsia" w:ascii="仿宋_GB2312" w:hAnsi="仿宋_GB2312" w:eastAsia="仿宋_GB2312" w:cs="仿宋_GB2312"/>
          <w:color w:val="auto"/>
          <w:sz w:val="32"/>
          <w:szCs w:val="32"/>
          <w:highlight w:val="none"/>
          <w:lang w:eastAsia="zh-CN"/>
        </w:rPr>
        <w:t>政府采购业务管理制度》《</w:t>
      </w:r>
      <w:r>
        <w:rPr>
          <w:rFonts w:hint="eastAsia" w:ascii="仿宋_GB2312" w:hAnsi="仿宋_GB2312" w:eastAsia="仿宋_GB2312" w:cs="仿宋_GB2312"/>
          <w:color w:val="auto"/>
          <w:sz w:val="32"/>
          <w:szCs w:val="32"/>
          <w:highlight w:val="none"/>
          <w:lang w:val="en-US" w:eastAsia="zh-CN"/>
        </w:rPr>
        <w:t>阜康市三工河哈萨克族乡中心幼儿园</w:t>
      </w:r>
      <w:r>
        <w:rPr>
          <w:rFonts w:hint="eastAsia" w:ascii="仿宋_GB2312" w:hAnsi="仿宋_GB2312" w:eastAsia="仿宋_GB2312" w:cs="仿宋_GB2312"/>
          <w:color w:val="auto"/>
          <w:sz w:val="32"/>
          <w:szCs w:val="32"/>
          <w:highlight w:val="none"/>
          <w:lang w:eastAsia="zh-CN"/>
        </w:rPr>
        <w:t>合同管理制度》，</w:t>
      </w:r>
      <w:r>
        <w:rPr>
          <w:rFonts w:hint="eastAsia"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eastAsia="zh-CN"/>
        </w:rPr>
        <w:t>制度均符合行政事业单位内控管理要求；</w:t>
      </w:r>
    </w:p>
    <w:p w14:paraId="2A35A30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②已制定的</w:t>
      </w:r>
      <w:r>
        <w:rPr>
          <w:rFonts w:hint="eastAsia" w:ascii="仿宋_GB2312" w:hAnsi="仿宋_GB2312" w:eastAsia="仿宋_GB2312" w:cs="仿宋_GB2312"/>
          <w:color w:val="auto"/>
          <w:sz w:val="32"/>
          <w:szCs w:val="32"/>
          <w:highlight w:val="none"/>
          <w:lang w:eastAsia="zh-CN"/>
        </w:rPr>
        <w:t>财务和业务管理制度合法、合规、完整，本项目执行符合上述制度规定。</w:t>
      </w:r>
    </w:p>
    <w:p w14:paraId="7D59909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588A9B7C">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color w:val="auto"/>
          <w:sz w:val="32"/>
          <w:szCs w:val="32"/>
          <w:highlight w:val="none"/>
          <w:lang w:val="en-US" w:eastAsia="zh-CN"/>
        </w:rPr>
      </w:pPr>
      <w:bookmarkStart w:id="140" w:name="_Toc13984"/>
      <w:bookmarkStart w:id="141" w:name="_Toc31684"/>
      <w:r>
        <w:rPr>
          <w:rFonts w:hint="eastAsia" w:ascii="仿宋_GB2312" w:hAnsi="仿宋_GB2312" w:eastAsia="仿宋_GB2312" w:cs="仿宋_GB2312"/>
          <w:b/>
          <w:bCs/>
          <w:color w:val="auto"/>
          <w:sz w:val="32"/>
          <w:szCs w:val="32"/>
          <w:highlight w:val="none"/>
          <w:lang w:val="en-US" w:eastAsia="zh-CN"/>
        </w:rPr>
        <w:t>5.制度执行有效性</w:t>
      </w:r>
      <w:bookmarkEnd w:id="140"/>
      <w:bookmarkEnd w:id="141"/>
    </w:p>
    <w:p w14:paraId="5E377D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w:t>
      </w:r>
      <w:r>
        <w:rPr>
          <w:rFonts w:hint="eastAsia" w:ascii="仿宋_GB2312" w:hAnsi="仿宋_GB2312" w:eastAsia="仿宋_GB2312" w:cs="仿宋_GB2312"/>
          <w:color w:val="auto"/>
          <w:sz w:val="32"/>
          <w:szCs w:val="32"/>
          <w:highlight w:val="none"/>
        </w:rPr>
        <w:t>项目的实施</w:t>
      </w:r>
      <w:r>
        <w:rPr>
          <w:rFonts w:hint="eastAsia" w:ascii="仿宋_GB2312" w:hAnsi="仿宋_GB2312" w:eastAsia="仿宋_GB2312" w:cs="仿宋_GB2312"/>
          <w:color w:val="auto"/>
          <w:sz w:val="32"/>
          <w:szCs w:val="32"/>
          <w:highlight w:val="none"/>
          <w:lang w:eastAsia="zh-CN"/>
        </w:rPr>
        <w:t>遵守相关法律法规</w:t>
      </w:r>
      <w:r>
        <w:rPr>
          <w:rFonts w:hint="eastAsia" w:ascii="仿宋_GB2312" w:hAnsi="仿宋_GB2312" w:eastAsia="仿宋_GB2312" w:cs="仿宋_GB2312"/>
          <w:color w:val="auto"/>
          <w:sz w:val="32"/>
          <w:szCs w:val="32"/>
          <w:highlight w:val="none"/>
          <w:lang w:val="en-US" w:eastAsia="zh-CN"/>
        </w:rPr>
        <w:t>及</w:t>
      </w:r>
      <w:r>
        <w:rPr>
          <w:rFonts w:hint="eastAsia" w:ascii="仿宋_GB2312" w:hAnsi="仿宋_GB2312" w:eastAsia="仿宋_GB2312" w:cs="仿宋_GB2312"/>
          <w:color w:val="auto"/>
          <w:sz w:val="32"/>
          <w:szCs w:val="32"/>
          <w:highlight w:val="none"/>
          <w:lang w:eastAsia="zh-CN"/>
        </w:rPr>
        <w:t>相关管理规定，</w:t>
      </w:r>
      <w:r>
        <w:rPr>
          <w:rFonts w:hint="eastAsia" w:ascii="仿宋_GB2312" w:hAnsi="仿宋_GB2312" w:eastAsia="仿宋_GB2312" w:cs="仿宋_GB2312"/>
          <w:color w:val="auto"/>
          <w:sz w:val="32"/>
          <w:szCs w:val="32"/>
          <w:highlight w:val="none"/>
        </w:rPr>
        <w:t>符合《</w:t>
      </w:r>
      <w:r>
        <w:rPr>
          <w:rFonts w:hint="eastAsia" w:ascii="仿宋_GB2312" w:hAnsi="仿宋_GB2312" w:eastAsia="仿宋_GB2312" w:cs="仿宋_GB2312"/>
          <w:color w:val="auto"/>
          <w:sz w:val="32"/>
          <w:szCs w:val="32"/>
          <w:highlight w:val="none"/>
          <w:lang w:val="en-US" w:eastAsia="zh-CN"/>
        </w:rPr>
        <w:t>阜康市三工河哈萨克族乡中心幼儿园</w:t>
      </w:r>
      <w:r>
        <w:rPr>
          <w:rFonts w:hint="eastAsia" w:ascii="仿宋_GB2312" w:hAnsi="仿宋_GB2312" w:eastAsia="仿宋_GB2312" w:cs="仿宋_GB2312"/>
          <w:color w:val="auto"/>
          <w:sz w:val="32"/>
          <w:szCs w:val="32"/>
          <w:highlight w:val="none"/>
        </w:rPr>
        <w:t>办法》《</w:t>
      </w:r>
      <w:r>
        <w:rPr>
          <w:rFonts w:hint="eastAsia" w:ascii="仿宋_GB2312" w:hAnsi="仿宋_GB2312" w:eastAsia="仿宋_GB2312" w:cs="仿宋_GB2312"/>
          <w:color w:val="auto"/>
          <w:sz w:val="32"/>
          <w:szCs w:val="32"/>
          <w:highlight w:val="none"/>
          <w:lang w:val="en-US" w:eastAsia="zh-CN"/>
        </w:rPr>
        <w:t>阜康市三工河哈萨克族乡中心幼儿园</w:t>
      </w:r>
      <w:r>
        <w:rPr>
          <w:rFonts w:hint="eastAsia" w:ascii="仿宋_GB2312" w:hAnsi="仿宋_GB2312" w:eastAsia="仿宋_GB2312" w:cs="仿宋_GB2312"/>
          <w:color w:val="auto"/>
          <w:sz w:val="32"/>
          <w:szCs w:val="32"/>
          <w:highlight w:val="none"/>
        </w:rPr>
        <w:t>管理制度》《</w:t>
      </w:r>
      <w:r>
        <w:rPr>
          <w:rFonts w:hint="eastAsia" w:ascii="仿宋_GB2312" w:hAnsi="仿宋_GB2312" w:eastAsia="仿宋_GB2312" w:cs="仿宋_GB2312"/>
          <w:color w:val="auto"/>
          <w:sz w:val="32"/>
          <w:szCs w:val="32"/>
          <w:highlight w:val="none"/>
          <w:lang w:val="en-US" w:eastAsia="zh-CN"/>
        </w:rPr>
        <w:t>阜康市三工河哈萨克族乡中心幼儿园</w:t>
      </w:r>
      <w:r>
        <w:rPr>
          <w:rFonts w:hint="eastAsia" w:ascii="仿宋_GB2312" w:hAnsi="仿宋_GB2312" w:eastAsia="仿宋_GB2312" w:cs="仿宋_GB2312"/>
          <w:color w:val="auto"/>
          <w:sz w:val="32"/>
          <w:szCs w:val="32"/>
          <w:highlight w:val="none"/>
        </w:rPr>
        <w:t>采购业务管理制度》《</w:t>
      </w:r>
      <w:r>
        <w:rPr>
          <w:rFonts w:hint="eastAsia" w:ascii="仿宋_GB2312" w:hAnsi="仿宋_GB2312" w:eastAsia="仿宋_GB2312" w:cs="仿宋_GB2312"/>
          <w:color w:val="auto"/>
          <w:sz w:val="32"/>
          <w:szCs w:val="32"/>
          <w:highlight w:val="none"/>
          <w:lang w:val="en-US" w:eastAsia="zh-CN"/>
        </w:rPr>
        <w:t>阜康市三工河哈萨克族乡中心幼儿园</w:t>
      </w:r>
      <w:r>
        <w:rPr>
          <w:rFonts w:hint="eastAsia" w:ascii="仿宋_GB2312" w:hAnsi="仿宋_GB2312" w:eastAsia="仿宋_GB2312" w:cs="仿宋_GB2312"/>
          <w:color w:val="auto"/>
          <w:sz w:val="32"/>
          <w:szCs w:val="32"/>
          <w:highlight w:val="none"/>
        </w:rPr>
        <w:t>合同管理制度》等管理规定，</w:t>
      </w:r>
      <w:r>
        <w:rPr>
          <w:rFonts w:hint="eastAsia" w:ascii="仿宋_GB2312" w:hAnsi="仿宋_GB2312" w:eastAsia="仿宋_GB2312" w:cs="仿宋_GB2312"/>
          <w:color w:val="auto"/>
          <w:sz w:val="32"/>
          <w:szCs w:val="32"/>
          <w:highlight w:val="none"/>
          <w:lang w:eastAsia="zh-CN"/>
        </w:rPr>
        <w:t>；</w:t>
      </w:r>
    </w:p>
    <w:p w14:paraId="4D1225E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②</w:t>
      </w:r>
      <w:r>
        <w:rPr>
          <w:rFonts w:hint="eastAsia" w:ascii="仿宋_GB2312" w:hAnsi="仿宋_GB2312" w:eastAsia="仿宋_GB2312" w:cs="仿宋_GB2312"/>
          <w:color w:val="auto"/>
          <w:sz w:val="32"/>
          <w:szCs w:val="32"/>
          <w:highlight w:val="none"/>
        </w:rPr>
        <w:t>项目存在调整，调整手续齐全</w:t>
      </w:r>
      <w:r>
        <w:rPr>
          <w:rFonts w:hint="eastAsia" w:ascii="仿宋_GB2312" w:hAnsi="仿宋_GB2312" w:eastAsia="仿宋_GB2312" w:cs="仿宋_GB2312"/>
          <w:color w:val="auto"/>
          <w:sz w:val="32"/>
          <w:szCs w:val="32"/>
          <w:highlight w:val="none"/>
          <w:lang w:eastAsia="zh-CN"/>
        </w:rPr>
        <w:t>。</w:t>
      </w:r>
    </w:p>
    <w:p w14:paraId="2C334AC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该项目实施过程中不存在调整事项</w:t>
      </w:r>
      <w:r>
        <w:rPr>
          <w:rFonts w:hint="eastAsia" w:ascii="仿宋_GB2312" w:hAnsi="仿宋_GB2312" w:eastAsia="仿宋_GB2312" w:cs="仿宋_GB2312"/>
          <w:color w:val="auto"/>
          <w:sz w:val="32"/>
          <w:szCs w:val="32"/>
          <w:highlight w:val="none"/>
          <w:lang w:eastAsia="zh-CN"/>
        </w:rPr>
        <w:t>。</w:t>
      </w:r>
    </w:p>
    <w:p w14:paraId="00C13562">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③</w:t>
      </w:r>
      <w:r>
        <w:rPr>
          <w:rFonts w:hint="eastAsia" w:ascii="仿宋_GB2312" w:hAnsi="仿宋_GB2312" w:eastAsia="仿宋_GB2312" w:cs="仿宋_GB2312"/>
          <w:color w:val="auto"/>
          <w:sz w:val="32"/>
          <w:szCs w:val="32"/>
          <w:highlight w:val="none"/>
        </w:rPr>
        <w:t>项目合同书、验收评审表、财务支付凭证等资料齐全并及时归档。</w:t>
      </w:r>
    </w:p>
    <w:p w14:paraId="49F7DD1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④项目实施所需要的项目人员和场地设备均已落实到位，具体涉及内容包括：项目资金支出严格按照自治区、地区以及本单位资金管理办法执行，项目启动实施后，为了加快本项目的实施，成立了2024年选聘教师工资补助经费项目工作领导小组，由</w:t>
      </w:r>
      <w:r>
        <w:rPr>
          <w:rFonts w:hint="eastAsia" w:ascii="仿宋_GB2312" w:hAnsi="仿宋_GB2312" w:eastAsia="仿宋_GB2312" w:cs="仿宋_GB2312"/>
          <w:color w:val="auto"/>
          <w:sz w:val="32"/>
          <w:szCs w:val="32"/>
          <w:highlight w:val="none"/>
          <w:lang w:val="en-US" w:eastAsia="zh-CN"/>
        </w:rPr>
        <w:t>赵建文</w:t>
      </w:r>
      <w:r>
        <w:rPr>
          <w:rFonts w:hint="eastAsia" w:ascii="仿宋_GB2312" w:hAnsi="仿宋_GB2312" w:eastAsia="仿宋_GB2312" w:cs="仿宋_GB2312"/>
          <w:color w:val="auto"/>
          <w:sz w:val="32"/>
          <w:szCs w:val="32"/>
          <w:highlight w:val="none"/>
          <w:lang w:eastAsia="zh-CN"/>
        </w:rPr>
        <w:t>任组长，负责项目的组织工作；</w:t>
      </w:r>
      <w:r>
        <w:rPr>
          <w:rFonts w:hint="eastAsia" w:ascii="仿宋_GB2312" w:hAnsi="仿宋_GB2312" w:eastAsia="仿宋_GB2312" w:cs="仿宋_GB2312"/>
          <w:color w:val="auto"/>
          <w:sz w:val="32"/>
          <w:szCs w:val="32"/>
          <w:highlight w:val="none"/>
          <w:lang w:val="en-US" w:eastAsia="zh-CN"/>
        </w:rPr>
        <w:t>马晓丽</w:t>
      </w:r>
      <w:r>
        <w:rPr>
          <w:rFonts w:hint="eastAsia" w:ascii="仿宋_GB2312" w:hAnsi="仿宋_GB2312" w:eastAsia="仿宋_GB2312" w:cs="仿宋_GB2312"/>
          <w:color w:val="auto"/>
          <w:sz w:val="32"/>
          <w:szCs w:val="32"/>
          <w:highlight w:val="none"/>
          <w:lang w:eastAsia="zh-CN"/>
        </w:rPr>
        <w:t>任副组长，负责项目的实施工作；组员包括：</w:t>
      </w:r>
      <w:r>
        <w:rPr>
          <w:rFonts w:hint="eastAsia" w:ascii="仿宋_GB2312" w:hAnsi="仿宋_GB2312" w:eastAsia="仿宋_GB2312" w:cs="仿宋_GB2312"/>
          <w:color w:val="auto"/>
          <w:sz w:val="32"/>
          <w:szCs w:val="32"/>
          <w:highlight w:val="none"/>
          <w:lang w:val="en-US" w:eastAsia="zh-CN"/>
        </w:rPr>
        <w:t>索金梅、阿加尔</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lang w:val="en-US" w:eastAsia="zh-CN"/>
        </w:rPr>
        <w:t>海兰</w:t>
      </w:r>
      <w:r>
        <w:rPr>
          <w:rFonts w:hint="eastAsia" w:ascii="仿宋_GB2312" w:hAnsi="仿宋_GB2312" w:eastAsia="仿宋_GB2312" w:cs="仿宋_GB2312"/>
          <w:color w:val="auto"/>
          <w:sz w:val="32"/>
          <w:szCs w:val="32"/>
          <w:highlight w:val="none"/>
          <w:lang w:eastAsia="zh-CN"/>
        </w:rPr>
        <w:t>，主要负责项目监督管理、验收以及资金核拨等工作。</w:t>
      </w:r>
    </w:p>
    <w:p w14:paraId="154ECA2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综上，该项指标满分4分，得分4分。</w:t>
      </w:r>
    </w:p>
    <w:p w14:paraId="3297ED6A">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42" w:name="_Toc2441"/>
      <w:r>
        <w:rPr>
          <w:rFonts w:hint="eastAsia" w:ascii="Times New Roman" w:hAnsi="Times New Roman" w:eastAsia="楷体_GB2312" w:cs="Times New Roman"/>
          <w:color w:val="auto"/>
          <w:kern w:val="28"/>
          <w:sz w:val="32"/>
          <w:highlight w:val="none"/>
          <w:lang w:val="en-US" w:eastAsia="zh-CN"/>
        </w:rPr>
        <w:t>（三）项目产出情况</w:t>
      </w:r>
      <w:bookmarkEnd w:id="142"/>
    </w:p>
    <w:p w14:paraId="1B5FF34C">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包括产出数量、产出质量、产出时效、产出成本四方面的内容，</w:t>
      </w:r>
      <w:r>
        <w:rPr>
          <w:rFonts w:hint="eastAsia" w:ascii="Times New Roman" w:hAnsi="Times New Roman" w:eastAsia="仿宋_GB2312" w:cs="Times New Roman"/>
          <w:color w:val="auto"/>
          <w:sz w:val="32"/>
          <w:szCs w:val="32"/>
          <w:highlight w:val="none"/>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2F21E2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auto"/>
          <w:kern w:val="0"/>
          <w:sz w:val="32"/>
          <w:szCs w:val="32"/>
          <w:highlight w:val="none"/>
          <w:shd w:val="clear" w:color="auto" w:fill="auto"/>
          <w:lang w:val="zh-TW" w:eastAsia="zh-CN"/>
        </w:rPr>
      </w:pPr>
    </w:p>
    <w:p w14:paraId="5336AC4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719D38">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AD744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bookmarkStart w:id="143" w:name="_Toc26689"/>
            <w:bookmarkStart w:id="144" w:name="_Toc11067"/>
            <w:r>
              <w:rPr>
                <w:rFonts w:hint="eastAsia" w:ascii="宋体" w:hAnsi="宋体" w:eastAsia="宋体" w:cs="宋体"/>
                <w:b/>
                <w:bCs/>
                <w:color w:val="auto"/>
                <w:kern w:val="0"/>
                <w:sz w:val="20"/>
                <w:szCs w:val="20"/>
                <w:highlight w:val="none"/>
                <w:shd w:val="clear" w:color="auto" w:fill="auto"/>
                <w:lang w:val="en-US" w:eastAsia="zh-CN"/>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6A80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37A5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7B18A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37029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B997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BC65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指标得分</w:t>
            </w:r>
          </w:p>
        </w:tc>
      </w:tr>
      <w:tr w14:paraId="7162A52E">
        <w:tblPrEx>
          <w:shd w:val="clear" w:color="auto" w:fill="auto"/>
          <w:tblCellMar>
            <w:top w:w="0" w:type="dxa"/>
            <w:left w:w="0" w:type="dxa"/>
            <w:bottom w:w="0" w:type="dxa"/>
            <w:right w:w="0" w:type="dxa"/>
          </w:tblCellMar>
        </w:tblPrEx>
        <w:trPr>
          <w:trHeight w:val="390"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E421CE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5" w:name="OLE_LINK35" w:colFirst="1" w:colLast="3"/>
            <w:bookmarkStart w:id="146" w:name="OLE_LINK34" w:colFirst="1" w:colLast="6"/>
            <w:bookmarkStart w:id="147" w:name="OLE_LINK36" w:colFirst="5" w:colLast="5"/>
            <w:r>
              <w:rPr>
                <w:rFonts w:hint="eastAsia" w:ascii="宋体" w:hAnsi="宋体" w:eastAsia="宋体" w:cs="宋体"/>
                <w:color w:val="auto"/>
                <w:kern w:val="0"/>
                <w:sz w:val="20"/>
                <w:szCs w:val="20"/>
                <w:highlight w:val="none"/>
                <w:shd w:val="clear" w:color="auto" w:fill="auto"/>
                <w:lang w:val="en-US" w:eastAsia="zh-CN"/>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65F8F7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9AA4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8" w:name="OLE_LINK15"/>
            <w:r>
              <w:rPr>
                <w:rFonts w:hint="eastAsia" w:ascii="宋体" w:hAnsi="宋体" w:eastAsia="宋体" w:cs="宋体"/>
                <w:i w:val="0"/>
                <w:color w:val="auto"/>
                <w:kern w:val="0"/>
                <w:sz w:val="20"/>
                <w:szCs w:val="20"/>
                <w:highlight w:val="none"/>
                <w:u w:val="none"/>
                <w:lang w:val="en-US" w:eastAsia="zh-CN" w:bidi="ar"/>
              </w:rPr>
              <w:t>选聘教师人数</w:t>
            </w:r>
            <w:bookmarkEnd w:id="148"/>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049A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49" w:name="OLE_LINK17"/>
            <w:r>
              <w:rPr>
                <w:rFonts w:hint="eastAsia" w:ascii="宋体" w:hAnsi="宋体" w:eastAsia="宋体" w:cs="宋体"/>
                <w:i w:val="0"/>
                <w:color w:val="auto"/>
                <w:kern w:val="0"/>
                <w:sz w:val="20"/>
                <w:szCs w:val="20"/>
                <w:highlight w:val="none"/>
                <w:u w:val="none"/>
                <w:lang w:val="en-US" w:eastAsia="zh-CN" w:bidi="ar"/>
              </w:rPr>
              <w:t>≧5人</w:t>
            </w:r>
            <w:bookmarkEnd w:id="149"/>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B0D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1C91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5人</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91EE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BEA37D5">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FB457A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CC89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F50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0" w:name="OLE_LINK16"/>
            <w:r>
              <w:rPr>
                <w:rFonts w:hint="eastAsia" w:ascii="宋体" w:hAnsi="宋体" w:eastAsia="宋体" w:cs="宋体"/>
                <w:i w:val="0"/>
                <w:color w:val="auto"/>
                <w:kern w:val="0"/>
                <w:sz w:val="20"/>
                <w:szCs w:val="20"/>
                <w:highlight w:val="none"/>
                <w:u w:val="none"/>
                <w:lang w:val="en-US" w:eastAsia="zh-CN" w:bidi="ar"/>
              </w:rPr>
              <w:t>工资支付次数</w:t>
            </w:r>
            <w:bookmarkEnd w:id="150"/>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34DD6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1" w:name="OLE_LINK18"/>
            <w:r>
              <w:rPr>
                <w:rFonts w:hint="eastAsia" w:ascii="宋体" w:hAnsi="宋体" w:eastAsia="宋体" w:cs="宋体"/>
                <w:i w:val="0"/>
                <w:color w:val="auto"/>
                <w:kern w:val="0"/>
                <w:sz w:val="20"/>
                <w:szCs w:val="20"/>
                <w:highlight w:val="none"/>
                <w:u w:val="none"/>
                <w:lang w:val="en-US" w:eastAsia="zh-CN" w:bidi="ar"/>
              </w:rPr>
              <w:t>=12次</w:t>
            </w:r>
            <w:bookmarkEnd w:id="151"/>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218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FBE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12次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902F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B594D3E">
        <w:tblPrEx>
          <w:shd w:val="clear" w:color="auto" w:fill="auto"/>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C5C33F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025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C252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2" w:name="OLE_LINK19"/>
            <w:r>
              <w:rPr>
                <w:rFonts w:hint="eastAsia" w:ascii="宋体" w:hAnsi="宋体" w:eastAsia="宋体" w:cs="宋体"/>
                <w:i w:val="0"/>
                <w:color w:val="auto"/>
                <w:kern w:val="0"/>
                <w:sz w:val="20"/>
                <w:szCs w:val="20"/>
                <w:highlight w:val="none"/>
                <w:u w:val="none"/>
                <w:lang w:val="en-US" w:eastAsia="zh-CN" w:bidi="ar"/>
              </w:rPr>
              <w:t>人员经费享受比例</w:t>
            </w:r>
            <w:bookmarkEnd w:id="152"/>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80D6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3" w:name="OLE_LINK20"/>
            <w:r>
              <w:rPr>
                <w:rFonts w:hint="eastAsia" w:ascii="宋体" w:hAnsi="宋体" w:eastAsia="宋体" w:cs="宋体"/>
                <w:color w:val="auto"/>
                <w:kern w:val="0"/>
                <w:sz w:val="20"/>
                <w:szCs w:val="20"/>
                <w:highlight w:val="none"/>
                <w:shd w:val="clear" w:color="auto" w:fill="auto"/>
                <w:lang w:val="en-US" w:eastAsia="zh-CN"/>
              </w:rPr>
              <w:t>=100%</w:t>
            </w:r>
            <w:bookmarkEnd w:id="153"/>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867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8D1CF">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8F86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32514B6F">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28119F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ADD5E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9CEE6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4" w:name="OLE_LINK22"/>
            <w:r>
              <w:rPr>
                <w:rFonts w:hint="eastAsia" w:ascii="宋体" w:hAnsi="宋体" w:eastAsia="宋体" w:cs="宋体"/>
                <w:i w:val="0"/>
                <w:color w:val="auto"/>
                <w:kern w:val="0"/>
                <w:sz w:val="20"/>
                <w:szCs w:val="20"/>
                <w:highlight w:val="none"/>
                <w:u w:val="none"/>
                <w:lang w:val="en-US" w:eastAsia="zh-CN" w:bidi="ar"/>
              </w:rPr>
              <w:t>选聘教师工资发放时间</w:t>
            </w:r>
            <w:bookmarkEnd w:id="154"/>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A558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55" w:name="OLE_LINK23"/>
            <w:r>
              <w:rPr>
                <w:rFonts w:hint="eastAsia" w:ascii="宋体" w:hAnsi="宋体" w:eastAsia="宋体" w:cs="宋体"/>
                <w:i w:val="0"/>
                <w:color w:val="auto"/>
                <w:kern w:val="0"/>
                <w:sz w:val="20"/>
                <w:szCs w:val="20"/>
                <w:highlight w:val="none"/>
                <w:u w:val="none"/>
                <w:lang w:val="en-US" w:eastAsia="zh-CN" w:bidi="ar"/>
              </w:rPr>
              <w:t>=</w:t>
            </w:r>
            <w:bookmarkStart w:id="156" w:name="OLE_LINK21"/>
            <w:r>
              <w:rPr>
                <w:rFonts w:hint="eastAsia" w:ascii="宋体" w:hAnsi="宋体" w:eastAsia="宋体" w:cs="宋体"/>
                <w:i w:val="0"/>
                <w:color w:val="auto"/>
                <w:kern w:val="0"/>
                <w:sz w:val="20"/>
                <w:szCs w:val="20"/>
                <w:highlight w:val="none"/>
                <w:u w:val="none"/>
                <w:lang w:val="en-US" w:eastAsia="zh-CN" w:bidi="ar"/>
              </w:rPr>
              <w:t>1次/月</w:t>
            </w:r>
            <w:bookmarkEnd w:id="155"/>
            <w:bookmarkEnd w:id="156"/>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7EF8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6D246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color w:val="auto"/>
                <w:kern w:val="0"/>
                <w:sz w:val="20"/>
                <w:szCs w:val="20"/>
                <w:highlight w:val="none"/>
                <w:u w:val="none"/>
                <w:lang w:val="en-US" w:eastAsia="zh-CN" w:bidi="ar"/>
              </w:rPr>
              <w:t>1次/月</w:t>
            </w:r>
          </w:p>
          <w:p w14:paraId="533DDC7B">
            <w:pPr>
              <w:keepNext w:val="0"/>
              <w:keepLines w:val="0"/>
              <w:pageBreakBefore w:val="0"/>
              <w:kinsoku/>
              <w:wordWrap/>
              <w:overflowPunct/>
              <w:topLinePunct w:val="0"/>
              <w:autoSpaceDE/>
              <w:autoSpaceDN/>
              <w:bidi w:val="0"/>
              <w:adjustRightInd/>
              <w:spacing w:line="300" w:lineRule="exact"/>
              <w:textAlignment w:val="auto"/>
              <w:rPr>
                <w:color w:val="auto"/>
                <w:highlight w:val="none"/>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6398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3578624B">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441C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9CC9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经济成本指标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052CB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人员经费标准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1944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w:t>
            </w:r>
            <w:bookmarkStart w:id="157" w:name="OLE_LINK26"/>
            <w:r>
              <w:rPr>
                <w:rFonts w:hint="eastAsia" w:ascii="宋体" w:hAnsi="宋体" w:eastAsia="宋体" w:cs="宋体"/>
                <w:i w:val="0"/>
                <w:color w:val="auto"/>
                <w:kern w:val="0"/>
                <w:sz w:val="20"/>
                <w:szCs w:val="20"/>
                <w:highlight w:val="none"/>
                <w:u w:val="none"/>
                <w:lang w:val="en-US" w:eastAsia="zh-CN" w:bidi="ar"/>
              </w:rPr>
              <w:t>5.62万元/人/学年</w:t>
            </w:r>
            <w:bookmarkEnd w:id="157"/>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D2142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C7871">
            <w:pPr>
              <w:keepNext w:val="0"/>
              <w:keepLines w:val="0"/>
              <w:pageBreakBefore w:val="0"/>
              <w:kinsoku/>
              <w:wordWrap/>
              <w:overflowPunct/>
              <w:topLinePunct w:val="0"/>
              <w:autoSpaceDE/>
              <w:autoSpaceDN/>
              <w:bidi w:val="0"/>
              <w:adjustRightInd/>
              <w:spacing w:line="300" w:lineRule="exact"/>
              <w:ind w:left="0" w:leftChars="0" w:firstLine="0" w:firstLineChars="0"/>
              <w:textAlignment w:val="auto"/>
              <w:rPr>
                <w:color w:val="auto"/>
                <w:highlight w:val="none"/>
              </w:rPr>
            </w:pPr>
            <w:r>
              <w:rPr>
                <w:rFonts w:hint="eastAsia" w:ascii="宋体" w:hAnsi="宋体" w:eastAsia="宋体" w:cs="宋体"/>
                <w:i w:val="0"/>
                <w:color w:val="auto"/>
                <w:kern w:val="0"/>
                <w:sz w:val="20"/>
                <w:szCs w:val="20"/>
                <w:highlight w:val="none"/>
                <w:u w:val="none"/>
                <w:lang w:val="en-US" w:eastAsia="zh-CN" w:bidi="ar"/>
              </w:rPr>
              <w:t>5.62万元/人/学年</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C9D37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bookmarkEnd w:id="145"/>
      <w:bookmarkEnd w:id="146"/>
      <w:bookmarkEnd w:id="147"/>
      <w:tr w14:paraId="26B02591">
        <w:tblPrEx>
          <w:shd w:val="clear" w:color="auto" w:fill="auto"/>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3938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C6B6E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40075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577C8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3169E1E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1.数量指标完成情况</w:t>
      </w:r>
      <w:bookmarkEnd w:id="143"/>
      <w:bookmarkEnd w:id="144"/>
    </w:p>
    <w:p w14:paraId="32119AF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选聘教师人数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指标，预期目标值为≧5人，实际完成为5人。实际完成率=（5人/5人）×100%=100%。</w:t>
      </w:r>
    </w:p>
    <w:p w14:paraId="0F5460F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工资支付次数</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指标，预期目标值为=12次，实际完成为12次。实际完成率=（12次/12次）×100%=100%。</w:t>
      </w:r>
    </w:p>
    <w:p w14:paraId="14C0144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综上，该项指标满分20分，得分20分。</w:t>
      </w:r>
    </w:p>
    <w:p w14:paraId="0AEBD255">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58" w:name="_Toc31739"/>
      <w:bookmarkStart w:id="159" w:name="_Toc14255"/>
      <w:r>
        <w:rPr>
          <w:rFonts w:hint="eastAsia" w:ascii="仿宋_GB2312" w:hAnsi="仿宋_GB2312" w:eastAsia="仿宋_GB2312" w:cs="仿宋_GB2312"/>
          <w:b/>
          <w:bCs/>
          <w:color w:val="auto"/>
          <w:sz w:val="32"/>
          <w:szCs w:val="32"/>
          <w:highlight w:val="none"/>
          <w:lang w:val="en-US" w:eastAsia="zh-CN"/>
        </w:rPr>
        <w:t>2.</w:t>
      </w:r>
      <w:bookmarkEnd w:id="158"/>
      <w:r>
        <w:rPr>
          <w:rFonts w:hint="eastAsia" w:ascii="仿宋_GB2312" w:hAnsi="仿宋_GB2312" w:eastAsia="仿宋_GB2312" w:cs="仿宋_GB2312"/>
          <w:b/>
          <w:bCs/>
          <w:color w:val="auto"/>
          <w:sz w:val="32"/>
          <w:szCs w:val="32"/>
          <w:highlight w:val="none"/>
          <w:lang w:val="en-US" w:eastAsia="zh-CN"/>
        </w:rPr>
        <w:t>质量指标完成情况</w:t>
      </w:r>
      <w:bookmarkEnd w:id="159"/>
    </w:p>
    <w:p w14:paraId="4189923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人员经费享受比例</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指标，预期目标值为=100%，实际完成为100%。实际完成率100%。</w:t>
      </w:r>
    </w:p>
    <w:p w14:paraId="1F42D2D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综上，该项指标满分10分，得分10分。</w:t>
      </w:r>
    </w:p>
    <w:p w14:paraId="12DEE914">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60" w:name="_Toc18307"/>
      <w:bookmarkStart w:id="161" w:name="_Toc28885"/>
      <w:r>
        <w:rPr>
          <w:rFonts w:hint="eastAsia" w:ascii="仿宋_GB2312" w:hAnsi="仿宋_GB2312" w:eastAsia="仿宋_GB2312" w:cs="仿宋_GB2312"/>
          <w:b/>
          <w:bCs/>
          <w:color w:val="auto"/>
          <w:sz w:val="32"/>
          <w:szCs w:val="32"/>
          <w:highlight w:val="none"/>
          <w:lang w:val="en-US" w:eastAsia="zh-CN"/>
        </w:rPr>
        <w:t>3.</w:t>
      </w:r>
      <w:bookmarkEnd w:id="160"/>
      <w:r>
        <w:rPr>
          <w:rFonts w:hint="eastAsia" w:ascii="仿宋_GB2312" w:hAnsi="仿宋_GB2312" w:eastAsia="仿宋_GB2312" w:cs="仿宋_GB2312"/>
          <w:b/>
          <w:bCs/>
          <w:color w:val="auto"/>
          <w:sz w:val="32"/>
          <w:szCs w:val="32"/>
          <w:highlight w:val="none"/>
          <w:lang w:val="en-US" w:eastAsia="zh-CN"/>
        </w:rPr>
        <w:t>时效指标完成情况</w:t>
      </w:r>
      <w:bookmarkEnd w:id="161"/>
    </w:p>
    <w:p w14:paraId="5EF3BDB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选聘教师工资发放时间</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指标，预期目标值为=1次/月，实际完成为1次/月。实际完成率100%。</w:t>
      </w:r>
    </w:p>
    <w:p w14:paraId="310E2B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1B369018">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highlight w:val="none"/>
          <w:lang w:val="en-US" w:eastAsia="zh-CN"/>
        </w:rPr>
      </w:pPr>
      <w:bookmarkStart w:id="162" w:name="_Toc32765"/>
      <w:bookmarkStart w:id="163" w:name="_Toc20607"/>
      <w:r>
        <w:rPr>
          <w:rFonts w:hint="eastAsia" w:ascii="仿宋_GB2312" w:hAnsi="仿宋_GB2312" w:eastAsia="仿宋_GB2312" w:cs="仿宋_GB2312"/>
          <w:b/>
          <w:bCs/>
          <w:color w:val="auto"/>
          <w:sz w:val="32"/>
          <w:szCs w:val="32"/>
          <w:highlight w:val="none"/>
          <w:lang w:val="en-US" w:eastAsia="zh-CN"/>
        </w:rPr>
        <w:t>4.项目</w:t>
      </w:r>
      <w:bookmarkEnd w:id="162"/>
      <w:r>
        <w:rPr>
          <w:rFonts w:hint="eastAsia" w:ascii="仿宋_GB2312" w:hAnsi="仿宋_GB2312" w:eastAsia="仿宋_GB2312" w:cs="仿宋_GB2312"/>
          <w:b/>
          <w:bCs/>
          <w:color w:val="auto"/>
          <w:sz w:val="32"/>
          <w:szCs w:val="32"/>
          <w:highlight w:val="none"/>
          <w:lang w:val="en-US" w:eastAsia="zh-CN"/>
        </w:rPr>
        <w:t>成本情况</w:t>
      </w:r>
      <w:bookmarkEnd w:id="163"/>
    </w:p>
    <w:p w14:paraId="5A3626E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经济</w:t>
      </w:r>
      <w:r>
        <w:rPr>
          <w:rFonts w:hint="eastAsia" w:ascii="仿宋_GB2312" w:hAnsi="仿宋_GB2312" w:eastAsia="仿宋_GB2312" w:cs="仿宋_GB2312"/>
          <w:b/>
          <w:bCs/>
          <w:color w:val="auto"/>
          <w:sz w:val="32"/>
          <w:szCs w:val="32"/>
          <w:highlight w:val="none"/>
          <w:lang w:eastAsia="zh-CN"/>
        </w:rPr>
        <w:t>成本指标完成情况</w:t>
      </w:r>
    </w:p>
    <w:p w14:paraId="689C94E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人员经费标准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指标，预期目标值为=5.62万元/人/学年，实际完成为</w:t>
      </w:r>
      <w:bookmarkStart w:id="164" w:name="OLE_LINK24"/>
      <w:r>
        <w:rPr>
          <w:rFonts w:hint="eastAsia" w:ascii="仿宋_GB2312" w:hAnsi="仿宋_GB2312" w:eastAsia="仿宋_GB2312" w:cs="仿宋_GB2312"/>
          <w:color w:val="auto"/>
          <w:sz w:val="32"/>
          <w:szCs w:val="32"/>
          <w:highlight w:val="none"/>
          <w:lang w:val="en-US" w:eastAsia="zh-CN"/>
        </w:rPr>
        <w:t>5.62万元/人/学年</w:t>
      </w:r>
      <w:bookmarkEnd w:id="164"/>
      <w:r>
        <w:rPr>
          <w:rFonts w:hint="eastAsia" w:ascii="仿宋_GB2312" w:hAnsi="仿宋_GB2312" w:eastAsia="仿宋_GB2312" w:cs="仿宋_GB2312"/>
          <w:color w:val="auto"/>
          <w:sz w:val="32"/>
          <w:szCs w:val="32"/>
          <w:highlight w:val="none"/>
          <w:lang w:val="en-US" w:eastAsia="zh-CN"/>
        </w:rPr>
        <w:t>。实际完成率=（5.62万元/5.62万元）×100%=100%。</w:t>
      </w:r>
    </w:p>
    <w:p w14:paraId="6FECA47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538041C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highlight w:val="none"/>
          <w:lang w:val="en-US" w:eastAsia="zh-CN"/>
        </w:rPr>
      </w:pPr>
      <w:bookmarkStart w:id="165" w:name="_Toc19424"/>
      <w:r>
        <w:rPr>
          <w:rFonts w:hint="eastAsia" w:ascii="Times New Roman" w:hAnsi="Times New Roman" w:eastAsia="楷体_GB2312" w:cs="Times New Roman"/>
          <w:color w:val="auto"/>
          <w:kern w:val="28"/>
          <w:sz w:val="32"/>
          <w:highlight w:val="none"/>
          <w:lang w:val="en-US" w:eastAsia="zh-CN"/>
        </w:rPr>
        <w:t>（四）项目效益情况</w:t>
      </w:r>
      <w:bookmarkEnd w:id="165"/>
    </w:p>
    <w:p w14:paraId="3EE531FE">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highlight w:val="none"/>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7D6717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cs="宋体"/>
          <w:b/>
          <w:bCs/>
          <w:color w:val="auto"/>
          <w:kern w:val="0"/>
          <w:sz w:val="28"/>
          <w:szCs w:val="28"/>
          <w:highlight w:val="none"/>
          <w:shd w:val="clear" w:color="auto" w:fill="auto"/>
          <w:lang w:val="zh-TW" w:eastAsia="zh-CN"/>
        </w:rPr>
      </w:pPr>
    </w:p>
    <w:p w14:paraId="509C9E46">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1ECEC6F1">
        <w:tblPrEx>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5A6549E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一级</w:t>
            </w:r>
          </w:p>
          <w:p w14:paraId="11AFF50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6B178B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0CEC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C65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年度指</w:t>
            </w:r>
          </w:p>
          <w:p w14:paraId="5AF812E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F4DA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标杆</w:t>
            </w:r>
          </w:p>
          <w:p w14:paraId="615783B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CCE0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全年实</w:t>
            </w:r>
          </w:p>
          <w:p w14:paraId="754C1B2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965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指标</w:t>
            </w:r>
          </w:p>
          <w:p w14:paraId="7760FA1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auto"/>
                <w:kern w:val="0"/>
                <w:sz w:val="20"/>
                <w:szCs w:val="20"/>
                <w:highlight w:val="none"/>
                <w:shd w:val="clear" w:color="auto" w:fill="auto"/>
                <w:lang w:val="en-US" w:eastAsia="zh-CN"/>
              </w:rPr>
            </w:pPr>
            <w:r>
              <w:rPr>
                <w:rFonts w:hint="eastAsia" w:ascii="宋体" w:hAnsi="宋体" w:eastAsia="宋体" w:cs="宋体"/>
                <w:b/>
                <w:bCs/>
                <w:color w:val="auto"/>
                <w:kern w:val="0"/>
                <w:sz w:val="20"/>
                <w:szCs w:val="20"/>
                <w:highlight w:val="none"/>
                <w:shd w:val="clear" w:color="auto" w:fill="auto"/>
                <w:lang w:val="en-US" w:eastAsia="zh-CN"/>
              </w:rPr>
              <w:t>得分</w:t>
            </w:r>
          </w:p>
        </w:tc>
      </w:tr>
      <w:tr w14:paraId="28C8AD5D">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390BA55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5FC7204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66" w:name="OLE_LINK25"/>
            <w:r>
              <w:rPr>
                <w:rFonts w:hint="eastAsia" w:ascii="宋体" w:hAnsi="宋体" w:eastAsia="宋体" w:cs="宋体"/>
                <w:color w:val="auto"/>
                <w:kern w:val="0"/>
                <w:sz w:val="20"/>
                <w:szCs w:val="20"/>
                <w:highlight w:val="none"/>
                <w:shd w:val="clear" w:color="auto" w:fill="auto"/>
                <w:lang w:val="en-US" w:eastAsia="zh-CN"/>
              </w:rPr>
              <w:t>社会效益指标</w:t>
            </w:r>
            <w:bookmarkEnd w:id="166"/>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A1B6E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67" w:name="OLE_LINK29"/>
            <w:r>
              <w:rPr>
                <w:rFonts w:hint="default" w:ascii="宋体" w:hAnsi="宋体" w:eastAsia="宋体" w:cs="宋体"/>
                <w:color w:val="auto"/>
                <w:kern w:val="0"/>
                <w:sz w:val="20"/>
                <w:szCs w:val="20"/>
                <w:highlight w:val="none"/>
                <w:shd w:val="clear" w:color="auto" w:fill="auto"/>
                <w:lang w:val="en-US" w:eastAsia="zh-CN"/>
              </w:rPr>
              <w:t>学校正常运转率</w:t>
            </w:r>
            <w:bookmarkEnd w:id="167"/>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F21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bookmarkStart w:id="168" w:name="OLE_LINK30"/>
            <w:r>
              <w:rPr>
                <w:rFonts w:hint="default" w:ascii="宋体" w:hAnsi="宋体" w:eastAsia="宋体" w:cs="宋体"/>
                <w:color w:val="auto"/>
                <w:kern w:val="0"/>
                <w:sz w:val="20"/>
                <w:szCs w:val="20"/>
                <w:highlight w:val="none"/>
                <w:shd w:val="clear" w:color="auto" w:fill="auto"/>
                <w:lang w:val="en-US" w:eastAsia="zh-CN"/>
              </w:rPr>
              <w:t>=100%</w:t>
            </w:r>
            <w:bookmarkEnd w:id="168"/>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B694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52CD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D49D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w:t>
            </w:r>
          </w:p>
        </w:tc>
      </w:tr>
      <w:tr w14:paraId="7A755C3A">
        <w:tblPrEx>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72AA4E1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1781C4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44DE885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69" w:name="OLE_LINK27"/>
            <w:r>
              <w:rPr>
                <w:rFonts w:hint="eastAsia" w:ascii="宋体" w:hAnsi="宋体" w:eastAsia="宋体" w:cs="宋体"/>
                <w:color w:val="auto"/>
                <w:kern w:val="0"/>
                <w:sz w:val="20"/>
                <w:szCs w:val="20"/>
                <w:highlight w:val="none"/>
                <w:shd w:val="clear" w:color="auto" w:fill="auto"/>
                <w:lang w:val="en-US" w:eastAsia="zh-CN"/>
              </w:rPr>
              <w:t>改善教学环境，提供良好的学生成长条件</w:t>
            </w:r>
            <w:bookmarkEnd w:id="169"/>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C019B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改善</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5874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E520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D901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4D68CC7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1721C6E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A80D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3DB8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0" w:name="OLE_LINK32"/>
            <w:r>
              <w:rPr>
                <w:rFonts w:hint="eastAsia" w:ascii="宋体" w:hAnsi="宋体" w:eastAsia="宋体" w:cs="宋体"/>
                <w:color w:val="auto"/>
                <w:kern w:val="0"/>
                <w:sz w:val="20"/>
                <w:szCs w:val="20"/>
                <w:highlight w:val="none"/>
                <w:shd w:val="clear" w:color="auto" w:fill="auto"/>
                <w:lang w:val="en-US" w:eastAsia="zh-CN"/>
              </w:rPr>
              <w:t>师生满意度</w:t>
            </w:r>
            <w:bookmarkEnd w:id="170"/>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7C75D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bookmarkStart w:id="171" w:name="OLE_LINK33"/>
            <w:r>
              <w:rPr>
                <w:rFonts w:hint="eastAsia" w:ascii="宋体" w:hAnsi="宋体" w:eastAsia="宋体" w:cs="宋体"/>
                <w:color w:val="auto"/>
                <w:kern w:val="0"/>
                <w:sz w:val="20"/>
                <w:szCs w:val="20"/>
                <w:highlight w:val="none"/>
                <w:shd w:val="clear" w:color="auto" w:fill="auto"/>
                <w:lang w:val="en-US" w:eastAsia="zh-CN"/>
              </w:rPr>
              <w:t>≥90%</w:t>
            </w:r>
            <w:bookmarkEnd w:id="171"/>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ED6F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095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693B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16DDB82D">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BC4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6272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085B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DD44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65E07E6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72" w:name="_Toc5170"/>
      <w:bookmarkStart w:id="173" w:name="_Toc8010"/>
      <w:r>
        <w:rPr>
          <w:rFonts w:hint="eastAsia" w:ascii="仿宋_GB2312" w:hAnsi="仿宋_GB2312" w:eastAsia="仿宋_GB2312" w:cs="仿宋_GB2312"/>
          <w:b/>
          <w:bCs/>
          <w:color w:val="auto"/>
          <w:sz w:val="32"/>
          <w:szCs w:val="32"/>
          <w:highlight w:val="none"/>
          <w:lang w:val="en-US" w:eastAsia="zh-CN"/>
        </w:rPr>
        <w:t>1</w:t>
      </w:r>
      <w:bookmarkEnd w:id="172"/>
      <w:bookmarkEnd w:id="173"/>
      <w:r>
        <w:rPr>
          <w:rFonts w:hint="eastAsia" w:ascii="仿宋_GB2312" w:hAnsi="仿宋_GB2312" w:eastAsia="仿宋_GB2312" w:cs="仿宋_GB2312"/>
          <w:b/>
          <w:bCs/>
          <w:color w:val="auto"/>
          <w:sz w:val="32"/>
          <w:szCs w:val="32"/>
          <w:highlight w:val="none"/>
          <w:lang w:val="en-US" w:eastAsia="zh-CN"/>
        </w:rPr>
        <w:t>社会效益指标完成情况</w:t>
      </w:r>
    </w:p>
    <w:p w14:paraId="590EBBA3">
      <w:pPr>
        <w:pageBreakBefore w:val="0"/>
        <w:numPr>
          <w:ilvl w:val="0"/>
          <w:numId w:val="2"/>
        </w:numPr>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74" w:name="_Toc27006"/>
      <w:bookmarkStart w:id="175" w:name="_Toc29606"/>
      <w:r>
        <w:rPr>
          <w:rFonts w:hint="eastAsia" w:ascii="仿宋_GB2312" w:hAnsi="仿宋_GB2312" w:eastAsia="仿宋_GB2312" w:cs="仿宋_GB2312"/>
          <w:color w:val="auto"/>
          <w:sz w:val="32"/>
          <w:szCs w:val="32"/>
          <w:highlight w:val="none"/>
          <w:lang w:eastAsia="zh-CN"/>
        </w:rPr>
        <w:t>“</w:t>
      </w:r>
      <w:r>
        <w:rPr>
          <w:rFonts w:hint="default" w:ascii="仿宋_GB2312" w:hAnsi="仿宋_GB2312" w:eastAsia="仿宋_GB2312" w:cs="仿宋_GB2312"/>
          <w:color w:val="auto"/>
          <w:sz w:val="32"/>
          <w:szCs w:val="32"/>
          <w:highlight w:val="none"/>
          <w:lang w:val="en-US" w:eastAsia="zh-CN"/>
        </w:rPr>
        <w:t>学校正常运转率</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指标，预期目标值为=100%，实际完成为100%。</w:t>
      </w:r>
      <w:bookmarkEnd w:id="174"/>
      <w:bookmarkEnd w:id="175"/>
      <w:bookmarkStart w:id="176" w:name="OLE_LINK28"/>
    </w:p>
    <w:p w14:paraId="03E63573">
      <w:pPr>
        <w:pageBreakBefore w:val="0"/>
        <w:numPr>
          <w:ilvl w:val="0"/>
          <w:numId w:val="0"/>
        </w:numPr>
        <w:kinsoku/>
        <w:wordWrap/>
        <w:overflowPunct/>
        <w:topLinePunct w:val="0"/>
        <w:autoSpaceDE/>
        <w:autoSpaceDN/>
        <w:bidi w:val="0"/>
        <w:spacing w:line="560" w:lineRule="exact"/>
        <w:ind w:firstLine="640" w:firstLineChars="200"/>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通过项目的实施，达到了改善校园环境，提升幼儿教育教学环境的效益。</w:t>
      </w:r>
    </w:p>
    <w:p w14:paraId="0C61E5CE">
      <w:pPr>
        <w:pageBreakBefore w:val="0"/>
        <w:numPr>
          <w:ilvl w:val="0"/>
          <w:numId w:val="0"/>
        </w:numPr>
        <w:kinsoku/>
        <w:wordWrap/>
        <w:overflowPunct/>
        <w:topLinePunct w:val="0"/>
        <w:autoSpaceDE/>
        <w:autoSpaceDN/>
        <w:bidi w:val="0"/>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改善教学环境，提供良好的学生成长条件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指标，预期目标值为改善，实际完成为达到预期指标。</w:t>
      </w:r>
    </w:p>
    <w:p w14:paraId="1A2540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通过项目的实施，</w:t>
      </w:r>
      <w:bookmarkEnd w:id="176"/>
      <w:r>
        <w:rPr>
          <w:rFonts w:hint="eastAsia" w:ascii="仿宋_GB2312" w:hAnsi="仿宋_GB2312" w:eastAsia="仿宋_GB2312" w:cs="仿宋_GB2312"/>
          <w:b w:val="0"/>
          <w:bCs w:val="0"/>
          <w:color w:val="auto"/>
          <w:sz w:val="32"/>
          <w:szCs w:val="32"/>
          <w:highlight w:val="none"/>
          <w:lang w:val="en-US" w:eastAsia="zh-CN"/>
        </w:rPr>
        <w:t>保障了教师的正常工资待遇，提高教师的归属感，减少教师队伍人员流失，有效改善教学环境，提供良好的幼儿成长条件。</w:t>
      </w:r>
    </w:p>
    <w:p w14:paraId="3C4E20F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bookmarkStart w:id="177" w:name="OLE_LINK31"/>
      <w:r>
        <w:rPr>
          <w:rFonts w:hint="eastAsia" w:ascii="仿宋_GB2312" w:hAnsi="仿宋_GB2312" w:eastAsia="仿宋_GB2312" w:cs="仿宋_GB2312"/>
          <w:b/>
          <w:bCs/>
          <w:color w:val="auto"/>
          <w:sz w:val="32"/>
          <w:szCs w:val="32"/>
          <w:highlight w:val="none"/>
          <w:lang w:val="en-US" w:eastAsia="zh-CN"/>
        </w:rPr>
        <w:t>综上，该项指标满分15分，得分15分。</w:t>
      </w:r>
      <w:bookmarkEnd w:id="177"/>
    </w:p>
    <w:p w14:paraId="4467BBA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78"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78"/>
    </w:p>
    <w:p w14:paraId="63120E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师生满意度</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指标，预期目标值为≥90%，实际完成为90%。</w:t>
      </w:r>
    </w:p>
    <w:p w14:paraId="51F16E0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综上，该项指标满分5分，得分5分。</w:t>
      </w:r>
    </w:p>
    <w:p w14:paraId="66A6DAB8">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79" w:name="_Toc6622"/>
      <w:r>
        <w:rPr>
          <w:rFonts w:hint="eastAsia" w:ascii="黑体" w:hAnsi="黑体" w:cs="黑体"/>
          <w:b w:val="0"/>
          <w:bCs w:val="0"/>
          <w:color w:val="auto"/>
          <w:highlight w:val="none"/>
          <w:shd w:val="clear" w:color="auto" w:fill="auto"/>
          <w:lang w:val="en-US" w:eastAsia="zh-CN"/>
        </w:rPr>
        <w:t>五</w:t>
      </w:r>
      <w:r>
        <w:rPr>
          <w:rFonts w:hint="eastAsia" w:ascii="黑体" w:hAnsi="黑体" w:eastAsia="黑体" w:cs="黑体"/>
          <w:b w:val="0"/>
          <w:bCs w:val="0"/>
          <w:color w:val="auto"/>
          <w:highlight w:val="none"/>
          <w:shd w:val="clear" w:color="auto" w:fill="auto"/>
          <w:lang w:val="en-US" w:eastAsia="zh-CN"/>
        </w:rPr>
        <w:t>、主要经验及做法、存在的问题及原因分析</w:t>
      </w:r>
      <w:bookmarkEnd w:id="179"/>
    </w:p>
    <w:p w14:paraId="542360F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80" w:name="_Toc15449"/>
      <w:bookmarkStart w:id="181" w:name="_Toc1921"/>
      <w:bookmarkStart w:id="182" w:name="_Toc28290"/>
      <w:r>
        <w:rPr>
          <w:rFonts w:hint="eastAsia" w:ascii="Times New Roman" w:hAnsi="Times New Roman" w:eastAsia="楷体_GB2312" w:cs="Times New Roman"/>
          <w:b/>
          <w:bCs/>
          <w:color w:val="auto"/>
          <w:kern w:val="28"/>
          <w:sz w:val="32"/>
          <w:highlight w:val="none"/>
          <w:lang w:val="en-US" w:eastAsia="zh-CN"/>
        </w:rPr>
        <w:t>（一）主要经验及做法</w:t>
      </w:r>
      <w:bookmarkEnd w:id="180"/>
    </w:p>
    <w:p w14:paraId="7CC8C53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2024年选聘教师工资补助经费</w:t>
      </w:r>
      <w:r>
        <w:rPr>
          <w:rFonts w:hint="eastAsia" w:ascii="仿宋_GB2312" w:hAnsi="仿宋_GB2312" w:eastAsia="仿宋_GB2312" w:cs="仿宋_GB2312"/>
          <w:color w:val="auto"/>
          <w:sz w:val="32"/>
          <w:szCs w:val="32"/>
          <w:highlight w:val="none"/>
          <w:lang w:eastAsia="zh-CN"/>
        </w:rPr>
        <w:t>20</w:t>
      </w:r>
      <w:r>
        <w:rPr>
          <w:rFonts w:hint="eastAsia" w:ascii="仿宋_GB2312" w:hAnsi="仿宋_GB2312" w:eastAsia="仿宋_GB2312" w:cs="仿宋_GB2312"/>
          <w:color w:val="auto"/>
          <w:sz w:val="32"/>
          <w:szCs w:val="32"/>
          <w:highlight w:val="none"/>
          <w:lang w:val="en-US" w:eastAsia="zh-CN"/>
        </w:rPr>
        <w:t>24</w:t>
      </w:r>
      <w:r>
        <w:rPr>
          <w:rFonts w:hint="eastAsia" w:ascii="仿宋_GB2312" w:hAnsi="仿宋_GB2312" w:eastAsia="仿宋_GB2312" w:cs="仿宋_GB2312"/>
          <w:color w:val="auto"/>
          <w:sz w:val="32"/>
          <w:szCs w:val="32"/>
          <w:highlight w:val="none"/>
          <w:lang w:eastAsia="zh-CN"/>
        </w:rPr>
        <w:t>年预算</w:t>
      </w:r>
      <w:r>
        <w:rPr>
          <w:rFonts w:hint="eastAsia" w:ascii="仿宋_GB2312" w:hAnsi="仿宋_GB2312" w:eastAsia="仿宋_GB2312" w:cs="仿宋_GB2312"/>
          <w:color w:val="auto"/>
          <w:sz w:val="32"/>
          <w:szCs w:val="32"/>
          <w:highlight w:val="none"/>
          <w:lang w:val="en-US" w:eastAsia="zh-CN"/>
        </w:rPr>
        <w:t>数</w:t>
      </w:r>
      <w:r>
        <w:rPr>
          <w:rFonts w:hint="eastAsia" w:ascii="仿宋_GB2312" w:hAnsi="仿宋_GB2312" w:eastAsia="仿宋_GB2312" w:cs="仿宋_GB2312"/>
          <w:color w:val="auto"/>
          <w:sz w:val="32"/>
          <w:szCs w:val="32"/>
          <w:highlight w:val="none"/>
          <w:lang w:eastAsia="zh-CN"/>
        </w:rPr>
        <w:t>为</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万元，</w:t>
      </w:r>
      <w:r>
        <w:rPr>
          <w:rFonts w:hint="eastAsia" w:ascii="仿宋_GB2312" w:hAnsi="仿宋_GB2312" w:eastAsia="仿宋_GB2312" w:cs="仿宋_GB2312"/>
          <w:color w:val="auto"/>
          <w:sz w:val="32"/>
          <w:szCs w:val="32"/>
          <w:highlight w:val="none"/>
          <w:lang w:val="en-US" w:eastAsia="zh-CN"/>
        </w:rPr>
        <w:t>截至2024年12月31日共</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lang w:val="en-US" w:eastAsia="zh-CN"/>
        </w:rPr>
        <w:t>28.11</w:t>
      </w:r>
      <w:r>
        <w:rPr>
          <w:rFonts w:hint="eastAsia" w:ascii="仿宋_GB2312" w:hAnsi="仿宋_GB2312" w:eastAsia="仿宋_GB2312" w:cs="仿宋_GB2312"/>
          <w:color w:val="auto"/>
          <w:sz w:val="32"/>
          <w:szCs w:val="32"/>
          <w:highlight w:val="none"/>
          <w:lang w:eastAsia="zh-CN"/>
        </w:rPr>
        <w:t>万元，预算</w:t>
      </w:r>
      <w:r>
        <w:rPr>
          <w:rFonts w:hint="eastAsia" w:ascii="仿宋_GB2312" w:hAnsi="仿宋_GB2312" w:eastAsia="仿宋_GB2312" w:cs="仿宋_GB2312"/>
          <w:color w:val="auto"/>
          <w:sz w:val="32"/>
          <w:szCs w:val="32"/>
          <w:highlight w:val="none"/>
          <w:lang w:val="en-US" w:eastAsia="zh-CN"/>
        </w:rPr>
        <w:t>执行</w:t>
      </w:r>
      <w:r>
        <w:rPr>
          <w:rFonts w:hint="eastAsia" w:ascii="仿宋_GB2312" w:hAnsi="仿宋_GB2312" w:eastAsia="仿宋_GB2312" w:cs="仿宋_GB2312"/>
          <w:color w:val="auto"/>
          <w:sz w:val="32"/>
          <w:szCs w:val="32"/>
          <w:highlight w:val="none"/>
          <w:lang w:eastAsia="zh-CN"/>
        </w:rPr>
        <w:t>率为</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eastAsia="zh-CN"/>
        </w:rPr>
        <w:t>%。</w:t>
      </w:r>
    </w:p>
    <w:p w14:paraId="6A31E6B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阜康市三工河哈萨克族乡中心幼儿园</w:t>
      </w:r>
      <w:r>
        <w:rPr>
          <w:rFonts w:hint="eastAsia" w:ascii="仿宋_GB2312" w:hAnsi="仿宋_GB2312" w:eastAsia="仿宋_GB2312" w:cs="仿宋_GB2312"/>
          <w:color w:val="auto"/>
          <w:sz w:val="32"/>
          <w:szCs w:val="32"/>
          <w:highlight w:val="none"/>
          <w:lang w:eastAsia="zh-CN"/>
        </w:rPr>
        <w:t>建立健全了预算管理规章制度，各部门严格按照预算编制的原则和要求做好当年预算编制工作，在预算绩效管理工作中，做到合理安排各项资金，重点保障基本支出，按轻重缓急顺序原则，优先安排了</w:t>
      </w:r>
      <w:r>
        <w:rPr>
          <w:rFonts w:hint="eastAsia" w:ascii="仿宋_GB2312" w:hAnsi="仿宋_GB2312" w:eastAsia="仿宋_GB2312" w:cs="仿宋_GB2312"/>
          <w:color w:val="auto"/>
          <w:sz w:val="32"/>
          <w:szCs w:val="32"/>
          <w:highlight w:val="none"/>
          <w:lang w:val="en-US" w:eastAsia="zh-CN"/>
        </w:rPr>
        <w:t>阜康市三工河哈萨克族乡中心幼儿园</w:t>
      </w:r>
      <w:r>
        <w:rPr>
          <w:rFonts w:hint="eastAsia" w:ascii="仿宋_GB2312" w:hAnsi="仿宋_GB2312" w:eastAsia="仿宋_GB2312" w:cs="仿宋_GB2312"/>
          <w:color w:val="auto"/>
          <w:sz w:val="32"/>
          <w:szCs w:val="32"/>
          <w:highlight w:val="none"/>
          <w:lang w:eastAsia="zh-CN"/>
        </w:rPr>
        <w:t>事业发展中关系民生与稳定的项目，切实优化资源配置，提高了资金使用的效率和效果。</w:t>
      </w:r>
    </w:p>
    <w:bookmarkEnd w:id="181"/>
    <w:bookmarkEnd w:id="182"/>
    <w:p w14:paraId="508484A0">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color w:val="auto"/>
          <w:kern w:val="28"/>
          <w:sz w:val="32"/>
          <w:highlight w:val="none"/>
          <w:lang w:val="en-US" w:eastAsia="zh-CN"/>
        </w:rPr>
      </w:pPr>
      <w:bookmarkStart w:id="183" w:name="_Toc29168"/>
      <w:r>
        <w:rPr>
          <w:rFonts w:hint="eastAsia" w:ascii="Times New Roman" w:hAnsi="Times New Roman" w:eastAsia="楷体_GB2312" w:cs="Times New Roman"/>
          <w:b/>
          <w:bCs/>
          <w:color w:val="auto"/>
          <w:kern w:val="28"/>
          <w:sz w:val="32"/>
          <w:highlight w:val="none"/>
          <w:lang w:val="en-US" w:eastAsia="zh-CN"/>
        </w:rPr>
        <w:t>（二）存在的问题及原因分析</w:t>
      </w:r>
      <w:bookmarkEnd w:id="183"/>
    </w:p>
    <w:p w14:paraId="1B9B17F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发放不及时：在项目实施过程中，存在工资补助经费发放不及时的情况。这可能是由于资金审批流程繁琐、部门之间协调不畅等原因导致的。工资发放延迟会给教师的生活带来不便，也容易引发教师的不满情绪，对幼儿园的正常教学秩序产生负面影响。</w:t>
      </w:r>
    </w:p>
    <w:p w14:paraId="7F10D709">
      <w:pPr>
        <w:pageBreakBefore w:val="0"/>
        <w:kinsoku/>
        <w:wordWrap/>
        <w:overflowPunct/>
        <w:topLinePunct w:val="0"/>
        <w:autoSpaceDE/>
        <w:autoSpaceDN/>
        <w:bidi w:val="0"/>
        <w:spacing w:line="560" w:lineRule="exact"/>
        <w:textAlignment w:val="auto"/>
        <w:rPr>
          <w:rFonts w:hint="eastAsia"/>
          <w:b/>
          <w:bCs/>
          <w:color w:val="auto"/>
          <w:highlight w:val="none"/>
          <w:shd w:val="clear" w:color="auto" w:fill="auto"/>
          <w:lang w:val="en-US" w:eastAsia="zh-CN"/>
        </w:rPr>
      </w:pPr>
      <w:r>
        <w:rPr>
          <w:rFonts w:hint="eastAsia" w:ascii="仿宋_GB2312" w:hAnsi="仿宋_GB2312" w:eastAsia="仿宋_GB2312" w:cs="仿宋_GB2312"/>
          <w:color w:val="auto"/>
          <w:sz w:val="32"/>
          <w:szCs w:val="32"/>
          <w:highlight w:val="none"/>
          <w:lang w:val="en-US" w:eastAsia="zh-CN"/>
        </w:rPr>
        <w:t>2.监管机制不完善：对幼儿园教师工资补助经费的使用缺乏有效的监管机制，工资补助经费的预算与实际需求之间存在较大差距，难以满足幼儿园教师工资的合理增长。</w:t>
      </w:r>
    </w:p>
    <w:p w14:paraId="479FE0B1">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原因分析;</w:t>
      </w:r>
    </w:p>
    <w:p w14:paraId="1FE45367">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1.财政投入有限：</w:t>
      </w:r>
      <w:r>
        <w:rPr>
          <w:rFonts w:hint="default" w:ascii="仿宋_GB2312" w:hAnsi="仿宋_GB2312" w:eastAsia="仿宋_GB2312" w:cs="仿宋_GB2312"/>
          <w:color w:val="auto"/>
          <w:sz w:val="32"/>
          <w:szCs w:val="32"/>
          <w:highlight w:val="none"/>
          <w:lang w:val="en-US" w:eastAsia="zh-CN"/>
        </w:rPr>
        <w:t>政府对学前教育的重视程度不够，导致用于幼儿园教师工资补助的资金不足。随着学前教育的快速发展，对教师数量和质量的要求不断提高，而财政投入未能相应增加，使得经费紧张的问题更加突出</w:t>
      </w:r>
      <w:r>
        <w:rPr>
          <w:rFonts w:hint="eastAsia" w:ascii="仿宋_GB2312" w:hAnsi="仿宋_GB2312" w:eastAsia="仿宋_GB2312" w:cs="仿宋_GB2312"/>
          <w:color w:val="auto"/>
          <w:sz w:val="32"/>
          <w:szCs w:val="32"/>
          <w:highlight w:val="none"/>
          <w:lang w:val="en-US" w:eastAsia="zh-CN"/>
        </w:rPr>
        <w:t>。</w:t>
      </w:r>
    </w:p>
    <w:p w14:paraId="6FD14D3D">
      <w:pPr>
        <w:pStyle w:val="3"/>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kern w:val="2"/>
          <w:sz w:val="32"/>
          <w:szCs w:val="32"/>
          <w:highlight w:val="none"/>
          <w:lang w:val="en-US" w:eastAsia="zh-CN" w:bidi="ar-SA"/>
        </w:rPr>
      </w:pPr>
      <w:bookmarkStart w:id="184" w:name="_Toc3333"/>
      <w:r>
        <w:rPr>
          <w:rFonts w:hint="eastAsia" w:ascii="仿宋_GB2312" w:hAnsi="仿宋_GB2312" w:eastAsia="仿宋_GB2312" w:cs="仿宋_GB2312"/>
          <w:color w:val="auto"/>
          <w:kern w:val="2"/>
          <w:sz w:val="32"/>
          <w:szCs w:val="32"/>
          <w:highlight w:val="none"/>
          <w:lang w:val="en-US" w:eastAsia="zh-CN" w:bidi="ar-SA"/>
        </w:rPr>
        <w:t>2.管理体制不顺畅：幼儿园教师工资补助经费的管理涉及多个部门，如财政部门、教育部门等，各部门之间职责不清、协调不畅，容易出现工作推诿、效率低下的问题。</w:t>
      </w:r>
    </w:p>
    <w:p w14:paraId="2536B7FA">
      <w:pPr>
        <w:pStyle w:val="3"/>
        <w:pageBreakBefore w:val="0"/>
        <w:kinsoku/>
        <w:wordWrap/>
        <w:overflowPunct/>
        <w:topLinePunct w:val="0"/>
        <w:autoSpaceDE/>
        <w:autoSpaceDN/>
        <w:bidi w:val="0"/>
        <w:adjustRightInd/>
        <w:spacing w:beforeLines="0" w:afterLines="0" w:line="560" w:lineRule="exact"/>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3.缺乏有效监督：对幼儿园教师工资补助经费的使用情况缺乏有效的监督和评估机制，无法及时掌握资金的流向和使用效果。虽然相关部门会进行一些检查，但往往形式大于内容，无法真正发挥监督作用。</w:t>
      </w:r>
    </w:p>
    <w:p w14:paraId="07D09A6A">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r>
        <w:rPr>
          <w:rFonts w:hint="eastAsia" w:ascii="黑体" w:hAnsi="黑体" w:cs="黑体"/>
          <w:b w:val="0"/>
          <w:bCs w:val="0"/>
          <w:color w:val="auto"/>
          <w:highlight w:val="none"/>
          <w:shd w:val="clear" w:color="auto" w:fill="auto"/>
          <w:lang w:val="en-US" w:eastAsia="zh-CN"/>
        </w:rPr>
        <w:t>六</w:t>
      </w:r>
      <w:r>
        <w:rPr>
          <w:rFonts w:hint="eastAsia" w:ascii="黑体" w:hAnsi="黑体" w:eastAsia="黑体" w:cs="黑体"/>
          <w:b w:val="0"/>
          <w:bCs w:val="0"/>
          <w:color w:val="auto"/>
          <w:highlight w:val="none"/>
          <w:shd w:val="clear" w:color="auto" w:fill="auto"/>
          <w:lang w:val="en-US" w:eastAsia="zh-CN"/>
        </w:rPr>
        <w:t>、有关建议</w:t>
      </w:r>
      <w:bookmarkEnd w:id="184"/>
    </w:p>
    <w:p w14:paraId="1AD084F3">
      <w:pPr>
        <w:pageBreakBefore w:val="0"/>
        <w:kinsoku/>
        <w:wordWrap/>
        <w:overflowPunct/>
        <w:topLinePunct w:val="0"/>
        <w:autoSpaceDE/>
        <w:autoSpaceDN/>
        <w:bidi w:val="0"/>
        <w:spacing w:line="560" w:lineRule="exact"/>
        <w:textAlignment w:val="auto"/>
        <w:outlineLvl w:val="1"/>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一）制定科学分配标准：摒弃简单依据地区经济发展水平和幼儿园性质的分配方式，综合考虑教师的工作量、教学质量、专业水平等因素。可采用量化考核指标，如教学成果、家长满意度、教师培训时长等，按考核结果分配资金，激励教师提升自身能力与教学质量。简化审批环节：对工资补助经费的审批流程进行全面梳理，减少不必要的中间环节，明确各部门职责与审批时限，建立高效的审批机制，确保资金快速、准确到位。</w:t>
      </w:r>
    </w:p>
    <w:p w14:paraId="0194F451">
      <w:pPr>
        <w:pageBreakBefore w:val="0"/>
        <w:kinsoku/>
        <w:wordWrap/>
        <w:overflowPunct/>
        <w:topLinePunct w:val="0"/>
        <w:autoSpaceDE/>
        <w:autoSpaceDN/>
        <w:bidi w:val="0"/>
        <w:spacing w:line="560" w:lineRule="exact"/>
        <w:textAlignment w:val="auto"/>
        <w:outlineLvl w:val="1"/>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（二）建立健全监管制度：制定严格的幼儿园教师工资补助经费使用监管制度，明确资金使用范围、违规处罚措施等。规定资金只能用于教师工资发放，严禁挪作他用，对违规行为严肃查处。</w:t>
      </w:r>
    </w:p>
    <w:p w14:paraId="4B72F836">
      <w:pPr>
        <w:pageBreakBefore w:val="0"/>
        <w:kinsoku/>
        <w:wordWrap/>
        <w:overflowPunct/>
        <w:topLinePunct w:val="0"/>
        <w:autoSpaceDE/>
        <w:autoSpaceDN/>
        <w:bidi w:val="0"/>
        <w:spacing w:line="560" w:lineRule="exact"/>
        <w:textAlignment w:val="auto"/>
        <w:outlineLvl w:val="1"/>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（三）建立预警机制：建立资金发放预警机制，对可能出现的发放延迟等问题提前预警。定期检查资金发放进度，若发现问题及时采取措施解决，保障教师按时领取工资。</w:t>
      </w:r>
    </w:p>
    <w:p w14:paraId="4EB6DDD6">
      <w:pPr>
        <w:pStyle w:val="3"/>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85" w:name="_Toc14256"/>
      <w:r>
        <w:rPr>
          <w:rFonts w:hint="eastAsia" w:ascii="黑体" w:hAnsi="黑体" w:cs="黑体"/>
          <w:b w:val="0"/>
          <w:bCs w:val="0"/>
          <w:color w:val="auto"/>
          <w:highlight w:val="none"/>
          <w:shd w:val="clear" w:color="auto" w:fill="auto"/>
          <w:lang w:val="en-US" w:eastAsia="zh-CN"/>
        </w:rPr>
        <w:t>七</w:t>
      </w:r>
      <w:r>
        <w:rPr>
          <w:rFonts w:hint="eastAsia" w:ascii="黑体" w:hAnsi="黑体" w:eastAsia="黑体" w:cs="黑体"/>
          <w:b w:val="0"/>
          <w:bCs w:val="0"/>
          <w:color w:val="auto"/>
          <w:highlight w:val="none"/>
          <w:shd w:val="clear" w:color="auto" w:fill="auto"/>
          <w:lang w:val="en-US" w:eastAsia="zh-CN"/>
        </w:rPr>
        <w:t>、其他需要说明的问题</w:t>
      </w:r>
      <w:bookmarkEnd w:id="185"/>
    </w:p>
    <w:p w14:paraId="42EB0DA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无其他需要说明的问题。</w:t>
      </w:r>
    </w:p>
    <w:p w14:paraId="60F1978D">
      <w:pPr>
        <w:pageBreakBefore w:val="0"/>
        <w:kinsoku/>
        <w:wordWrap/>
        <w:overflowPunct/>
        <w:topLinePunct w:val="0"/>
        <w:autoSpaceDE/>
        <w:autoSpaceDN/>
        <w:bidi w:val="0"/>
        <w:adjustRightInd/>
        <w:spacing w:line="560" w:lineRule="exact"/>
        <w:textAlignment w:val="auto"/>
        <w:rPr>
          <w:rFonts w:hint="eastAsia" w:cs="宋体"/>
          <w:color w:val="auto"/>
          <w:highlight w:val="none"/>
          <w:shd w:val="clear" w:color="auto" w:fill="auto"/>
          <w:lang w:val="en-US" w:eastAsia="zh-CN"/>
        </w:rPr>
        <w:sectPr>
          <w:footerReference r:id="rId5" w:type="default"/>
          <w:pgSz w:w="11906" w:h="16838"/>
          <w:pgMar w:top="1440" w:right="1800" w:bottom="1440" w:left="1800" w:header="737" w:footer="851" w:gutter="0"/>
          <w:pgNumType w:fmt="decimal"/>
          <w:cols w:space="720" w:num="1"/>
          <w:docGrid w:type="lines" w:linePitch="408" w:charSpace="0"/>
        </w:sectPr>
      </w:pPr>
    </w:p>
    <w:p w14:paraId="588E56DF">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color w:val="auto"/>
          <w:highlight w:val="none"/>
        </w:rPr>
      </w:pPr>
      <w:bookmarkStart w:id="186" w:name="_Toc28971"/>
      <w:bookmarkStart w:id="187" w:name="_Toc11349"/>
      <w:r>
        <w:rPr>
          <w:rFonts w:hint="eastAsia" w:ascii="宋体" w:hAnsi="宋体" w:eastAsia="宋体" w:cs="宋体"/>
          <w:b/>
          <w:bCs/>
          <w:color w:val="auto"/>
          <w:highlight w:val="none"/>
          <w:shd w:val="clear" w:color="auto" w:fill="auto"/>
          <w:lang w:val="en-US" w:eastAsia="zh-CN"/>
        </w:rPr>
        <w:t>附件一、项目支出绩效自评表</w:t>
      </w:r>
      <w:bookmarkEnd w:id="186"/>
      <w:bookmarkEnd w:id="187"/>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4"/>
        <w:gridCol w:w="895"/>
        <w:gridCol w:w="895"/>
        <w:gridCol w:w="895"/>
        <w:gridCol w:w="1142"/>
        <w:gridCol w:w="1142"/>
        <w:gridCol w:w="1142"/>
        <w:gridCol w:w="1059"/>
        <w:gridCol w:w="1224"/>
        <w:gridCol w:w="895"/>
        <w:gridCol w:w="1059"/>
        <w:gridCol w:w="895"/>
        <w:gridCol w:w="895"/>
        <w:gridCol w:w="1142"/>
      </w:tblGrid>
      <w:tr w14:paraId="0B734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2EF2F04B">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A7D4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791FB2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7704D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BB96A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6"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3C3F9B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2024年选聘教师工资补助经费</w:t>
            </w:r>
          </w:p>
        </w:tc>
      </w:tr>
      <w:tr w14:paraId="5ED20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09C7B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0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A2523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阜康市教育局</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A428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2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13431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阜康市三工河哈萨克族乡中心幼儿园</w:t>
            </w:r>
          </w:p>
        </w:tc>
      </w:tr>
      <w:tr w14:paraId="7DB53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3"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000F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3B832F">
            <w:pPr>
              <w:jc w:val="center"/>
              <w:rPr>
                <w:rFonts w:hint="eastAsia" w:ascii="宋体" w:hAnsi="宋体" w:eastAsia="宋体" w:cs="宋体"/>
                <w:b/>
                <w:bCs/>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4B85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18389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7C94C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E430C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B8D73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7D0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04B36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51AAA">
            <w:pPr>
              <w:jc w:val="center"/>
              <w:rPr>
                <w:rFonts w:hint="eastAsia" w:ascii="宋体" w:hAnsi="宋体" w:eastAsia="宋体" w:cs="宋体"/>
                <w:b/>
                <w:bCs/>
                <w:i w:val="0"/>
                <w:iCs w:val="0"/>
                <w:color w:val="000000"/>
                <w:sz w:val="18"/>
                <w:szCs w:val="18"/>
                <w:u w:val="none"/>
              </w:rPr>
            </w:pPr>
          </w:p>
        </w:tc>
        <w:tc>
          <w:tcPr>
            <w:tcW w:w="7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85B8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D0E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2A4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DBD1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3DC1C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3152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62D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7E325D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41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BFD8D8">
            <w:pPr>
              <w:jc w:val="center"/>
              <w:rPr>
                <w:rFonts w:hint="eastAsia" w:ascii="宋体" w:hAnsi="宋体" w:eastAsia="宋体" w:cs="宋体"/>
                <w:b/>
                <w:bCs/>
                <w:i w:val="0"/>
                <w:iCs w:val="0"/>
                <w:color w:val="000000"/>
                <w:sz w:val="18"/>
                <w:szCs w:val="18"/>
                <w:u w:val="none"/>
              </w:rPr>
            </w:pPr>
          </w:p>
        </w:tc>
        <w:tc>
          <w:tcPr>
            <w:tcW w:w="7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8EE6A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68D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7FB4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ECD5F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28.11</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AE7C3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D5A97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B42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5CA37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3"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5B04E5">
            <w:pPr>
              <w:jc w:val="center"/>
              <w:rPr>
                <w:rFonts w:hint="eastAsia" w:ascii="宋体" w:hAnsi="宋体" w:eastAsia="宋体" w:cs="宋体"/>
                <w:b/>
                <w:bCs/>
                <w:i w:val="0"/>
                <w:iCs w:val="0"/>
                <w:color w:val="000000"/>
                <w:sz w:val="18"/>
                <w:szCs w:val="18"/>
                <w:u w:val="none"/>
              </w:rPr>
            </w:pPr>
          </w:p>
        </w:tc>
        <w:tc>
          <w:tcPr>
            <w:tcW w:w="71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78F80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6D86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5623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B8FA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96CC3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3A53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766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3395E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A7DCF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1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5A429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7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0AE39D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4E147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BE121C">
            <w:pPr>
              <w:jc w:val="center"/>
              <w:rPr>
                <w:rFonts w:hint="eastAsia" w:ascii="宋体" w:hAnsi="宋体" w:eastAsia="宋体" w:cs="宋体"/>
                <w:b/>
                <w:bCs/>
                <w:i w:val="0"/>
                <w:iCs w:val="0"/>
                <w:color w:val="000000"/>
                <w:sz w:val="18"/>
                <w:szCs w:val="18"/>
                <w:u w:val="none"/>
              </w:rPr>
            </w:pPr>
          </w:p>
        </w:tc>
        <w:tc>
          <w:tcPr>
            <w:tcW w:w="1913"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AF735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障2024年幼儿园正常运转，维持幼儿园正常教学秩序。计划全年按时支付选聘教师5人12次工资补助经费，每人每月0.47万元。通过按时发放选聘教师工资，保障教师的正常工资待遇，提高教师的归属感，减少教师队伍人员流失，有效改善教学环境，提供良好的幼儿成长条件，达到幼儿园正常运转的目的。</w:t>
            </w:r>
          </w:p>
        </w:tc>
        <w:tc>
          <w:tcPr>
            <w:tcW w:w="2879"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E949B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按每人每月0.47万元的标准，实际完成5名选聘教师工资发放12次，共支付28.11万元。项目实施达到保障教师的正常工资待遇，提升了教师的归属感，减少教师队伍人员流失，有效改善教学环境，促进了幼儿园的教学质量，达到幼儿园正常运转的社会效益，师生满意度达到90%。</w:t>
            </w:r>
          </w:p>
        </w:tc>
      </w:tr>
      <w:tr w14:paraId="4671A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07EA91">
            <w:pPr>
              <w:jc w:val="center"/>
              <w:rPr>
                <w:rFonts w:hint="eastAsia" w:ascii="宋体" w:hAnsi="宋体" w:eastAsia="宋体" w:cs="宋体"/>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AD4F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5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24D1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15FF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2751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7025DA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6E487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5D292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4956BB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B4FA0A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ECB1B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839CD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4470FE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39E3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149D1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5A7D0F">
            <w:pPr>
              <w:jc w:val="center"/>
              <w:rPr>
                <w:rFonts w:hint="eastAsia" w:ascii="宋体" w:hAnsi="宋体" w:eastAsia="宋体" w:cs="宋体"/>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7C4555">
            <w:pPr>
              <w:jc w:val="center"/>
              <w:rPr>
                <w:rFonts w:hint="eastAsia" w:ascii="宋体" w:hAnsi="宋体" w:eastAsia="宋体" w:cs="宋体"/>
                <w:b/>
                <w:bCs/>
                <w:i w:val="0"/>
                <w:iCs w:val="0"/>
                <w:color w:val="000000"/>
                <w:sz w:val="18"/>
                <w:szCs w:val="18"/>
                <w:u w:val="none"/>
              </w:rPr>
            </w:pPr>
          </w:p>
        </w:tc>
        <w:tc>
          <w:tcPr>
            <w:tcW w:w="25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3C266">
            <w:pPr>
              <w:jc w:val="center"/>
              <w:rPr>
                <w:rFonts w:hint="eastAsia" w:ascii="宋体" w:hAnsi="宋体" w:eastAsia="宋体" w:cs="宋体"/>
                <w:b/>
                <w:bCs/>
                <w:i w:val="0"/>
                <w:iCs w:val="0"/>
                <w:color w:val="000000"/>
                <w:sz w:val="18"/>
                <w:szCs w:val="18"/>
                <w:u w:val="none"/>
              </w:rPr>
            </w:pPr>
          </w:p>
        </w:tc>
        <w:tc>
          <w:tcPr>
            <w:tcW w:w="4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4EC4D2">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82C0C7">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236C2">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0B936">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055C65">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591B0">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FE377F">
            <w:pPr>
              <w:jc w:val="center"/>
              <w:rPr>
                <w:rFonts w:hint="eastAsia" w:ascii="宋体" w:hAnsi="宋体" w:eastAsia="宋体" w:cs="宋体"/>
                <w:b/>
                <w:bCs/>
                <w:i w:val="0"/>
                <w:iCs w:val="0"/>
                <w:color w:val="000000"/>
                <w:sz w:val="18"/>
                <w:szCs w:val="18"/>
                <w:u w:val="none"/>
              </w:rPr>
            </w:pPr>
          </w:p>
        </w:tc>
        <w:tc>
          <w:tcPr>
            <w:tcW w:w="32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7E8C72">
            <w:pPr>
              <w:jc w:val="center"/>
              <w:rPr>
                <w:rFonts w:hint="eastAsia" w:ascii="宋体" w:hAnsi="宋体" w:eastAsia="宋体" w:cs="宋体"/>
                <w:b/>
                <w:bCs/>
                <w:i w:val="0"/>
                <w:iCs w:val="0"/>
                <w:color w:val="000000"/>
                <w:sz w:val="18"/>
                <w:szCs w:val="18"/>
                <w:u w:val="none"/>
              </w:rPr>
            </w:pPr>
          </w:p>
        </w:tc>
        <w:tc>
          <w:tcPr>
            <w:tcW w:w="39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A975D0">
            <w:pPr>
              <w:jc w:val="center"/>
              <w:rPr>
                <w:rFonts w:hint="eastAsia" w:ascii="宋体" w:hAnsi="宋体" w:eastAsia="宋体" w:cs="宋体"/>
                <w:b/>
                <w:bCs/>
                <w:i w:val="0"/>
                <w:iCs w:val="0"/>
                <w:color w:val="000000"/>
                <w:sz w:val="18"/>
                <w:szCs w:val="18"/>
                <w:u w:val="none"/>
              </w:rPr>
            </w:pPr>
          </w:p>
        </w:tc>
        <w:tc>
          <w:tcPr>
            <w:tcW w:w="3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F25EB9">
            <w:pPr>
              <w:jc w:val="center"/>
              <w:rPr>
                <w:rFonts w:hint="eastAsia" w:ascii="宋体" w:hAnsi="宋体" w:eastAsia="宋体" w:cs="宋体"/>
                <w:b/>
                <w:bCs/>
                <w:i w:val="0"/>
                <w:iCs w:val="0"/>
                <w:color w:val="000000"/>
                <w:sz w:val="18"/>
                <w:szCs w:val="18"/>
                <w:u w:val="none"/>
              </w:rPr>
            </w:pPr>
          </w:p>
        </w:tc>
        <w:tc>
          <w:tcPr>
            <w:tcW w:w="81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D2B4EE">
            <w:pPr>
              <w:jc w:val="center"/>
              <w:rPr>
                <w:rFonts w:hint="eastAsia" w:ascii="宋体" w:hAnsi="宋体" w:eastAsia="宋体" w:cs="宋体"/>
                <w:b/>
                <w:bCs/>
                <w:i w:val="0"/>
                <w:iCs w:val="0"/>
                <w:color w:val="000000"/>
                <w:sz w:val="18"/>
                <w:szCs w:val="18"/>
                <w:u w:val="none"/>
              </w:rPr>
            </w:pPr>
          </w:p>
        </w:tc>
      </w:tr>
      <w:tr w14:paraId="4F3CF8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F70A0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bookmarkStart w:id="190" w:name="_GoBack" w:colFirst="7" w:colLast="7"/>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D6A0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94A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71A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选聘教师人数</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BE46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72E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&gt;=5人</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7AB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=5人</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9461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0B4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27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40D8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5人</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2778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69E7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2EC67">
            <w:pPr>
              <w:jc w:val="center"/>
              <w:rPr>
                <w:rFonts w:hint="eastAsia" w:ascii="宋体" w:hAnsi="宋体" w:eastAsia="宋体" w:cs="宋体"/>
                <w:i w:val="0"/>
                <w:iCs w:val="0"/>
                <w:color w:val="000000"/>
                <w:sz w:val="18"/>
                <w:szCs w:val="18"/>
                <w:u w:val="none"/>
              </w:rPr>
            </w:pPr>
          </w:p>
        </w:tc>
      </w:tr>
      <w:tr w14:paraId="47227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67F35B">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B91E21">
            <w:pPr>
              <w:jc w:val="center"/>
              <w:rPr>
                <w:rFonts w:hint="eastAsia" w:ascii="宋体" w:hAnsi="宋体" w:eastAsia="宋体" w:cs="宋体"/>
                <w:i w:val="0"/>
                <w:iCs w:val="0"/>
                <w:color w:val="000000"/>
                <w:sz w:val="18"/>
                <w:szCs w:val="18"/>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D6D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013F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工资支付次数</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185C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3AD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018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0DA5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54B0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028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5D0B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12次</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D41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EEB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AB5AD3">
            <w:pPr>
              <w:jc w:val="center"/>
              <w:rPr>
                <w:rFonts w:hint="eastAsia" w:ascii="宋体" w:hAnsi="宋体" w:eastAsia="宋体" w:cs="宋体"/>
                <w:i w:val="0"/>
                <w:iCs w:val="0"/>
                <w:color w:val="000000"/>
                <w:sz w:val="18"/>
                <w:szCs w:val="18"/>
                <w:u w:val="none"/>
              </w:rPr>
            </w:pPr>
          </w:p>
        </w:tc>
      </w:tr>
      <w:tr w14:paraId="6F6BF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08B687">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7F3EEC">
            <w:pPr>
              <w:jc w:val="center"/>
              <w:rPr>
                <w:rFonts w:hint="eastAsia" w:ascii="宋体" w:hAnsi="宋体" w:eastAsia="宋体" w:cs="宋体"/>
                <w:i w:val="0"/>
                <w:iCs w:val="0"/>
                <w:color w:val="000000"/>
                <w:sz w:val="18"/>
                <w:szCs w:val="18"/>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7112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E8E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人员经费享受比例</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53D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D17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35F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4005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CF7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26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B77B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867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561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4ECFC">
            <w:pPr>
              <w:jc w:val="center"/>
              <w:rPr>
                <w:rFonts w:hint="eastAsia" w:ascii="宋体" w:hAnsi="宋体" w:eastAsia="宋体" w:cs="宋体"/>
                <w:i w:val="0"/>
                <w:iCs w:val="0"/>
                <w:color w:val="000000"/>
                <w:sz w:val="18"/>
                <w:szCs w:val="18"/>
                <w:u w:val="none"/>
              </w:rPr>
            </w:pPr>
          </w:p>
        </w:tc>
      </w:tr>
      <w:tr w14:paraId="22A55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9EAB7F">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7C5A12">
            <w:pPr>
              <w:jc w:val="center"/>
              <w:rPr>
                <w:rFonts w:hint="eastAsia" w:ascii="宋体" w:hAnsi="宋体" w:eastAsia="宋体" w:cs="宋体"/>
                <w:i w:val="0"/>
                <w:iCs w:val="0"/>
                <w:color w:val="000000"/>
                <w:sz w:val="18"/>
                <w:szCs w:val="18"/>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047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5ADA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选聘教师工资发放时间</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023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C45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03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=1次/月</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86A7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7DE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0786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B36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8E1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A9F8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96BAE">
            <w:pPr>
              <w:jc w:val="center"/>
              <w:rPr>
                <w:rFonts w:hint="eastAsia" w:ascii="宋体" w:hAnsi="宋体" w:eastAsia="宋体" w:cs="宋体"/>
                <w:i w:val="0"/>
                <w:iCs w:val="0"/>
                <w:color w:val="000000"/>
                <w:sz w:val="18"/>
                <w:szCs w:val="18"/>
                <w:u w:val="none"/>
              </w:rPr>
            </w:pPr>
          </w:p>
        </w:tc>
      </w:tr>
      <w:tr w14:paraId="6C5ABE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1F64D6">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AE54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810F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E42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人员经费标准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888F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8EB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E63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=5.62万元/人/学年</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D114B">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C0E8F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A00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950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5.48万元/人/学年</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F7D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0014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工作资料,原始凭证</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BA9E5">
            <w:pPr>
              <w:jc w:val="center"/>
              <w:rPr>
                <w:rFonts w:hint="eastAsia" w:ascii="宋体" w:hAnsi="宋体" w:eastAsia="宋体" w:cs="宋体"/>
                <w:i w:val="0"/>
                <w:iCs w:val="0"/>
                <w:color w:val="000000"/>
                <w:sz w:val="18"/>
                <w:szCs w:val="18"/>
                <w:u w:val="none"/>
              </w:rPr>
            </w:pPr>
          </w:p>
        </w:tc>
      </w:tr>
      <w:tr w14:paraId="068D9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B208CA">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CB44B">
            <w:pPr>
              <w:jc w:val="center"/>
              <w:rPr>
                <w:rFonts w:hint="eastAsia" w:ascii="宋体" w:hAnsi="宋体" w:eastAsia="宋体" w:cs="宋体"/>
                <w:i w:val="0"/>
                <w:iCs w:val="0"/>
                <w:color w:val="000000"/>
                <w:sz w:val="18"/>
                <w:szCs w:val="18"/>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F2D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FA697">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85392">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29C11">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AA088">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639B8">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4F060">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A2ED1">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F2952">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804D3">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E2FDC">
            <w:pPr>
              <w:jc w:val="center"/>
              <w:rPr>
                <w:rFonts w:hint="eastAsia" w:ascii="宋体" w:hAnsi="宋体" w:eastAsia="宋体" w:cs="宋体"/>
                <w:i w:val="0"/>
                <w:iCs w:val="0"/>
                <w:color w:val="000000"/>
                <w:sz w:val="18"/>
                <w:szCs w:val="18"/>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2E581">
            <w:pPr>
              <w:jc w:val="center"/>
              <w:rPr>
                <w:rFonts w:hint="eastAsia" w:ascii="宋体" w:hAnsi="宋体" w:eastAsia="宋体" w:cs="宋体"/>
                <w:i w:val="0"/>
                <w:iCs w:val="0"/>
                <w:color w:val="000000"/>
                <w:sz w:val="18"/>
                <w:szCs w:val="18"/>
                <w:u w:val="none"/>
              </w:rPr>
            </w:pPr>
          </w:p>
        </w:tc>
      </w:tr>
      <w:tr w14:paraId="7FA2C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DDB4C">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C20068">
            <w:pPr>
              <w:jc w:val="center"/>
              <w:rPr>
                <w:rFonts w:hint="eastAsia" w:ascii="宋体" w:hAnsi="宋体" w:eastAsia="宋体" w:cs="宋体"/>
                <w:i w:val="0"/>
                <w:iCs w:val="0"/>
                <w:color w:val="000000"/>
                <w:sz w:val="18"/>
                <w:szCs w:val="18"/>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BDFA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BEDA1">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35914">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CA9AD">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301C88">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2C65">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839FC">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A05EF7">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06524B">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BA03CD">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FC163">
            <w:pPr>
              <w:jc w:val="center"/>
              <w:rPr>
                <w:rFonts w:hint="eastAsia" w:ascii="宋体" w:hAnsi="宋体" w:eastAsia="宋体" w:cs="宋体"/>
                <w:i w:val="0"/>
                <w:iCs w:val="0"/>
                <w:color w:val="000000"/>
                <w:sz w:val="18"/>
                <w:szCs w:val="18"/>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B769C">
            <w:pPr>
              <w:jc w:val="center"/>
              <w:rPr>
                <w:rFonts w:hint="eastAsia" w:ascii="宋体" w:hAnsi="宋体" w:eastAsia="宋体" w:cs="宋体"/>
                <w:i w:val="0"/>
                <w:iCs w:val="0"/>
                <w:color w:val="000000"/>
                <w:sz w:val="18"/>
                <w:szCs w:val="18"/>
                <w:u w:val="none"/>
              </w:rPr>
            </w:pPr>
          </w:p>
        </w:tc>
      </w:tr>
      <w:tr w14:paraId="20B1A8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ACBC29">
            <w:pPr>
              <w:jc w:val="center"/>
              <w:rPr>
                <w:rFonts w:hint="eastAsia" w:ascii="宋体" w:hAnsi="宋体" w:eastAsia="宋体" w:cs="宋体"/>
                <w:b/>
                <w:bCs/>
                <w:i w:val="0"/>
                <w:iCs w:val="0"/>
                <w:color w:val="000000"/>
                <w:sz w:val="18"/>
                <w:szCs w:val="18"/>
                <w:u w:val="none"/>
              </w:rPr>
            </w:pPr>
          </w:p>
        </w:tc>
        <w:tc>
          <w:tcPr>
            <w:tcW w:w="20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4300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FF2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7EE6D">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5F6F9E">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7E697">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29AE79">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896B7">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395C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DC391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AFE445">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38043">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5A499">
            <w:pPr>
              <w:jc w:val="center"/>
              <w:rPr>
                <w:rFonts w:hint="eastAsia" w:ascii="宋体" w:hAnsi="宋体" w:eastAsia="宋体" w:cs="宋体"/>
                <w:i w:val="0"/>
                <w:iCs w:val="0"/>
                <w:color w:val="000000"/>
                <w:sz w:val="18"/>
                <w:szCs w:val="18"/>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B96D9">
            <w:pPr>
              <w:jc w:val="center"/>
              <w:rPr>
                <w:rFonts w:hint="eastAsia" w:ascii="宋体" w:hAnsi="宋体" w:eastAsia="宋体" w:cs="宋体"/>
                <w:i w:val="0"/>
                <w:iCs w:val="0"/>
                <w:color w:val="000000"/>
                <w:sz w:val="18"/>
                <w:szCs w:val="18"/>
                <w:u w:val="none"/>
              </w:rPr>
            </w:pPr>
          </w:p>
        </w:tc>
      </w:tr>
      <w:tr w14:paraId="5CDEA7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2F9277E">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73AEBF">
            <w:pPr>
              <w:jc w:val="center"/>
              <w:rPr>
                <w:rFonts w:hint="eastAsia" w:ascii="宋体" w:hAnsi="宋体" w:eastAsia="宋体" w:cs="宋体"/>
                <w:i w:val="0"/>
                <w:iCs w:val="0"/>
                <w:color w:val="000000"/>
                <w:sz w:val="18"/>
                <w:szCs w:val="18"/>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DF8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CC7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学校正常运转率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B0E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F94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1596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BA93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BFE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D47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1D42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92E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F57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说明材料,工作资料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336EB">
            <w:pPr>
              <w:jc w:val="center"/>
              <w:rPr>
                <w:rFonts w:hint="eastAsia" w:ascii="宋体" w:hAnsi="宋体" w:eastAsia="宋体" w:cs="宋体"/>
                <w:i w:val="0"/>
                <w:iCs w:val="0"/>
                <w:color w:val="000000"/>
                <w:sz w:val="18"/>
                <w:szCs w:val="18"/>
                <w:u w:val="none"/>
              </w:rPr>
            </w:pPr>
          </w:p>
        </w:tc>
      </w:tr>
      <w:tr w14:paraId="3C1A7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898FC1">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159D00">
            <w:pPr>
              <w:jc w:val="center"/>
              <w:rPr>
                <w:rFonts w:hint="eastAsia" w:ascii="宋体" w:hAnsi="宋体" w:eastAsia="宋体" w:cs="宋体"/>
                <w:i w:val="0"/>
                <w:iCs w:val="0"/>
                <w:color w:val="000000"/>
                <w:sz w:val="18"/>
                <w:szCs w:val="18"/>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68B8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430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改善教学环境，提供良好的学生成长条件</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DDF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B5C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A62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324B5">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DD1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0F65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F5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改善</w:t>
            </w: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FCE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95E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CC804">
            <w:pPr>
              <w:jc w:val="center"/>
              <w:rPr>
                <w:rFonts w:hint="eastAsia" w:ascii="宋体" w:hAnsi="宋体" w:eastAsia="宋体" w:cs="宋体"/>
                <w:i w:val="0"/>
                <w:iCs w:val="0"/>
                <w:color w:val="000000"/>
                <w:sz w:val="18"/>
                <w:szCs w:val="18"/>
                <w:u w:val="none"/>
              </w:rPr>
            </w:pPr>
          </w:p>
        </w:tc>
      </w:tr>
      <w:tr w14:paraId="515506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CA7FF6">
            <w:pPr>
              <w:jc w:val="center"/>
              <w:rPr>
                <w:rFonts w:hint="eastAsia" w:ascii="宋体" w:hAnsi="宋体" w:eastAsia="宋体" w:cs="宋体"/>
                <w:b/>
                <w:bCs/>
                <w:i w:val="0"/>
                <w:iCs w:val="0"/>
                <w:color w:val="000000"/>
                <w:sz w:val="18"/>
                <w:szCs w:val="18"/>
                <w:u w:val="none"/>
              </w:rPr>
            </w:pPr>
          </w:p>
        </w:tc>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ABBB33">
            <w:pPr>
              <w:jc w:val="center"/>
              <w:rPr>
                <w:rFonts w:hint="eastAsia" w:ascii="宋体" w:hAnsi="宋体" w:eastAsia="宋体" w:cs="宋体"/>
                <w:i w:val="0"/>
                <w:iCs w:val="0"/>
                <w:color w:val="000000"/>
                <w:sz w:val="18"/>
                <w:szCs w:val="18"/>
                <w:u w:val="none"/>
              </w:rPr>
            </w:pP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70C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99A65C">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ABE10">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A5FA8">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A3836">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D38D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BDB9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1F1E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D5ECB">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0436F">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741649">
            <w:pPr>
              <w:jc w:val="center"/>
              <w:rPr>
                <w:rFonts w:hint="eastAsia" w:ascii="宋体" w:hAnsi="宋体" w:eastAsia="宋体" w:cs="宋体"/>
                <w:i w:val="0"/>
                <w:iCs w:val="0"/>
                <w:color w:val="000000"/>
                <w:sz w:val="18"/>
                <w:szCs w:val="18"/>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14042">
            <w:pPr>
              <w:jc w:val="center"/>
              <w:rPr>
                <w:rFonts w:hint="eastAsia" w:ascii="宋体" w:hAnsi="宋体" w:eastAsia="宋体" w:cs="宋体"/>
                <w:i w:val="0"/>
                <w:iCs w:val="0"/>
                <w:color w:val="000000"/>
                <w:sz w:val="18"/>
                <w:szCs w:val="18"/>
                <w:u w:val="none"/>
              </w:rPr>
            </w:pPr>
          </w:p>
        </w:tc>
      </w:tr>
      <w:tr w14:paraId="29AFA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F09EA7">
            <w:pPr>
              <w:jc w:val="center"/>
              <w:rPr>
                <w:rFonts w:hint="eastAsia" w:ascii="宋体" w:hAnsi="宋体" w:eastAsia="宋体" w:cs="宋体"/>
                <w:b/>
                <w:bCs/>
                <w:i w:val="0"/>
                <w:iCs w:val="0"/>
                <w:color w:val="000000"/>
                <w:sz w:val="18"/>
                <w:szCs w:val="18"/>
                <w:u w:val="none"/>
              </w:rPr>
            </w:pPr>
          </w:p>
        </w:tc>
        <w:tc>
          <w:tcPr>
            <w:tcW w:w="20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EF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5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5D3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C1FD4">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AA44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4771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39210">
            <w:pPr>
              <w:jc w:val="center"/>
              <w:rPr>
                <w:rFonts w:hint="eastAsia" w:ascii="宋体" w:hAnsi="宋体" w:eastAsia="宋体" w:cs="宋体"/>
                <w:i w:val="0"/>
                <w:iCs w:val="0"/>
                <w:color w:val="000000"/>
                <w:sz w:val="18"/>
                <w:szCs w:val="18"/>
                <w:u w:val="none"/>
              </w:rPr>
            </w:pPr>
          </w:p>
        </w:tc>
        <w:tc>
          <w:tcPr>
            <w:tcW w:w="98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B56F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2E0D6">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029CB">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57687">
            <w:pPr>
              <w:jc w:val="cente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ABB9E">
            <w:pPr>
              <w:jc w:val="cente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156B7D">
            <w:pPr>
              <w:jc w:val="center"/>
              <w:rPr>
                <w:rFonts w:hint="eastAsia" w:ascii="宋体" w:hAnsi="宋体" w:eastAsia="宋体" w:cs="宋体"/>
                <w:i w:val="0"/>
                <w:iCs w:val="0"/>
                <w:color w:val="000000"/>
                <w:sz w:val="18"/>
                <w:szCs w:val="18"/>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B815F">
            <w:pPr>
              <w:jc w:val="center"/>
              <w:rPr>
                <w:rFonts w:hint="eastAsia" w:ascii="宋体" w:hAnsi="宋体" w:eastAsia="宋体" w:cs="宋体"/>
                <w:i w:val="0"/>
                <w:iCs w:val="0"/>
                <w:color w:val="000000"/>
                <w:sz w:val="18"/>
                <w:szCs w:val="18"/>
                <w:u w:val="none"/>
              </w:rPr>
            </w:pPr>
          </w:p>
        </w:tc>
      </w:tr>
      <w:bookmarkEnd w:id="190"/>
      <w:tr w14:paraId="62FCA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32" w:type="pct"/>
            <w:gridSpan w:val="4"/>
            <w:tcBorders>
              <w:top w:val="single" w:color="000000" w:sz="4" w:space="0"/>
              <w:left w:val="single" w:color="000000" w:sz="4" w:space="0"/>
              <w:bottom w:val="single" w:color="000000" w:sz="4" w:space="0"/>
              <w:right w:val="nil"/>
            </w:tcBorders>
            <w:shd w:val="clear" w:color="auto" w:fill="auto"/>
            <w:vAlign w:val="center"/>
          </w:tcPr>
          <w:p w14:paraId="010F426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ADC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nil"/>
              <w:bottom w:val="single" w:color="000000" w:sz="4" w:space="0"/>
              <w:right w:val="single" w:color="000000" w:sz="4" w:space="0"/>
            </w:tcBorders>
            <w:shd w:val="clear" w:color="auto" w:fill="auto"/>
            <w:vAlign w:val="center"/>
          </w:tcPr>
          <w:p w14:paraId="79274664">
            <w:pPr>
              <w:rPr>
                <w:rFonts w:hint="eastAsia" w:ascii="宋体" w:hAnsi="宋体" w:eastAsia="宋体" w:cs="宋体"/>
                <w:b/>
                <w:bCs/>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DF40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336E06">
            <w:pPr>
              <w:jc w:val="cente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59B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100.00分</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63B537">
            <w:pPr>
              <w:rPr>
                <w:rFonts w:hint="eastAsia" w:ascii="宋体" w:hAnsi="宋体" w:eastAsia="宋体" w:cs="宋体"/>
                <w:i w:val="0"/>
                <w:iCs w:val="0"/>
                <w:color w:val="000000"/>
                <w:sz w:val="18"/>
                <w:szCs w:val="18"/>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7B990B">
            <w:pPr>
              <w:rPr>
                <w:rFonts w:hint="eastAsia" w:ascii="宋体" w:hAnsi="宋体" w:eastAsia="宋体" w:cs="宋体"/>
                <w:i w:val="0"/>
                <w:iCs w:val="0"/>
                <w:color w:val="000000"/>
                <w:sz w:val="18"/>
                <w:szCs w:val="18"/>
                <w:u w:val="none"/>
              </w:rPr>
            </w:pPr>
          </w:p>
        </w:tc>
        <w:tc>
          <w:tcPr>
            <w:tcW w:w="39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98CB7">
            <w:pPr>
              <w:rPr>
                <w:rFonts w:hint="eastAsia" w:ascii="宋体" w:hAnsi="宋体" w:eastAsia="宋体" w:cs="宋体"/>
                <w:i w:val="0"/>
                <w:iCs w:val="0"/>
                <w:color w:val="000000"/>
                <w:sz w:val="18"/>
                <w:szCs w:val="18"/>
                <w:u w:val="none"/>
              </w:rPr>
            </w:pPr>
          </w:p>
        </w:tc>
        <w:tc>
          <w:tcPr>
            <w:tcW w:w="3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A165E">
            <w:pPr>
              <w:rPr>
                <w:rFonts w:hint="eastAsia" w:ascii="宋体" w:hAnsi="宋体" w:eastAsia="宋体" w:cs="宋体"/>
                <w:i w:val="0"/>
                <w:iCs w:val="0"/>
                <w:color w:val="000000"/>
                <w:sz w:val="18"/>
                <w:szCs w:val="18"/>
                <w:u w:val="none"/>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E1AB5">
            <w:pPr>
              <w:rPr>
                <w:rFonts w:hint="eastAsia" w:ascii="宋体" w:hAnsi="宋体" w:eastAsia="宋体" w:cs="宋体"/>
                <w:i w:val="0"/>
                <w:iCs w:val="0"/>
                <w:color w:val="000000"/>
                <w:sz w:val="18"/>
                <w:szCs w:val="18"/>
                <w:u w:val="none"/>
              </w:rPr>
            </w:pPr>
          </w:p>
        </w:tc>
      </w:tr>
    </w:tbl>
    <w:p w14:paraId="1EB36854">
      <w:pPr>
        <w:ind w:left="0" w:leftChars="0" w:firstLine="0" w:firstLineChars="0"/>
        <w:rPr>
          <w:color w:val="auto"/>
          <w:highlight w:val="none"/>
        </w:rPr>
      </w:pPr>
      <w:r>
        <w:rPr>
          <w:color w:val="auto"/>
          <w:highlight w:val="none"/>
        </w:rPr>
        <w:br w:type="page"/>
      </w:r>
    </w:p>
    <w:p w14:paraId="2BD8AB1A">
      <w:pPr>
        <w:pStyle w:val="3"/>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auto"/>
          <w:highlight w:val="none"/>
          <w:shd w:val="clear" w:color="auto" w:fill="auto"/>
          <w:lang w:val="en-US" w:eastAsia="zh-CN"/>
        </w:rPr>
      </w:pPr>
      <w:bookmarkStart w:id="188" w:name="_Toc11223"/>
      <w:bookmarkStart w:id="189" w:name="_Toc15067"/>
      <w:r>
        <w:rPr>
          <w:rFonts w:hint="eastAsia" w:ascii="宋体" w:hAnsi="宋体" w:eastAsia="宋体" w:cs="宋体"/>
          <w:b/>
          <w:bCs/>
          <w:color w:val="auto"/>
          <w:highlight w:val="none"/>
          <w:shd w:val="clear" w:color="auto" w:fill="auto"/>
          <w:lang w:val="en-US" w:eastAsia="zh-CN"/>
        </w:rPr>
        <w:t>附件二、项目支出绩效评价指标体系打分表</w:t>
      </w:r>
      <w:bookmarkEnd w:id="188"/>
      <w:bookmarkEnd w:id="189"/>
    </w:p>
    <w:tbl>
      <w:tblPr>
        <w:tblStyle w:val="16"/>
        <w:tblW w:w="1392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820"/>
        <w:gridCol w:w="2141"/>
        <w:gridCol w:w="7821"/>
        <w:gridCol w:w="785"/>
        <w:gridCol w:w="769"/>
      </w:tblGrid>
      <w:tr w14:paraId="76C4CF9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197CEDA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一级指标</w:t>
            </w:r>
          </w:p>
        </w:tc>
        <w:tc>
          <w:tcPr>
            <w:tcW w:w="727" w:type="dxa"/>
            <w:shd w:val="clear" w:color="auto" w:fill="auto"/>
            <w:noWrap w:val="0"/>
            <w:vAlign w:val="center"/>
          </w:tcPr>
          <w:p w14:paraId="676F1C6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二级指标</w:t>
            </w:r>
          </w:p>
        </w:tc>
        <w:tc>
          <w:tcPr>
            <w:tcW w:w="820" w:type="dxa"/>
            <w:shd w:val="clear" w:color="auto" w:fill="auto"/>
            <w:noWrap w:val="0"/>
            <w:vAlign w:val="center"/>
          </w:tcPr>
          <w:p w14:paraId="3425405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三级指标</w:t>
            </w:r>
          </w:p>
        </w:tc>
        <w:tc>
          <w:tcPr>
            <w:tcW w:w="2141" w:type="dxa"/>
            <w:shd w:val="clear" w:color="auto" w:fill="auto"/>
            <w:noWrap w:val="0"/>
            <w:vAlign w:val="center"/>
          </w:tcPr>
          <w:p w14:paraId="05E7DA8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指标解释</w:t>
            </w:r>
          </w:p>
        </w:tc>
        <w:tc>
          <w:tcPr>
            <w:tcW w:w="7821" w:type="dxa"/>
            <w:shd w:val="clear" w:color="auto" w:fill="auto"/>
            <w:noWrap w:val="0"/>
            <w:vAlign w:val="center"/>
          </w:tcPr>
          <w:p w14:paraId="210E13B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auto"/>
                <w:kern w:val="0"/>
                <w:sz w:val="22"/>
                <w:szCs w:val="22"/>
                <w:highlight w:val="none"/>
              </w:rPr>
            </w:pPr>
            <w:r>
              <w:rPr>
                <w:rFonts w:hint="eastAsia" w:ascii="宋体" w:hAnsi="宋体" w:eastAsia="宋体" w:cs="宋体"/>
                <w:b/>
                <w:bCs/>
                <w:color w:val="auto"/>
                <w:kern w:val="0"/>
                <w:sz w:val="22"/>
                <w:szCs w:val="22"/>
                <w:highlight w:val="none"/>
              </w:rPr>
              <w:t>指标说明</w:t>
            </w:r>
          </w:p>
        </w:tc>
        <w:tc>
          <w:tcPr>
            <w:tcW w:w="785" w:type="dxa"/>
            <w:shd w:val="clear" w:color="auto" w:fill="auto"/>
            <w:noWrap w:val="0"/>
            <w:vAlign w:val="center"/>
          </w:tcPr>
          <w:p w14:paraId="2F9D222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分值</w:t>
            </w:r>
          </w:p>
        </w:tc>
        <w:tc>
          <w:tcPr>
            <w:tcW w:w="769" w:type="dxa"/>
            <w:shd w:val="clear" w:color="auto" w:fill="auto"/>
            <w:noWrap w:val="0"/>
            <w:vAlign w:val="center"/>
          </w:tcPr>
          <w:p w14:paraId="354FD02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auto"/>
                <w:kern w:val="0"/>
                <w:sz w:val="22"/>
                <w:szCs w:val="22"/>
                <w:highlight w:val="none"/>
                <w:lang w:val="en-US" w:eastAsia="zh-CN"/>
              </w:rPr>
            </w:pPr>
            <w:r>
              <w:rPr>
                <w:rFonts w:hint="eastAsia" w:ascii="宋体" w:hAnsi="宋体" w:eastAsia="宋体" w:cs="宋体"/>
                <w:b/>
                <w:bCs/>
                <w:color w:val="auto"/>
                <w:kern w:val="0"/>
                <w:sz w:val="22"/>
                <w:szCs w:val="22"/>
                <w:highlight w:val="none"/>
                <w:lang w:val="en-US" w:eastAsia="zh-CN"/>
              </w:rPr>
              <w:t>得分</w:t>
            </w:r>
          </w:p>
        </w:tc>
      </w:tr>
      <w:tr w14:paraId="431124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18" w:hRule="atLeast"/>
          <w:jc w:val="center"/>
        </w:trPr>
        <w:tc>
          <w:tcPr>
            <w:tcW w:w="861" w:type="dxa"/>
            <w:vMerge w:val="restart"/>
            <w:shd w:val="clear" w:color="auto" w:fill="auto"/>
            <w:noWrap w:val="0"/>
            <w:vAlign w:val="center"/>
          </w:tcPr>
          <w:p w14:paraId="18D8922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p w14:paraId="371909C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357D10B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727" w:type="dxa"/>
            <w:vMerge w:val="restart"/>
            <w:shd w:val="clear" w:color="auto" w:fill="auto"/>
            <w:noWrap w:val="0"/>
            <w:vAlign w:val="center"/>
          </w:tcPr>
          <w:p w14:paraId="188FF73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　</w:t>
            </w:r>
          </w:p>
        </w:tc>
        <w:tc>
          <w:tcPr>
            <w:tcW w:w="820" w:type="dxa"/>
            <w:shd w:val="clear" w:color="auto" w:fill="auto"/>
            <w:noWrap w:val="0"/>
            <w:vAlign w:val="center"/>
          </w:tcPr>
          <w:p w14:paraId="6580D3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立项依据</w:t>
            </w:r>
          </w:p>
          <w:p w14:paraId="4040422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充分性</w:t>
            </w:r>
          </w:p>
        </w:tc>
        <w:tc>
          <w:tcPr>
            <w:tcW w:w="2141" w:type="dxa"/>
            <w:shd w:val="clear" w:color="auto" w:fill="auto"/>
            <w:noWrap w:val="0"/>
            <w:vAlign w:val="center"/>
          </w:tcPr>
          <w:p w14:paraId="5EBD7C1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项目立项是否符合法律法规、相关政策、发展规划以及部门职责，用以反映和考核项目立项依据情况。</w:t>
            </w:r>
          </w:p>
        </w:tc>
        <w:tc>
          <w:tcPr>
            <w:tcW w:w="7821" w:type="dxa"/>
            <w:shd w:val="clear" w:color="auto" w:fill="auto"/>
            <w:noWrap w:val="0"/>
            <w:vAlign w:val="center"/>
          </w:tcPr>
          <w:p w14:paraId="46F87B6E">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6A3F2C7">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①项目立项是否符合国家法律法规、国民经济发展规划和相关政策；</w:t>
            </w:r>
          </w:p>
          <w:p w14:paraId="068F950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②项目立项是否符合行业发展规划和政策要求；</w:t>
            </w:r>
          </w:p>
          <w:p w14:paraId="2B317C5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③项目立项是否与部门职责范围相符，属于部门履职所需；</w:t>
            </w:r>
          </w:p>
          <w:p w14:paraId="48FB8BC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④项目是否属于公共财政支持范围，是否符合中央、地方事权支出责任划分原则；</w:t>
            </w:r>
          </w:p>
          <w:p w14:paraId="1AAE612E">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⑤项目是否与相关部门同类项目或部门内部相关项目重复。</w:t>
            </w:r>
          </w:p>
        </w:tc>
        <w:tc>
          <w:tcPr>
            <w:tcW w:w="785" w:type="dxa"/>
            <w:shd w:val="clear" w:color="auto" w:fill="auto"/>
            <w:noWrap w:val="0"/>
            <w:vAlign w:val="center"/>
          </w:tcPr>
          <w:p w14:paraId="0A24503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76A23D56">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2</w:t>
            </w:r>
          </w:p>
        </w:tc>
      </w:tr>
      <w:tr w14:paraId="53ACC17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640" w:hRule="atLeast"/>
          <w:jc w:val="center"/>
        </w:trPr>
        <w:tc>
          <w:tcPr>
            <w:tcW w:w="861" w:type="dxa"/>
            <w:vMerge w:val="continue"/>
            <w:shd w:val="clear" w:color="auto" w:fill="auto"/>
            <w:noWrap w:val="0"/>
            <w:vAlign w:val="center"/>
          </w:tcPr>
          <w:p w14:paraId="4AE6633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5DE52C2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570D997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立项程序</w:t>
            </w:r>
          </w:p>
          <w:p w14:paraId="333FE72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规范性</w:t>
            </w:r>
          </w:p>
        </w:tc>
        <w:tc>
          <w:tcPr>
            <w:tcW w:w="2141" w:type="dxa"/>
            <w:shd w:val="clear" w:color="auto" w:fill="auto"/>
            <w:noWrap w:val="0"/>
            <w:vAlign w:val="center"/>
          </w:tcPr>
          <w:p w14:paraId="3AC4A76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项目申请、设立过程是否符合相关要求，用以反映和考核项目立项的规范情况。</w:t>
            </w:r>
          </w:p>
        </w:tc>
        <w:tc>
          <w:tcPr>
            <w:tcW w:w="7821" w:type="dxa"/>
            <w:shd w:val="clear" w:color="auto" w:fill="auto"/>
            <w:noWrap w:val="0"/>
            <w:vAlign w:val="center"/>
          </w:tcPr>
          <w:p w14:paraId="3D1747C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9F839C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①项目是否按照规定的程序申请设立；</w:t>
            </w:r>
          </w:p>
          <w:p w14:paraId="15374B3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②审批文件、材料是否符合相关要求；</w:t>
            </w:r>
          </w:p>
          <w:p w14:paraId="2D33513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③事前是否已经过必要的可行性研究、专家论证、风险评估、绩效评估、集体决策。</w:t>
            </w:r>
          </w:p>
        </w:tc>
        <w:tc>
          <w:tcPr>
            <w:tcW w:w="785" w:type="dxa"/>
            <w:shd w:val="clear" w:color="auto" w:fill="auto"/>
            <w:noWrap w:val="0"/>
            <w:vAlign w:val="center"/>
          </w:tcPr>
          <w:p w14:paraId="402FC4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8C9E47E">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2.2</w:t>
            </w:r>
          </w:p>
        </w:tc>
      </w:tr>
      <w:tr w14:paraId="5BD369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11A613C8">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13C225E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　</w:t>
            </w:r>
          </w:p>
        </w:tc>
        <w:tc>
          <w:tcPr>
            <w:tcW w:w="820" w:type="dxa"/>
            <w:shd w:val="clear" w:color="auto" w:fill="auto"/>
            <w:noWrap w:val="0"/>
            <w:vAlign w:val="center"/>
          </w:tcPr>
          <w:p w14:paraId="08C9C5A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p w14:paraId="4223AE2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4D81E5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项目所设定的绩效目标是否依据充分，是否符合客观实际，用以反映和考核项目绩效目标与项目实施的相符情况。</w:t>
            </w:r>
          </w:p>
        </w:tc>
        <w:tc>
          <w:tcPr>
            <w:tcW w:w="7821" w:type="dxa"/>
            <w:shd w:val="clear" w:color="auto" w:fill="auto"/>
            <w:noWrap w:val="0"/>
            <w:vAlign w:val="center"/>
          </w:tcPr>
          <w:p w14:paraId="44232BB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0D35F7BD">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（如未设定预算绩效目标，也可考核其他工作任务目标）</w:t>
            </w:r>
          </w:p>
          <w:p w14:paraId="6FA7E93C">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①项目是否有绩效目标；</w:t>
            </w:r>
          </w:p>
          <w:p w14:paraId="3AE64EA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②项目绩效目标与实际工作内容是否具有相关性；</w:t>
            </w:r>
          </w:p>
          <w:p w14:paraId="247A98A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③项目预期产出效益和效果是否符合正常的业绩水平；</w:t>
            </w:r>
          </w:p>
          <w:p w14:paraId="2F789C20">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④是否与预算确定的项目投资额或资金量相匹配。</w:t>
            </w:r>
          </w:p>
        </w:tc>
        <w:tc>
          <w:tcPr>
            <w:tcW w:w="785" w:type="dxa"/>
            <w:shd w:val="clear" w:color="auto" w:fill="auto"/>
            <w:noWrap w:val="0"/>
            <w:vAlign w:val="center"/>
          </w:tcPr>
          <w:p w14:paraId="144AF2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803E59E">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5</w:t>
            </w:r>
          </w:p>
        </w:tc>
      </w:tr>
      <w:tr w14:paraId="172163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54EA8E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决策　</w:t>
            </w:r>
          </w:p>
        </w:tc>
        <w:tc>
          <w:tcPr>
            <w:tcW w:w="727" w:type="dxa"/>
            <w:shd w:val="clear" w:color="auto" w:fill="auto"/>
            <w:noWrap w:val="0"/>
            <w:vAlign w:val="center"/>
          </w:tcPr>
          <w:p w14:paraId="6EBD10F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绩效目标</w:t>
            </w:r>
          </w:p>
        </w:tc>
        <w:tc>
          <w:tcPr>
            <w:tcW w:w="820" w:type="dxa"/>
            <w:shd w:val="clear" w:color="auto" w:fill="auto"/>
            <w:noWrap w:val="0"/>
            <w:vAlign w:val="center"/>
          </w:tcPr>
          <w:p w14:paraId="6C94E8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绩效指标</w:t>
            </w:r>
          </w:p>
          <w:p w14:paraId="61BF951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明确性</w:t>
            </w:r>
          </w:p>
        </w:tc>
        <w:tc>
          <w:tcPr>
            <w:tcW w:w="2141" w:type="dxa"/>
            <w:shd w:val="clear" w:color="auto" w:fill="auto"/>
            <w:noWrap w:val="0"/>
            <w:vAlign w:val="center"/>
          </w:tcPr>
          <w:p w14:paraId="07AD261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依据绩效目标设定的绩效指标是否清晰、细化、可衡量等，用以反映和考核项目绩效目标的明细化情况。</w:t>
            </w:r>
          </w:p>
        </w:tc>
        <w:tc>
          <w:tcPr>
            <w:tcW w:w="7821" w:type="dxa"/>
            <w:shd w:val="clear" w:color="auto" w:fill="auto"/>
            <w:noWrap w:val="0"/>
            <w:vAlign w:val="center"/>
          </w:tcPr>
          <w:p w14:paraId="2D96F4D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017138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①是否将项目绩效目标细化分解为具体的绩效指标；</w:t>
            </w:r>
          </w:p>
          <w:p w14:paraId="00D2C73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②是否通过清晰、可衡量的指标值予以体现；</w:t>
            </w:r>
          </w:p>
          <w:p w14:paraId="6D46D2A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③是否与项目目标任务数或计划数相对应。</w:t>
            </w:r>
          </w:p>
          <w:p w14:paraId="20B7D61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tc>
        <w:tc>
          <w:tcPr>
            <w:tcW w:w="785" w:type="dxa"/>
            <w:shd w:val="clear" w:color="auto" w:fill="auto"/>
            <w:noWrap w:val="0"/>
            <w:vAlign w:val="center"/>
          </w:tcPr>
          <w:p w14:paraId="413E702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52D2AAB3">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5</w:t>
            </w:r>
          </w:p>
        </w:tc>
      </w:tr>
      <w:tr w14:paraId="3315B5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42" w:hRule="atLeast"/>
          <w:jc w:val="center"/>
        </w:trPr>
        <w:tc>
          <w:tcPr>
            <w:tcW w:w="861" w:type="dxa"/>
            <w:vMerge w:val="continue"/>
            <w:shd w:val="clear" w:color="auto" w:fill="auto"/>
            <w:noWrap w:val="0"/>
            <w:vAlign w:val="center"/>
          </w:tcPr>
          <w:p w14:paraId="026D9DC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C6DC6A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资金投入</w:t>
            </w:r>
          </w:p>
          <w:p w14:paraId="76C5FEB1">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6095AA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预算编制</w:t>
            </w:r>
          </w:p>
          <w:p w14:paraId="11ADE98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科学性</w:t>
            </w:r>
          </w:p>
        </w:tc>
        <w:tc>
          <w:tcPr>
            <w:tcW w:w="2141" w:type="dxa"/>
            <w:shd w:val="clear" w:color="auto" w:fill="auto"/>
            <w:noWrap w:val="0"/>
            <w:vAlign w:val="center"/>
          </w:tcPr>
          <w:p w14:paraId="771872D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项目预算编制是否经过科学论证、有明确标准，资金额度与年度目标是否相适应，用以反映和考核项目预算编制的科学性、合理性情况。</w:t>
            </w:r>
          </w:p>
        </w:tc>
        <w:tc>
          <w:tcPr>
            <w:tcW w:w="7821" w:type="dxa"/>
            <w:shd w:val="clear" w:color="auto" w:fill="auto"/>
            <w:noWrap w:val="0"/>
            <w:vAlign w:val="center"/>
          </w:tcPr>
          <w:p w14:paraId="108C3CB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1ED7BC5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①预算编制是否经过科学论证；</w:t>
            </w:r>
          </w:p>
          <w:p w14:paraId="08F0803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②预算内容与项目内容是否匹配；</w:t>
            </w:r>
          </w:p>
          <w:p w14:paraId="410BC78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③预算额度测算依据是否充分，是否按照标准编制；</w:t>
            </w:r>
          </w:p>
          <w:p w14:paraId="4B46144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④预算确定的项目投资额或资金量是否与工作任务相匹配。</w:t>
            </w:r>
          </w:p>
        </w:tc>
        <w:tc>
          <w:tcPr>
            <w:tcW w:w="785" w:type="dxa"/>
            <w:shd w:val="clear" w:color="auto" w:fill="auto"/>
            <w:noWrap w:val="0"/>
            <w:vAlign w:val="center"/>
          </w:tcPr>
          <w:p w14:paraId="7BA25B6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1BF7D8AF">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2</w:t>
            </w:r>
          </w:p>
        </w:tc>
      </w:tr>
      <w:tr w14:paraId="05202A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569" w:hRule="atLeast"/>
          <w:jc w:val="center"/>
        </w:trPr>
        <w:tc>
          <w:tcPr>
            <w:tcW w:w="861" w:type="dxa"/>
            <w:vMerge w:val="continue"/>
            <w:shd w:val="clear" w:color="auto" w:fill="auto"/>
            <w:noWrap w:val="0"/>
            <w:vAlign w:val="center"/>
          </w:tcPr>
          <w:p w14:paraId="5A3F9A7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EC8264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5B9C831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资金分配</w:t>
            </w:r>
          </w:p>
          <w:p w14:paraId="3C298F6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合理性</w:t>
            </w:r>
          </w:p>
        </w:tc>
        <w:tc>
          <w:tcPr>
            <w:tcW w:w="2141" w:type="dxa"/>
            <w:shd w:val="clear" w:color="auto" w:fill="auto"/>
            <w:noWrap w:val="0"/>
            <w:vAlign w:val="center"/>
          </w:tcPr>
          <w:p w14:paraId="0121008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项目预算资金分配是否有测算依据，与补助单位或地方实际是否相适应，用以反映和考核项目预算资金分配的科学性、合理性情况。</w:t>
            </w:r>
          </w:p>
        </w:tc>
        <w:tc>
          <w:tcPr>
            <w:tcW w:w="7821" w:type="dxa"/>
            <w:shd w:val="clear" w:color="auto" w:fill="auto"/>
            <w:noWrap w:val="0"/>
            <w:vAlign w:val="center"/>
          </w:tcPr>
          <w:p w14:paraId="45EA053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2587FA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①预算资金分配依据是否充分；</w:t>
            </w:r>
          </w:p>
          <w:p w14:paraId="4CDCB62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②资金分配额度是否合理，与项目单位或地方实际是否相适应。</w:t>
            </w:r>
          </w:p>
        </w:tc>
        <w:tc>
          <w:tcPr>
            <w:tcW w:w="785" w:type="dxa"/>
            <w:shd w:val="clear" w:color="auto" w:fill="auto"/>
            <w:noWrap w:val="0"/>
            <w:vAlign w:val="center"/>
          </w:tcPr>
          <w:p w14:paraId="68DEBB4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0D7CE53D">
            <w:pPr>
              <w:keepNext w:val="0"/>
              <w:keepLines w:val="0"/>
              <w:widowControl/>
              <w:suppressLineNumbers w:val="0"/>
              <w:ind w:left="0" w:leftChars="0" w:firstLine="0" w:firstLineChars="0"/>
              <w:jc w:val="both"/>
              <w:textAlignment w:val="center"/>
              <w:rPr>
                <w:rFonts w:hint="eastAsia"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3</w:t>
            </w:r>
          </w:p>
        </w:tc>
      </w:tr>
      <w:tr w14:paraId="4B91F6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CD4009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w:t>
            </w:r>
          </w:p>
        </w:tc>
        <w:tc>
          <w:tcPr>
            <w:tcW w:w="727" w:type="dxa"/>
            <w:vMerge w:val="restart"/>
            <w:shd w:val="clear" w:color="auto" w:fill="auto"/>
            <w:noWrap w:val="0"/>
            <w:vAlign w:val="center"/>
          </w:tcPr>
          <w:p w14:paraId="7335B90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4A1795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tc>
        <w:tc>
          <w:tcPr>
            <w:tcW w:w="2141" w:type="dxa"/>
            <w:shd w:val="clear" w:color="auto" w:fill="auto"/>
            <w:noWrap w:val="0"/>
            <w:vAlign w:val="center"/>
          </w:tcPr>
          <w:p w14:paraId="5A40730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实际到位资金与预算资金的比率，用以反映和考核资金落实情况对项目实施的总体保障程度。</w:t>
            </w:r>
          </w:p>
        </w:tc>
        <w:tc>
          <w:tcPr>
            <w:tcW w:w="7821" w:type="dxa"/>
            <w:shd w:val="clear" w:color="auto" w:fill="auto"/>
            <w:noWrap w:val="0"/>
            <w:vAlign w:val="center"/>
          </w:tcPr>
          <w:p w14:paraId="5337706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资金到位率=（</w:t>
            </w:r>
          </w:p>
          <w:p w14:paraId="68F4692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实际到位资金/预算资金）×100%。</w:t>
            </w:r>
          </w:p>
          <w:p w14:paraId="7FC93F5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实际到位资金：一定时期（本年度或项目期）内落实到具体项目的资金。</w:t>
            </w:r>
          </w:p>
          <w:p w14:paraId="47F7B20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预算资金：一定时期（本年度或项目期）内预算安排到具体项目的资金。</w:t>
            </w:r>
          </w:p>
        </w:tc>
        <w:tc>
          <w:tcPr>
            <w:tcW w:w="785" w:type="dxa"/>
            <w:shd w:val="clear" w:color="auto" w:fill="auto"/>
            <w:noWrap w:val="0"/>
            <w:vAlign w:val="center"/>
          </w:tcPr>
          <w:p w14:paraId="6DD8ACF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38884BB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71D3A9E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8" w:hRule="atLeast"/>
          <w:jc w:val="center"/>
        </w:trPr>
        <w:tc>
          <w:tcPr>
            <w:tcW w:w="861" w:type="dxa"/>
            <w:vMerge w:val="continue"/>
            <w:shd w:val="clear" w:color="auto" w:fill="auto"/>
            <w:noWrap w:val="0"/>
            <w:vAlign w:val="center"/>
          </w:tcPr>
          <w:p w14:paraId="7B21DCEE">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262260D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560CEC1E">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预算执行率</w:t>
            </w:r>
          </w:p>
        </w:tc>
        <w:tc>
          <w:tcPr>
            <w:tcW w:w="2141" w:type="dxa"/>
            <w:shd w:val="clear" w:color="auto" w:fill="auto"/>
            <w:noWrap w:val="0"/>
            <w:vAlign w:val="center"/>
          </w:tcPr>
          <w:p w14:paraId="259CA0D0">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项目预算资金是否按照计划执行，用以反映或考核项目预算执行情况。</w:t>
            </w:r>
          </w:p>
        </w:tc>
        <w:tc>
          <w:tcPr>
            <w:tcW w:w="7821" w:type="dxa"/>
            <w:shd w:val="clear" w:color="auto" w:fill="auto"/>
            <w:noWrap w:val="0"/>
            <w:vAlign w:val="center"/>
          </w:tcPr>
          <w:p w14:paraId="12B4F9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预算执行率=（实际支出资金/实际到位资金）×100%。</w:t>
            </w:r>
          </w:p>
          <w:p w14:paraId="1117106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实际支出资金：一定时期（本年度或项目期）内项目实际拨付的资金。</w:t>
            </w:r>
          </w:p>
        </w:tc>
        <w:tc>
          <w:tcPr>
            <w:tcW w:w="785" w:type="dxa"/>
            <w:shd w:val="clear" w:color="auto" w:fill="auto"/>
            <w:noWrap w:val="0"/>
            <w:vAlign w:val="center"/>
          </w:tcPr>
          <w:p w14:paraId="5DEA42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0A289E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0BCCDE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4FB915F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p w14:paraId="701BB32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过程　</w:t>
            </w:r>
          </w:p>
        </w:tc>
        <w:tc>
          <w:tcPr>
            <w:tcW w:w="727" w:type="dxa"/>
            <w:shd w:val="clear" w:color="auto" w:fill="auto"/>
            <w:noWrap w:val="0"/>
            <w:vAlign w:val="center"/>
          </w:tcPr>
          <w:p w14:paraId="7C1E3B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资金管理</w:t>
            </w:r>
          </w:p>
        </w:tc>
        <w:tc>
          <w:tcPr>
            <w:tcW w:w="820" w:type="dxa"/>
            <w:shd w:val="clear" w:color="auto" w:fill="auto"/>
            <w:noWrap w:val="0"/>
            <w:vAlign w:val="center"/>
          </w:tcPr>
          <w:p w14:paraId="5CE5AF3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资金使用</w:t>
            </w:r>
          </w:p>
          <w:p w14:paraId="753AA25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合规性</w:t>
            </w:r>
          </w:p>
        </w:tc>
        <w:tc>
          <w:tcPr>
            <w:tcW w:w="2141" w:type="dxa"/>
            <w:shd w:val="clear" w:color="auto" w:fill="auto"/>
            <w:noWrap w:val="0"/>
            <w:vAlign w:val="center"/>
          </w:tcPr>
          <w:p w14:paraId="4E73F66C">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项目资金使用是否符合相关的财务管理制度规定，用以反映和考核项目资金的规范运行情况。</w:t>
            </w:r>
          </w:p>
        </w:tc>
        <w:tc>
          <w:tcPr>
            <w:tcW w:w="7821" w:type="dxa"/>
            <w:shd w:val="clear" w:color="auto" w:fill="auto"/>
            <w:noWrap w:val="0"/>
            <w:vAlign w:val="center"/>
          </w:tcPr>
          <w:p w14:paraId="71D469B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6E1AEA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①是否符合国家财经法规和财务管理制度以及有关专项资金管理办法的规定；</w:t>
            </w:r>
          </w:p>
          <w:p w14:paraId="663B61C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②资金的拨付是否有完整的审批程序和手续；</w:t>
            </w:r>
          </w:p>
          <w:p w14:paraId="22FA420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③是否符合项目预算批复或合同规定的用途；</w:t>
            </w:r>
          </w:p>
          <w:p w14:paraId="5C66A8C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④是否存在截留、挤占、挪用、虚列支出等情况。</w:t>
            </w:r>
          </w:p>
        </w:tc>
        <w:tc>
          <w:tcPr>
            <w:tcW w:w="785" w:type="dxa"/>
            <w:shd w:val="clear" w:color="auto" w:fill="auto"/>
            <w:noWrap w:val="0"/>
            <w:vAlign w:val="center"/>
          </w:tcPr>
          <w:p w14:paraId="3C34089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E90B58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59EF0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5E45E8BB">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restart"/>
            <w:shd w:val="clear" w:color="auto" w:fill="auto"/>
            <w:noWrap w:val="0"/>
            <w:vAlign w:val="center"/>
          </w:tcPr>
          <w:p w14:paraId="2ACB9FA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组织实施</w:t>
            </w:r>
          </w:p>
          <w:p w14:paraId="71B25F0C">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　</w:t>
            </w:r>
          </w:p>
        </w:tc>
        <w:tc>
          <w:tcPr>
            <w:tcW w:w="820" w:type="dxa"/>
            <w:shd w:val="clear" w:color="auto" w:fill="auto"/>
            <w:noWrap w:val="0"/>
            <w:vAlign w:val="center"/>
          </w:tcPr>
          <w:p w14:paraId="12CF5CC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管理制度</w:t>
            </w:r>
          </w:p>
          <w:p w14:paraId="0536DF9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健全性</w:t>
            </w:r>
          </w:p>
        </w:tc>
        <w:tc>
          <w:tcPr>
            <w:tcW w:w="2141" w:type="dxa"/>
            <w:shd w:val="clear" w:color="auto" w:fill="auto"/>
            <w:noWrap w:val="0"/>
            <w:vAlign w:val="center"/>
          </w:tcPr>
          <w:p w14:paraId="10307566">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项目实施单位的财务和业务管理制度是否健全，用以反映和考核财务和业务管理制度对项目顺利实施的保障情况。</w:t>
            </w:r>
          </w:p>
        </w:tc>
        <w:tc>
          <w:tcPr>
            <w:tcW w:w="7821" w:type="dxa"/>
            <w:shd w:val="clear" w:color="auto" w:fill="auto"/>
            <w:noWrap w:val="0"/>
            <w:vAlign w:val="center"/>
          </w:tcPr>
          <w:p w14:paraId="395BF15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7801DBF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①是否已制定或具有相应的财务和业务管理制度；</w:t>
            </w:r>
          </w:p>
          <w:p w14:paraId="3C9DCE3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②财务和业务管理制度是否合法、合规、完整。</w:t>
            </w:r>
          </w:p>
        </w:tc>
        <w:tc>
          <w:tcPr>
            <w:tcW w:w="785" w:type="dxa"/>
            <w:shd w:val="clear" w:color="auto" w:fill="auto"/>
            <w:noWrap w:val="0"/>
            <w:vAlign w:val="center"/>
          </w:tcPr>
          <w:p w14:paraId="2EFADA8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1DC0301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701FCA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87" w:hRule="atLeast"/>
          <w:jc w:val="center"/>
        </w:trPr>
        <w:tc>
          <w:tcPr>
            <w:tcW w:w="861" w:type="dxa"/>
            <w:vMerge w:val="continue"/>
            <w:shd w:val="clear" w:color="auto" w:fill="auto"/>
            <w:noWrap w:val="0"/>
            <w:vAlign w:val="center"/>
          </w:tcPr>
          <w:p w14:paraId="27851B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7EC5AFE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0ED3FE3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制度执行</w:t>
            </w:r>
          </w:p>
          <w:p w14:paraId="51EE6D2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有效性</w:t>
            </w:r>
          </w:p>
        </w:tc>
        <w:tc>
          <w:tcPr>
            <w:tcW w:w="2141" w:type="dxa"/>
            <w:shd w:val="clear" w:color="auto" w:fill="auto"/>
            <w:noWrap w:val="0"/>
            <w:vAlign w:val="center"/>
          </w:tcPr>
          <w:p w14:paraId="30BAACA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项目实施是否符合相关管理规定，用以反映和考核相关管理制度的有效执行情况。</w:t>
            </w:r>
          </w:p>
        </w:tc>
        <w:tc>
          <w:tcPr>
            <w:tcW w:w="7821" w:type="dxa"/>
            <w:shd w:val="clear" w:color="auto" w:fill="auto"/>
            <w:noWrap w:val="0"/>
            <w:vAlign w:val="center"/>
          </w:tcPr>
          <w:p w14:paraId="1560E0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评价要点：</w:t>
            </w:r>
          </w:p>
          <w:p w14:paraId="582F63F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①是否遵守相关法律法规和相关管理规定；</w:t>
            </w:r>
          </w:p>
          <w:p w14:paraId="1754910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②项目调整及支出调整手续是否完备；</w:t>
            </w:r>
          </w:p>
          <w:p w14:paraId="625B99D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③项目合同书、验收报告、技术鉴定等资料是否齐全并及时归档；</w:t>
            </w:r>
          </w:p>
          <w:p w14:paraId="1AA68EE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④项目实施的人员条件、场地设备、信息支撑等是否落实到位。</w:t>
            </w:r>
          </w:p>
        </w:tc>
        <w:tc>
          <w:tcPr>
            <w:tcW w:w="785" w:type="dxa"/>
            <w:shd w:val="clear" w:color="auto" w:fill="auto"/>
            <w:noWrap w:val="0"/>
            <w:vAlign w:val="center"/>
          </w:tcPr>
          <w:p w14:paraId="72CCFB3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70C4B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0"/>
                <w:szCs w:val="20"/>
                <w:highlight w:val="none"/>
                <w:shd w:val="clear" w:color="auto" w:fill="auto"/>
                <w:lang w:val="en-US" w:eastAsia="zh-CN"/>
              </w:rPr>
              <w:t>4</w:t>
            </w:r>
          </w:p>
        </w:tc>
      </w:tr>
      <w:tr w14:paraId="0EC467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3856ECB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0DDFBD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产出数量</w:t>
            </w:r>
          </w:p>
        </w:tc>
        <w:tc>
          <w:tcPr>
            <w:tcW w:w="820" w:type="dxa"/>
            <w:shd w:val="clear" w:color="auto" w:fill="auto"/>
            <w:noWrap w:val="0"/>
            <w:vAlign w:val="center"/>
          </w:tcPr>
          <w:p w14:paraId="229CE90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选聘教师人数</w:t>
            </w:r>
          </w:p>
        </w:tc>
        <w:tc>
          <w:tcPr>
            <w:tcW w:w="2141" w:type="dxa"/>
            <w:shd w:val="clear" w:color="auto" w:fill="auto"/>
            <w:noWrap w:val="0"/>
            <w:vAlign w:val="center"/>
          </w:tcPr>
          <w:p w14:paraId="77C2FA7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58DF42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2F16060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468E0A5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2D96080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w:t>
            </w:r>
          </w:p>
        </w:tc>
        <w:tc>
          <w:tcPr>
            <w:tcW w:w="769" w:type="dxa"/>
            <w:shd w:val="clear" w:color="auto" w:fill="auto"/>
            <w:noWrap w:val="0"/>
            <w:vAlign w:val="center"/>
          </w:tcPr>
          <w:p w14:paraId="0251441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w:t>
            </w:r>
          </w:p>
        </w:tc>
      </w:tr>
      <w:tr w14:paraId="163FD2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434" w:hRule="atLeast"/>
          <w:jc w:val="center"/>
        </w:trPr>
        <w:tc>
          <w:tcPr>
            <w:tcW w:w="861" w:type="dxa"/>
            <w:shd w:val="clear" w:color="auto" w:fill="auto"/>
            <w:noWrap w:val="0"/>
            <w:vAlign w:val="center"/>
          </w:tcPr>
          <w:p w14:paraId="70DDE09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shd w:val="clear" w:color="auto" w:fill="auto"/>
            <w:noWrap w:val="0"/>
            <w:vAlign w:val="center"/>
          </w:tcPr>
          <w:p w14:paraId="4EAE860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3BE4216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工资支付次数</w:t>
            </w:r>
          </w:p>
        </w:tc>
        <w:tc>
          <w:tcPr>
            <w:tcW w:w="2141" w:type="dxa"/>
            <w:shd w:val="clear" w:color="auto" w:fill="auto"/>
            <w:noWrap w:val="0"/>
            <w:vAlign w:val="center"/>
          </w:tcPr>
          <w:p w14:paraId="04D63E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项目实施的实际产出数与计划产出数的比率，用以反映和考核项目产出数量目标的实现程度。</w:t>
            </w:r>
          </w:p>
        </w:tc>
        <w:tc>
          <w:tcPr>
            <w:tcW w:w="7821" w:type="dxa"/>
            <w:shd w:val="clear" w:color="auto" w:fill="auto"/>
            <w:noWrap w:val="0"/>
            <w:vAlign w:val="center"/>
          </w:tcPr>
          <w:p w14:paraId="3FB476D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实际完成率=（实际产出数/计划产出数）×100%。</w:t>
            </w:r>
          </w:p>
          <w:p w14:paraId="4542A40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实际产出数：一定时期（本年度或项目期）内项目实际产出的产品或提供的服务数量。</w:t>
            </w:r>
          </w:p>
          <w:p w14:paraId="531EA7F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计划产出数：项目绩效目标确定的在一定时期（本年度或项目期）内计划产出的产品或提供的服务数量。</w:t>
            </w:r>
          </w:p>
        </w:tc>
        <w:tc>
          <w:tcPr>
            <w:tcW w:w="785" w:type="dxa"/>
            <w:shd w:val="clear" w:color="auto" w:fill="auto"/>
            <w:noWrap w:val="0"/>
            <w:vAlign w:val="center"/>
          </w:tcPr>
          <w:p w14:paraId="13B0530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w:t>
            </w:r>
          </w:p>
        </w:tc>
        <w:tc>
          <w:tcPr>
            <w:tcW w:w="769" w:type="dxa"/>
            <w:shd w:val="clear" w:color="auto" w:fill="auto"/>
            <w:noWrap w:val="0"/>
            <w:vAlign w:val="center"/>
          </w:tcPr>
          <w:p w14:paraId="744A369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10</w:t>
            </w:r>
          </w:p>
        </w:tc>
      </w:tr>
      <w:tr w14:paraId="55A23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2132CCA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w:t>
            </w:r>
          </w:p>
        </w:tc>
        <w:tc>
          <w:tcPr>
            <w:tcW w:w="727" w:type="dxa"/>
            <w:shd w:val="clear" w:color="auto" w:fill="auto"/>
            <w:noWrap w:val="0"/>
            <w:vAlign w:val="center"/>
          </w:tcPr>
          <w:p w14:paraId="38D486F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产出质量</w:t>
            </w:r>
          </w:p>
        </w:tc>
        <w:tc>
          <w:tcPr>
            <w:tcW w:w="820" w:type="dxa"/>
            <w:shd w:val="clear" w:color="auto" w:fill="auto"/>
            <w:noWrap w:val="0"/>
            <w:vAlign w:val="center"/>
          </w:tcPr>
          <w:p w14:paraId="6F57ACD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人员经费享受比例</w:t>
            </w:r>
          </w:p>
        </w:tc>
        <w:tc>
          <w:tcPr>
            <w:tcW w:w="2141" w:type="dxa"/>
            <w:shd w:val="clear" w:color="auto" w:fill="auto"/>
            <w:noWrap w:val="0"/>
            <w:vAlign w:val="center"/>
          </w:tcPr>
          <w:p w14:paraId="5E95A7A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项目完成的质量达标产出数与实际产出数的比率，用以反映和考核项目产出质量目标的实现程度。</w:t>
            </w:r>
          </w:p>
        </w:tc>
        <w:tc>
          <w:tcPr>
            <w:tcW w:w="7821" w:type="dxa"/>
            <w:shd w:val="clear" w:color="auto" w:fill="auto"/>
            <w:noWrap w:val="0"/>
            <w:vAlign w:val="center"/>
          </w:tcPr>
          <w:p w14:paraId="4F9B9A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质量达标率=（质量达标产出数/实际产出数）×100%。</w:t>
            </w:r>
          </w:p>
          <w:p w14:paraId="7E38F39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47814877">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737EC140">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1DA186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0291283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26FF3D8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产出时效</w:t>
            </w:r>
          </w:p>
        </w:tc>
        <w:tc>
          <w:tcPr>
            <w:tcW w:w="820" w:type="dxa"/>
            <w:shd w:val="clear" w:color="auto" w:fill="auto"/>
            <w:noWrap w:val="0"/>
            <w:vAlign w:val="center"/>
          </w:tcPr>
          <w:p w14:paraId="2006F40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选聘教师工资发放时间</w:t>
            </w:r>
          </w:p>
        </w:tc>
        <w:tc>
          <w:tcPr>
            <w:tcW w:w="2141" w:type="dxa"/>
            <w:shd w:val="clear" w:color="auto" w:fill="auto"/>
            <w:noWrap w:val="0"/>
            <w:vAlign w:val="center"/>
          </w:tcPr>
          <w:p w14:paraId="7583D0F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项目实际完成时间与计划完成时间的比较，用以反映和考核项目产出时效目标的实现程度。</w:t>
            </w:r>
          </w:p>
        </w:tc>
        <w:tc>
          <w:tcPr>
            <w:tcW w:w="7821" w:type="dxa"/>
            <w:shd w:val="clear" w:color="auto" w:fill="auto"/>
            <w:noWrap w:val="0"/>
            <w:vAlign w:val="center"/>
          </w:tcPr>
          <w:p w14:paraId="42F8829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实际完成时间：项目实施单位完成该项目实际所耗用的时间。</w:t>
            </w:r>
          </w:p>
          <w:p w14:paraId="1CCFDE1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计划完成时间：按照项目实施计划或相关规定完成该项目所需的时间。</w:t>
            </w:r>
          </w:p>
        </w:tc>
        <w:tc>
          <w:tcPr>
            <w:tcW w:w="785" w:type="dxa"/>
            <w:shd w:val="clear" w:color="auto" w:fill="auto"/>
            <w:noWrap w:val="0"/>
            <w:vAlign w:val="center"/>
          </w:tcPr>
          <w:p w14:paraId="4B2EB82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592792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5</w:t>
            </w:r>
          </w:p>
        </w:tc>
      </w:tr>
      <w:tr w14:paraId="4FDD29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2140BAC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shd w:val="clear" w:color="auto" w:fill="auto"/>
            <w:noWrap w:val="0"/>
            <w:vAlign w:val="center"/>
          </w:tcPr>
          <w:p w14:paraId="3366E11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产出成本</w:t>
            </w:r>
          </w:p>
        </w:tc>
        <w:tc>
          <w:tcPr>
            <w:tcW w:w="820" w:type="dxa"/>
            <w:shd w:val="clear" w:color="auto" w:fill="auto"/>
            <w:noWrap w:val="0"/>
            <w:vAlign w:val="center"/>
          </w:tcPr>
          <w:p w14:paraId="7356A6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人员经费标准</w:t>
            </w:r>
          </w:p>
        </w:tc>
        <w:tc>
          <w:tcPr>
            <w:tcW w:w="2141" w:type="dxa"/>
            <w:shd w:val="clear" w:color="auto" w:fill="auto"/>
            <w:noWrap w:val="0"/>
            <w:vAlign w:val="center"/>
          </w:tcPr>
          <w:p w14:paraId="254B2777">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完成项目计划工作目标的实际节约成本与计划成本的比率，用以反映和考核项目的成本节约程度。</w:t>
            </w:r>
          </w:p>
        </w:tc>
        <w:tc>
          <w:tcPr>
            <w:tcW w:w="7821" w:type="dxa"/>
            <w:shd w:val="clear" w:color="auto" w:fill="auto"/>
            <w:noWrap w:val="0"/>
            <w:vAlign w:val="center"/>
          </w:tcPr>
          <w:p w14:paraId="0887A7F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p>
          <w:p w14:paraId="20EF7F7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成本节约率=[（计划成本-实际成本）/计划成本]×100%。</w:t>
            </w:r>
          </w:p>
          <w:p w14:paraId="0B3CD8F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eastAsia="zh-CN"/>
              </w:rPr>
            </w:pPr>
            <w:r>
              <w:rPr>
                <w:rFonts w:hint="eastAsia" w:ascii="宋体" w:hAnsi="宋体" w:eastAsia="宋体" w:cs="宋体"/>
                <w:color w:val="auto"/>
                <w:kern w:val="0"/>
                <w:sz w:val="22"/>
                <w:szCs w:val="22"/>
                <w:highlight w:val="none"/>
              </w:rPr>
              <w:t>实际成本：项目实施单位如期、保质、保量完成既定工作目标实际所耗费的支出。</w:t>
            </w:r>
          </w:p>
          <w:p w14:paraId="01C49F43">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208DDE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003B7F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46A946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03" w:hRule="atLeast"/>
          <w:jc w:val="center"/>
        </w:trPr>
        <w:tc>
          <w:tcPr>
            <w:tcW w:w="861" w:type="dxa"/>
            <w:vMerge w:val="restart"/>
            <w:shd w:val="clear" w:color="auto" w:fill="auto"/>
            <w:noWrap w:val="0"/>
            <w:vAlign w:val="center"/>
          </w:tcPr>
          <w:p w14:paraId="01BEA986">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效益　</w:t>
            </w:r>
          </w:p>
        </w:tc>
        <w:tc>
          <w:tcPr>
            <w:tcW w:w="727" w:type="dxa"/>
            <w:vMerge w:val="restart"/>
            <w:shd w:val="clear" w:color="auto" w:fill="auto"/>
            <w:noWrap w:val="0"/>
            <w:vAlign w:val="center"/>
          </w:tcPr>
          <w:p w14:paraId="4F5DED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项目效益　</w:t>
            </w:r>
          </w:p>
        </w:tc>
        <w:tc>
          <w:tcPr>
            <w:tcW w:w="820" w:type="dxa"/>
            <w:shd w:val="clear" w:color="auto" w:fill="auto"/>
            <w:noWrap w:val="0"/>
            <w:vAlign w:val="center"/>
          </w:tcPr>
          <w:p w14:paraId="7307712F">
            <w:pPr>
              <w:keepNext w:val="0"/>
              <w:keepLines w:val="0"/>
              <w:widowControl/>
              <w:suppressLineNumbers w:val="0"/>
              <w:ind w:left="0" w:leftChars="0" w:firstLine="0" w:firstLineChars="0"/>
              <w:jc w:val="left"/>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学校正常运转率</w:t>
            </w:r>
          </w:p>
        </w:tc>
        <w:tc>
          <w:tcPr>
            <w:tcW w:w="2141" w:type="dxa"/>
            <w:shd w:val="clear" w:color="auto" w:fill="auto"/>
            <w:noWrap w:val="0"/>
            <w:vAlign w:val="center"/>
          </w:tcPr>
          <w:p w14:paraId="18110C06">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30CB13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76F58B96">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c>
          <w:tcPr>
            <w:tcW w:w="769" w:type="dxa"/>
            <w:shd w:val="clear" w:color="auto" w:fill="auto"/>
            <w:noWrap w:val="0"/>
            <w:vAlign w:val="center"/>
          </w:tcPr>
          <w:p w14:paraId="5485A03C">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w:t>
            </w:r>
          </w:p>
        </w:tc>
      </w:tr>
      <w:tr w14:paraId="6B7745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0348093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4202427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rPr>
            </w:pPr>
          </w:p>
        </w:tc>
        <w:tc>
          <w:tcPr>
            <w:tcW w:w="820" w:type="dxa"/>
            <w:shd w:val="clear" w:color="auto" w:fill="auto"/>
            <w:noWrap w:val="0"/>
            <w:vAlign w:val="center"/>
          </w:tcPr>
          <w:p w14:paraId="29E28511">
            <w:pPr>
              <w:keepNext w:val="0"/>
              <w:keepLines w:val="0"/>
              <w:widowControl/>
              <w:suppressLineNumbers w:val="0"/>
              <w:ind w:left="0" w:leftChars="0" w:firstLine="0" w:firstLineChars="0"/>
              <w:jc w:val="left"/>
              <w:textAlignment w:val="center"/>
              <w:rPr>
                <w:rFonts w:ascii="宋体" w:hAnsi="宋体" w:eastAsia="宋体" w:cs="宋体"/>
                <w:color w:val="auto"/>
                <w:kern w:val="0"/>
                <w:sz w:val="22"/>
                <w:szCs w:val="22"/>
                <w:highlight w:val="none"/>
              </w:rPr>
            </w:pPr>
            <w:r>
              <w:rPr>
                <w:rFonts w:hint="eastAsia" w:ascii="宋体" w:hAnsi="宋体" w:eastAsia="宋体" w:cs="宋体"/>
                <w:i w:val="0"/>
                <w:iCs w:val="0"/>
                <w:color w:val="000000"/>
                <w:kern w:val="0"/>
                <w:sz w:val="20"/>
                <w:szCs w:val="20"/>
                <w:u w:val="none"/>
                <w:lang w:val="en-US" w:eastAsia="zh-CN" w:bidi="ar"/>
              </w:rPr>
              <w:t>改善教学环境，提供良好的学生成长条件</w:t>
            </w:r>
          </w:p>
        </w:tc>
        <w:tc>
          <w:tcPr>
            <w:tcW w:w="2141" w:type="dxa"/>
            <w:shd w:val="clear" w:color="auto" w:fill="auto"/>
            <w:noWrap w:val="0"/>
            <w:vAlign w:val="center"/>
          </w:tcPr>
          <w:p w14:paraId="470D5A9F">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项目实施所产生的效益。</w:t>
            </w:r>
          </w:p>
        </w:tc>
        <w:tc>
          <w:tcPr>
            <w:tcW w:w="7821" w:type="dxa"/>
            <w:shd w:val="clear" w:color="auto" w:fill="auto"/>
            <w:noWrap w:val="0"/>
            <w:vAlign w:val="center"/>
          </w:tcPr>
          <w:p w14:paraId="26252CB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lang w:val="en-US" w:eastAsia="zh-CN" w:bidi="ar-SA"/>
              </w:rPr>
            </w:pPr>
            <w:r>
              <w:rPr>
                <w:rFonts w:hint="eastAsia" w:ascii="宋体" w:hAnsi="宋体" w:eastAsia="宋体" w:cs="宋体"/>
                <w:color w:val="auto"/>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4209A90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6AA970A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6F66E4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17700DA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727" w:type="dxa"/>
            <w:vMerge w:val="continue"/>
            <w:shd w:val="clear" w:color="auto" w:fill="auto"/>
            <w:noWrap w:val="0"/>
            <w:vAlign w:val="center"/>
          </w:tcPr>
          <w:p w14:paraId="3A6CA0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auto"/>
                <w:kern w:val="0"/>
                <w:sz w:val="22"/>
                <w:szCs w:val="22"/>
                <w:highlight w:val="none"/>
              </w:rPr>
            </w:pPr>
          </w:p>
        </w:tc>
        <w:tc>
          <w:tcPr>
            <w:tcW w:w="820" w:type="dxa"/>
            <w:shd w:val="clear" w:color="auto" w:fill="auto"/>
            <w:noWrap w:val="0"/>
            <w:vAlign w:val="center"/>
          </w:tcPr>
          <w:p w14:paraId="76BCC345">
            <w:pPr>
              <w:keepNext w:val="0"/>
              <w:keepLines w:val="0"/>
              <w:widowControl/>
              <w:suppressLineNumbers w:val="0"/>
              <w:ind w:left="0" w:leftChars="0" w:firstLine="0" w:firstLineChars="0"/>
              <w:jc w:val="left"/>
              <w:textAlignment w:val="center"/>
              <w:rPr>
                <w:rFonts w:hint="default" w:ascii="宋体" w:hAnsi="宋体" w:eastAsia="宋体" w:cs="宋体"/>
                <w:color w:val="auto"/>
                <w:kern w:val="0"/>
                <w:sz w:val="22"/>
                <w:szCs w:val="22"/>
                <w:highlight w:val="none"/>
                <w:lang w:val="en-US" w:eastAsia="zh-CN"/>
              </w:rPr>
            </w:pPr>
            <w:r>
              <w:rPr>
                <w:rFonts w:hint="eastAsia" w:ascii="宋体" w:hAnsi="宋体" w:eastAsia="宋体" w:cs="宋体"/>
                <w:i w:val="0"/>
                <w:iCs w:val="0"/>
                <w:color w:val="000000"/>
                <w:kern w:val="0"/>
                <w:sz w:val="20"/>
                <w:szCs w:val="20"/>
                <w:u w:val="none"/>
                <w:lang w:val="en-US" w:eastAsia="zh-CN" w:bidi="ar"/>
              </w:rPr>
              <w:t>师生满意度</w:t>
            </w:r>
          </w:p>
        </w:tc>
        <w:tc>
          <w:tcPr>
            <w:tcW w:w="2141" w:type="dxa"/>
            <w:shd w:val="clear" w:color="auto" w:fill="auto"/>
            <w:noWrap w:val="0"/>
            <w:vAlign w:val="center"/>
          </w:tcPr>
          <w:p w14:paraId="79B5949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社会公众或服务对象对项目实施效果的满意程度。</w:t>
            </w:r>
          </w:p>
        </w:tc>
        <w:tc>
          <w:tcPr>
            <w:tcW w:w="7821" w:type="dxa"/>
            <w:shd w:val="clear" w:color="auto" w:fill="auto"/>
            <w:noWrap w:val="0"/>
            <w:vAlign w:val="center"/>
          </w:tcPr>
          <w:p w14:paraId="42A8211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社会公众或服务对象是指因该项目实施而受到影响的部门（单位）、群体或个人。一般采取社会调查的方式。</w:t>
            </w:r>
          </w:p>
        </w:tc>
        <w:tc>
          <w:tcPr>
            <w:tcW w:w="785" w:type="dxa"/>
            <w:shd w:val="clear" w:color="auto" w:fill="auto"/>
            <w:noWrap w:val="0"/>
            <w:vAlign w:val="center"/>
          </w:tcPr>
          <w:p w14:paraId="246062E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c>
          <w:tcPr>
            <w:tcW w:w="769" w:type="dxa"/>
            <w:shd w:val="clear" w:color="auto" w:fill="auto"/>
            <w:noWrap w:val="0"/>
            <w:vAlign w:val="center"/>
          </w:tcPr>
          <w:p w14:paraId="315689A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r>
              <w:rPr>
                <w:rFonts w:hint="eastAsia" w:cs="宋体"/>
                <w:color w:val="auto"/>
                <w:kern w:val="0"/>
                <w:sz w:val="22"/>
                <w:szCs w:val="22"/>
                <w:highlight w:val="none"/>
                <w:lang w:val="en-US" w:eastAsia="zh-CN"/>
              </w:rPr>
              <w:t>5</w:t>
            </w:r>
          </w:p>
        </w:tc>
      </w:tr>
      <w:tr w14:paraId="5ED47C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4549" w:type="dxa"/>
            <w:gridSpan w:val="4"/>
            <w:shd w:val="clear" w:color="auto" w:fill="auto"/>
            <w:noWrap w:val="0"/>
            <w:vAlign w:val="center"/>
          </w:tcPr>
          <w:p w14:paraId="28842DC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auto"/>
                <w:kern w:val="0"/>
                <w:sz w:val="22"/>
                <w:szCs w:val="22"/>
                <w:highlight w:val="none"/>
                <w:lang w:val="en-US" w:eastAsia="zh-CN"/>
              </w:rPr>
            </w:pPr>
            <w:r>
              <w:rPr>
                <w:rFonts w:hint="eastAsia" w:ascii="宋体" w:hAnsi="宋体" w:eastAsia="宋体" w:cs="宋体"/>
                <w:color w:val="auto"/>
                <w:kern w:val="0"/>
                <w:sz w:val="22"/>
                <w:szCs w:val="22"/>
                <w:highlight w:val="none"/>
                <w:lang w:val="en-US" w:eastAsia="zh-CN"/>
              </w:rPr>
              <w:t>合计</w:t>
            </w:r>
          </w:p>
        </w:tc>
        <w:tc>
          <w:tcPr>
            <w:tcW w:w="7821" w:type="dxa"/>
            <w:shd w:val="clear" w:color="auto" w:fill="auto"/>
            <w:noWrap w:val="0"/>
            <w:vAlign w:val="center"/>
          </w:tcPr>
          <w:p w14:paraId="00C7416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auto"/>
                <w:kern w:val="0"/>
                <w:sz w:val="22"/>
                <w:szCs w:val="22"/>
                <w:highlight w:val="none"/>
              </w:rPr>
            </w:pPr>
          </w:p>
        </w:tc>
        <w:tc>
          <w:tcPr>
            <w:tcW w:w="785" w:type="dxa"/>
            <w:shd w:val="clear" w:color="auto" w:fill="auto"/>
            <w:noWrap w:val="0"/>
            <w:vAlign w:val="center"/>
          </w:tcPr>
          <w:p w14:paraId="4EA45C61">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100</w:t>
            </w:r>
          </w:p>
        </w:tc>
        <w:tc>
          <w:tcPr>
            <w:tcW w:w="769" w:type="dxa"/>
            <w:shd w:val="clear" w:color="auto" w:fill="auto"/>
            <w:noWrap w:val="0"/>
            <w:vAlign w:val="center"/>
          </w:tcPr>
          <w:p w14:paraId="00CC8795">
            <w:pPr>
              <w:pageBreakBefore w:val="0"/>
              <w:widowControl/>
              <w:kinsoku/>
              <w:wordWrap/>
              <w:overflowPunct/>
              <w:topLinePunct w:val="0"/>
              <w:autoSpaceDE/>
              <w:autoSpaceDN/>
              <w:bidi w:val="0"/>
              <w:spacing w:line="240" w:lineRule="auto"/>
              <w:ind w:firstLine="0" w:firstLineChars="0"/>
              <w:textAlignment w:val="auto"/>
              <w:rPr>
                <w:rFonts w:hint="default" w:ascii="宋体" w:hAnsi="宋体" w:eastAsia="宋体" w:cs="宋体"/>
                <w:color w:val="auto"/>
                <w:kern w:val="0"/>
                <w:sz w:val="22"/>
                <w:szCs w:val="22"/>
                <w:highlight w:val="none"/>
                <w:lang w:val="en-US" w:eastAsia="zh-CN"/>
              </w:rPr>
            </w:pPr>
            <w:r>
              <w:rPr>
                <w:rFonts w:hint="eastAsia" w:cs="宋体"/>
                <w:color w:val="auto"/>
                <w:kern w:val="0"/>
                <w:sz w:val="22"/>
                <w:szCs w:val="22"/>
                <w:highlight w:val="none"/>
                <w:lang w:val="en-US" w:eastAsia="zh-CN"/>
              </w:rPr>
              <w:t>99.2</w:t>
            </w:r>
          </w:p>
        </w:tc>
      </w:tr>
    </w:tbl>
    <w:p w14:paraId="665FDE63">
      <w:pPr>
        <w:pageBreakBefore w:val="0"/>
        <w:kinsoku/>
        <w:wordWrap/>
        <w:overflowPunct/>
        <w:topLinePunct w:val="0"/>
        <w:autoSpaceDE/>
        <w:autoSpaceDN/>
        <w:bidi w:val="0"/>
        <w:spacing w:line="560" w:lineRule="exact"/>
        <w:ind w:firstLine="0" w:firstLineChars="0"/>
        <w:textAlignment w:val="auto"/>
        <w:rPr>
          <w:rFonts w:ascii="Times New Roman" w:hAnsi="Times New Roman" w:eastAsia="仿宋_GB2312" w:cs="Times New Roman"/>
          <w:color w:val="auto"/>
          <w:sz w:val="30"/>
          <w:szCs w:val="24"/>
          <w:highlight w:val="none"/>
        </w:rPr>
      </w:pPr>
    </w:p>
    <w:p w14:paraId="42808751">
      <w:pPr>
        <w:pageBreakBefore w:val="0"/>
        <w:kinsoku/>
        <w:wordWrap/>
        <w:overflowPunct/>
        <w:topLinePunct w:val="0"/>
        <w:autoSpaceDE/>
        <w:autoSpaceDN/>
        <w:bidi w:val="0"/>
        <w:spacing w:line="560" w:lineRule="exact"/>
        <w:textAlignment w:val="auto"/>
        <w:rPr>
          <w:rFonts w:hint="default"/>
          <w:color w:val="auto"/>
          <w:highlight w:val="none"/>
          <w:lang w:val="en-US" w:eastAsia="zh-CN"/>
        </w:rPr>
      </w:pPr>
    </w:p>
    <w:sectPr>
      <w:pgSz w:w="16838" w:h="11906" w:orient="landscape"/>
      <w:pgMar w:top="1800" w:right="1440" w:bottom="1800" w:left="1440" w:header="737" w:footer="851" w:gutter="0"/>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890C5">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C67575">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FC67575">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85E194"/>
    <w:multiLevelType w:val="singleLevel"/>
    <w:tmpl w:val="9F85E194"/>
    <w:lvl w:ilvl="0" w:tentative="0">
      <w:start w:val="1"/>
      <w:numFmt w:val="decimal"/>
      <w:suff w:val="nothing"/>
      <w:lvlText w:val="（%1）"/>
      <w:lvlJc w:val="left"/>
    </w:lvl>
  </w:abstractNum>
  <w:abstractNum w:abstractNumId="1">
    <w:nsid w:val="F4CD2B0F"/>
    <w:multiLevelType w:val="singleLevel"/>
    <w:tmpl w:val="F4CD2B0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3B569D"/>
    <w:rsid w:val="039C3BA0"/>
    <w:rsid w:val="03A845BB"/>
    <w:rsid w:val="03B45AD1"/>
    <w:rsid w:val="04D12EE4"/>
    <w:rsid w:val="04D63993"/>
    <w:rsid w:val="07890F4F"/>
    <w:rsid w:val="08892439"/>
    <w:rsid w:val="08EB30F3"/>
    <w:rsid w:val="09237408"/>
    <w:rsid w:val="09781BD6"/>
    <w:rsid w:val="09F359DF"/>
    <w:rsid w:val="0A575E65"/>
    <w:rsid w:val="0ACA0AB6"/>
    <w:rsid w:val="0C032502"/>
    <w:rsid w:val="0C27698C"/>
    <w:rsid w:val="0D4452F3"/>
    <w:rsid w:val="0F5E5042"/>
    <w:rsid w:val="0FE95707"/>
    <w:rsid w:val="10510571"/>
    <w:rsid w:val="10787A20"/>
    <w:rsid w:val="108672DE"/>
    <w:rsid w:val="10EC685A"/>
    <w:rsid w:val="11FA6155"/>
    <w:rsid w:val="12CF0947"/>
    <w:rsid w:val="12F1313F"/>
    <w:rsid w:val="136C678E"/>
    <w:rsid w:val="13EB2FF5"/>
    <w:rsid w:val="14ED4CAC"/>
    <w:rsid w:val="15A46B04"/>
    <w:rsid w:val="165825BC"/>
    <w:rsid w:val="16BC5D73"/>
    <w:rsid w:val="16D15B05"/>
    <w:rsid w:val="176F36D7"/>
    <w:rsid w:val="1795226D"/>
    <w:rsid w:val="180C41F8"/>
    <w:rsid w:val="18456B1E"/>
    <w:rsid w:val="18DB7CE9"/>
    <w:rsid w:val="1C1171C5"/>
    <w:rsid w:val="1D265138"/>
    <w:rsid w:val="1D7B6BCA"/>
    <w:rsid w:val="1DA41A79"/>
    <w:rsid w:val="1DF53469"/>
    <w:rsid w:val="1E2F24F2"/>
    <w:rsid w:val="1E58492F"/>
    <w:rsid w:val="1E59101F"/>
    <w:rsid w:val="1E5B6757"/>
    <w:rsid w:val="1ED10AC6"/>
    <w:rsid w:val="1F89225F"/>
    <w:rsid w:val="1F900A1F"/>
    <w:rsid w:val="1FC0575D"/>
    <w:rsid w:val="206132C7"/>
    <w:rsid w:val="21B00C1D"/>
    <w:rsid w:val="21F77FBB"/>
    <w:rsid w:val="23031BEB"/>
    <w:rsid w:val="23917691"/>
    <w:rsid w:val="243C3013"/>
    <w:rsid w:val="244D65B8"/>
    <w:rsid w:val="245E1E24"/>
    <w:rsid w:val="25AD5E5D"/>
    <w:rsid w:val="2732478D"/>
    <w:rsid w:val="27661469"/>
    <w:rsid w:val="27900EAD"/>
    <w:rsid w:val="279B538A"/>
    <w:rsid w:val="286F545C"/>
    <w:rsid w:val="29314FBC"/>
    <w:rsid w:val="2AA2081A"/>
    <w:rsid w:val="2C024B86"/>
    <w:rsid w:val="2C927671"/>
    <w:rsid w:val="2CC6306F"/>
    <w:rsid w:val="2D7C5CD6"/>
    <w:rsid w:val="2E483E7E"/>
    <w:rsid w:val="2E690493"/>
    <w:rsid w:val="2E9854BD"/>
    <w:rsid w:val="2EA17227"/>
    <w:rsid w:val="2F0D407F"/>
    <w:rsid w:val="2F454B19"/>
    <w:rsid w:val="310224D9"/>
    <w:rsid w:val="31B4621C"/>
    <w:rsid w:val="31E3230A"/>
    <w:rsid w:val="330957E0"/>
    <w:rsid w:val="33356F64"/>
    <w:rsid w:val="33944516"/>
    <w:rsid w:val="3437173E"/>
    <w:rsid w:val="34B62907"/>
    <w:rsid w:val="36BD137C"/>
    <w:rsid w:val="38053EDF"/>
    <w:rsid w:val="380812A4"/>
    <w:rsid w:val="385D37E7"/>
    <w:rsid w:val="38782EDD"/>
    <w:rsid w:val="3B42664A"/>
    <w:rsid w:val="3CAD1E92"/>
    <w:rsid w:val="3D836A4E"/>
    <w:rsid w:val="3EA37E97"/>
    <w:rsid w:val="3F6D1F6D"/>
    <w:rsid w:val="3FBE0BC5"/>
    <w:rsid w:val="4048103A"/>
    <w:rsid w:val="40736643"/>
    <w:rsid w:val="40D24A7A"/>
    <w:rsid w:val="42621029"/>
    <w:rsid w:val="435241E2"/>
    <w:rsid w:val="43975C51"/>
    <w:rsid w:val="439E3FA7"/>
    <w:rsid w:val="44B32266"/>
    <w:rsid w:val="44FC64F4"/>
    <w:rsid w:val="46647A66"/>
    <w:rsid w:val="467F4585"/>
    <w:rsid w:val="470628CB"/>
    <w:rsid w:val="4729480B"/>
    <w:rsid w:val="47555BD4"/>
    <w:rsid w:val="47BC2DB1"/>
    <w:rsid w:val="47E96399"/>
    <w:rsid w:val="47F76025"/>
    <w:rsid w:val="486E33F5"/>
    <w:rsid w:val="48E12B50"/>
    <w:rsid w:val="48FD7B4B"/>
    <w:rsid w:val="499441BE"/>
    <w:rsid w:val="499A6C1C"/>
    <w:rsid w:val="4A195607"/>
    <w:rsid w:val="4A2138F0"/>
    <w:rsid w:val="4A583887"/>
    <w:rsid w:val="4B9F6E02"/>
    <w:rsid w:val="4C89637B"/>
    <w:rsid w:val="4E6E48A8"/>
    <w:rsid w:val="4EEC036B"/>
    <w:rsid w:val="4F714FA1"/>
    <w:rsid w:val="501D2673"/>
    <w:rsid w:val="50C80BF1"/>
    <w:rsid w:val="51852833"/>
    <w:rsid w:val="52F11AC8"/>
    <w:rsid w:val="534F49D9"/>
    <w:rsid w:val="53555F0F"/>
    <w:rsid w:val="535D23D5"/>
    <w:rsid w:val="560D10A7"/>
    <w:rsid w:val="56741C44"/>
    <w:rsid w:val="56F4341A"/>
    <w:rsid w:val="575A7321"/>
    <w:rsid w:val="580C3AB9"/>
    <w:rsid w:val="583C7AE0"/>
    <w:rsid w:val="586C1E9A"/>
    <w:rsid w:val="586E0800"/>
    <w:rsid w:val="59216F96"/>
    <w:rsid w:val="598C4145"/>
    <w:rsid w:val="59957D1B"/>
    <w:rsid w:val="59D4294E"/>
    <w:rsid w:val="5B634312"/>
    <w:rsid w:val="5B9D2CCD"/>
    <w:rsid w:val="5B9E71EA"/>
    <w:rsid w:val="5E226FBC"/>
    <w:rsid w:val="5FE72BD2"/>
    <w:rsid w:val="60120613"/>
    <w:rsid w:val="618D5292"/>
    <w:rsid w:val="622E78FA"/>
    <w:rsid w:val="63343F70"/>
    <w:rsid w:val="64296E1C"/>
    <w:rsid w:val="64386FCC"/>
    <w:rsid w:val="649E64A2"/>
    <w:rsid w:val="65D807DF"/>
    <w:rsid w:val="65E5270A"/>
    <w:rsid w:val="663D3C54"/>
    <w:rsid w:val="667A6962"/>
    <w:rsid w:val="66862C89"/>
    <w:rsid w:val="66BB486D"/>
    <w:rsid w:val="67394C7D"/>
    <w:rsid w:val="68126B38"/>
    <w:rsid w:val="68291A1A"/>
    <w:rsid w:val="68352BB8"/>
    <w:rsid w:val="691327EB"/>
    <w:rsid w:val="691B1594"/>
    <w:rsid w:val="693A016B"/>
    <w:rsid w:val="6A17429C"/>
    <w:rsid w:val="6A567EA3"/>
    <w:rsid w:val="6B4B4368"/>
    <w:rsid w:val="6B79100E"/>
    <w:rsid w:val="6C844C00"/>
    <w:rsid w:val="6D1F1741"/>
    <w:rsid w:val="6E10212C"/>
    <w:rsid w:val="6E43561A"/>
    <w:rsid w:val="6E557973"/>
    <w:rsid w:val="6E9568DB"/>
    <w:rsid w:val="6F0D6C22"/>
    <w:rsid w:val="6F47657F"/>
    <w:rsid w:val="6FAF23D9"/>
    <w:rsid w:val="70635CF6"/>
    <w:rsid w:val="70670707"/>
    <w:rsid w:val="720E3691"/>
    <w:rsid w:val="7249173A"/>
    <w:rsid w:val="724E244C"/>
    <w:rsid w:val="72DA6946"/>
    <w:rsid w:val="732764B3"/>
    <w:rsid w:val="73EC58A5"/>
    <w:rsid w:val="74026044"/>
    <w:rsid w:val="74325A77"/>
    <w:rsid w:val="74746410"/>
    <w:rsid w:val="75640E3A"/>
    <w:rsid w:val="75C8506C"/>
    <w:rsid w:val="75E5007C"/>
    <w:rsid w:val="77636B63"/>
    <w:rsid w:val="77813724"/>
    <w:rsid w:val="77861774"/>
    <w:rsid w:val="78F31435"/>
    <w:rsid w:val="79300B45"/>
    <w:rsid w:val="794D3E18"/>
    <w:rsid w:val="79F3729A"/>
    <w:rsid w:val="7A880722"/>
    <w:rsid w:val="7ABE6120"/>
    <w:rsid w:val="7ACB0498"/>
    <w:rsid w:val="7AED0B4D"/>
    <w:rsid w:val="7C1E4487"/>
    <w:rsid w:val="7C215E02"/>
    <w:rsid w:val="7CF23764"/>
    <w:rsid w:val="7D851A94"/>
    <w:rsid w:val="7E797F74"/>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3">
    <w:name w:val="heading 1"/>
    <w:basedOn w:val="1"/>
    <w:next w:val="1"/>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4">
    <w:name w:val="heading 2"/>
    <w:basedOn w:val="1"/>
    <w:next w:val="1"/>
    <w:link w:val="19"/>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5">
    <w:name w:val="heading 3"/>
    <w:basedOn w:val="1"/>
    <w:next w:val="1"/>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6">
    <w:name w:val="annotation text"/>
    <w:basedOn w:val="1"/>
    <w:qFormat/>
    <w:uiPriority w:val="0"/>
    <w:pPr>
      <w:jc w:val="left"/>
    </w:pPr>
  </w:style>
  <w:style w:type="paragraph" w:styleId="7">
    <w:name w:val="toc 3"/>
    <w:basedOn w:val="1"/>
    <w:next w:val="1"/>
    <w:qFormat/>
    <w:uiPriority w:val="0"/>
    <w:pPr>
      <w:ind w:left="840" w:leftChars="40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2"/>
    <w:qFormat/>
    <w:uiPriority w:val="0"/>
    <w:pPr>
      <w:spacing w:after="0"/>
      <w:ind w:firstLine="200" w:firstLineChars="200"/>
    </w:p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4"/>
    <w:qFormat/>
    <w:uiPriority w:val="0"/>
    <w:rPr>
      <w:rFonts w:ascii="Arial" w:hAnsi="Arial" w:eastAsia="楷体"/>
      <w:b/>
      <w:sz w:val="32"/>
    </w:rPr>
  </w:style>
  <w:style w:type="paragraph" w:customStyle="1" w:styleId="20">
    <w:name w:val="WPSOffice手动目录 1"/>
    <w:qFormat/>
    <w:uiPriority w:val="0"/>
    <w:pPr>
      <w:ind w:leftChars="0"/>
    </w:pPr>
    <w:rPr>
      <w:rFonts w:ascii="Times New Roman" w:hAnsi="Times New Roman" w:eastAsia="宋体" w:cs="Times New Roman"/>
      <w:sz w:val="20"/>
      <w:szCs w:val="20"/>
    </w:rPr>
  </w:style>
  <w:style w:type="paragraph" w:customStyle="1" w:styleId="21">
    <w:name w:val="WPSOffice手动目录 2"/>
    <w:qFormat/>
    <w:uiPriority w:val="0"/>
    <w:pPr>
      <w:ind w:leftChars="200"/>
    </w:pPr>
    <w:rPr>
      <w:rFonts w:ascii="Times New Roman" w:hAnsi="Times New Roman" w:eastAsia="宋体" w:cs="Times New Roman"/>
      <w:sz w:val="20"/>
      <w:szCs w:val="20"/>
    </w:rPr>
  </w:style>
  <w:style w:type="paragraph" w:customStyle="1" w:styleId="22">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11179</Words>
  <Characters>11740</Characters>
  <Lines>0</Lines>
  <Paragraphs>0</Paragraphs>
  <TotalTime>3</TotalTime>
  <ScaleCrop>false</ScaleCrop>
  <LinksUpToDate>false</LinksUpToDate>
  <CharactersWithSpaces>11815</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2025-10-23T09:08:42Z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1D17C581B7B649E79D2BCA767FA9A472_13</vt:lpwstr>
  </property>
  <property fmtid="{D5CDD505-2E9C-101B-9397-08002B2CF9AE}" pid="4" name="KSOTemplateDocerSaveRecord">
    <vt:lpwstr>eyJoZGlkIjoiNTY3MmI4ODZmMjljZWZhNGFkN2U2N2Y4ODgwYjM5ZGIiLCJ1c2VySWQiOiIzNjI1MzY3NzcifQ==</vt:lpwstr>
  </property>
</Properties>
</file>