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2CEF69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9123"/>
      <w:bookmarkStart w:id="1" w:name="_Toc25575"/>
      <w:bookmarkStart w:id="2" w:name="_Toc1949"/>
      <w:bookmarkStart w:id="3" w:name="_Toc15679"/>
      <w:r>
        <w:rPr>
          <w:rFonts w:hint="eastAsia" w:cs="宋体"/>
          <w:b/>
          <w:bCs/>
          <w:color w:val="auto"/>
          <w:sz w:val="40"/>
          <w:szCs w:val="40"/>
          <w:highlight w:val="none"/>
          <w:shd w:val="clear" w:color="auto" w:fill="auto"/>
          <w:lang w:val="en-US" w:eastAsia="zh-CN"/>
        </w:rPr>
        <w:t>债务化解</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AAADC36">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项目名称：债务化解</w:t>
      </w:r>
    </w:p>
    <w:p w14:paraId="7CB8A243">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实施单位：阜康市三工河哈萨克族乡人民政府</w:t>
      </w:r>
    </w:p>
    <w:p w14:paraId="1CD13478">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主管部门：阜康市三工河哈萨克族乡人民政府</w:t>
      </w:r>
    </w:p>
    <w:p w14:paraId="065BEE39">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张朕浩</w:t>
      </w:r>
    </w:p>
    <w:p w14:paraId="50706B4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2025年5月13日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A85C49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12584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3912E34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17B41E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37F756E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D330E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szCs w:val="28"/>
              <w:highlight w:val="none"/>
              <w:lang w:val="en-US" w:eastAsia="zh-CN"/>
            </w:rPr>
            <w:fldChar w:fldCharType="end"/>
          </w:r>
        </w:p>
        <w:p w14:paraId="414776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szCs w:val="28"/>
              <w:highlight w:val="none"/>
              <w:lang w:val="en-US" w:eastAsia="zh-CN"/>
            </w:rPr>
            <w:fldChar w:fldCharType="end"/>
          </w:r>
        </w:p>
        <w:p w14:paraId="556FEB0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3B81565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A9E6E0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9A17E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41287B2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19</w:t>
          </w:r>
          <w:r>
            <w:rPr>
              <w:color w:val="auto"/>
              <w:highlight w:val="none"/>
            </w:rPr>
            <w:fldChar w:fldCharType="end"/>
          </w:r>
          <w:r>
            <w:rPr>
              <w:rFonts w:hint="eastAsia"/>
              <w:color w:val="auto"/>
              <w:szCs w:val="28"/>
              <w:highlight w:val="none"/>
              <w:lang w:val="en-US" w:eastAsia="zh-CN"/>
            </w:rPr>
            <w:fldChar w:fldCharType="end"/>
          </w:r>
        </w:p>
        <w:p w14:paraId="4403B4F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19</w:t>
          </w:r>
          <w:r>
            <w:rPr>
              <w:color w:val="auto"/>
              <w:highlight w:val="none"/>
            </w:rPr>
            <w:fldChar w:fldCharType="end"/>
          </w:r>
          <w:r>
            <w:rPr>
              <w:rFonts w:hint="eastAsia"/>
              <w:color w:val="auto"/>
              <w:szCs w:val="28"/>
              <w:highlight w:val="none"/>
              <w:lang w:val="en-US" w:eastAsia="zh-CN"/>
            </w:rPr>
            <w:fldChar w:fldCharType="end"/>
          </w:r>
        </w:p>
        <w:p w14:paraId="5BC5DC5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639A1B4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85AC91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28EABB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1E847F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1991B2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740F149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BAE4F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FE964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2CC8F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0432"/>
      <w:bookmarkStart w:id="5" w:name="_Toc1194"/>
      <w:bookmarkStart w:id="6" w:name="_Toc22946"/>
      <w:bookmarkStart w:id="7" w:name="_Toc3663"/>
      <w:r>
        <w:rPr>
          <w:rFonts w:hint="eastAsia" w:cs="宋体"/>
          <w:b/>
          <w:bCs/>
          <w:color w:val="auto"/>
          <w:sz w:val="36"/>
          <w:szCs w:val="36"/>
          <w:highlight w:val="none"/>
          <w:shd w:val="clear" w:color="auto" w:fill="auto"/>
          <w:lang w:val="en-US" w:eastAsia="zh-CN"/>
        </w:rPr>
        <w:t>债务化解</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F6F00AD">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25E81A0">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2346"/>
      <w:bookmarkStart w:id="11" w:name="_Toc10645"/>
      <w:bookmarkStart w:id="12" w:name="_Toc29812"/>
      <w:bookmarkStart w:id="13"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33D1C297">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为深入贯彻落实乡村振兴战略，积极响应改善农村人居环境、推动特色乡镇建设的相关政策文件精神，切实解决三工河乡大泉村和拜斯胡木村在发展过程中面临的基础设施薄弱、乡村风貌有待提升等突出问题，三工河乡于2017年分别启动了大泉村改善农村人居环境建设项目（二标段）以及拜斯胡木特色乡镇建设项目。大泉村改善农村人居环境建设项目（二标段）旨在通过一系列建设举措，有效改善村庄的基础设施条件，优化村民的生活环境，提升农村生活品质。然而，由于项目建设规模较大、资金周转等多种因素，在项目推进过程中产生了相应债务，共计债务金额为575.44万元。为妥善解决历史遗留问题，保障项目顺利推进及债权人合法权益，三工河乡严格按照甲乙双方债务化解协议还款约定，计划对这两个项目债务进行化解 。</w:t>
      </w:r>
    </w:p>
    <w:p w14:paraId="4F5AE66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17880"/>
      <w:bookmarkStart w:id="15" w:name="_Toc1630"/>
      <w:bookmarkStart w:id="16" w:name="_Toc10730"/>
      <w:bookmarkStart w:id="17" w:name="_Toc27343"/>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69D307F4">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8" w:name="_Toc16592"/>
      <w:bookmarkStart w:id="19" w:name="_Toc27245"/>
      <w:bookmarkStart w:id="20" w:name="_Toc27409"/>
      <w:bookmarkStart w:id="21" w:name="_Toc21898"/>
      <w:r>
        <w:rPr>
          <w:rFonts w:hint="eastAsia" w:ascii="仿宋_GB2312" w:hAnsi="仿宋_GB2312" w:eastAsia="仿宋_GB2312" w:cs="仿宋_GB2312"/>
          <w:color w:val="auto"/>
          <w:sz w:val="32"/>
          <w:szCs w:val="32"/>
          <w:highlight w:val="none"/>
          <w:shd w:val="clear" w:color="auto" w:fill="auto"/>
          <w:lang w:val="en-US" w:eastAsia="zh-CN"/>
        </w:rPr>
        <w:t>项目主要内容：</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计划对2个企业的2个项目债务进行化解，支付2017年三工乡大泉村改善农村人居环境建设项目（二标段）、拜斯胡木特色乡镇建设项目工程款575.44万元</w:t>
      </w:r>
      <w:r>
        <w:rPr>
          <w:rFonts w:hint="eastAsia" w:cs="仿宋_GB2312"/>
          <w:color w:val="auto"/>
          <w:sz w:val="32"/>
          <w:szCs w:val="32"/>
          <w:highlight w:val="none"/>
          <w:shd w:val="clear" w:color="auto" w:fill="auto"/>
          <w:lang w:eastAsia="zh-CN"/>
        </w:rPr>
        <w:t>。</w:t>
      </w:r>
      <w:bookmarkEnd w:id="18"/>
      <w:bookmarkEnd w:id="19"/>
      <w:bookmarkEnd w:id="20"/>
      <w:bookmarkEnd w:id="21"/>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3月经乡党委会议，确定了项目领导小组，明确了责任分工：组长为苏宁，副组长为哈力比亚提·库瓦尔，项目负责人为张朕浩,组员为潘玲、杨朋飞，其中：潘玲负责监管工作，杨朋飞负责项目档案资料和资金拨付工作。</w:t>
      </w:r>
    </w:p>
    <w:p w14:paraId="5BF36D2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本项目支付2017年三工乡大泉村改善农村人居环境建设项目（二标段）227.91万元、拜斯胡木特色乡镇建设项目347.53万元，共计支付工程款575.44万元，</w:t>
      </w:r>
    </w:p>
    <w:p w14:paraId="6DB630F1">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858"/>
      <w:bookmarkStart w:id="23" w:name="_Toc12348"/>
      <w:bookmarkStart w:id="24" w:name="_Toc10240"/>
      <w:bookmarkStart w:id="25" w:name="_Toc569"/>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3509"/>
      <w:bookmarkStart w:id="27" w:name="_Toc26369"/>
      <w:bookmarkStart w:id="28" w:name="_Toc694"/>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4D9D792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9464"/>
      <w:bookmarkStart w:id="31" w:name="_Toc5573"/>
      <w:r>
        <w:rPr>
          <w:rFonts w:hint="eastAsia" w:ascii="仿宋_GB2312" w:hAnsi="仿宋_GB2312" w:eastAsia="仿宋_GB2312" w:cs="仿宋_GB2312"/>
          <w:color w:val="auto"/>
          <w:sz w:val="32"/>
          <w:szCs w:val="32"/>
          <w:highlight w:val="none"/>
          <w:lang w:val="en-US" w:eastAsia="zh-CN"/>
        </w:rPr>
        <w:t>该项目年初预算数575.44万元，全年预算数575.44万元，该项目资金已全部落实到位，资金来源为财政拨款</w:t>
      </w:r>
      <w:r>
        <w:rPr>
          <w:rFonts w:hint="eastAsia" w:ascii="仿宋_GB2312" w:hAnsi="仿宋_GB2312" w:eastAsia="仿宋_GB2312" w:cs="仿宋_GB2312"/>
          <w:color w:val="auto"/>
          <w:sz w:val="32"/>
          <w:szCs w:val="32"/>
          <w:highlight w:val="none"/>
          <w:lang w:val="en-US" w:eastAsia="zh-CN"/>
        </w:rPr>
        <w:tab/>
      </w:r>
      <w:r>
        <w:rPr>
          <w:rFonts w:hint="eastAsia" w:ascii="仿宋_GB2312" w:hAnsi="仿宋_GB2312" w:eastAsia="仿宋_GB2312" w:cs="仿宋_GB2312"/>
          <w:color w:val="auto"/>
          <w:sz w:val="32"/>
          <w:szCs w:val="32"/>
          <w:highlight w:val="none"/>
          <w:lang w:val="en-US" w:eastAsia="zh-CN"/>
        </w:rPr>
        <w:t>。</w:t>
      </w:r>
      <w:bookmarkEnd w:id="29"/>
      <w:bookmarkEnd w:id="30"/>
      <w:bookmarkEnd w:id="31"/>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2" w:name="_Toc28187"/>
      <w:bookmarkStart w:id="33" w:name="_Toc3409"/>
      <w:bookmarkStart w:id="34" w:name="_Toc1166"/>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430"/>
      <w:bookmarkStart w:id="36" w:name="_Toc29121"/>
      <w:bookmarkStart w:id="37" w:name="_Toc11647"/>
      <w:r>
        <w:rPr>
          <w:rFonts w:hint="eastAsia" w:ascii="仿宋_GB2312" w:hAnsi="仿宋_GB2312" w:eastAsia="仿宋_GB2312" w:cs="仿宋_GB2312"/>
          <w:color w:val="auto"/>
          <w:sz w:val="32"/>
          <w:szCs w:val="32"/>
          <w:highlight w:val="none"/>
          <w:lang w:val="en-US" w:eastAsia="zh-CN"/>
        </w:rPr>
        <w:t>该项目年初预算数575.44万元，全年预算数575.44万元，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全年执行数575.44万元，预算执行率为100%，主要用于：支付2017年三工乡大泉村改善农村人居环境建设项目（二标段）227.91万元、拜斯胡木特色乡镇建设项目347.53万元。</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99BBCD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4758"/>
      <w:bookmarkStart w:id="40" w:name="_Toc2547"/>
      <w:bookmarkStart w:id="41" w:name="_Toc8528"/>
      <w:bookmarkStart w:id="42" w:name="_Toc100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债务化解项目绩效总体目标为：三工河乡按照甲乙双方债务化解协议还款约定，计划对2个企业的2个项目债务进行化解，支付2017年三工乡大泉村改善农村人居环境建设项目（二标段）、拜斯胡木特色乡镇建设项目工程款575.44万元，资金使用合规率及资金支付及时率预计达到100%，通过项目的实施，预期达到化解单位债务，提升单位和政府形象，完善政府债务化解机制的效益。</w:t>
      </w:r>
    </w:p>
    <w:p w14:paraId="37B7522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3255"/>
      <w:bookmarkStart w:id="44" w:name="_Toc4007"/>
      <w:bookmarkStart w:id="45" w:name="_Toc8990"/>
      <w:bookmarkStart w:id="46" w:name="_Toc448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7F8CB21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kern w:val="0"/>
          <w:sz w:val="32"/>
          <w:szCs w:val="32"/>
          <w:highlight w:val="none"/>
          <w:shd w:val="clear" w:color="auto" w:fill="auto"/>
          <w:lang w:val="en-US" w:eastAsia="zh-CN" w:bidi="ar-SA"/>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化解债务项目数量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指标，预期目标值为≥2个；</w:t>
      </w:r>
    </w:p>
    <w:p w14:paraId="0FA940F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化债项目涉及企业</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指标，预期目标值为≥2个；</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资金使用合规率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任务完成时间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指标，预期目标值为2024年8月；</w:t>
      </w:r>
    </w:p>
    <w:p w14:paraId="6457AE6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2017年三工乡大泉村改善农村人居环境建设项目（二标段）</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指标，预期目标值为≤227.91万元；</w:t>
      </w:r>
    </w:p>
    <w:p w14:paraId="2963C93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2017年拜斯胡木特色乡镇建设项目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指标，预期目标值为≤347.53万元；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4BF678F7">
      <w:pPr>
        <w:keepNext w:val="0"/>
        <w:keepLines w:val="0"/>
        <w:widowControl w:val="0"/>
        <w:suppressLineNumbers w:val="0"/>
        <w:spacing w:before="0" w:beforeAutospacing="0" w:after="0" w:afterAutospacing="0" w:line="360" w:lineRule="auto"/>
        <w:ind w:left="0" w:right="0" w:firstLine="640" w:firstLineChars="200"/>
        <w:jc w:val="both"/>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宋体" w:eastAsia="仿宋_GB2312" w:cs="仿宋_GB2312"/>
          <w:color w:val="000000"/>
          <w:kern w:val="2"/>
          <w:sz w:val="32"/>
          <w:szCs w:val="32"/>
          <w:lang w:val="en-US" w:eastAsia="zh-CN" w:bidi="ar"/>
        </w:rPr>
        <w:t>①</w:t>
      </w:r>
      <w:r>
        <w:rPr>
          <w:rFonts w:hint="eastAsia" w:ascii="仿宋_GB2312" w:hAnsi="仿宋_GB2312" w:eastAsia="仿宋_GB2312" w:cs="仿宋_GB2312"/>
          <w:color w:val="auto"/>
          <w:sz w:val="32"/>
          <w:szCs w:val="32"/>
          <w:highlight w:val="none"/>
          <w:shd w:val="clear" w:color="auto" w:fill="auto"/>
          <w:lang w:val="en-US" w:eastAsia="zh-CN"/>
        </w:rPr>
        <w:t>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化解单位债务，提升单位和政府形象</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792A5B4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完善政府债务化解机制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23E484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6632"/>
      <w:bookmarkStart w:id="49" w:name="_Toc12868"/>
      <w:bookmarkStart w:id="50" w:name="_Toc21664"/>
      <w:bookmarkStart w:id="51" w:name="_Toc480473081"/>
      <w:bookmarkStart w:id="52" w:name="_Toc22169_WPSOffice_Level2"/>
      <w:bookmarkStart w:id="53" w:name="_Toc5462343"/>
      <w:bookmarkStart w:id="54" w:name="_Toc22922"/>
      <w:bookmarkStart w:id="55" w:name="_Toc5258"/>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文件要求对2024年度我单位实施的债务化解项目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三工河乡人民政府</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负责实施，旨在按照甲乙双方债务化解协议还款约定，对2个企业的2个项目债务进行化解，支付2017年三工乡大泉村改善农村人居环境建设项目（二标段）、拜斯胡木特色乡镇建设项目工程款575.44万元，</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使</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资金使用合规率及资金支付及时率预计达到</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预期目标</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，通过项目的实施提升单位和政府形象，完善政府债务化解机制的效益。项目预算涵盖从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575.44</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11666"/>
      <w:bookmarkStart w:id="64" w:name="_Toc21311"/>
      <w:r>
        <w:rPr>
          <w:rFonts w:hint="default" w:cs="仿宋_GB2312"/>
          <w:color w:val="auto"/>
          <w:sz w:val="32"/>
          <w:szCs w:val="32"/>
          <w:highlight w:val="none"/>
          <w:shd w:val="clear" w:color="auto" w:fill="auto"/>
          <w:lang w:val="en-US" w:eastAsia="zh-CN"/>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6DBEF5B2">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债务化解项目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1913"/>
      <w:bookmarkStart w:id="71" w:name="_Toc26131"/>
      <w:bookmarkStart w:id="72" w:name="_Toc24396"/>
      <w:bookmarkStart w:id="73" w:name="_Toc428278230"/>
      <w:bookmarkStart w:id="74" w:name="_Toc419984722"/>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EBA0E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6BCAC9AF">
      <w:pPr>
        <w:numPr>
          <w:ilvl w:val="0"/>
          <w:numId w:val="2"/>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能够全面考虑项目或决策涉及的各种成本和效益。不仅包括直接的、显性的成本和效益，还能考虑到间接的、隐性的成本和效益，避免了只关注部分因素而导致的决策偏差。</w:t>
      </w:r>
    </w:p>
    <w:p w14:paraId="6AFCA546">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）因素分析法。是指综合分析影响绩效目标实现、实施效果的内外部因素的方法。绩效受多种因素共同作用，因素分析法能将综合绩效指标分解为各个构成因素，清晰展现每个因素对总体绩效的影响方向和程度</w:t>
      </w:r>
      <w:r>
        <w:rPr>
          <w:rFonts w:ascii="Segoe UI" w:hAnsi="Segoe UI" w:eastAsia="Segoe UI" w:cs="Segoe UI"/>
          <w:i w:val="0"/>
          <w:iCs w:val="0"/>
          <w:caps w:val="0"/>
          <w:color w:val="auto"/>
          <w:spacing w:val="0"/>
          <w:sz w:val="19"/>
          <w:szCs w:val="19"/>
          <w:highlight w:val="none"/>
          <w:shd w:val="clear" w:fill="FFFFFF"/>
        </w:rPr>
        <w:t>。</w:t>
      </w:r>
    </w:p>
    <w:p w14:paraId="70DCCE3A">
      <w:pPr>
        <w:spacing w:line="560" w:lineRule="exact"/>
        <w:rPr>
          <w:rFonts w:hint="default" w:ascii="Times New Roman" w:hAnsi="Times New Roman" w:eastAsia="仿宋_GB2312" w:cs="Times New Roman"/>
          <w:color w:val="auto"/>
          <w:spacing w:val="17"/>
          <w:sz w:val="32"/>
          <w:szCs w:val="32"/>
          <w:highlight w:val="none"/>
        </w:rPr>
      </w:pPr>
    </w:p>
    <w:p w14:paraId="1BCF9B2D">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25651"/>
      <w:bookmarkStart w:id="80"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w:t>
      </w:r>
    </w:p>
    <w:p w14:paraId="715EC98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42DB83E7">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债务化解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rPr>
        <w:t>债务化解</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rPr>
        <w:t>三工河乡人民政府</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化解单位债务，提升单位和政府形象、完善政府债务化解机制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rPr>
        <w:t>债务化解</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rPr>
        <w:t>债务化解</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238"/>
        <w:gridCol w:w="123"/>
        <w:gridCol w:w="1361"/>
        <w:gridCol w:w="1361"/>
        <w:gridCol w:w="1623"/>
        <w:gridCol w:w="1489"/>
      </w:tblGrid>
      <w:tr w14:paraId="6D455F59">
        <w:tblPrEx>
          <w:tblCellMar>
            <w:top w:w="0" w:type="dxa"/>
            <w:left w:w="0" w:type="dxa"/>
            <w:bottom w:w="0" w:type="dxa"/>
            <w:right w:w="0" w:type="dxa"/>
          </w:tblCellMar>
        </w:tblPrEx>
        <w:trPr>
          <w:trHeight w:val="375" w:hRule="atLeast"/>
          <w:jc w:val="center"/>
        </w:trPr>
        <w:tc>
          <w:tcPr>
            <w:tcW w:w="8289" w:type="dxa"/>
            <w:gridSpan w:val="7"/>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表3-1：债务化解项目得分表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auto"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000000" w:sz="4" w:space="0"/>
              <w:bottom w:val="single" w:color="auto" w:sz="4" w:space="0"/>
              <w:right w:val="single" w:color="auto"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28069"/>
      <w:bookmarkStart w:id="110" w:name="_Toc13522"/>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①项目立项符合《预算法》《政府投资条例》；</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②项目立项符合《新疆维吾尔自治区人民代表大会常务委员会关于加强政府债务审查监督的决定》；</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③项目立项与《阜康市人大常委会关于加强政府债务审查监督办法》相符，属于部门履职所需；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④项目属于公共财政支持范围，符合《关于推进中央与地方财政事权和支出责任划分改革的指导意见》《阜康市人大常委会关于加强政府债务审查监督办法》《阜康市项目工作领导小组会议议事规则》；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1976"/>
      <w:bookmarkStart w:id="112" w:name="_Toc23240"/>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经过可行性研究、专家论证、风险评估、绩效评估。</w:t>
      </w:r>
      <w:r>
        <w:rPr>
          <w:rFonts w:hint="eastAsia" w:ascii="仿宋_GB2312" w:hAnsi="仿宋_GB2312" w:eastAsia="仿宋_GB2312" w:cs="仿宋_GB2312"/>
          <w:color w:val="auto"/>
          <w:sz w:val="32"/>
          <w:szCs w:val="32"/>
          <w:highlight w:val="none"/>
          <w:lang w:val="en-US" w:eastAsia="zh-CN"/>
        </w:rPr>
        <w:t>扣0.8分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15382"/>
      <w:bookmarkStart w:id="114" w:name="_Toc2354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按照甲乙双方债务化解协议还款约定，对2个企业的2个项目债务进行化解，支付2017年三工乡大泉村改善农村人居环境建设项目（二标段）、拜斯胡木特色乡镇建设项目工程款575.44万元。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③该项目按照绩效目标完成数量指标、质量指标、时效指标、成本指标，完成了化解单位债务，提升单位和政府形象</w:t>
      </w:r>
      <w:r>
        <w:rPr>
          <w:rFonts w:hint="eastAsia" w:ascii="仿宋_GB2312" w:hAnsi="仿宋_GB2312" w:eastAsia="仿宋_GB2312" w:cs="仿宋_GB2312"/>
          <w:color w:val="auto"/>
          <w:sz w:val="32"/>
          <w:szCs w:val="32"/>
          <w:highlight w:val="none"/>
          <w:lang w:val="en-US" w:eastAsia="zh-CN"/>
        </w:rPr>
        <w:t>和完善政府债务化解机制</w:t>
      </w:r>
      <w:r>
        <w:rPr>
          <w:rFonts w:hint="eastAsia" w:ascii="仿宋_GB2312" w:hAnsi="仿宋_GB2312" w:eastAsia="仿宋_GB2312" w:cs="仿宋_GB2312"/>
          <w:color w:val="auto"/>
          <w:sz w:val="32"/>
          <w:szCs w:val="32"/>
          <w:highlight w:val="none"/>
          <w:lang w:eastAsia="zh-CN"/>
        </w:rPr>
        <w:t>，达到</w:t>
      </w:r>
      <w:r>
        <w:rPr>
          <w:rFonts w:hint="eastAsia" w:ascii="仿宋_GB2312" w:hAnsi="仿宋_GB2312" w:eastAsia="仿宋_GB2312" w:cs="仿宋_GB2312"/>
          <w:color w:val="auto"/>
          <w:sz w:val="32"/>
          <w:szCs w:val="32"/>
          <w:highlight w:val="none"/>
          <w:lang w:val="en-US" w:eastAsia="zh-CN"/>
        </w:rPr>
        <w:t>社会</w:t>
      </w:r>
      <w:r>
        <w:rPr>
          <w:rFonts w:hint="eastAsia" w:ascii="仿宋_GB2312" w:hAnsi="仿宋_GB2312" w:eastAsia="仿宋_GB2312" w:cs="仿宋_GB2312"/>
          <w:color w:val="auto"/>
          <w:sz w:val="32"/>
          <w:szCs w:val="32"/>
          <w:highlight w:val="none"/>
          <w:lang w:eastAsia="zh-CN"/>
        </w:rPr>
        <w:t>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④《项目支出绩效目标表》中预算金额为575.44万元，预算确定的项目资金与预算确定的项目投资额相匹配。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8198"/>
      <w:bookmarkStart w:id="116" w:name="_Toc10650"/>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其中三级指标共计9个</w:t>
      </w:r>
      <w:r>
        <w:rPr>
          <w:rFonts w:hint="eastAsia" w:ascii="仿宋_GB2312" w:hAnsi="仿宋_GB2312" w:eastAsia="仿宋_GB2312" w:cs="仿宋_GB2312"/>
          <w:color w:val="auto"/>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量化率达到88.89%</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对2个企业的2个项目债务进行化解，支付2017年三工乡大泉村改善农村人居环境建设项目（二标段）、拜斯胡木特色乡镇建设项目工程款575.44万元，项目实际内容为2个企业的2个项目债务进行化解，支付2017年三工乡大泉村改善农村人居环境建设项目（二标段）、拜斯胡木特色乡镇建设项目工程款575.44万元，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项目预算申请资金575.44</w:t>
      </w:r>
      <w:r>
        <w:rPr>
          <w:rFonts w:hint="eastAsia" w:ascii="仿宋_GB2312" w:hAnsi="仿宋_GB2312" w:eastAsia="仿宋_GB2312" w:cs="仿宋_GB2312"/>
          <w:color w:val="auto"/>
          <w:sz w:val="32"/>
          <w:szCs w:val="32"/>
          <w:highlight w:val="none"/>
          <w:lang w:val="en-US" w:eastAsia="zh-CN"/>
        </w:rPr>
        <w:t>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元，我单位在预算申请中严格按照项目实施内容及测算标准进行核算，其中：2017年三工乡大泉村改善农村人居环境建设项目（二标段）</w:t>
      </w:r>
      <w:r>
        <w:rPr>
          <w:rFonts w:hint="eastAsia" w:ascii="仿宋_GB2312" w:hAnsi="仿宋_GB2312" w:eastAsia="仿宋_GB2312" w:cs="仿宋_GB2312"/>
          <w:color w:val="auto"/>
          <w:sz w:val="32"/>
          <w:szCs w:val="32"/>
          <w:highlight w:val="none"/>
          <w:lang w:val="en-US" w:eastAsia="zh-CN"/>
        </w:rPr>
        <w:t>支付</w:t>
      </w:r>
      <w:r>
        <w:rPr>
          <w:rFonts w:hint="eastAsia" w:ascii="仿宋_GB2312" w:hAnsi="仿宋_GB2312" w:eastAsia="仿宋_GB2312" w:cs="仿宋_GB2312"/>
          <w:color w:val="auto"/>
          <w:sz w:val="32"/>
          <w:szCs w:val="32"/>
          <w:highlight w:val="none"/>
          <w:lang w:eastAsia="zh-CN"/>
        </w:rPr>
        <w:t>227.91万元，2017年拜斯胡木特色乡镇建设项目</w:t>
      </w:r>
      <w:r>
        <w:rPr>
          <w:rFonts w:hint="eastAsia" w:ascii="仿宋_GB2312" w:hAnsi="仿宋_GB2312" w:eastAsia="仿宋_GB2312" w:cs="仿宋_GB2312"/>
          <w:color w:val="auto"/>
          <w:sz w:val="32"/>
          <w:szCs w:val="32"/>
          <w:highlight w:val="none"/>
          <w:lang w:val="en-US" w:eastAsia="zh-CN"/>
        </w:rPr>
        <w:t>支付</w:t>
      </w:r>
      <w:r>
        <w:rPr>
          <w:rFonts w:hint="eastAsia" w:ascii="仿宋_GB2312" w:hAnsi="仿宋_GB2312" w:eastAsia="仿宋_GB2312" w:cs="仿宋_GB2312"/>
          <w:color w:val="auto"/>
          <w:sz w:val="32"/>
          <w:szCs w:val="32"/>
          <w:highlight w:val="none"/>
          <w:lang w:eastAsia="zh-CN"/>
        </w:rPr>
        <w:t>347.53万元。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val="en-US" w:eastAsia="zh-CN"/>
        </w:rPr>
        <w:t>三工河乡政府隐性债务偿还</w:t>
      </w:r>
      <w:r>
        <w:rPr>
          <w:rFonts w:hint="eastAsia" w:ascii="仿宋_GB2312" w:hAnsi="仿宋_GB2312" w:eastAsia="仿宋_GB2312" w:cs="仿宋_GB2312"/>
          <w:color w:val="auto"/>
          <w:sz w:val="32"/>
          <w:szCs w:val="32"/>
          <w:highlight w:val="none"/>
          <w:lang w:eastAsia="zh-CN"/>
        </w:rPr>
        <w:t>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②项目实际到位资金575.44万元，资金分配额度合理，与项目单位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项目预算资金为575.44万元，其中：财政安排资金575.44万元，其他资金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资金到位率=（575.44</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/575.44</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9705"/>
      <w:bookmarkStart w:id="125" w:name="_Toc17709"/>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截至2024年12月31日，项目实际支出575.44万元。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预算执行率=（575.44</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/575.44</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①本项目资金支出符合国家财经法规、《政府会计制度》《三工河乡关于进一步加强财务管理、规范财务审批程序实施办法》；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我单位已制定《三工河乡关于进一步加强财务管理、规范财务审批程序实施办法》，</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3984"/>
      <w:bookmarkStart w:id="129" w:name="_Toc316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债务化解</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《三工河乡关于进一步加强财务管理、规范财务审批程序实施办法》管理规定，</w:t>
      </w:r>
      <w:r>
        <w:rPr>
          <w:rFonts w:hint="eastAsia" w:ascii="仿宋_GB2312" w:hAnsi="仿宋_GB2312" w:eastAsia="仿宋_GB2312" w:cs="仿宋_GB2312"/>
          <w:color w:val="auto"/>
          <w:sz w:val="32"/>
          <w:szCs w:val="32"/>
          <w:highlight w:val="none"/>
          <w:lang w:eastAsia="zh-CN"/>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lang w:val="en-US" w:eastAsia="zh-CN"/>
        </w:rPr>
        <w:t>债务化解</w:t>
      </w:r>
      <w:r>
        <w:rPr>
          <w:rFonts w:hint="eastAsia" w:ascii="仿宋_GB2312" w:hAnsi="仿宋_GB2312" w:eastAsia="仿宋_GB2312" w:cs="仿宋_GB2312"/>
          <w:color w:val="auto"/>
          <w:sz w:val="32"/>
          <w:szCs w:val="32"/>
          <w:highlight w:val="none"/>
          <w:lang w:eastAsia="zh-CN"/>
        </w:rPr>
        <w:t>项目工作领导小组，由</w:t>
      </w:r>
      <w:r>
        <w:rPr>
          <w:rFonts w:hint="eastAsia" w:ascii="仿宋_GB2312" w:hAnsi="仿宋_GB2312" w:eastAsia="仿宋_GB2312" w:cs="仿宋_GB2312"/>
          <w:color w:val="auto"/>
          <w:sz w:val="32"/>
          <w:szCs w:val="32"/>
          <w:highlight w:val="none"/>
          <w:lang w:val="en-US" w:eastAsia="zh-CN"/>
        </w:rPr>
        <w:t>苏宁</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哈力比亚提·库瓦尔</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shd w:val="clear" w:color="auto" w:fill="auto"/>
          <w:lang w:val="en-US" w:eastAsia="zh-CN"/>
        </w:rPr>
        <w:t>杨朋飞</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shd w:val="clear" w:color="auto" w:fill="auto"/>
          <w:lang w:val="en-US" w:eastAsia="zh-CN"/>
        </w:rPr>
        <w:t>潘玲</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化解债务项目数量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≥2个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2个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385A43E">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310E01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184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0F49B">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化债项目涉及企业</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A05F5">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≥2个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4FA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87986">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2个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C125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84F9CA2">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2800A5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任务完成时间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2024年8月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2024年8月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0CCA3AE">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59B1B3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018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FF5CF">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0B224">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684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9A3C5">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9086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AEEFAD2">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271AB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2017年三工乡大泉村改善农村人居环境建设项目（二标段）</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≤227.91万元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widowControl/>
              <w:suppressLineNumbers w:val="0"/>
              <w:ind w:left="0" w:leftChars="0" w:firstLine="0" w:firstLineChars="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227.91万元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BB8FB30">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ED8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969F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BC26C">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2017年拜斯胡木特色乡镇建设项目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DB5EB">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≤347.53万元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111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45D96">
            <w:pPr>
              <w:keepNext w:val="0"/>
              <w:keepLines w:val="0"/>
              <w:widowControl/>
              <w:suppressLineNumbers w:val="0"/>
              <w:ind w:left="0" w:leftChars="0" w:firstLine="0" w:firstLineChars="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347.53万元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3A8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AABB4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11067"/>
      <w:bookmarkStart w:id="132" w:name="_Toc26689"/>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化解债务项目数量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指标，预期目标值为≥2个，实际完成为2个。实际完成率=（2/2）×100%=100%。</w:t>
      </w:r>
    </w:p>
    <w:p w14:paraId="3474202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化债项目涉及企业</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指标，预期目标值为≥2个，实际完成为2个。实际完成率=（2/2）×100%=100%。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7EF3EB3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资金使用合规率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03EA2CD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任务完成时间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指标，预期目标值为2024年8月，实际完成为2024年8月。实际完成率100%。</w:t>
      </w:r>
    </w:p>
    <w:p w14:paraId="25F230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资金支付及时率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2017年三工乡大泉村改善农村人居环境建设项目（二标段）</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指标，预期目标值为≤227.91万元，实际完成为227.91万元。实际完成率=（227.91/227.91）×100%=100%。</w:t>
      </w:r>
    </w:p>
    <w:p w14:paraId="76DA58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2017年拜斯胡木特色乡镇建设项目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指标，预期目标值为≤347.53万元，实际完成为347.53万元。实际完成率=（347.53/347.53）×100%=100%，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8922ACE">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46311E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740283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2BFE73D">
            <w:pPr>
              <w:keepNext w:val="0"/>
              <w:keepLines w:val="0"/>
              <w:widowControl/>
              <w:suppressLineNumbers w:val="0"/>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化解单位债务，提升单位和政府形象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6214E">
            <w:pPr>
              <w:keepNext w:val="0"/>
              <w:keepLines w:val="0"/>
              <w:widowControl/>
              <w:suppressLineNumbers w:val="0"/>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F83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264F8">
            <w:pPr>
              <w:keepNext w:val="0"/>
              <w:keepLines w:val="0"/>
              <w:widowControl/>
              <w:suppressLineNumbers w:val="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8A7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完善政府债务化解机制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widowControl/>
              <w:suppressLineNumbers w:val="0"/>
              <w:ind w:firstLine="400" w:firstLineChars="20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企业的满意度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27006"/>
      <w:bookmarkStart w:id="141" w:name="_Toc29606"/>
      <w:r>
        <w:rPr>
          <w:rFonts w:hint="eastAsia" w:ascii="仿宋_GB2312" w:hAnsi="仿宋_GB2312" w:eastAsia="仿宋_GB2312" w:cs="仿宋_GB2312"/>
          <w:b/>
          <w:bCs/>
          <w:color w:val="auto"/>
          <w:sz w:val="32"/>
          <w:szCs w:val="32"/>
          <w:highlight w:val="none"/>
          <w:lang w:val="en-US" w:eastAsia="zh-CN"/>
        </w:rPr>
        <w:t>1.社会效益指标</w:t>
      </w:r>
      <w:bookmarkEnd w:id="140"/>
      <w:r>
        <w:rPr>
          <w:rFonts w:hint="eastAsia" w:ascii="仿宋_GB2312" w:hAnsi="仿宋_GB2312" w:eastAsia="仿宋_GB2312" w:cs="仿宋_GB2312"/>
          <w:b/>
          <w:bCs/>
          <w:color w:val="auto"/>
          <w:sz w:val="32"/>
          <w:szCs w:val="32"/>
          <w:highlight w:val="none"/>
          <w:lang w:val="en-US" w:eastAsia="zh-CN"/>
        </w:rPr>
        <w:t>完成情况</w:t>
      </w:r>
      <w:bookmarkEnd w:id="141"/>
    </w:p>
    <w:p w14:paraId="51D747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化解单位债务，提升单位和政府形象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p>
    <w:p w14:paraId="2108057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通过项目的实施，进一步提升单位和政府形象，完善政府债务化解机制的效益。</w:t>
      </w:r>
    </w:p>
    <w:p w14:paraId="3095B4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“完善政府债务化解机制”</w:t>
      </w:r>
      <w:r>
        <w:rPr>
          <w:rFonts w:hint="eastAsia" w:ascii="仿宋_GB2312" w:hAnsi="仿宋_GB2312" w:eastAsia="仿宋_GB2312" w:cs="仿宋_GB2312"/>
          <w:color w:val="auto"/>
          <w:sz w:val="32"/>
          <w:szCs w:val="32"/>
          <w:highlight w:val="none"/>
          <w:lang w:val="en-US" w:eastAsia="zh-CN"/>
        </w:rPr>
        <w:t>指标，预期目标值为=100%，实际完成为100%。</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通过项目的实施，进一步提升单位和政府形象，完善政府债务化解机制的效益。</w:t>
      </w:r>
    </w:p>
    <w:p w14:paraId="5A9C00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企业的满意度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215C57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3"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3"/>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44"/>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债务化解项目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575.44</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575.44</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三工河乡人民政府单位</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三工河乡人民政府单位</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5"/>
    <w:bookmarkEnd w:id="146"/>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7"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7"/>
    </w:p>
    <w:p w14:paraId="29FC42A0">
      <w:pPr>
        <w:pageBreakBefore w:val="0"/>
        <w:numPr>
          <w:ilvl w:val="0"/>
          <w:numId w:val="3"/>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存在问题</w:t>
      </w:r>
    </w:p>
    <w:p w14:paraId="434FF3B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偿债资金计划不合理：偿债资金来源单一，主要依赖财政预算安排，缺乏多元化的偿债资金渠道。在制定偿债计划时，未充分考虑财政收入的不确定性和债务到期的集中性，导致偿债资金安排与债务到期时间不匹配，部分债务到期时，因资金不足出现逾期现象。</w:t>
      </w:r>
    </w:p>
    <w:p w14:paraId="3746345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责任落实不到位：没有建立健全债务化解工作责任制度，对各部门、各岗位在债务化解工作中的职责和任务没有明确规定。在债务化解过程中，出现问题时无法确定责任主体，导致工作积极性不高，一些工作任务无法得到有效落实，影响债务化解工作的整体成效。</w:t>
      </w:r>
    </w:p>
    <w:p w14:paraId="4DDFB68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2、原因分析</w:t>
      </w:r>
    </w:p>
    <w:p w14:paraId="3B6734C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财政收入不稳定：三工河乡以农牧业为主，产业结构单一，受自然条件和市场波动影响较大，财政收入不稳定。当遇到自然灾害或农产品市场价格下跌时，财政收入会大幅减少，导致偿债资金难以保障，只能通过借新还旧等方式维持，进一步加剧债务负担。</w:t>
      </w:r>
    </w:p>
    <w:p w14:paraId="7D882D96">
      <w:pPr>
        <w:pageBreakBefore w:val="0"/>
        <w:kinsoku/>
        <w:wordWrap/>
        <w:overflowPunct/>
        <w:topLinePunct w:val="0"/>
        <w:autoSpaceDE/>
        <w:autoSpaceDN/>
        <w:bidi w:val="0"/>
        <w:spacing w:line="560" w:lineRule="exact"/>
        <w:textAlignment w:val="auto"/>
        <w:rPr>
          <w:rFonts w:hint="default" w:ascii="Segoe UI" w:hAnsi="Segoe UI" w:eastAsia="Segoe UI" w:cs="Segoe UI"/>
          <w:i w:val="0"/>
          <w:iCs w:val="0"/>
          <w:caps w:val="0"/>
          <w:color w:val="auto"/>
          <w:spacing w:val="0"/>
          <w:sz w:val="27"/>
          <w:szCs w:val="27"/>
          <w:highlight w:val="none"/>
          <w:shd w:val="clear" w:fill="FFFFFF"/>
          <w:lang w:val="en-US" w:eastAsia="zh-CN"/>
        </w:rPr>
      </w:pPr>
      <w:r>
        <w:rPr>
          <w:rFonts w:hint="eastAsia" w:ascii="仿宋_GB2312" w:hAnsi="仿宋_GB2312" w:eastAsia="仿宋_GB2312" w:cs="仿宋_GB2312"/>
          <w:color w:val="auto"/>
          <w:sz w:val="32"/>
          <w:szCs w:val="32"/>
          <w:highlight w:val="none"/>
          <w:lang w:val="en-US" w:eastAsia="zh-CN"/>
        </w:rPr>
        <w:t>考核监督机制缺失：没有建立健全债务化解工作考核监督机制，对各部门、各岗位的工作成效缺乏有效的考核和评价。缺乏明确的奖惩措施，无法充分调动工作人员的积极性和主动性，导致责任落实不到位。</w:t>
      </w:r>
    </w:p>
    <w:p w14:paraId="26611AF6">
      <w:pPr>
        <w:pStyle w:val="2"/>
        <w:pageBreakBefore w:val="0"/>
        <w:numPr>
          <w:ilvl w:val="0"/>
          <w:numId w:val="4"/>
        </w:numPr>
        <w:kinsoku/>
        <w:wordWrap/>
        <w:overflowPunct/>
        <w:topLinePunct w:val="0"/>
        <w:autoSpaceDE/>
        <w:autoSpaceDN/>
        <w:bidi w:val="0"/>
        <w:adjustRightInd/>
        <w:spacing w:beforeLines="0" w:afterLines="0" w:line="560" w:lineRule="exact"/>
        <w:textAlignment w:val="auto"/>
        <w:rPr>
          <w:color w:val="auto"/>
          <w:highlight w:val="none"/>
        </w:rPr>
      </w:pPr>
      <w:bookmarkStart w:id="148" w:name="_Toc3333"/>
      <w:r>
        <w:rPr>
          <w:rFonts w:hint="eastAsia" w:ascii="黑体" w:hAnsi="黑体" w:eastAsia="黑体" w:cs="黑体"/>
          <w:b w:val="0"/>
          <w:bCs w:val="0"/>
          <w:color w:val="auto"/>
          <w:highlight w:val="none"/>
          <w:shd w:val="clear" w:color="auto" w:fill="auto"/>
          <w:lang w:val="en-US" w:eastAsia="zh-CN"/>
        </w:rPr>
        <w:t>有关建议</w:t>
      </w:r>
      <w:bookmarkEnd w:id="148"/>
    </w:p>
    <w:p w14:paraId="24541C2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优化偿债资金计划：拓宽偿债资金来源渠道，除了财政预算安排外，积极探索通过盘活国有资产、发展特色产业增加财政收入等方式筹集偿债资金。根据债务到期情况和财政收入预测，制定科学合理的偿债计划，合理安排偿债资金，避免债务集中到期带来的风险。建立偿债资金储备制度，预留一定比例的资金作为偿债准备金，增强应对债务风险的能力。</w:t>
      </w:r>
    </w:p>
    <w:p w14:paraId="6B3C955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落实责任追究制度：建立健全债务化解工作责任制度，明确各部门、各岗位在债务化解工作中的职责和任务。制定工作考核办法，对各部门、各岗位的工作成效进行定期考核和评价，将考核结果与干部的绩效挂钩。对在债务化解工作中失职渎职、推诿扯皮等行为，严肃追究相关人员的责任，确保债务化解工作顺利推进。</w:t>
      </w:r>
    </w:p>
    <w:p w14:paraId="5BDE53F2">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9"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49"/>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0AFB57E">
      <w:pPr>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br w:type="page"/>
      </w:r>
    </w:p>
    <w:p w14:paraId="6176A1A3">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0" w:name="_Toc28971"/>
      <w:bookmarkStart w:id="151" w:name="_Toc11349"/>
      <w:r>
        <w:rPr>
          <w:rFonts w:hint="eastAsia" w:ascii="宋体" w:hAnsi="宋体" w:eastAsia="宋体" w:cs="宋体"/>
          <w:b/>
          <w:bCs/>
          <w:color w:val="auto"/>
          <w:highlight w:val="none"/>
          <w:shd w:val="clear" w:color="auto" w:fill="auto"/>
          <w:lang w:val="en-US" w:eastAsia="zh-CN"/>
        </w:rPr>
        <w:t>附件一、项目支出绩效自评表</w:t>
      </w:r>
      <w:bookmarkEnd w:id="150"/>
      <w:bookmarkEnd w:id="151"/>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5"/>
        <w:gridCol w:w="875"/>
        <w:gridCol w:w="875"/>
        <w:gridCol w:w="1035"/>
        <w:gridCol w:w="1195"/>
        <w:gridCol w:w="1195"/>
        <w:gridCol w:w="1275"/>
        <w:gridCol w:w="1035"/>
        <w:gridCol w:w="1195"/>
        <w:gridCol w:w="876"/>
        <w:gridCol w:w="876"/>
        <w:gridCol w:w="876"/>
        <w:gridCol w:w="876"/>
        <w:gridCol w:w="1115"/>
      </w:tblGrid>
      <w:tr w14:paraId="53CED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31AA8F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9572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A8E7F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F6C2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3CF05E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67EBC6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债务化解</w:t>
            </w:r>
          </w:p>
        </w:tc>
      </w:tr>
      <w:tr w14:paraId="10092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3E38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2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122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阜康市三工河哈萨克族乡人民政府</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9234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4331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阜康市三工河哈萨克族乡人民政府</w:t>
            </w:r>
          </w:p>
        </w:tc>
      </w:tr>
      <w:tr w14:paraId="48BD5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4728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BC4A1">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BBF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5FA1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24D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258D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2572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B9E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F188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C0024">
            <w:pPr>
              <w:jc w:val="center"/>
              <w:rPr>
                <w:rFonts w:hint="eastAsia" w:ascii="宋体" w:hAnsi="宋体" w:eastAsia="宋体" w:cs="宋体"/>
                <w:b/>
                <w:bCs/>
                <w:i w:val="0"/>
                <w:iCs w:val="0"/>
                <w:color w:val="000000"/>
                <w:sz w:val="18"/>
                <w:szCs w:val="18"/>
                <w:u w:val="none"/>
              </w:rPr>
            </w:pP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1F10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B9D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575.44</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62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575.44</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9C9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575.44</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FD44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C6A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D84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71AC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8E249">
            <w:pPr>
              <w:jc w:val="center"/>
              <w:rPr>
                <w:rFonts w:hint="eastAsia" w:ascii="宋体" w:hAnsi="宋体" w:eastAsia="宋体" w:cs="宋体"/>
                <w:b/>
                <w:bCs/>
                <w:i w:val="0"/>
                <w:iCs w:val="0"/>
                <w:color w:val="000000"/>
                <w:sz w:val="18"/>
                <w:szCs w:val="18"/>
                <w:u w:val="none"/>
              </w:rPr>
            </w:pP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39DE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7E1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575.44</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EF67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575.44</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F4CF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575.44</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D904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CDA2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553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24B6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8A28E">
            <w:pPr>
              <w:jc w:val="center"/>
              <w:rPr>
                <w:rFonts w:hint="eastAsia" w:ascii="宋体" w:hAnsi="宋体" w:eastAsia="宋体" w:cs="宋体"/>
                <w:b/>
                <w:bCs/>
                <w:i w:val="0"/>
                <w:iCs w:val="0"/>
                <w:color w:val="000000"/>
                <w:sz w:val="18"/>
                <w:szCs w:val="18"/>
                <w:u w:val="none"/>
              </w:rPr>
            </w:pP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307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7FC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6A29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8B4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CA9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9250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4FE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C879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C58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D6E91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6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DF390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B6C2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1F82F">
            <w:pPr>
              <w:jc w:val="center"/>
              <w:rPr>
                <w:rFonts w:hint="eastAsia" w:ascii="宋体" w:hAnsi="宋体" w:eastAsia="宋体" w:cs="宋体"/>
                <w:b/>
                <w:bCs/>
                <w:i w:val="0"/>
                <w:iCs w:val="0"/>
                <w:color w:val="000000"/>
                <w:sz w:val="18"/>
                <w:szCs w:val="18"/>
                <w:u w:val="none"/>
              </w:rPr>
            </w:pPr>
          </w:p>
        </w:tc>
        <w:tc>
          <w:tcPr>
            <w:tcW w:w="19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EB7F5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工河乡按照甲乙双方债务化解协议还款约定，2024年计划对2个企业的2个项目债务进行化解，支付2017年三工乡大泉村改善农村人居环境建设项目（二标段）、拜斯胡木特色乡镇建设项目工程款575.44万元，资金使用合规率及资金支付及时率预计达到100%，通过项目的实施，预期达到化解单位债务，提升单位和政府形象，完善政府债务化解机制的效益。</w:t>
            </w:r>
          </w:p>
        </w:tc>
        <w:tc>
          <w:tcPr>
            <w:tcW w:w="286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95027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对2个企业的2个项目债务进行化解，支付2017年三工乡大泉村改善农村人居环境建设项目（二标段）、拜斯胡木特色乡镇建设项目工程款575.44万元，资金使用合规率及资金支付及时率已达到100%，已化解单位债务，提升单位和政府形象，完善政府债务化解机制。</w:t>
            </w:r>
          </w:p>
        </w:tc>
      </w:tr>
      <w:tr w14:paraId="5E6FE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8E360">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0752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20C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0A3A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79F4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C50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75AC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0D86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E5C3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35DC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132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DFCE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BD7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4108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2B69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A93F3">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9ADAC">
            <w:pPr>
              <w:jc w:val="center"/>
              <w:rPr>
                <w:rFonts w:hint="eastAsia" w:ascii="宋体" w:hAnsi="宋体" w:eastAsia="宋体" w:cs="宋体"/>
                <w:b/>
                <w:bCs/>
                <w:i w:val="0"/>
                <w:iCs w:val="0"/>
                <w:color w:val="000000"/>
                <w:sz w:val="18"/>
                <w:szCs w:val="18"/>
                <w:u w:val="none"/>
              </w:rPr>
            </w:pPr>
          </w:p>
        </w:tc>
        <w:tc>
          <w:tcPr>
            <w:tcW w:w="2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630A9">
            <w:pPr>
              <w:jc w:val="center"/>
              <w:rPr>
                <w:rFonts w:hint="eastAsia" w:ascii="宋体" w:hAnsi="宋体" w:eastAsia="宋体" w:cs="宋体"/>
                <w:b/>
                <w:bCs/>
                <w:i w:val="0"/>
                <w:iCs w:val="0"/>
                <w:color w:val="000000"/>
                <w:sz w:val="18"/>
                <w:szCs w:val="18"/>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DB85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C9BA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73375">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596D1">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A2422">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1377E">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458E7">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51303">
            <w:pPr>
              <w:jc w:val="center"/>
              <w:rPr>
                <w:rFonts w:hint="eastAsia" w:ascii="宋体" w:hAnsi="宋体" w:eastAsia="宋体" w:cs="宋体"/>
                <w:b/>
                <w:bCs/>
                <w:i w:val="0"/>
                <w:iCs w:val="0"/>
                <w:color w:val="000000"/>
                <w:sz w:val="18"/>
                <w:szCs w:val="18"/>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6D3AA">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47E67">
            <w:pPr>
              <w:jc w:val="center"/>
              <w:rPr>
                <w:rFonts w:hint="eastAsia" w:ascii="宋体" w:hAnsi="宋体" w:eastAsia="宋体" w:cs="宋体"/>
                <w:b/>
                <w:bCs/>
                <w:i w:val="0"/>
                <w:iCs w:val="0"/>
                <w:color w:val="000000"/>
                <w:sz w:val="18"/>
                <w:szCs w:val="18"/>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2012F">
            <w:pPr>
              <w:jc w:val="center"/>
              <w:rPr>
                <w:rFonts w:hint="eastAsia" w:ascii="宋体" w:hAnsi="宋体" w:eastAsia="宋体" w:cs="宋体"/>
                <w:b/>
                <w:bCs/>
                <w:i w:val="0"/>
                <w:iCs w:val="0"/>
                <w:color w:val="000000"/>
                <w:sz w:val="18"/>
                <w:szCs w:val="18"/>
                <w:u w:val="none"/>
              </w:rPr>
            </w:pPr>
          </w:p>
        </w:tc>
      </w:tr>
      <w:tr w14:paraId="774C6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6282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4"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0677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644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64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88D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41A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&gt;=2个</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58E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0D17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8DD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EA5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36F1C">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A46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778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AF844">
            <w:pPr>
              <w:jc w:val="center"/>
              <w:rPr>
                <w:rFonts w:hint="eastAsia" w:ascii="宋体" w:hAnsi="宋体" w:eastAsia="宋体" w:cs="宋体"/>
                <w:i w:val="0"/>
                <w:iCs w:val="0"/>
                <w:color w:val="000000"/>
                <w:sz w:val="18"/>
                <w:szCs w:val="18"/>
                <w:u w:val="none"/>
              </w:rPr>
            </w:pPr>
          </w:p>
        </w:tc>
      </w:tr>
      <w:tr w14:paraId="09910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08AEB">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1B762">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A90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00F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化债项目涉及企业</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063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82E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&gt;=2个</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F72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0CC6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72C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FF8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A076E">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4A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D51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67966">
            <w:pPr>
              <w:jc w:val="center"/>
              <w:rPr>
                <w:rFonts w:hint="eastAsia" w:ascii="宋体" w:hAnsi="宋体" w:eastAsia="宋体" w:cs="宋体"/>
                <w:i w:val="0"/>
                <w:iCs w:val="0"/>
                <w:color w:val="000000"/>
                <w:sz w:val="18"/>
                <w:szCs w:val="18"/>
                <w:u w:val="none"/>
              </w:rPr>
            </w:pPr>
          </w:p>
        </w:tc>
      </w:tr>
      <w:tr w14:paraId="71B2B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02731">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C7DAD">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096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00D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223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A2C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C09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0D54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64A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A14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2861B">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52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DB4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F39D0">
            <w:pPr>
              <w:jc w:val="center"/>
              <w:rPr>
                <w:rFonts w:hint="eastAsia" w:ascii="宋体" w:hAnsi="宋体" w:eastAsia="宋体" w:cs="宋体"/>
                <w:i w:val="0"/>
                <w:iCs w:val="0"/>
                <w:color w:val="000000"/>
                <w:sz w:val="18"/>
                <w:szCs w:val="18"/>
                <w:u w:val="none"/>
              </w:rPr>
            </w:pPr>
          </w:p>
        </w:tc>
      </w:tr>
      <w:tr w14:paraId="6A17F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2DA9C">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327EA">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87C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04F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任务完成时间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0E1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B10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A81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F15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DD2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8BE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1C56">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66D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920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5F11D">
            <w:pPr>
              <w:jc w:val="center"/>
              <w:rPr>
                <w:rFonts w:hint="eastAsia" w:ascii="宋体" w:hAnsi="宋体" w:eastAsia="宋体" w:cs="宋体"/>
                <w:i w:val="0"/>
                <w:iCs w:val="0"/>
                <w:color w:val="000000"/>
                <w:sz w:val="18"/>
                <w:szCs w:val="18"/>
                <w:u w:val="none"/>
              </w:rPr>
            </w:pPr>
          </w:p>
        </w:tc>
      </w:tr>
      <w:tr w14:paraId="5B044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3F19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513C0">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08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FCC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7FA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F62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CB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83C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6F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414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8295C">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452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95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15284">
            <w:pPr>
              <w:jc w:val="center"/>
              <w:rPr>
                <w:rFonts w:hint="eastAsia" w:ascii="宋体" w:hAnsi="宋体" w:eastAsia="宋体" w:cs="宋体"/>
                <w:i w:val="0"/>
                <w:iCs w:val="0"/>
                <w:color w:val="000000"/>
                <w:sz w:val="18"/>
                <w:szCs w:val="18"/>
                <w:u w:val="none"/>
              </w:rPr>
            </w:pPr>
          </w:p>
        </w:tc>
      </w:tr>
      <w:tr w14:paraId="0B785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C2F77">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BE1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47D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182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2017年三工乡大泉村改善农村人居环境建设项目（二标段）</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1E9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F7A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227.91万元</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108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=227.91万元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0811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179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509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DB925">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257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4B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6A576">
            <w:pPr>
              <w:jc w:val="center"/>
              <w:rPr>
                <w:rFonts w:hint="eastAsia" w:ascii="宋体" w:hAnsi="宋体" w:eastAsia="宋体" w:cs="宋体"/>
                <w:i w:val="0"/>
                <w:iCs w:val="0"/>
                <w:color w:val="000000"/>
                <w:sz w:val="18"/>
                <w:szCs w:val="18"/>
                <w:u w:val="none"/>
              </w:rPr>
            </w:pPr>
          </w:p>
        </w:tc>
      </w:tr>
      <w:tr w14:paraId="062AD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F8AB7">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3D6A8">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A56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0D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2017年拜斯胡木特色乡镇建设项目</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E9E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BE6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347.53万元</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821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=347.53万元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A6FE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4BA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A76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83B25">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2A8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745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036D9">
            <w:pPr>
              <w:jc w:val="center"/>
              <w:rPr>
                <w:rFonts w:hint="eastAsia" w:ascii="宋体" w:hAnsi="宋体" w:eastAsia="宋体" w:cs="宋体"/>
                <w:i w:val="0"/>
                <w:iCs w:val="0"/>
                <w:color w:val="000000"/>
                <w:sz w:val="18"/>
                <w:szCs w:val="18"/>
                <w:u w:val="none"/>
              </w:rPr>
            </w:pPr>
          </w:p>
        </w:tc>
      </w:tr>
      <w:tr w14:paraId="444C2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2A8C6">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52D31">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42D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4D28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36DD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400BB">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CCB2F">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E07E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D627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051C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CF4E4">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157FD">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3DDBC">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C7648">
            <w:pPr>
              <w:jc w:val="center"/>
              <w:rPr>
                <w:rFonts w:hint="eastAsia" w:ascii="宋体" w:hAnsi="宋体" w:eastAsia="宋体" w:cs="宋体"/>
                <w:i w:val="0"/>
                <w:iCs w:val="0"/>
                <w:color w:val="000000"/>
                <w:sz w:val="18"/>
                <w:szCs w:val="18"/>
                <w:u w:val="none"/>
              </w:rPr>
            </w:pPr>
          </w:p>
        </w:tc>
      </w:tr>
      <w:tr w14:paraId="2C40F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4FD36">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4856D">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5D0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F23D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821F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13A45">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36522">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5CD4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2FBF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869A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816F0">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B0F47">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53A2C">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21038">
            <w:pPr>
              <w:jc w:val="center"/>
              <w:rPr>
                <w:rFonts w:hint="eastAsia" w:ascii="宋体" w:hAnsi="宋体" w:eastAsia="宋体" w:cs="宋体"/>
                <w:i w:val="0"/>
                <w:iCs w:val="0"/>
                <w:color w:val="000000"/>
                <w:sz w:val="18"/>
                <w:szCs w:val="18"/>
                <w:u w:val="none"/>
              </w:rPr>
            </w:pPr>
          </w:p>
        </w:tc>
      </w:tr>
      <w:tr w14:paraId="23A85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933EC">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1C77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65B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A704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C0D6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2B712">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DD78D">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A063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73C1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429C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FE665">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40F1A">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656C7">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E695C">
            <w:pPr>
              <w:jc w:val="center"/>
              <w:rPr>
                <w:rFonts w:hint="eastAsia" w:ascii="宋体" w:hAnsi="宋体" w:eastAsia="宋体" w:cs="宋体"/>
                <w:i w:val="0"/>
                <w:iCs w:val="0"/>
                <w:color w:val="000000"/>
                <w:sz w:val="18"/>
                <w:szCs w:val="18"/>
                <w:u w:val="none"/>
              </w:rPr>
            </w:pPr>
          </w:p>
        </w:tc>
      </w:tr>
      <w:tr w14:paraId="7F58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A524B">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7ACDC">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BB1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950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化解单位债务，提升单位和政府形象</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757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8C8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AAE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EC26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35A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89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6183F">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CF1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0A5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A08A1">
            <w:pPr>
              <w:jc w:val="center"/>
              <w:rPr>
                <w:rFonts w:hint="eastAsia" w:ascii="宋体" w:hAnsi="宋体" w:eastAsia="宋体" w:cs="宋体"/>
                <w:i w:val="0"/>
                <w:iCs w:val="0"/>
                <w:color w:val="000000"/>
                <w:sz w:val="18"/>
                <w:szCs w:val="18"/>
                <w:u w:val="none"/>
              </w:rPr>
            </w:pPr>
          </w:p>
        </w:tc>
      </w:tr>
      <w:tr w14:paraId="645D4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067FF">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43BC7">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868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F8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完善政府债务化解机制</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BD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55D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448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F4B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38C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5CB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6566A">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728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58C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F595A">
            <w:pPr>
              <w:jc w:val="center"/>
              <w:rPr>
                <w:rFonts w:hint="eastAsia" w:ascii="宋体" w:hAnsi="宋体" w:eastAsia="宋体" w:cs="宋体"/>
                <w:i w:val="0"/>
                <w:iCs w:val="0"/>
                <w:color w:val="000000"/>
                <w:sz w:val="18"/>
                <w:szCs w:val="18"/>
                <w:u w:val="none"/>
              </w:rPr>
            </w:pPr>
          </w:p>
        </w:tc>
      </w:tr>
      <w:tr w14:paraId="6DAA7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1813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FA16D">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AEE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D0F8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96C2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BC376">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E7FD2">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0E64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393D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36AA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FA9EE">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0F9D9">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0C55D">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3F001">
            <w:pPr>
              <w:jc w:val="center"/>
              <w:rPr>
                <w:rFonts w:hint="eastAsia" w:ascii="宋体" w:hAnsi="宋体" w:eastAsia="宋体" w:cs="宋体"/>
                <w:i w:val="0"/>
                <w:iCs w:val="0"/>
                <w:color w:val="000000"/>
                <w:sz w:val="18"/>
                <w:szCs w:val="18"/>
                <w:u w:val="none"/>
              </w:rPr>
            </w:pPr>
          </w:p>
        </w:tc>
      </w:tr>
      <w:tr w14:paraId="57E53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B5743">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130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FA2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C209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93A0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FDD81">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82ACE">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9CE1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4F7F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6DE9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E374F">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410B9">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0157F">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76384">
            <w:pPr>
              <w:jc w:val="center"/>
              <w:rPr>
                <w:rFonts w:hint="eastAsia" w:ascii="宋体" w:hAnsi="宋体" w:eastAsia="宋体" w:cs="宋体"/>
                <w:i w:val="0"/>
                <w:iCs w:val="0"/>
                <w:color w:val="000000"/>
                <w:sz w:val="18"/>
                <w:szCs w:val="18"/>
                <w:u w:val="none"/>
              </w:rPr>
            </w:pPr>
          </w:p>
        </w:tc>
      </w:tr>
      <w:bookmarkEnd w:id="154"/>
      <w:tr w14:paraId="5805F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49" w:type="pct"/>
            <w:gridSpan w:val="4"/>
            <w:tcBorders>
              <w:top w:val="single" w:color="000000" w:sz="4" w:space="0"/>
              <w:left w:val="single" w:color="000000" w:sz="4" w:space="0"/>
              <w:bottom w:val="single" w:color="000000" w:sz="4" w:space="0"/>
              <w:right w:val="nil"/>
            </w:tcBorders>
            <w:shd w:val="clear" w:color="auto" w:fill="auto"/>
            <w:vAlign w:val="center"/>
          </w:tcPr>
          <w:p w14:paraId="284B0E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C0E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nil"/>
              <w:bottom w:val="single" w:color="000000" w:sz="4" w:space="0"/>
              <w:right w:val="single" w:color="000000" w:sz="4" w:space="0"/>
            </w:tcBorders>
            <w:shd w:val="clear" w:color="auto" w:fill="auto"/>
            <w:vAlign w:val="center"/>
          </w:tcPr>
          <w:p w14:paraId="56E1D12C">
            <w:pPr>
              <w:rPr>
                <w:rFonts w:hint="eastAsia" w:ascii="宋体" w:hAnsi="宋体" w:eastAsia="宋体" w:cs="宋体"/>
                <w:b/>
                <w:bCs/>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2231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CF00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26E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E0842">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EC88C">
            <w:pP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4422D">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AFAAB">
            <w:pP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7FFAD">
            <w:pPr>
              <w:rPr>
                <w:rFonts w:hint="eastAsia" w:ascii="宋体" w:hAnsi="宋体" w:eastAsia="宋体" w:cs="宋体"/>
                <w:i w:val="0"/>
                <w:iCs w:val="0"/>
                <w:color w:val="000000"/>
                <w:sz w:val="18"/>
                <w:szCs w:val="18"/>
                <w:u w:val="none"/>
              </w:rPr>
            </w:pPr>
          </w:p>
        </w:tc>
      </w:tr>
    </w:tbl>
    <w:p w14:paraId="0D2C1648">
      <w:pPr>
        <w:ind w:left="0" w:leftChars="0" w:firstLine="0" w:firstLineChars="0"/>
        <w:jc w:val="center"/>
        <w:rPr>
          <w:color w:val="auto"/>
          <w:highlight w:val="none"/>
        </w:rPr>
      </w:pPr>
      <w:r>
        <w:rPr>
          <w:color w:val="auto"/>
          <w:highlight w:val="none"/>
        </w:rPr>
        <w:br w:type="page"/>
      </w:r>
    </w:p>
    <w:p w14:paraId="351BC9DD">
      <w:pPr>
        <w:pStyle w:val="2"/>
        <w:pageBreakBefore w:val="0"/>
        <w:numPr>
          <w:ilvl w:val="0"/>
          <w:numId w:val="0"/>
        </w:numPr>
        <w:kinsoku/>
        <w:wordWrap/>
        <w:overflowPunct/>
        <w:topLinePunct w:val="0"/>
        <w:autoSpaceDE/>
        <w:autoSpaceDN/>
        <w:bidi w:val="0"/>
        <w:adjustRightInd/>
        <w:spacing w:beforeLines="0" w:afterLines="0" w:line="560" w:lineRule="exact"/>
        <w:jc w:val="center"/>
        <w:textAlignment w:val="auto"/>
        <w:rPr>
          <w:rFonts w:hint="eastAsia" w:ascii="宋体" w:hAnsi="宋体" w:eastAsia="宋体" w:cs="宋体"/>
          <w:b/>
          <w:bCs/>
          <w:color w:val="auto"/>
          <w:highlight w:val="none"/>
          <w:shd w:val="clear" w:color="auto" w:fill="auto"/>
          <w:lang w:val="en-US" w:eastAsia="zh-CN"/>
        </w:rPr>
      </w:pPr>
      <w:bookmarkStart w:id="152" w:name="_Toc11223"/>
      <w:bookmarkStart w:id="153"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2"/>
      <w:bookmarkEnd w:id="153"/>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5E9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26520DD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7A0BBC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2FA174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38EAE7F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0CB8E8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32AAC92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082618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786DB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40BB35A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w:t>
            </w:r>
          </w:p>
          <w:p w14:paraId="76132D0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p w14:paraId="1DFDEAA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039169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w:t>
            </w:r>
          </w:p>
        </w:tc>
        <w:tc>
          <w:tcPr>
            <w:tcW w:w="820" w:type="dxa"/>
            <w:shd w:val="clear" w:color="auto" w:fill="auto"/>
            <w:noWrap w:val="0"/>
            <w:vAlign w:val="center"/>
          </w:tcPr>
          <w:p w14:paraId="113261D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0A060E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50BAC6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61CACC3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2304B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6AACCFA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119769B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44E4711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007AFCB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055B1F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8ADE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7EEDF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2E029AF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9CCEAE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E18B38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4EB464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013A5FF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38C443C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A17845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54C8F6F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5DC76C0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1FFAA8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A2197FF">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2.2</w:t>
            </w:r>
          </w:p>
        </w:tc>
      </w:tr>
      <w:tr w14:paraId="7E79F3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57D5481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FC18B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74FEF92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43B91AC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687F976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6413F68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0971B2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34BB542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73FD88D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134B6A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37AFD1C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693F28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CD0329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014BD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2A821B4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w:t>
            </w:r>
          </w:p>
        </w:tc>
        <w:tc>
          <w:tcPr>
            <w:tcW w:w="727" w:type="dxa"/>
            <w:shd w:val="clear" w:color="auto" w:fill="auto"/>
            <w:noWrap w:val="0"/>
            <w:vAlign w:val="center"/>
          </w:tcPr>
          <w:p w14:paraId="6C0728F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4555912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3AA91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769D26D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E78773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70573C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21C3BF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4F2654F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723D507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5C55F5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3D2005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2BF3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2384639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73924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7606A7D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7E9A533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466FBD9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12C5DE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21C56D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6D67E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6DD7C3D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6BA9644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3A1E83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A162E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D90573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4075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61F9655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CE983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92794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0593923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19F4B3B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3E15302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479FBE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452BBEE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4B515D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346425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691A1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07F3ABAB">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664F27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59310EF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077964D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1ADA798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14:paraId="36DE915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5B2C56F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0F29A2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4A7E6F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3444B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225309B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397FEA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6F97808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104055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0EC10D0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FCBCA2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6DBB3C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A742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2E731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3FEA97C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p w14:paraId="724C694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shd w:val="clear" w:color="auto" w:fill="auto"/>
            <w:noWrap w:val="0"/>
            <w:vAlign w:val="center"/>
          </w:tcPr>
          <w:p w14:paraId="30579F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60C0BC0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7CA9C8D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5ECE4F2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1E370F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F62F2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08F0F5C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7440C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571038B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11F1F3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AA0613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6F1A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71FA763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10C6C4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01F8612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36E601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7BF89B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25C977D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6B27CBD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1748E2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36CEF50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1A3B5E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CB3E02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9640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DCFD76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AA30B8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5D7A8C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610759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21A280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3C7D310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AA7197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2E046B8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62AE1EE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76F8F76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679BB06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3C9683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C338B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14:paraId="66F502F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4A362E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1FA98F1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化解债务项目数量</w:t>
            </w:r>
          </w:p>
          <w:p w14:paraId="41FB4F9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化债项目涉及企业</w:t>
            </w:r>
          </w:p>
        </w:tc>
        <w:tc>
          <w:tcPr>
            <w:tcW w:w="2141" w:type="dxa"/>
            <w:shd w:val="clear" w:color="auto" w:fill="auto"/>
            <w:noWrap w:val="0"/>
            <w:vAlign w:val="center"/>
          </w:tcPr>
          <w:p w14:paraId="0E786B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054884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1EF466B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5976E2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7DDDED3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509415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09AB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61C5AA7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920C75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63E37E0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化解债务项目数量</w:t>
            </w:r>
          </w:p>
          <w:p w14:paraId="38E3C03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化债项目涉及企业</w:t>
            </w:r>
          </w:p>
        </w:tc>
        <w:tc>
          <w:tcPr>
            <w:tcW w:w="2141" w:type="dxa"/>
            <w:shd w:val="clear" w:color="auto" w:fill="auto"/>
            <w:noWrap w:val="0"/>
            <w:vAlign w:val="center"/>
          </w:tcPr>
          <w:p w14:paraId="3C14D50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D811CC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EB24AF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769C3B4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E20F4C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767EA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9C778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1265D19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24489FC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787D3A7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资金使用合规率</w:t>
            </w:r>
          </w:p>
        </w:tc>
        <w:tc>
          <w:tcPr>
            <w:tcW w:w="2141" w:type="dxa"/>
            <w:shd w:val="clear" w:color="auto" w:fill="auto"/>
            <w:noWrap w:val="0"/>
            <w:vAlign w:val="center"/>
          </w:tcPr>
          <w:p w14:paraId="28A20DC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42951D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746E95B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292E7A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4371676">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290D28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0715BD6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1634862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7536209">
            <w:pPr>
              <w:keepNext w:val="0"/>
              <w:keepLines w:val="0"/>
              <w:widowControl/>
              <w:suppressLineNumbers w:val="0"/>
              <w:ind w:left="0" w:leftChars="0" w:firstLine="0" w:firstLineChars="0"/>
              <w:jc w:val="center"/>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任务完成时间</w:t>
            </w:r>
          </w:p>
        </w:tc>
        <w:tc>
          <w:tcPr>
            <w:tcW w:w="2141" w:type="dxa"/>
            <w:shd w:val="clear" w:color="auto" w:fill="auto"/>
            <w:noWrap w:val="0"/>
            <w:vAlign w:val="center"/>
          </w:tcPr>
          <w:p w14:paraId="1653BEB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60F18BA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122C819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55F0DE4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CF04BD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3F0D2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E0870D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73AEA11">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613215A8">
            <w:pPr>
              <w:keepNext w:val="0"/>
              <w:keepLines w:val="0"/>
              <w:widowControl/>
              <w:suppressLineNumbers w:val="0"/>
              <w:ind w:left="0" w:leftChars="0" w:firstLine="0" w:firstLineChars="0"/>
              <w:jc w:val="center"/>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资金支付及时率</w:t>
            </w:r>
          </w:p>
        </w:tc>
        <w:tc>
          <w:tcPr>
            <w:tcW w:w="2141" w:type="dxa"/>
            <w:shd w:val="clear" w:color="auto" w:fill="auto"/>
            <w:noWrap w:val="0"/>
            <w:vAlign w:val="center"/>
          </w:tcPr>
          <w:p w14:paraId="14109DE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299A116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0C1CBC7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2AFCEBB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3AC4A0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A469C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6A71A06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AF1DD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1CFF2D03">
            <w:pPr>
              <w:keepNext w:val="0"/>
              <w:keepLines w:val="0"/>
              <w:widowControl/>
              <w:suppressLineNumbers w:val="0"/>
              <w:ind w:left="0" w:leftChars="0" w:firstLine="0" w:firstLineChars="0"/>
              <w:jc w:val="center"/>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2017年三工乡大泉村改善农村人居环境建设项目（二标段）</w:t>
            </w:r>
          </w:p>
        </w:tc>
        <w:tc>
          <w:tcPr>
            <w:tcW w:w="2141" w:type="dxa"/>
            <w:shd w:val="clear" w:color="auto" w:fill="auto"/>
            <w:noWrap w:val="0"/>
            <w:vAlign w:val="center"/>
          </w:tcPr>
          <w:p w14:paraId="2127842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46A4449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p>
          <w:p w14:paraId="4EABF46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61047B2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5E136D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90AA54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097819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63F5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3FB3CEC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EF6DEA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63D6D983">
            <w:pPr>
              <w:keepNext w:val="0"/>
              <w:keepLines w:val="0"/>
              <w:widowControl/>
              <w:suppressLineNumbers w:val="0"/>
              <w:ind w:left="0" w:leftChars="0" w:firstLine="0" w:firstLineChars="0"/>
              <w:jc w:val="center"/>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2017年拜斯胡木特色乡镇建设项目</w:t>
            </w:r>
          </w:p>
        </w:tc>
        <w:tc>
          <w:tcPr>
            <w:tcW w:w="2141" w:type="dxa"/>
            <w:shd w:val="clear" w:color="auto" w:fill="auto"/>
            <w:noWrap w:val="0"/>
            <w:vAlign w:val="center"/>
          </w:tcPr>
          <w:p w14:paraId="05D985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1CC874D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p>
          <w:p w14:paraId="6C269D2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6CC46D4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5619CB9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72C366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CF205E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1AD3A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5ADABF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w:t>
            </w:r>
          </w:p>
        </w:tc>
        <w:tc>
          <w:tcPr>
            <w:tcW w:w="727" w:type="dxa"/>
            <w:vMerge w:val="restart"/>
            <w:shd w:val="clear" w:color="auto" w:fill="auto"/>
            <w:noWrap w:val="0"/>
            <w:vAlign w:val="center"/>
          </w:tcPr>
          <w:p w14:paraId="7217EA3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w:t>
            </w:r>
          </w:p>
        </w:tc>
        <w:tc>
          <w:tcPr>
            <w:tcW w:w="820" w:type="dxa"/>
            <w:shd w:val="clear" w:color="auto" w:fill="auto"/>
            <w:noWrap w:val="0"/>
            <w:vAlign w:val="center"/>
          </w:tcPr>
          <w:p w14:paraId="0F671F6F">
            <w:pPr>
              <w:keepNext w:val="0"/>
              <w:keepLines w:val="0"/>
              <w:widowControl/>
              <w:suppressLineNumbers w:val="0"/>
              <w:ind w:left="0" w:leftChars="0" w:firstLine="0" w:firstLineChars="0"/>
              <w:jc w:val="center"/>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化解单位债务，提升单位和政府形象</w:t>
            </w:r>
          </w:p>
        </w:tc>
        <w:tc>
          <w:tcPr>
            <w:tcW w:w="2141" w:type="dxa"/>
            <w:shd w:val="clear" w:color="auto" w:fill="auto"/>
            <w:noWrap w:val="0"/>
            <w:vAlign w:val="center"/>
          </w:tcPr>
          <w:p w14:paraId="6224CC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0D14251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7D73F2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328C1A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A428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2DD32A6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8F9B6C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65B1277">
            <w:pPr>
              <w:keepNext w:val="0"/>
              <w:keepLines w:val="0"/>
              <w:widowControl/>
              <w:suppressLineNumbers w:val="0"/>
              <w:ind w:left="0" w:leftChars="0" w:firstLine="0" w:firstLineChars="0"/>
              <w:jc w:val="center"/>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完善政府债务化解机制</w:t>
            </w:r>
          </w:p>
        </w:tc>
        <w:tc>
          <w:tcPr>
            <w:tcW w:w="2141" w:type="dxa"/>
            <w:shd w:val="clear" w:color="auto" w:fill="auto"/>
            <w:noWrap w:val="0"/>
            <w:vAlign w:val="center"/>
          </w:tcPr>
          <w:p w14:paraId="10D05F3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2909AE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BC3B8B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81B6B6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8B885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51055A5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A7991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1810DDA">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企业的满</w:t>
            </w:r>
            <w:r>
              <w:rPr>
                <w:rFonts w:hint="eastAsia" w:cs="宋体"/>
                <w:color w:val="auto"/>
                <w:kern w:val="0"/>
                <w:sz w:val="22"/>
                <w:szCs w:val="22"/>
                <w:highlight w:val="none"/>
                <w:lang w:val="en-US" w:eastAsia="zh-CN"/>
              </w:rPr>
              <w:t>意度</w:t>
            </w:r>
          </w:p>
        </w:tc>
        <w:tc>
          <w:tcPr>
            <w:tcW w:w="2141" w:type="dxa"/>
            <w:shd w:val="clear" w:color="auto" w:fill="auto"/>
            <w:noWrap w:val="0"/>
            <w:vAlign w:val="center"/>
          </w:tcPr>
          <w:p w14:paraId="400556C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4296F09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4EFCB6B3">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3B3A65C3">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20DA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718D082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30E15A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2C8BFD0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705384D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99.2</w:t>
            </w:r>
          </w:p>
        </w:tc>
      </w:tr>
    </w:tbl>
    <w:p w14:paraId="336B3C9F">
      <w:pPr>
        <w:pageBreakBefore w:val="0"/>
        <w:kinsoku/>
        <w:wordWrap/>
        <w:overflowPunct/>
        <w:topLinePunct w:val="0"/>
        <w:autoSpaceDE/>
        <w:autoSpaceDN/>
        <w:bidi w:val="0"/>
        <w:spacing w:line="560" w:lineRule="exact"/>
        <w:jc w:val="center"/>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50239F"/>
    <w:multiLevelType w:val="singleLevel"/>
    <w:tmpl w:val="8B50239F"/>
    <w:lvl w:ilvl="0" w:tentative="0">
      <w:start w:val="1"/>
      <w:numFmt w:val="decimal"/>
      <w:suff w:val="nothing"/>
      <w:lvlText w:val="%1、"/>
      <w:lvlJc w:val="left"/>
    </w:lvl>
  </w:abstractNum>
  <w:abstractNum w:abstractNumId="1">
    <w:nsid w:val="992FA80D"/>
    <w:multiLevelType w:val="singleLevel"/>
    <w:tmpl w:val="992FA80D"/>
    <w:lvl w:ilvl="0" w:tentative="0">
      <w:start w:val="1"/>
      <w:numFmt w:val="decimal"/>
      <w:suff w:val="nothing"/>
      <w:lvlText w:val="（%1）"/>
      <w:lvlJc w:val="left"/>
    </w:lvl>
  </w:abstractNum>
  <w:abstractNum w:abstractNumId="2">
    <w:nsid w:val="B9362D3E"/>
    <w:multiLevelType w:val="singleLevel"/>
    <w:tmpl w:val="B9362D3E"/>
    <w:lvl w:ilvl="0" w:tentative="0">
      <w:start w:val="6"/>
      <w:numFmt w:val="chineseCounting"/>
      <w:suff w:val="nothing"/>
      <w:lvlText w:val="%1、"/>
      <w:lvlJc w:val="left"/>
      <w:rPr>
        <w:rFonts w:hint="eastAsia"/>
      </w:rPr>
    </w:lvl>
  </w:abstractNum>
  <w:abstractNum w:abstractNumId="3">
    <w:nsid w:val="F4CD2B0F"/>
    <w:multiLevelType w:val="singleLevel"/>
    <w:tmpl w:val="F4CD2B0F"/>
    <w:lvl w:ilvl="0" w:tentative="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810A7C"/>
    <w:rsid w:val="02B015E2"/>
    <w:rsid w:val="02DC08FA"/>
    <w:rsid w:val="033B569D"/>
    <w:rsid w:val="039C3BA0"/>
    <w:rsid w:val="03A845BB"/>
    <w:rsid w:val="03B45AD1"/>
    <w:rsid w:val="04D12EE4"/>
    <w:rsid w:val="04D63993"/>
    <w:rsid w:val="07830DF3"/>
    <w:rsid w:val="07890F4F"/>
    <w:rsid w:val="08892439"/>
    <w:rsid w:val="08EB30F3"/>
    <w:rsid w:val="09237408"/>
    <w:rsid w:val="0969226A"/>
    <w:rsid w:val="09781BD6"/>
    <w:rsid w:val="09F359DF"/>
    <w:rsid w:val="0A575E65"/>
    <w:rsid w:val="0ACA0AB6"/>
    <w:rsid w:val="0C032502"/>
    <w:rsid w:val="0C27698C"/>
    <w:rsid w:val="0CF70669"/>
    <w:rsid w:val="0D4452F3"/>
    <w:rsid w:val="0F5E5042"/>
    <w:rsid w:val="0FE95707"/>
    <w:rsid w:val="10510571"/>
    <w:rsid w:val="10787A20"/>
    <w:rsid w:val="108672DE"/>
    <w:rsid w:val="10EC685A"/>
    <w:rsid w:val="11FA6155"/>
    <w:rsid w:val="12CF0947"/>
    <w:rsid w:val="12F1313F"/>
    <w:rsid w:val="136C678E"/>
    <w:rsid w:val="13EB2FF5"/>
    <w:rsid w:val="14ED4CAC"/>
    <w:rsid w:val="15510BEF"/>
    <w:rsid w:val="15A46B04"/>
    <w:rsid w:val="165825BC"/>
    <w:rsid w:val="16BC5D73"/>
    <w:rsid w:val="176F36D7"/>
    <w:rsid w:val="1795226D"/>
    <w:rsid w:val="18456B1E"/>
    <w:rsid w:val="1A9A04D5"/>
    <w:rsid w:val="1BCC2910"/>
    <w:rsid w:val="1C1171C5"/>
    <w:rsid w:val="1D265138"/>
    <w:rsid w:val="1D7B6BCA"/>
    <w:rsid w:val="1DA41A79"/>
    <w:rsid w:val="1DF53469"/>
    <w:rsid w:val="1E07142E"/>
    <w:rsid w:val="1E2F24F2"/>
    <w:rsid w:val="1E58492F"/>
    <w:rsid w:val="1E5B6757"/>
    <w:rsid w:val="1ED10AC6"/>
    <w:rsid w:val="1F89225F"/>
    <w:rsid w:val="1F900A1F"/>
    <w:rsid w:val="1FC0575D"/>
    <w:rsid w:val="206132C7"/>
    <w:rsid w:val="20B97FD9"/>
    <w:rsid w:val="21B00C1D"/>
    <w:rsid w:val="23031BEB"/>
    <w:rsid w:val="23201794"/>
    <w:rsid w:val="23327FC0"/>
    <w:rsid w:val="23917691"/>
    <w:rsid w:val="244D65B8"/>
    <w:rsid w:val="245E1E24"/>
    <w:rsid w:val="25AD5E5D"/>
    <w:rsid w:val="2732478D"/>
    <w:rsid w:val="27661469"/>
    <w:rsid w:val="27900EAD"/>
    <w:rsid w:val="279B538A"/>
    <w:rsid w:val="286F545C"/>
    <w:rsid w:val="289742A6"/>
    <w:rsid w:val="29314FBC"/>
    <w:rsid w:val="2AA2081A"/>
    <w:rsid w:val="2C024B86"/>
    <w:rsid w:val="2C927671"/>
    <w:rsid w:val="2CC6306F"/>
    <w:rsid w:val="2D7C5CD6"/>
    <w:rsid w:val="2E483E7E"/>
    <w:rsid w:val="2E690493"/>
    <w:rsid w:val="2E9854BD"/>
    <w:rsid w:val="2F0D407F"/>
    <w:rsid w:val="2F454B19"/>
    <w:rsid w:val="2FBE65BC"/>
    <w:rsid w:val="310224D9"/>
    <w:rsid w:val="31B4621C"/>
    <w:rsid w:val="31E3230A"/>
    <w:rsid w:val="330957E0"/>
    <w:rsid w:val="33356F64"/>
    <w:rsid w:val="33944516"/>
    <w:rsid w:val="34B62907"/>
    <w:rsid w:val="36745C27"/>
    <w:rsid w:val="36BD137C"/>
    <w:rsid w:val="3700570C"/>
    <w:rsid w:val="38053EDF"/>
    <w:rsid w:val="380812A4"/>
    <w:rsid w:val="385D37E7"/>
    <w:rsid w:val="38782EDD"/>
    <w:rsid w:val="3B42664A"/>
    <w:rsid w:val="3C065573"/>
    <w:rsid w:val="3CAD1E92"/>
    <w:rsid w:val="3D836A4E"/>
    <w:rsid w:val="3EA37E97"/>
    <w:rsid w:val="3FBE0BC5"/>
    <w:rsid w:val="4048103A"/>
    <w:rsid w:val="40736643"/>
    <w:rsid w:val="40D24A7A"/>
    <w:rsid w:val="410858E9"/>
    <w:rsid w:val="42621029"/>
    <w:rsid w:val="429732D7"/>
    <w:rsid w:val="435241E2"/>
    <w:rsid w:val="43975C51"/>
    <w:rsid w:val="439E3FA7"/>
    <w:rsid w:val="44B32266"/>
    <w:rsid w:val="44FC64F4"/>
    <w:rsid w:val="467F4585"/>
    <w:rsid w:val="470628CB"/>
    <w:rsid w:val="4729480B"/>
    <w:rsid w:val="47555BD4"/>
    <w:rsid w:val="47BC2DB1"/>
    <w:rsid w:val="47E96399"/>
    <w:rsid w:val="47F76025"/>
    <w:rsid w:val="48052B82"/>
    <w:rsid w:val="48515DC8"/>
    <w:rsid w:val="486E33F5"/>
    <w:rsid w:val="48E12B50"/>
    <w:rsid w:val="499441BE"/>
    <w:rsid w:val="499A6C1C"/>
    <w:rsid w:val="4A195607"/>
    <w:rsid w:val="4A2138F0"/>
    <w:rsid w:val="4A583887"/>
    <w:rsid w:val="4B9F6E02"/>
    <w:rsid w:val="4C89637B"/>
    <w:rsid w:val="4E6E48A8"/>
    <w:rsid w:val="4EEC036B"/>
    <w:rsid w:val="4F275AD4"/>
    <w:rsid w:val="4F714FA1"/>
    <w:rsid w:val="501D2673"/>
    <w:rsid w:val="50C80BF1"/>
    <w:rsid w:val="51852833"/>
    <w:rsid w:val="52F11AC8"/>
    <w:rsid w:val="530103EA"/>
    <w:rsid w:val="534F49D9"/>
    <w:rsid w:val="53555F0F"/>
    <w:rsid w:val="535D23D5"/>
    <w:rsid w:val="53A677CD"/>
    <w:rsid w:val="544045C2"/>
    <w:rsid w:val="55807CEC"/>
    <w:rsid w:val="56F4341A"/>
    <w:rsid w:val="575A7321"/>
    <w:rsid w:val="579B2B48"/>
    <w:rsid w:val="580C3AB9"/>
    <w:rsid w:val="583C7AE0"/>
    <w:rsid w:val="586C1E9A"/>
    <w:rsid w:val="586E0800"/>
    <w:rsid w:val="59216F96"/>
    <w:rsid w:val="598C4145"/>
    <w:rsid w:val="59957D1B"/>
    <w:rsid w:val="59D4294E"/>
    <w:rsid w:val="5AE64A95"/>
    <w:rsid w:val="5B634312"/>
    <w:rsid w:val="5B9D2CCD"/>
    <w:rsid w:val="5B9E71EA"/>
    <w:rsid w:val="5BCC5A39"/>
    <w:rsid w:val="5E226FBC"/>
    <w:rsid w:val="5E316028"/>
    <w:rsid w:val="5ED54FD8"/>
    <w:rsid w:val="5FE72BD2"/>
    <w:rsid w:val="60120613"/>
    <w:rsid w:val="618D5292"/>
    <w:rsid w:val="622E78FA"/>
    <w:rsid w:val="63343F70"/>
    <w:rsid w:val="64296E1C"/>
    <w:rsid w:val="64386FCC"/>
    <w:rsid w:val="649E64A2"/>
    <w:rsid w:val="65960E66"/>
    <w:rsid w:val="659D21F5"/>
    <w:rsid w:val="65E5270A"/>
    <w:rsid w:val="663D3C54"/>
    <w:rsid w:val="667A6962"/>
    <w:rsid w:val="66862C89"/>
    <w:rsid w:val="66BB486D"/>
    <w:rsid w:val="67394C7D"/>
    <w:rsid w:val="673B1CC5"/>
    <w:rsid w:val="678A03E5"/>
    <w:rsid w:val="68126B38"/>
    <w:rsid w:val="68291A1A"/>
    <w:rsid w:val="68352BB8"/>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363C8B"/>
    <w:rsid w:val="74746410"/>
    <w:rsid w:val="75C8506C"/>
    <w:rsid w:val="75E5007C"/>
    <w:rsid w:val="77636B63"/>
    <w:rsid w:val="77813724"/>
    <w:rsid w:val="77861774"/>
    <w:rsid w:val="78F31435"/>
    <w:rsid w:val="78F76671"/>
    <w:rsid w:val="79300B45"/>
    <w:rsid w:val="794D3E18"/>
    <w:rsid w:val="79F3729A"/>
    <w:rsid w:val="7A880722"/>
    <w:rsid w:val="7ABE6120"/>
    <w:rsid w:val="7ACB0498"/>
    <w:rsid w:val="7AED0B4D"/>
    <w:rsid w:val="7C1E4487"/>
    <w:rsid w:val="7C215E02"/>
    <w:rsid w:val="7CF23764"/>
    <w:rsid w:val="7D851A94"/>
    <w:rsid w:val="7DF74740"/>
    <w:rsid w:val="7E797F74"/>
    <w:rsid w:val="7F111831"/>
    <w:rsid w:val="7F343772"/>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9783</Words>
  <Characters>10412</Characters>
  <Lines>1</Lines>
  <Paragraphs>1</Paragraphs>
  <TotalTime>1</TotalTime>
  <ScaleCrop>false</ScaleCrop>
  <LinksUpToDate>false</LinksUpToDate>
  <CharactersWithSpaces>10484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2025-10-23T09:00:51Z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