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25575"/>
      <w:bookmarkStart w:id="2" w:name="_Toc15679"/>
      <w:bookmarkStart w:id="3" w:name="_Toc1949"/>
      <w:r>
        <w:rPr>
          <w:rFonts w:hint="eastAsia" w:cs="宋体"/>
          <w:b/>
          <w:bCs/>
          <w:color w:val="auto"/>
          <w:sz w:val="40"/>
          <w:szCs w:val="40"/>
          <w:highlight w:val="none"/>
          <w:shd w:val="clear" w:color="auto" w:fill="auto"/>
          <w:lang w:val="en-US" w:eastAsia="zh-CN"/>
        </w:rPr>
        <w:t>阜财经办字【2024】50号文融媒体中心2024年运行经费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eastAsia="zh-CN"/>
        </w:rPr>
        <w:t>阜财经办字【2024】50号文融媒体中心2024年运行经费</w:t>
      </w:r>
    </w:p>
    <w:p w14:paraId="7CB8A243">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阜康市融媒体中心</w:t>
      </w:r>
    </w:p>
    <w:p w14:paraId="1CD13478">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主管部门：阜康市融媒体中心</w:t>
      </w:r>
    </w:p>
    <w:p w14:paraId="065BEE39">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杨吉红</w:t>
      </w:r>
    </w:p>
    <w:p w14:paraId="50706B4B">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1194"/>
      <w:bookmarkStart w:id="5" w:name="_Toc22946"/>
      <w:bookmarkStart w:id="6" w:name="_Toc20432"/>
      <w:bookmarkStart w:id="7" w:name="_Toc3663"/>
      <w:r>
        <w:rPr>
          <w:rFonts w:hint="eastAsia" w:cs="宋体"/>
          <w:b/>
          <w:bCs/>
          <w:color w:val="auto"/>
          <w:sz w:val="36"/>
          <w:szCs w:val="36"/>
          <w:highlight w:val="none"/>
          <w:shd w:val="clear" w:color="auto" w:fill="auto"/>
          <w:lang w:val="en-US" w:eastAsia="zh-CN"/>
        </w:rPr>
        <w:t>阜财经办字【2024】50号文融媒体中心2024年运行经费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9812"/>
      <w:bookmarkStart w:id="11" w:name="_Toc10645"/>
      <w:bookmarkStart w:id="12" w:name="_Toc5043"/>
      <w:bookmarkStart w:id="13" w:name="_Toc22346"/>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根据阜财经办字[2024]50号文关于拨付运行经费的通知，</w:t>
      </w:r>
      <w:r>
        <w:rPr>
          <w:rFonts w:hint="eastAsia" w:ascii="仿宋_GB2312" w:hAnsi="仿宋_GB2312" w:eastAsia="仿宋_GB2312" w:cs="仿宋_GB2312"/>
          <w:color w:val="auto"/>
          <w:sz w:val="32"/>
          <w:szCs w:val="32"/>
          <w:highlight w:val="none"/>
        </w:rPr>
        <w:t>为有效落实习近平总书记关于加强县级融媒体中心建设，更好引导群众、服务群众的指示精神，同意由财政从</w:t>
      </w:r>
      <w:r>
        <w:rPr>
          <w:rFonts w:hint="eastAsia" w:ascii="仿宋_GB2312" w:hAnsi="仿宋_GB2312" w:eastAsia="仿宋_GB2312" w:cs="仿宋_GB2312"/>
          <w:color w:val="auto"/>
          <w:sz w:val="32"/>
          <w:szCs w:val="32"/>
          <w:highlight w:val="none"/>
          <w:lang w:val="en-US" w:eastAsia="zh-CN"/>
        </w:rPr>
        <w:t>我单位非税收入中审核拨付205万元用于中心正常运行及解决历史遗留问题。</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27343"/>
      <w:bookmarkStart w:id="15" w:name="_Toc17880"/>
      <w:bookmarkStart w:id="16" w:name="_Toc10730"/>
      <w:bookmarkStart w:id="17" w:name="_Toc16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9D307F4">
      <w:pPr>
        <w:pStyle w:val="5"/>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bookmarkStart w:id="18" w:name="_Toc21898"/>
      <w:bookmarkStart w:id="19" w:name="_Toc27245"/>
      <w:bookmarkStart w:id="20" w:name="_Toc16592"/>
      <w:bookmarkStart w:id="21" w:name="_Toc27409"/>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sz w:val="32"/>
          <w:szCs w:val="32"/>
          <w:highlight w:val="none"/>
          <w:shd w:val="clear" w:color="auto" w:fill="auto"/>
          <w:lang w:val="en-US" w:eastAsia="zh-CN"/>
        </w:rPr>
        <w:t>为有效落实习近平总书记关于加强县级融媒体中心建设，更好引导群众、服务群众的指示精神</w:t>
      </w:r>
      <w:r>
        <w:rPr>
          <w:rFonts w:hint="eastAsia" w:cs="仿宋_GB2312"/>
          <w:b w:val="0"/>
          <w:bCs w:val="0"/>
          <w:color w:val="auto"/>
          <w:sz w:val="32"/>
          <w:szCs w:val="32"/>
          <w:highlight w:val="none"/>
          <w:shd w:val="clear" w:color="auto" w:fill="auto"/>
          <w:lang w:val="en-US" w:eastAsia="zh-CN"/>
        </w:rPr>
        <w:t>，彻底解决中心14名中人1995年1月-2005年12月社会保险缴纳及2006年1月-2007年8月社保险种问题所需费用的历史遗留问题。</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5月15日经阜财经办字[2024]50号文关于拨付运行经费的通知的批复，经融媒体中心三重一大会议，确定了项目领导小组，明确了责任分工：组长为田锋，副组长为张晶，项目负责人为杨吉红,组员为范萌辉、朱燕，其中：杨吉红负责监管工作，范萌辉负责项目档案资料，朱燕负责资金拨付工作。</w:t>
      </w:r>
    </w:p>
    <w:p w14:paraId="16D2F7A0">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本项目完成了</w:t>
      </w:r>
      <w:r>
        <w:rPr>
          <w:rFonts w:hint="eastAsia" w:ascii="仿宋_GB2312" w:hAnsi="仿宋_GB2312" w:eastAsia="仿宋_GB2312" w:cs="仿宋_GB2312"/>
          <w:color w:val="auto"/>
          <w:sz w:val="32"/>
          <w:szCs w:val="32"/>
          <w:highlight w:val="none"/>
        </w:rPr>
        <w:t>中心14名中人以前年度社会保险费补缴</w:t>
      </w:r>
      <w:r>
        <w:rPr>
          <w:rFonts w:hint="eastAsia" w:ascii="仿宋_GB2312" w:hAnsi="仿宋_GB2312" w:eastAsia="仿宋_GB2312" w:cs="仿宋_GB2312"/>
          <w:color w:val="auto"/>
          <w:sz w:val="32"/>
          <w:szCs w:val="32"/>
          <w:highlight w:val="none"/>
          <w:lang w:val="en-US" w:eastAsia="zh-CN"/>
        </w:rPr>
        <w:t>的历史遗留</w:t>
      </w:r>
      <w:r>
        <w:rPr>
          <w:rFonts w:hint="eastAsia" w:ascii="仿宋_GB2312" w:hAnsi="仿宋_GB2312" w:eastAsia="仿宋_GB2312" w:cs="仿宋_GB2312"/>
          <w:color w:val="auto"/>
          <w:sz w:val="32"/>
          <w:szCs w:val="32"/>
          <w:highlight w:val="none"/>
        </w:rPr>
        <w:t>问题，及时准确的缴纳了14人1995年1月-2007年8月社会保险费157.35万元</w:t>
      </w:r>
      <w:r>
        <w:rPr>
          <w:rFonts w:hint="eastAsia" w:ascii="仿宋_GB2312" w:hAnsi="仿宋_GB2312" w:eastAsia="仿宋_GB2312" w:cs="仿宋_GB2312"/>
          <w:color w:val="auto"/>
          <w:sz w:val="32"/>
          <w:szCs w:val="32"/>
          <w:highlight w:val="none"/>
          <w:lang w:eastAsia="zh-CN"/>
        </w:rPr>
        <w:t>。</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858"/>
      <w:bookmarkStart w:id="23" w:name="_Toc10240"/>
      <w:bookmarkStart w:id="24" w:name="_Toc569"/>
      <w:bookmarkStart w:id="25"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2684303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5573"/>
      <w:bookmarkStart w:id="31" w:name="_Toc29190"/>
      <w:r>
        <w:rPr>
          <w:rFonts w:hint="eastAsia" w:ascii="仿宋_GB2312" w:hAnsi="仿宋_GB2312" w:eastAsia="仿宋_GB2312" w:cs="仿宋_GB2312"/>
          <w:color w:val="auto"/>
          <w:sz w:val="32"/>
          <w:szCs w:val="32"/>
          <w:highlight w:val="none"/>
          <w:lang w:val="en-US" w:eastAsia="zh-CN"/>
        </w:rPr>
        <w:t>该项目年初预算数157.35万元，全年预算数157.35万元，该项目资金已全部落实到位，资金来源为财政拨款。</w:t>
      </w:r>
      <w:bookmarkEnd w:id="29"/>
      <w:bookmarkEnd w:id="30"/>
      <w:bookmarkEnd w:id="31"/>
      <w:bookmarkStart w:id="32" w:name="_Toc3409"/>
      <w:bookmarkStart w:id="33" w:name="_Toc28187"/>
      <w:bookmarkStart w:id="34" w:name="_Toc1166"/>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430"/>
      <w:bookmarkStart w:id="36" w:name="_Toc29121"/>
      <w:bookmarkStart w:id="37" w:name="_Toc11647"/>
      <w:r>
        <w:rPr>
          <w:rFonts w:hint="eastAsia" w:ascii="仿宋_GB2312" w:hAnsi="仿宋_GB2312" w:eastAsia="仿宋_GB2312" w:cs="仿宋_GB2312"/>
          <w:color w:val="auto"/>
          <w:sz w:val="32"/>
          <w:szCs w:val="32"/>
          <w:highlight w:val="none"/>
          <w:lang w:val="en-US" w:eastAsia="zh-CN"/>
        </w:rPr>
        <w:t>该项目年初预算数157.35万元，全年预算数157.35万元，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全年执行数157.35万元，预算执行率为100%，主要用于：中心14名中人1995年1月-2007年8月社会保险费及滞纳金157.35万元补缴。</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10047"/>
      <w:bookmarkStart w:id="41" w:name="_Toc2547"/>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阜财经办字【2024】50号文融媒体中心2024年运行经费项目绩效总体目标为：2024年预计完成中心14名中人1995年1月-2005年12月社会保险缴纳及2006年1月-2007年8月社保险种问题所需费用，项目的实施预计达到：有效的落实习近平总书记关于加强县级融媒体中心建设，更好引导群众、服务群众的指示精神，使中心14名中人关于社保费补缴的历史遗留问题得到彻底解决。</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487"/>
      <w:bookmarkStart w:id="44" w:name="_Toc3255"/>
      <w:bookmarkStart w:id="45" w:name="_Toc4007"/>
      <w:bookmarkStart w:id="46"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社保补缴人数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指标，预期目标值为≥14人；</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资金发放准确率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社保征缴及时率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204155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资金发放完成时间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指标，预期目标值为≤12月31日；</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社保补缴金额</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指标，预期目标值为≤157.35万元；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2460CB5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实现社会保险应保尽保</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指标，预期目标值为长期；</w:t>
      </w:r>
    </w:p>
    <w:p w14:paraId="4C65C60F">
      <w:pPr>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保障职工正常权益</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指标，预期目标值为长期；</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③满意度指标</w:t>
      </w:r>
    </w:p>
    <w:p w14:paraId="61D423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社保补缴满意度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5258"/>
      <w:bookmarkStart w:id="49" w:name="_Toc21664"/>
      <w:bookmarkStart w:id="50" w:name="_Toc22169_WPSOffice_Level2"/>
      <w:bookmarkStart w:id="51" w:name="_Toc5462343"/>
      <w:bookmarkStart w:id="52" w:name="_Toc22922"/>
      <w:bookmarkStart w:id="53" w:name="_Toc26632"/>
      <w:bookmarkStart w:id="54" w:name="_Toc12868"/>
      <w:bookmarkStart w:id="55" w:name="_Toc480473081"/>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文件要求对2024年度我单位实施的阜财经办字【2024】50号文融媒体中心2024年运行经费项目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阜康市融媒体中心</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有效的落实习近平总书记关于加强县级融媒体中心建设，更好引导群众、服务群众的指示精神，使中心14名中人的关于社保缴费的历史遗留问题得到彻底解决</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157.35</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社会影响：考察项目对社会等方面的综合影响。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阜财经办字【2024】50号文融媒体中心2024年运行经费</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28278230"/>
      <w:bookmarkStart w:id="71" w:name="_Toc1913"/>
      <w:bookmarkStart w:id="72" w:name="_Toc24396"/>
      <w:bookmarkStart w:id="73" w:name="_Toc419984722"/>
      <w:bookmarkStart w:id="74" w:name="_Toc26131"/>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440403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6AFCA54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525E179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）最低成本法。是指在绩效目标确定的前提下，成本最小者为优的方法。</w:t>
      </w:r>
    </w:p>
    <w:p w14:paraId="60584C0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4</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行业标准</w:t>
      </w:r>
      <w:r>
        <w:rPr>
          <w:rFonts w:hint="default" w:ascii="Times New Roman" w:hAnsi="Times New Roman" w:eastAsia="仿宋_GB2312" w:cs="Times New Roman"/>
          <w:color w:val="auto"/>
          <w:spacing w:val="17"/>
          <w:sz w:val="32"/>
          <w:szCs w:val="32"/>
          <w:highlight w:val="none"/>
        </w:rPr>
        <w:t>。</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阜财经办字【2024】50号文融媒体中心2024年运行经费</w:t>
      </w:r>
      <w:r>
        <w:rPr>
          <w:rFonts w:hint="eastAsia" w:ascii="Times New Roman" w:hAnsi="Times New Roman" w:eastAsia="仿宋_GB2312" w:cs="Times New Roman"/>
          <w:color w:val="auto"/>
          <w:spacing w:val="17"/>
          <w:sz w:val="32"/>
          <w:szCs w:val="32"/>
          <w:highlight w:val="none"/>
          <w:lang w:val="en-US" w:eastAsia="zh-CN"/>
        </w:rPr>
        <w:t>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阜财经办字【2024】50号文融媒体中心2024年运行经费</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阜康市融媒体中心</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实现社会保险应保尽保、保障职工正常权益</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阜财经办字【2024】50号文融媒体中心2024年运行经费</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阜财经办字【2024】50号文融媒体中心2024年运行经费</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19.25</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96.25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阜财经办字【2024】50号文融媒体中心2024年运行经费</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324D32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99.25</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96.25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99.25</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项目决策由3个二级指标和6个三级指标构成，权重分20分，实际得分19.25分，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2.25</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19.25</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8069"/>
      <w:bookmarkStart w:id="110" w:name="_Toc13522"/>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20817C12">
      <w:pPr>
        <w:pageBreakBefore w:val="0"/>
        <w:kinsoku/>
        <w:wordWrap/>
        <w:overflowPunct/>
        <w:topLinePunct w:val="0"/>
        <w:autoSpaceDE/>
        <w:autoSpaceDN/>
        <w:bidi w:val="0"/>
        <w:spacing w:line="560" w:lineRule="exact"/>
        <w:textAlignment w:val="auto"/>
        <w:rPr>
          <w:rFonts w:hint="eastAsia"/>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关于完善企业职工基本养老保险政策有关问题的通知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新人社发[2019]22号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人力资源社会保障部 财政部关于进一步加强企业职工基本养老保险基金收支管理的通知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人社部规[2016]5号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新疆维吾尔自治区阜康市人民法院民事判决书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新2302民初1630号、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新2302民初1622号、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新2302民初1875号等</w:t>
      </w:r>
      <w:r>
        <w:rPr>
          <w:rFonts w:hint="eastAsia" w:ascii="仿宋_GB2312" w:hAnsi="仿宋_GB2312" w:eastAsia="仿宋_GB2312" w:cs="仿宋_GB2312"/>
          <w:color w:val="auto"/>
          <w:sz w:val="32"/>
          <w:szCs w:val="32"/>
          <w:highlight w:val="none"/>
          <w:lang w:eastAsia="zh-CN"/>
        </w:rPr>
        <w:t>国家法律法规、国民经济发展规划和相关政策；</w:t>
      </w:r>
    </w:p>
    <w:p w14:paraId="7E5B6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关于完善企业职工基本养老保险政策有关问题的通知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新人社发[2019]22号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人力资源社会保障部 财政部关于进一步加强企业职工基本养老保险基金收支管理的通知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人社部规[2016]5号</w:t>
      </w:r>
      <w:r>
        <w:rPr>
          <w:rFonts w:hint="eastAsia" w:ascii="仿宋_GB2312" w:hAnsi="仿宋_GB2312" w:eastAsia="仿宋_GB2312" w:cs="仿宋_GB2312"/>
          <w:color w:val="auto"/>
          <w:sz w:val="32"/>
          <w:szCs w:val="32"/>
          <w:highlight w:val="none"/>
          <w:lang w:eastAsia="zh-CN"/>
        </w:rPr>
        <w:t>）、阜财经办字[2024]50号《</w:t>
      </w:r>
      <w:r>
        <w:rPr>
          <w:rFonts w:hint="eastAsia" w:ascii="仿宋_GB2312" w:hAnsi="仿宋_GB2312" w:eastAsia="仿宋_GB2312" w:cs="仿宋_GB2312"/>
          <w:color w:val="auto"/>
          <w:sz w:val="32"/>
          <w:szCs w:val="32"/>
          <w:highlight w:val="none"/>
          <w:lang w:val="en-US" w:eastAsia="zh-CN"/>
        </w:rPr>
        <w:t>关于拨付</w:t>
      </w:r>
      <w:r>
        <w:rPr>
          <w:rFonts w:hint="eastAsia" w:ascii="仿宋_GB2312" w:hAnsi="仿宋_GB2312" w:eastAsia="仿宋_GB2312" w:cs="仿宋_GB2312"/>
          <w:color w:val="auto"/>
          <w:sz w:val="32"/>
          <w:szCs w:val="32"/>
          <w:highlight w:val="none"/>
          <w:lang w:eastAsia="zh-CN"/>
        </w:rPr>
        <w:t>运行经费</w:t>
      </w:r>
      <w:r>
        <w:rPr>
          <w:rFonts w:hint="eastAsia" w:ascii="仿宋_GB2312" w:hAnsi="仿宋_GB2312" w:eastAsia="仿宋_GB2312" w:cs="仿宋_GB2312"/>
          <w:color w:val="auto"/>
          <w:sz w:val="32"/>
          <w:szCs w:val="32"/>
          <w:highlight w:val="none"/>
          <w:lang w:val="en-US" w:eastAsia="zh-CN"/>
        </w:rPr>
        <w:t>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eastAsia="zh-CN"/>
        </w:rPr>
        <w:t>行业发展规划和政策要求；</w:t>
      </w:r>
    </w:p>
    <w:p w14:paraId="06EE53E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③项目立项与部门职责范围相符，属于部门履职所需；</w:t>
      </w:r>
    </w:p>
    <w:p w14:paraId="43CE594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color w:val="auto"/>
          <w:highlight w:val="none"/>
          <w:lang w:eastAsia="zh-CN"/>
        </w:rPr>
      </w:pPr>
      <w:r>
        <w:rPr>
          <w:rFonts w:hint="eastAsia" w:ascii="仿宋_GB2312" w:hAnsi="仿宋_GB2312" w:eastAsia="仿宋_GB2312" w:cs="仿宋_GB2312"/>
          <w:color w:val="auto"/>
          <w:sz w:val="32"/>
          <w:szCs w:val="32"/>
          <w:highlight w:val="none"/>
          <w:lang w:val="en-US" w:eastAsia="zh-CN"/>
        </w:rPr>
        <w:t>融媒体中心贯彻执行党和国家、自治区、自治州关于媒体深度融合发展的方针政策、法律法规，负责全媒体的舆论宣传策划、采集、编辑、审核、发布及收集、归类、保存、开发运营等工作；负责全力打造“新闻+政务服务商务”于一体的融媒体平台，为群众提供信息、政务、便民等服务负责建设全媒体生产传播体系</w:t>
      </w:r>
      <w:r>
        <w:rPr>
          <w:rFonts w:hint="eastAsia" w:ascii="仿宋_GB2312" w:hAnsi="仿宋_GB2312" w:eastAsia="仿宋_GB2312" w:cs="仿宋_GB2312"/>
          <w:color w:val="auto"/>
          <w:sz w:val="32"/>
          <w:szCs w:val="32"/>
          <w:highlight w:val="none"/>
          <w:lang w:eastAsia="zh-CN"/>
        </w:rPr>
        <w:t>。该项目立项与融媒体中心上述职责范围相符，属于部门履职所需。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③事前经过必要的可行性研究、专家论证、风险评估、绩效评估、集体决策。</w:t>
      </w:r>
      <w:r>
        <w:rPr>
          <w:rFonts w:hint="eastAsia" w:ascii="仿宋_GB2312" w:hAnsi="仿宋_GB2312" w:eastAsia="仿宋_GB2312" w:cs="仿宋_GB2312"/>
          <w:color w:val="auto"/>
          <w:sz w:val="32"/>
          <w:szCs w:val="32"/>
          <w:highlight w:val="none"/>
          <w:lang w:val="en-US" w:eastAsia="zh-CN"/>
        </w:rPr>
        <w:t>该项目未经过必要的可行性研究、专家论证、风险评估扣0.75分</w:t>
      </w:r>
      <w:r>
        <w:rPr>
          <w:rFonts w:hint="eastAsia"/>
          <w:color w:val="auto"/>
          <w:highlight w:val="none"/>
          <w:lang w:val="en-US" w:eastAsia="zh-CN"/>
        </w:rPr>
        <w:t>。</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综上，该项指标满分3分，得分2.25分。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②该项目实际工作内容为：有效的落实习近平总书记关于加强县级融媒体中心建设，</w:t>
      </w:r>
      <w:r>
        <w:rPr>
          <w:rFonts w:hint="eastAsia" w:ascii="仿宋_GB2312" w:hAnsi="仿宋_GB2312" w:eastAsia="仿宋_GB2312" w:cs="仿宋_GB2312"/>
          <w:color w:val="auto"/>
          <w:sz w:val="32"/>
          <w:szCs w:val="32"/>
          <w:highlight w:val="none"/>
          <w:lang w:val="en-US" w:eastAsia="zh-CN"/>
        </w:rPr>
        <w:t>为中心解决了</w:t>
      </w:r>
      <w:r>
        <w:rPr>
          <w:rFonts w:hint="eastAsia" w:ascii="仿宋_GB2312" w:hAnsi="仿宋_GB2312" w:eastAsia="仿宋_GB2312" w:cs="仿宋_GB2312"/>
          <w:color w:val="auto"/>
          <w:sz w:val="32"/>
          <w:szCs w:val="32"/>
          <w:highlight w:val="none"/>
          <w:lang w:eastAsia="zh-CN"/>
        </w:rPr>
        <w:t>14名中人</w:t>
      </w:r>
      <w:r>
        <w:rPr>
          <w:rFonts w:hint="eastAsia" w:ascii="仿宋_GB2312" w:hAnsi="仿宋_GB2312" w:eastAsia="仿宋_GB2312" w:cs="仿宋_GB2312"/>
          <w:color w:val="auto"/>
          <w:sz w:val="32"/>
          <w:szCs w:val="32"/>
          <w:highlight w:val="none"/>
          <w:lang w:val="en-US" w:eastAsia="zh-CN"/>
        </w:rPr>
        <w:t>补缴了1995年1月至2007年8月</w:t>
      </w:r>
      <w:r>
        <w:rPr>
          <w:rFonts w:hint="eastAsia" w:ascii="仿宋_GB2312" w:hAnsi="仿宋_GB2312" w:eastAsia="仿宋_GB2312" w:cs="仿宋_GB2312"/>
          <w:color w:val="auto"/>
          <w:sz w:val="32"/>
          <w:szCs w:val="32"/>
          <w:highlight w:val="none"/>
          <w:lang w:eastAsia="zh-CN"/>
        </w:rPr>
        <w:t>社保的历史遗留问题。绩效目标与实际工作内容一致，两者具有相关性。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color w:val="auto"/>
          <w:sz w:val="32"/>
          <w:szCs w:val="32"/>
          <w:highlight w:val="none"/>
          <w:lang w:val="en-US" w:eastAsia="zh-CN"/>
        </w:rPr>
        <w:t>中心14名中人社会保险费及滞纳金157.35万元的补缴</w:t>
      </w:r>
      <w:r>
        <w:rPr>
          <w:rFonts w:hint="eastAsia" w:ascii="仿宋_GB2312" w:hAnsi="仿宋_GB2312" w:eastAsia="仿宋_GB2312" w:cs="仿宋_GB2312"/>
          <w:color w:val="auto"/>
          <w:sz w:val="32"/>
          <w:szCs w:val="32"/>
          <w:highlight w:val="none"/>
          <w:lang w:eastAsia="zh-CN"/>
        </w:rPr>
        <w:t>，达到社会保险应保尽保和保障职工正常权益的社会效益，预期产出效益和效果是否符合正常的业绩水平。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157.35</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量化率达到75%</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14名中人社会保险费补缴</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14名中人社会保险费补缴</w:t>
      </w:r>
      <w:r>
        <w:rPr>
          <w:rFonts w:hint="eastAsia" w:ascii="仿宋_GB2312" w:hAnsi="仿宋_GB2312" w:eastAsia="仿宋_GB2312" w:cs="仿宋_GB2312"/>
          <w:color w:val="auto"/>
          <w:sz w:val="32"/>
          <w:szCs w:val="32"/>
          <w:highlight w:val="none"/>
          <w:lang w:eastAsia="zh-CN"/>
        </w:rPr>
        <w:t>，预算申请与项目内容匹配；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157.35万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14名中人社保补缴</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157.35</w:t>
      </w:r>
      <w:r>
        <w:rPr>
          <w:rFonts w:hint="eastAsia" w:ascii="仿宋_GB2312" w:hAnsi="仿宋_GB2312" w:eastAsia="仿宋_GB2312" w:cs="仿宋_GB2312"/>
          <w:color w:val="auto"/>
          <w:sz w:val="32"/>
          <w:szCs w:val="32"/>
          <w:highlight w:val="none"/>
          <w:lang w:eastAsia="zh-CN"/>
        </w:rPr>
        <w:t>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①项目实际分配资金以阜财经办字[2024]50号《</w:t>
      </w:r>
      <w:r>
        <w:rPr>
          <w:rFonts w:hint="eastAsia" w:ascii="仿宋_GB2312" w:hAnsi="仿宋_GB2312" w:eastAsia="仿宋_GB2312" w:cs="仿宋_GB2312"/>
          <w:color w:val="auto"/>
          <w:sz w:val="32"/>
          <w:szCs w:val="32"/>
          <w:highlight w:val="none"/>
          <w:lang w:val="en-US" w:eastAsia="zh-CN"/>
        </w:rPr>
        <w:t>关于拨付</w:t>
      </w:r>
      <w:r>
        <w:rPr>
          <w:rFonts w:hint="eastAsia" w:ascii="仿宋_GB2312" w:hAnsi="仿宋_GB2312" w:eastAsia="仿宋_GB2312" w:cs="仿宋_GB2312"/>
          <w:color w:val="auto"/>
          <w:sz w:val="32"/>
          <w:szCs w:val="32"/>
          <w:highlight w:val="none"/>
          <w:lang w:eastAsia="zh-CN"/>
        </w:rPr>
        <w:t>运行经费</w:t>
      </w:r>
      <w:r>
        <w:rPr>
          <w:rFonts w:hint="eastAsia" w:ascii="仿宋_GB2312" w:hAnsi="仿宋_GB2312" w:eastAsia="仿宋_GB2312" w:cs="仿宋_GB2312"/>
          <w:color w:val="auto"/>
          <w:sz w:val="32"/>
          <w:szCs w:val="32"/>
          <w:highlight w:val="none"/>
          <w:lang w:val="en-US" w:eastAsia="zh-CN"/>
        </w:rPr>
        <w:t>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及《社会保险费征集计划汇总单》</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157.35</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3886"/>
      <w:bookmarkStart w:id="123" w:name="_Toc20449"/>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157.35</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157.35</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157.35万元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157.35万元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157.35</w:t>
      </w:r>
      <w:r>
        <w:rPr>
          <w:rFonts w:hint="eastAsia" w:ascii="仿宋_GB2312" w:hAnsi="仿宋_GB2312" w:eastAsia="仿宋_GB2312" w:cs="仿宋_GB2312"/>
          <w:color w:val="auto"/>
          <w:sz w:val="32"/>
          <w:szCs w:val="32"/>
          <w:highlight w:val="none"/>
          <w:lang w:val="en-US" w:eastAsia="zh-CN"/>
        </w:rPr>
        <w:t>万元。</w:t>
      </w:r>
    </w:p>
    <w:p w14:paraId="7233E9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157.35万元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157.35万元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①本项目资金支出符合国家财经法规、《政府会计制度》《阜康市融媒体中心财务管理制度》；</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我单位已制定《阜康市融媒体中心财务管理制度》《阜康市融媒体中心收支业务管理制度》《阜康市融媒体中心政府采购业务管理制度》《阜康市融媒体中心合同管理制度》，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符合《政府会计制度》《阜康市融媒体中心财务管理制度》等管理规定，</w:t>
      </w:r>
      <w:r>
        <w:rPr>
          <w:rFonts w:hint="eastAsia" w:ascii="仿宋_GB2312" w:hAnsi="仿宋_GB2312" w:eastAsia="仿宋_GB2312" w:cs="仿宋_GB2312"/>
          <w:color w:val="auto"/>
          <w:sz w:val="32"/>
          <w:szCs w:val="32"/>
          <w:highlight w:val="none"/>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因14名中人2006年1月-2007年8月社保险种问题社保需要退费补费，社保费补缴金额</w:t>
      </w:r>
      <w:r>
        <w:rPr>
          <w:rFonts w:hint="eastAsia" w:ascii="仿宋_GB2312" w:hAnsi="仿宋_GB2312" w:eastAsia="仿宋_GB2312" w:cs="仿宋_GB2312"/>
          <w:color w:val="auto"/>
          <w:sz w:val="32"/>
          <w:szCs w:val="32"/>
          <w:highlight w:val="none"/>
        </w:rPr>
        <w:t>存在调整，调整手续齐全</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阜财经办字【2024】50号文融媒体中心2024年运行经费项目工作领导小组，由</w:t>
      </w:r>
      <w:r>
        <w:rPr>
          <w:rFonts w:hint="eastAsia" w:ascii="仿宋_GB2312" w:hAnsi="仿宋_GB2312" w:eastAsia="仿宋_GB2312" w:cs="仿宋_GB2312"/>
          <w:color w:val="auto"/>
          <w:sz w:val="32"/>
          <w:szCs w:val="32"/>
          <w:highlight w:val="none"/>
          <w:lang w:val="en-US" w:eastAsia="zh-CN"/>
        </w:rPr>
        <w:t>田锋</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张晶</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杨吉红</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范萌辉</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社保补缴人数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default" w:ascii="Arial" w:hAnsi="Arial" w:eastAsia="宋体" w:cs="Arial"/>
                <w:i w:val="0"/>
                <w:iCs w:val="0"/>
                <w:color w:val="auto"/>
                <w:kern w:val="0"/>
                <w:sz w:val="20"/>
                <w:szCs w:val="20"/>
                <w:highlight w:val="none"/>
                <w:u w:val="none"/>
                <w:lang w:val="en-US" w:eastAsia="zh-CN" w:bidi="ar"/>
              </w:rPr>
              <w:t>≥14</w:t>
            </w:r>
            <w:r>
              <w:rPr>
                <w:rStyle w:val="23"/>
                <w:color w:val="auto"/>
                <w:highlight w:val="none"/>
                <w:lang w:val="en-US" w:eastAsia="zh-CN" w:bidi="ar"/>
              </w:rPr>
              <w:t>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14人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6</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资金发放准确率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6</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社保征缴及时率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6</w:t>
            </w:r>
          </w:p>
        </w:tc>
      </w:tr>
      <w:tr w14:paraId="7922DB12">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B01F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C9DC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6968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资金发放完成时间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DC205">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≤12月31日</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50699">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70351">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9月30日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84FF0">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6</w:t>
            </w:r>
          </w:p>
        </w:tc>
      </w:tr>
      <w:tr w14:paraId="3AEEFAD2">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B30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社保补缴金额</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≤157.35万元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16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157.35万元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suppressLineNumbers w:val="0"/>
              <w:kinsoku/>
              <w:wordWrap/>
              <w:overflowPunct/>
              <w:topLinePunct w:val="0"/>
              <w:autoSpaceDE/>
              <w:autoSpaceDN/>
              <w:bidi w:val="0"/>
              <w:adjustRightInd/>
              <w:snapToGrid/>
              <w:spacing w:line="28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16</w:t>
            </w:r>
          </w:p>
        </w:tc>
      </w:tr>
      <w:tr w14:paraId="55FB1FB3">
        <w:tblPrEx>
          <w:tblCellMar>
            <w:top w:w="0" w:type="dxa"/>
            <w:left w:w="0" w:type="dxa"/>
            <w:bottom w:w="0" w:type="dxa"/>
            <w:right w:w="0" w:type="dxa"/>
          </w:tblCellMar>
        </w:tblPrEx>
        <w:trPr>
          <w:trHeight w:val="428"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69C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bookmarkStart w:id="131" w:name="_Toc26689"/>
            <w:bookmarkStart w:id="132" w:name="_Toc11067"/>
            <w:r>
              <w:rPr>
                <w:rFonts w:hint="eastAsia" w:cs="宋体"/>
                <w:i w:val="0"/>
                <w:iCs w:val="0"/>
                <w:color w:val="auto"/>
                <w:kern w:val="0"/>
                <w:sz w:val="20"/>
                <w:szCs w:val="20"/>
                <w:highlight w:val="none"/>
                <w:u w:val="none"/>
                <w:lang w:val="en-US" w:eastAsia="zh-CN" w:bidi="ar"/>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C142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00" w:lineRule="exact"/>
              <w:ind w:left="0" w:leftChars="0" w:right="0" w:rightChars="0" w:firstLine="0" w:firstLineChars="0"/>
              <w:jc w:val="center"/>
              <w:textAlignment w:val="auto"/>
              <w:rPr>
                <w:rFonts w:hint="default" w:ascii="宋体" w:hAnsi="宋体" w:eastAsia="宋体" w:cs="宋体"/>
                <w:i w:val="0"/>
                <w:iCs w:val="0"/>
                <w:color w:val="auto"/>
                <w:kern w:val="0"/>
                <w:sz w:val="22"/>
                <w:szCs w:val="22"/>
                <w:highlight w:val="none"/>
                <w:u w:val="none"/>
                <w:lang w:val="en-US" w:eastAsia="zh-CN" w:bidi="ar"/>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C93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00" w:lineRule="exact"/>
              <w:ind w:left="0" w:leftChars="0" w:right="0" w:rightChars="0" w:firstLine="0" w:firstLineChars="0"/>
              <w:jc w:val="center"/>
              <w:textAlignment w:val="auto"/>
              <w:rPr>
                <w:rFonts w:hint="eastAsia" w:ascii="宋体" w:hAnsi="宋体" w:eastAsia="宋体" w:cs="宋体"/>
                <w:i w:val="0"/>
                <w:iCs w:val="0"/>
                <w:color w:val="auto"/>
                <w:kern w:val="0"/>
                <w:sz w:val="20"/>
                <w:szCs w:val="20"/>
                <w:highlight w:val="none"/>
                <w:u w:val="none"/>
                <w:lang w:val="en-US" w:eastAsia="zh-CN" w:bidi="ar"/>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F7BB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00" w:lineRule="exact"/>
              <w:ind w:left="0" w:leftChars="0" w:right="0" w:rightChars="0" w:firstLine="0" w:firstLineChars="0"/>
              <w:jc w:val="center"/>
              <w:textAlignment w:val="auto"/>
              <w:rPr>
                <w:rFonts w:hint="default" w:ascii="宋体" w:hAnsi="宋体" w:eastAsia="宋体" w:cs="宋体"/>
                <w:i w:val="0"/>
                <w:iCs w:val="0"/>
                <w:color w:val="auto"/>
                <w:kern w:val="0"/>
                <w:sz w:val="22"/>
                <w:szCs w:val="22"/>
                <w:highlight w:val="none"/>
                <w:u w:val="none"/>
                <w:lang w:val="en-US" w:eastAsia="zh-CN" w:bidi="ar"/>
              </w:rPr>
            </w:pPr>
            <w:r>
              <w:rPr>
                <w:rFonts w:hint="eastAsia" w:cs="宋体"/>
                <w:i w:val="0"/>
                <w:iCs w:val="0"/>
                <w:color w:val="auto"/>
                <w:kern w:val="0"/>
                <w:sz w:val="22"/>
                <w:szCs w:val="22"/>
                <w:highlight w:val="none"/>
                <w:u w:val="none"/>
                <w:lang w:val="en-US" w:eastAsia="zh-CN" w:bidi="ar"/>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社保补缴人数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指标，预期目标值为≥14人，实际完成为14人。实际完成率=（14人/14人）×100%=100%，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2E9C50F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资金发放准确率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社保征缴及时率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资金发放完成时间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指标，预期目标值为≤12月31日，实际完成为9月30日。实际完成率100%。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社保补缴金额</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指标，预期目标值为≤157.35万元，实际完成为157.35万元。实际完成率=（157.35万元/157.35万元）×100%=100%。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综上，该项指标满分16分，得分16分。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8922ACE">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46311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2DADD3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2BFE7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实现社会保险应保尽保</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21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F83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264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A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保障职工正常权益</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55E3A6DE">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社会保险补缴满意度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5170"/>
      <w:bookmarkStart w:id="141" w:name="_Toc801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0FC170A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实现社会保险应保尽保</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指标，预期目标值为长期，实际完成为达到预期指标，完成率为100%。</w:t>
      </w:r>
    </w:p>
    <w:p w14:paraId="2AD0EA6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完成了融媒体中心14名中人以前年度社会保险费补缴问题，及时准确的缴纳了14人1995年1月-2007年8月社会保险费157.35万元,达到了有效落实习近平总书记关于加强县级融媒体中心建设，更好的引导群众、服务群众的指示精神，使中心14名中人的历史遗留问题得到彻底解决，实现了社会保险应保尽保的社会效益。</w:t>
      </w:r>
    </w:p>
    <w:p w14:paraId="263FA0A8">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保障职工正常权益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指标，预期目标值为长期，实际完成为达到预期指标，完成率为100%。</w:t>
      </w:r>
    </w:p>
    <w:p w14:paraId="68ED0A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完成了融媒体中心14名中人以前年度社会保险费补缴问题，及时准确的缴纳了14人1995年1月-2007年8月社会保险费157.35万元,达到了有效落实习近平总书记关于加强县级融媒体中心建设，更好的引导群众、服务群众的指示精神，使中心14名中人的历史遗留问题得到彻底解决，实现了保障职工正常权益的社会效益。</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综上，该项指标满分12分，得分12分。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6"/>
          <w:szCs w:val="36"/>
          <w:highlight w:val="none"/>
          <w:lang w:val="en-US" w:eastAsia="zh-CN"/>
        </w:rPr>
        <w:t>社会保险补缴满意度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指标，预期目标值为95%，实际完成为100%。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5"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shd w:val="clear" w:color="auto" w:fill="auto"/>
          <w:lang w:val="en-US" w:eastAsia="zh-CN"/>
        </w:rPr>
        <w:t>阜财经办字【2024】50号文融媒体中心2024年运行经费</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157.35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157.35</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阜康市融媒体中心</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阜康市融媒体中心</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7"/>
    <w:bookmarkEnd w:id="148"/>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9"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9"/>
    </w:p>
    <w:p w14:paraId="1B89101E">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1.预算编制不够合理，考虑问题不够全面比较粗放，难以应对突发情况。主要原因是对预算编制的认知不足，对预算编制不够重视，对预期工作不能准确预计。</w:t>
      </w:r>
    </w:p>
    <w:p w14:paraId="63226A7F">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2.对社保政策不了解，职工对社保权益认知不够，临近职工退休才突击补缴，导致社保补缴成本高而影响单位资金运转。</w:t>
      </w:r>
    </w:p>
    <w:p w14:paraId="5CD35B9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0"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0"/>
    </w:p>
    <w:p w14:paraId="4274F642">
      <w:pPr>
        <w:pageBreakBefore w:val="0"/>
        <w:numPr>
          <w:ilvl w:val="0"/>
          <w:numId w:val="0"/>
        </w:numPr>
        <w:kinsoku/>
        <w:wordWrap/>
        <w:overflowPunct/>
        <w:topLinePunct w:val="0"/>
        <w:autoSpaceDE/>
        <w:autoSpaceDN/>
        <w:bidi w:val="0"/>
        <w:spacing w:line="560" w:lineRule="exact"/>
        <w:ind w:firstLine="640" w:firstLineChars="200"/>
        <w:textAlignment w:val="auto"/>
        <w:outlineLvl w:val="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1.合理安排预算资金，加强项目管理，细化业务预算，对预期工作能够提前安排，确保资金达到有效利用率。</w:t>
      </w:r>
    </w:p>
    <w:p w14:paraId="37E1746F">
      <w:pPr>
        <w:pageBreakBefore w:val="0"/>
        <w:numPr>
          <w:ilvl w:val="0"/>
          <w:numId w:val="0"/>
        </w:numPr>
        <w:kinsoku/>
        <w:wordWrap/>
        <w:overflowPunct/>
        <w:topLinePunct w:val="0"/>
        <w:autoSpaceDE/>
        <w:autoSpaceDN/>
        <w:bidi w:val="0"/>
        <w:spacing w:line="560" w:lineRule="exact"/>
        <w:ind w:firstLine="640" w:firstLineChars="200"/>
        <w:textAlignment w:val="auto"/>
        <w:outlineLvl w:val="1"/>
        <w:rPr>
          <w:rFonts w:hint="eastAsia" w:ascii="宋体" w:hAnsi="宋体" w:eastAsia="宋体" w:cs="宋体"/>
          <w:color w:val="auto"/>
          <w:highlight w:val="none"/>
          <w:lang w:eastAsia="zh-CN"/>
        </w:rPr>
      </w:pPr>
      <w:r>
        <w:rPr>
          <w:rFonts w:hint="eastAsia" w:ascii="仿宋_GB2312" w:hAnsi="仿宋_GB2312" w:eastAsia="仿宋_GB2312" w:cs="仿宋_GB2312"/>
          <w:color w:val="auto"/>
          <w:sz w:val="32"/>
          <w:szCs w:val="32"/>
          <w:highlight w:val="none"/>
          <w:lang w:val="en-US" w:eastAsia="zh-CN"/>
        </w:rPr>
        <w:t>2.加强业务人员社保业务和职工的培训及宣传力度，提高职工对社保权益的认知力及业务人员的专业技能，减少因人为原因造成的社保问题。</w:t>
      </w:r>
    </w:p>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1"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1"/>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2" w:name="_Toc11349"/>
      <w:bookmarkStart w:id="153" w:name="_Toc28971"/>
      <w:r>
        <w:rPr>
          <w:rFonts w:hint="eastAsia" w:ascii="宋体" w:hAnsi="宋体" w:eastAsia="宋体" w:cs="宋体"/>
          <w:b/>
          <w:bCs/>
          <w:color w:val="auto"/>
          <w:highlight w:val="none"/>
          <w:shd w:val="clear" w:color="auto" w:fill="auto"/>
          <w:lang w:val="en-US" w:eastAsia="zh-CN"/>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5"/>
        <w:gridCol w:w="875"/>
        <w:gridCol w:w="875"/>
        <w:gridCol w:w="875"/>
        <w:gridCol w:w="1195"/>
        <w:gridCol w:w="1355"/>
        <w:gridCol w:w="1275"/>
        <w:gridCol w:w="1035"/>
        <w:gridCol w:w="1195"/>
        <w:gridCol w:w="875"/>
        <w:gridCol w:w="876"/>
        <w:gridCol w:w="876"/>
        <w:gridCol w:w="876"/>
        <w:gridCol w:w="1116"/>
      </w:tblGrid>
      <w:tr w14:paraId="2BBA5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0ACFB06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7344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B99FF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0DDF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9236C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5F49A4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阜财经办字【2024】50号文融媒体中心2024年运行经费</w:t>
            </w:r>
          </w:p>
        </w:tc>
      </w:tr>
      <w:tr w14:paraId="60D27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8EC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BD45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阜康市融媒体中心</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C2F4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66EF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阜康市融媒体中心</w:t>
            </w:r>
          </w:p>
        </w:tc>
      </w:tr>
      <w:tr w14:paraId="53384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E78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D0557">
            <w:pPr>
              <w:jc w:val="cente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723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522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1517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0FB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E5B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FEA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3176A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106CD">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EB5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47B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157.35</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9E5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157.35</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52E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157.35</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534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280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D79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69BEC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FD243">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654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23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157.35</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F53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157.35</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94D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157.35</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54D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DB68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C37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C025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7C835">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9C43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5B6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B5C1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B8F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F5D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EE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06D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AE22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D0A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42898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26B67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5F95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2FF9D">
            <w:pPr>
              <w:jc w:val="center"/>
              <w:rPr>
                <w:rFonts w:hint="eastAsia" w:ascii="宋体" w:hAnsi="宋体" w:eastAsia="宋体" w:cs="宋体"/>
                <w:b/>
                <w:bCs/>
                <w:i w:val="0"/>
                <w:iCs w:val="0"/>
                <w:color w:val="000000"/>
                <w:sz w:val="18"/>
                <w:szCs w:val="18"/>
                <w:u w:val="none"/>
              </w:rPr>
            </w:pPr>
          </w:p>
        </w:tc>
        <w:tc>
          <w:tcPr>
            <w:tcW w:w="19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14476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针对此项目的部门职能阜康市融媒体中心2024年预计完成中心14名中人1995年1月-2005年12月社会保险缴纳及2006年1月-2007年8月社保险种问题所需费用，项目的实施预计达到：有效的落实习近平总书记关于加强县级融媒体中心建设，更好引导群众、服务群众的指示精神，使中心14名中人的关于社保的历史遗留问题得到彻底解决。</w:t>
            </w:r>
          </w:p>
        </w:tc>
        <w:tc>
          <w:tcPr>
            <w:tcW w:w="28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31B33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了融媒体中心14名中人以前年度社会保险费补缴问题，及时准确的缴纳了14人1995年1月-2007年8月社会保险费157.35万元,准确率及时率100%。该项目的实施：达到了有效落实习近平总书记关于加强县级融媒体中心建设，更好的引导群众、服务群众的指示精神，使中人14名中人的历史遗留问题得到彻底解决，实现了社会保险应保尽保和保障职工正常权益的社会效</w:t>
            </w:r>
            <w:bookmarkStart w:id="156" w:name="_GoBack"/>
            <w:bookmarkEnd w:id="156"/>
            <w:r>
              <w:rPr>
                <w:rFonts w:hint="eastAsia" w:ascii="宋体" w:hAnsi="宋体" w:eastAsia="宋体" w:cs="宋体"/>
                <w:i w:val="0"/>
                <w:iCs w:val="0"/>
                <w:color w:val="000000"/>
                <w:kern w:val="0"/>
                <w:sz w:val="18"/>
                <w:szCs w:val="18"/>
                <w:u w:val="none"/>
                <w:lang w:val="en-US" w:eastAsia="zh-CN" w:bidi="ar"/>
              </w:rPr>
              <w:t>益。</w:t>
            </w:r>
          </w:p>
        </w:tc>
      </w:tr>
      <w:tr w14:paraId="65B1C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4EC7EF">
            <w:pPr>
              <w:jc w:val="center"/>
              <w:rPr>
                <w:rFonts w:hint="eastAsia" w:ascii="宋体" w:hAnsi="宋体" w:eastAsia="宋体" w:cs="宋体"/>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7E28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527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5A37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05A1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111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D733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6FB9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F820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E32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2490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826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9C87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0F79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7105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CEDF0">
            <w:pPr>
              <w:jc w:val="center"/>
              <w:rPr>
                <w:rFonts w:hint="eastAsia" w:ascii="宋体" w:hAnsi="宋体" w:eastAsia="宋体" w:cs="宋体"/>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57C4B">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E053E">
            <w:pPr>
              <w:jc w:val="center"/>
              <w:rPr>
                <w:rFonts w:hint="eastAsia" w:ascii="宋体" w:hAnsi="宋体" w:eastAsia="宋体" w:cs="宋体"/>
                <w:b/>
                <w:bCs/>
                <w:i w:val="0"/>
                <w:iCs w:val="0"/>
                <w:color w:val="000000"/>
                <w:sz w:val="18"/>
                <w:szCs w:val="18"/>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E5AFA">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2FE0B">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A5D0C">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9828B">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A80E2">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87215">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AD390">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E0CA0">
            <w:pPr>
              <w:jc w:val="center"/>
              <w:rPr>
                <w:rFonts w:hint="eastAsia" w:ascii="宋体" w:hAnsi="宋体" w:eastAsia="宋体" w:cs="宋体"/>
                <w:b/>
                <w:bCs/>
                <w:i w:val="0"/>
                <w:iCs w:val="0"/>
                <w:color w:val="000000"/>
                <w:sz w:val="18"/>
                <w:szCs w:val="18"/>
                <w:u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62ABD">
            <w:pPr>
              <w:jc w:val="center"/>
              <w:rPr>
                <w:rFonts w:hint="eastAsia" w:ascii="宋体" w:hAnsi="宋体" w:eastAsia="宋体" w:cs="宋体"/>
                <w:b/>
                <w:bCs/>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A5592">
            <w:pPr>
              <w:jc w:val="center"/>
              <w:rPr>
                <w:rFonts w:hint="eastAsia" w:ascii="宋体" w:hAnsi="宋体" w:eastAsia="宋体" w:cs="宋体"/>
                <w:b/>
                <w:bCs/>
                <w:i w:val="0"/>
                <w:iCs w:val="0"/>
                <w:color w:val="000000"/>
                <w:sz w:val="18"/>
                <w:szCs w:val="18"/>
                <w:u w:val="none"/>
              </w:rPr>
            </w:pP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2EDE2">
            <w:pPr>
              <w:jc w:val="center"/>
              <w:rPr>
                <w:rFonts w:hint="eastAsia" w:ascii="宋体" w:hAnsi="宋体" w:eastAsia="宋体" w:cs="宋体"/>
                <w:b/>
                <w:bCs/>
                <w:i w:val="0"/>
                <w:iCs w:val="0"/>
                <w:color w:val="000000"/>
                <w:sz w:val="18"/>
                <w:szCs w:val="18"/>
                <w:u w:val="none"/>
              </w:rPr>
            </w:pPr>
          </w:p>
        </w:tc>
      </w:tr>
      <w:tr w14:paraId="5A6D1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2F4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AB94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AE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8FB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社保补缴人数</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04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8D5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&gt;=14人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17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DAC0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3F0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BD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B434">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03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1DC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434BB">
            <w:pPr>
              <w:jc w:val="center"/>
              <w:rPr>
                <w:rFonts w:hint="eastAsia" w:ascii="宋体" w:hAnsi="宋体" w:eastAsia="宋体" w:cs="宋体"/>
                <w:i w:val="0"/>
                <w:iCs w:val="0"/>
                <w:color w:val="000000"/>
                <w:sz w:val="18"/>
                <w:szCs w:val="18"/>
                <w:u w:val="none"/>
              </w:rPr>
            </w:pPr>
          </w:p>
        </w:tc>
      </w:tr>
      <w:tr w14:paraId="0F88A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A8B93">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03705">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238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201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5F6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8B5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066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83DD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75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5F2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4D9EC">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E3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588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6859B">
            <w:pPr>
              <w:jc w:val="center"/>
              <w:rPr>
                <w:rFonts w:hint="eastAsia" w:ascii="宋体" w:hAnsi="宋体" w:eastAsia="宋体" w:cs="宋体"/>
                <w:i w:val="0"/>
                <w:iCs w:val="0"/>
                <w:color w:val="000000"/>
                <w:sz w:val="18"/>
                <w:szCs w:val="18"/>
                <w:u w:val="none"/>
              </w:rPr>
            </w:pPr>
          </w:p>
        </w:tc>
      </w:tr>
      <w:tr w14:paraId="24625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5D7D6">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98844">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F3E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27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社保征缴及时率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C62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709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4E0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836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23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C98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317FA">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2C4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F83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92611">
            <w:pPr>
              <w:jc w:val="center"/>
              <w:rPr>
                <w:rFonts w:hint="eastAsia" w:ascii="宋体" w:hAnsi="宋体" w:eastAsia="宋体" w:cs="宋体"/>
                <w:i w:val="0"/>
                <w:iCs w:val="0"/>
                <w:color w:val="000000"/>
                <w:sz w:val="18"/>
                <w:szCs w:val="18"/>
                <w:u w:val="none"/>
              </w:rPr>
            </w:pPr>
          </w:p>
        </w:tc>
      </w:tr>
      <w:tr w14:paraId="1D21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E92C7">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A12F1">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2B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48B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资金发放完成时间</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7BC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86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&lt;=12月31日</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BC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9月30日</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2A13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74C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F9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9E8AA">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E51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D48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FE0BE">
            <w:pPr>
              <w:jc w:val="center"/>
              <w:rPr>
                <w:rFonts w:hint="eastAsia" w:ascii="宋体" w:hAnsi="宋体" w:eastAsia="宋体" w:cs="宋体"/>
                <w:i w:val="0"/>
                <w:iCs w:val="0"/>
                <w:color w:val="000000"/>
                <w:sz w:val="18"/>
                <w:szCs w:val="18"/>
                <w:u w:val="none"/>
              </w:rPr>
            </w:pPr>
          </w:p>
        </w:tc>
      </w:tr>
      <w:tr w14:paraId="58D8E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6EB27">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025F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EA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450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社保补缴金额</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C18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0C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&lt;=157.35万元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F11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=157.35万元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95E5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58C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08F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756B1">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67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547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BF283">
            <w:pPr>
              <w:jc w:val="center"/>
              <w:rPr>
                <w:rFonts w:hint="eastAsia" w:ascii="宋体" w:hAnsi="宋体" w:eastAsia="宋体" w:cs="宋体"/>
                <w:i w:val="0"/>
                <w:iCs w:val="0"/>
                <w:color w:val="000000"/>
                <w:sz w:val="18"/>
                <w:szCs w:val="18"/>
                <w:u w:val="none"/>
              </w:rPr>
            </w:pPr>
          </w:p>
        </w:tc>
      </w:tr>
      <w:tr w14:paraId="2577A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B0901">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FE428">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08F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6161B">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2EA7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F48D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1C694">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03A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971A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45B0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47A6D">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2CF4F">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8232E">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F7692">
            <w:pPr>
              <w:jc w:val="center"/>
              <w:rPr>
                <w:rFonts w:hint="eastAsia" w:ascii="宋体" w:hAnsi="宋体" w:eastAsia="宋体" w:cs="宋体"/>
                <w:i w:val="0"/>
                <w:iCs w:val="0"/>
                <w:color w:val="000000"/>
                <w:sz w:val="18"/>
                <w:szCs w:val="18"/>
                <w:u w:val="none"/>
              </w:rPr>
            </w:pPr>
          </w:p>
        </w:tc>
      </w:tr>
      <w:tr w14:paraId="5EA53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F254B">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420CE">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4DA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46D7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2589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8CD1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A4CF8">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65B8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2ADE7">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0BD2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B2722">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1E562">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48728">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14854">
            <w:pPr>
              <w:jc w:val="center"/>
              <w:rPr>
                <w:rFonts w:hint="eastAsia" w:ascii="宋体" w:hAnsi="宋体" w:eastAsia="宋体" w:cs="宋体"/>
                <w:i w:val="0"/>
                <w:iCs w:val="0"/>
                <w:color w:val="000000"/>
                <w:sz w:val="18"/>
                <w:szCs w:val="18"/>
                <w:u w:val="none"/>
              </w:rPr>
            </w:pPr>
          </w:p>
        </w:tc>
      </w:tr>
      <w:tr w14:paraId="54A85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CC20E">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15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72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EE7D9">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5CDD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C99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44D7F">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F9FE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7CA32">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DF18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4860D">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C463">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B3C58">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6DDE2">
            <w:pPr>
              <w:jc w:val="center"/>
              <w:rPr>
                <w:rFonts w:hint="eastAsia" w:ascii="宋体" w:hAnsi="宋体" w:eastAsia="宋体" w:cs="宋体"/>
                <w:i w:val="0"/>
                <w:iCs w:val="0"/>
                <w:color w:val="000000"/>
                <w:sz w:val="18"/>
                <w:szCs w:val="18"/>
                <w:u w:val="none"/>
              </w:rPr>
            </w:pPr>
          </w:p>
        </w:tc>
      </w:tr>
      <w:tr w14:paraId="77A8D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2AA4B">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243CC">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3ED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C4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实现社会保险应保尽保</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0D4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55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54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7210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BBF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464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FCA42">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A1A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E24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7B280">
            <w:pPr>
              <w:jc w:val="center"/>
              <w:rPr>
                <w:rFonts w:hint="eastAsia" w:ascii="宋体" w:hAnsi="宋体" w:eastAsia="宋体" w:cs="宋体"/>
                <w:i w:val="0"/>
                <w:iCs w:val="0"/>
                <w:color w:val="000000"/>
                <w:sz w:val="18"/>
                <w:szCs w:val="18"/>
                <w:u w:val="none"/>
              </w:rPr>
            </w:pPr>
          </w:p>
        </w:tc>
      </w:tr>
      <w:tr w14:paraId="09262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53319">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6E91F">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AD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7E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保障职工正常权益</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7C8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C95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1A9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FF6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EF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13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D2D9E">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9A2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FFD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9CD5F">
            <w:pPr>
              <w:jc w:val="center"/>
              <w:rPr>
                <w:rFonts w:hint="eastAsia" w:ascii="宋体" w:hAnsi="宋体" w:eastAsia="宋体" w:cs="宋体"/>
                <w:i w:val="0"/>
                <w:iCs w:val="0"/>
                <w:color w:val="000000"/>
                <w:sz w:val="18"/>
                <w:szCs w:val="18"/>
                <w:u w:val="none"/>
              </w:rPr>
            </w:pPr>
          </w:p>
        </w:tc>
      </w:tr>
      <w:tr w14:paraId="08240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0648B">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08894">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A23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F0A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8427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9C91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B4320">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5E5C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7A5D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708B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3659E">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77D74">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89003">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21487">
            <w:pPr>
              <w:jc w:val="center"/>
              <w:rPr>
                <w:rFonts w:hint="eastAsia" w:ascii="宋体" w:hAnsi="宋体" w:eastAsia="宋体" w:cs="宋体"/>
                <w:i w:val="0"/>
                <w:iCs w:val="0"/>
                <w:color w:val="000000"/>
                <w:sz w:val="18"/>
                <w:szCs w:val="18"/>
                <w:u w:val="none"/>
              </w:rPr>
            </w:pPr>
          </w:p>
        </w:tc>
      </w:tr>
      <w:tr w14:paraId="44CA8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E5FD0">
            <w:pPr>
              <w:jc w:val="center"/>
              <w:rPr>
                <w:rFonts w:hint="eastAsia" w:ascii="宋体" w:hAnsi="宋体" w:eastAsia="宋体" w:cs="宋体"/>
                <w:b/>
                <w:bCs/>
                <w:i w:val="0"/>
                <w:iCs w:val="0"/>
                <w:color w:val="000000"/>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51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166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09966">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24C7">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5387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41121">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86C4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44DA9">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9C3A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89827">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59E53">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E611E">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8884F">
            <w:pPr>
              <w:jc w:val="center"/>
              <w:rPr>
                <w:rFonts w:hint="eastAsia" w:ascii="宋体" w:hAnsi="宋体" w:eastAsia="宋体" w:cs="宋体"/>
                <w:i w:val="0"/>
                <w:iCs w:val="0"/>
                <w:color w:val="000000"/>
                <w:sz w:val="18"/>
                <w:szCs w:val="18"/>
                <w:u w:val="none"/>
              </w:rPr>
            </w:pPr>
          </w:p>
        </w:tc>
      </w:tr>
      <w:tr w14:paraId="3A178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204" w:type="pct"/>
            <w:gridSpan w:val="4"/>
            <w:tcBorders>
              <w:top w:val="single" w:color="000000" w:sz="4" w:space="0"/>
              <w:left w:val="single" w:color="000000" w:sz="4" w:space="0"/>
              <w:bottom w:val="single" w:color="000000" w:sz="4" w:space="0"/>
              <w:right w:val="nil"/>
            </w:tcBorders>
            <w:shd w:val="clear" w:color="auto" w:fill="auto"/>
            <w:vAlign w:val="center"/>
          </w:tcPr>
          <w:p w14:paraId="152AC4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6F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nil"/>
              <w:bottom w:val="single" w:color="000000" w:sz="4" w:space="0"/>
              <w:right w:val="single" w:color="000000" w:sz="4" w:space="0"/>
            </w:tcBorders>
            <w:shd w:val="clear" w:color="auto" w:fill="auto"/>
            <w:vAlign w:val="center"/>
          </w:tcPr>
          <w:p w14:paraId="230D425B">
            <w:pP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7225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20EF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AE9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482A1">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E1570">
            <w:pP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67822">
            <w:pP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BFD22">
            <w:pP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83747">
            <w:pPr>
              <w:rPr>
                <w:rFonts w:hint="eastAsia" w:ascii="宋体" w:hAnsi="宋体" w:eastAsia="宋体" w:cs="宋体"/>
                <w:i w:val="0"/>
                <w:iCs w:val="0"/>
                <w:color w:val="000000"/>
                <w:sz w:val="18"/>
                <w:szCs w:val="18"/>
                <w:u w:val="none"/>
              </w:rPr>
            </w:pPr>
          </w:p>
        </w:tc>
      </w:tr>
    </w:tbl>
    <w:p w14:paraId="0D2C1648">
      <w:pPr>
        <w:ind w:left="0" w:leftChars="0" w:firstLine="0" w:firstLineChars="0"/>
        <w:rPr>
          <w:color w:val="auto"/>
          <w:highlight w:val="none"/>
        </w:rPr>
      </w:pPr>
      <w:r>
        <w:rPr>
          <w:color w:val="auto"/>
          <w:highlight w:val="none"/>
        </w:rP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4" w:name="_Toc11223"/>
      <w:bookmarkStart w:id="155"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2.25</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100%</w:t>
            </w:r>
            <w:r>
              <w:rPr>
                <w:rFonts w:hint="eastAsia" w:ascii="宋体" w:hAnsi="宋体" w:eastAsia="宋体" w:cs="宋体"/>
                <w:color w:val="auto"/>
                <w:kern w:val="0"/>
                <w:sz w:val="22"/>
                <w:szCs w:val="22"/>
                <w:highlight w:val="none"/>
              </w:rPr>
              <w:t>=（</w:t>
            </w:r>
            <w:r>
              <w:rPr>
                <w:rFonts w:hint="eastAsia" w:cs="宋体"/>
                <w:color w:val="auto"/>
                <w:kern w:val="0"/>
                <w:sz w:val="22"/>
                <w:szCs w:val="22"/>
                <w:highlight w:val="none"/>
                <w:lang w:val="en-US" w:eastAsia="zh-CN"/>
              </w:rPr>
              <w:t>157.35万元</w:t>
            </w:r>
            <w:r>
              <w:rPr>
                <w:rFonts w:hint="eastAsia" w:ascii="宋体" w:hAnsi="宋体" w:eastAsia="宋体" w:cs="宋体"/>
                <w:color w:val="auto"/>
                <w:kern w:val="0"/>
                <w:sz w:val="22"/>
                <w:szCs w:val="22"/>
                <w:highlight w:val="none"/>
              </w:rPr>
              <w:t>/</w:t>
            </w:r>
            <w:r>
              <w:rPr>
                <w:rFonts w:hint="eastAsia" w:cs="宋体"/>
                <w:color w:val="auto"/>
                <w:kern w:val="0"/>
                <w:sz w:val="22"/>
                <w:szCs w:val="22"/>
                <w:highlight w:val="none"/>
                <w:lang w:val="en-US" w:eastAsia="zh-CN"/>
              </w:rPr>
              <w:t>157.35万元</w:t>
            </w:r>
            <w:r>
              <w:rPr>
                <w:rFonts w:hint="eastAsia" w:ascii="宋体" w:hAnsi="宋体" w:eastAsia="宋体" w:cs="宋体"/>
                <w:color w:val="auto"/>
                <w:kern w:val="0"/>
                <w:sz w:val="22"/>
                <w:szCs w:val="22"/>
                <w:highlight w:val="none"/>
              </w:rPr>
              <w:t>）×100%。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val="en-US" w:eastAsia="zh-CN"/>
              </w:rPr>
              <w:t>100%</w:t>
            </w:r>
            <w:r>
              <w:rPr>
                <w:rFonts w:hint="eastAsia" w:ascii="宋体" w:hAnsi="宋体" w:eastAsia="宋体" w:cs="宋体"/>
                <w:color w:val="auto"/>
                <w:kern w:val="0"/>
                <w:sz w:val="22"/>
                <w:szCs w:val="22"/>
                <w:highlight w:val="none"/>
              </w:rPr>
              <w:t>=（</w:t>
            </w:r>
            <w:r>
              <w:rPr>
                <w:rFonts w:hint="eastAsia" w:cs="宋体"/>
                <w:color w:val="auto"/>
                <w:kern w:val="0"/>
                <w:sz w:val="22"/>
                <w:szCs w:val="22"/>
                <w:highlight w:val="none"/>
                <w:lang w:val="en-US" w:eastAsia="zh-CN"/>
              </w:rPr>
              <w:t>157.35万元</w:t>
            </w:r>
            <w:r>
              <w:rPr>
                <w:rFonts w:hint="eastAsia" w:ascii="宋体" w:hAnsi="宋体" w:eastAsia="宋体" w:cs="宋体"/>
                <w:color w:val="auto"/>
                <w:kern w:val="0"/>
                <w:sz w:val="22"/>
                <w:szCs w:val="22"/>
                <w:highlight w:val="none"/>
              </w:rPr>
              <w:t>/</w:t>
            </w:r>
            <w:r>
              <w:rPr>
                <w:rFonts w:hint="eastAsia" w:cs="宋体"/>
                <w:color w:val="auto"/>
                <w:kern w:val="0"/>
                <w:sz w:val="22"/>
                <w:szCs w:val="22"/>
                <w:highlight w:val="none"/>
                <w:lang w:val="en-US" w:eastAsia="zh-CN"/>
              </w:rPr>
              <w:t>157.35万元</w:t>
            </w:r>
            <w:r>
              <w:rPr>
                <w:rFonts w:hint="eastAsia" w:ascii="宋体" w:hAnsi="宋体" w:eastAsia="宋体" w:cs="宋体"/>
                <w:color w:val="auto"/>
                <w:kern w:val="0"/>
                <w:sz w:val="22"/>
                <w:szCs w:val="22"/>
                <w:highlight w:val="none"/>
              </w:rPr>
              <w:t>）×100%。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社保补缴人数</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val="en-US" w:eastAsia="zh-CN"/>
              </w:rPr>
              <w:t>数量达标率</w:t>
            </w:r>
            <w:r>
              <w:rPr>
                <w:rFonts w:hint="eastAsia" w:ascii="宋体" w:hAnsi="宋体" w:eastAsia="宋体" w:cs="宋体"/>
                <w:color w:val="auto"/>
                <w:kern w:val="0"/>
                <w:sz w:val="22"/>
                <w:szCs w:val="22"/>
                <w:highlight w:val="none"/>
              </w:rPr>
              <w:t>=（实际产出数/计划产出数）×100%。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资金发放准确率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社保征缴及时率</w:t>
            </w:r>
          </w:p>
        </w:tc>
        <w:tc>
          <w:tcPr>
            <w:tcW w:w="2141" w:type="dxa"/>
            <w:vMerge w:val="restart"/>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vMerge w:val="restart"/>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47E893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CB6D82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EFAAA4F">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EADC72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资金发放完成时间</w:t>
            </w:r>
          </w:p>
        </w:tc>
        <w:tc>
          <w:tcPr>
            <w:tcW w:w="2141" w:type="dxa"/>
            <w:vMerge w:val="continue"/>
            <w:shd w:val="clear" w:color="auto" w:fill="auto"/>
            <w:noWrap w:val="0"/>
            <w:vAlign w:val="center"/>
          </w:tcPr>
          <w:p w14:paraId="3D833E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21" w:type="dxa"/>
            <w:vMerge w:val="continue"/>
            <w:shd w:val="clear" w:color="auto" w:fill="auto"/>
            <w:noWrap w:val="0"/>
            <w:vAlign w:val="center"/>
          </w:tcPr>
          <w:p w14:paraId="6617B4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27F8873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59D1854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3E1007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社保补缴金额</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val="en-US" w:eastAsia="zh-CN"/>
              </w:rPr>
              <w:t>100%</w:t>
            </w:r>
            <w:r>
              <w:rPr>
                <w:rFonts w:hint="eastAsia" w:ascii="宋体" w:hAnsi="宋体" w:eastAsia="宋体" w:cs="宋体"/>
                <w:color w:val="auto"/>
                <w:kern w:val="0"/>
                <w:sz w:val="22"/>
                <w:szCs w:val="22"/>
                <w:highlight w:val="none"/>
              </w:rPr>
              <w:t>=</w:t>
            </w:r>
            <w:r>
              <w:rPr>
                <w:rFonts w:hint="eastAsia" w:cs="宋体"/>
                <w:color w:val="auto"/>
                <w:kern w:val="0"/>
                <w:sz w:val="22"/>
                <w:szCs w:val="22"/>
                <w:highlight w:val="none"/>
                <w:lang w:eastAsia="zh-CN"/>
              </w:rPr>
              <w:t>（</w:t>
            </w:r>
            <w:r>
              <w:rPr>
                <w:rFonts w:hint="eastAsia" w:cs="宋体"/>
                <w:color w:val="auto"/>
                <w:kern w:val="0"/>
                <w:sz w:val="22"/>
                <w:szCs w:val="22"/>
                <w:highlight w:val="none"/>
                <w:lang w:val="en-US" w:eastAsia="zh-CN"/>
              </w:rPr>
              <w:t>157.35万元</w:t>
            </w:r>
            <w:r>
              <w:rPr>
                <w:rFonts w:hint="eastAsia" w:ascii="宋体" w:hAnsi="宋体" w:eastAsia="宋体" w:cs="宋体"/>
                <w:color w:val="auto"/>
                <w:kern w:val="0"/>
                <w:sz w:val="22"/>
                <w:szCs w:val="22"/>
                <w:highlight w:val="none"/>
              </w:rPr>
              <w:t>/</w:t>
            </w:r>
            <w:r>
              <w:rPr>
                <w:rFonts w:hint="eastAsia" w:cs="宋体"/>
                <w:color w:val="auto"/>
                <w:kern w:val="0"/>
                <w:sz w:val="22"/>
                <w:szCs w:val="22"/>
                <w:highlight w:val="none"/>
                <w:lang w:val="en-US" w:eastAsia="zh-CN"/>
              </w:rPr>
              <w:t>157.35万元</w:t>
            </w:r>
            <w:r>
              <w:rPr>
                <w:rFonts w:hint="eastAsia" w:ascii="宋体" w:hAnsi="宋体" w:eastAsia="宋体" w:cs="宋体"/>
                <w:color w:val="auto"/>
                <w:kern w:val="0"/>
                <w:sz w:val="22"/>
                <w:szCs w:val="22"/>
                <w:highlight w:val="none"/>
              </w:rPr>
              <w:t>）×100%。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16</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16</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F7BC3FA">
            <w:pPr>
              <w:keepNext w:val="0"/>
              <w:keepLines w:val="0"/>
              <w:pageBreakBefore w:val="0"/>
              <w:widowControl/>
              <w:suppressLineNumbers w:val="0"/>
              <w:kinsoku/>
              <w:wordWrap/>
              <w:overflowPunct/>
              <w:topLinePunct w:val="0"/>
              <w:autoSpaceDE/>
              <w:autoSpaceDN/>
              <w:bidi w:val="0"/>
              <w:adjustRightInd/>
              <w:snapToGrid/>
              <w:spacing w:line="280" w:lineRule="exact"/>
              <w:ind w:firstLine="400" w:firstLineChars="200"/>
              <w:jc w:val="center"/>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实现社会保险应保尽保</w:t>
            </w:r>
          </w:p>
        </w:tc>
        <w:tc>
          <w:tcPr>
            <w:tcW w:w="2141" w:type="dxa"/>
            <w:vMerge w:val="restart"/>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vMerge w:val="restart"/>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66B85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41EDE6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55EA53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4A073E9">
            <w:pPr>
              <w:keepNext w:val="0"/>
              <w:keepLines w:val="0"/>
              <w:pageBreakBefore w:val="0"/>
              <w:widowControl/>
              <w:suppressLineNumbers w:val="0"/>
              <w:kinsoku/>
              <w:wordWrap/>
              <w:overflowPunct/>
              <w:topLinePunct w:val="0"/>
              <w:autoSpaceDE/>
              <w:autoSpaceDN/>
              <w:bidi w:val="0"/>
              <w:adjustRightInd/>
              <w:snapToGrid/>
              <w:spacing w:line="280" w:lineRule="exact"/>
              <w:ind w:firstLine="400" w:firstLineChars="200"/>
              <w:jc w:val="center"/>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保障职工正常权益</w:t>
            </w:r>
          </w:p>
        </w:tc>
        <w:tc>
          <w:tcPr>
            <w:tcW w:w="2141" w:type="dxa"/>
            <w:vMerge w:val="continue"/>
            <w:shd w:val="clear" w:color="auto" w:fill="auto"/>
            <w:noWrap w:val="0"/>
            <w:vAlign w:val="center"/>
          </w:tcPr>
          <w:p w14:paraId="57E7E1E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p>
        </w:tc>
        <w:tc>
          <w:tcPr>
            <w:tcW w:w="7821" w:type="dxa"/>
            <w:vMerge w:val="continue"/>
            <w:shd w:val="clear" w:color="auto" w:fill="auto"/>
            <w:noWrap w:val="0"/>
            <w:vAlign w:val="center"/>
          </w:tcPr>
          <w:p w14:paraId="3852CD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6DE723A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1D96F8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63F54F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社保费补缴满意度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99.25</w:t>
            </w:r>
          </w:p>
        </w:tc>
      </w:tr>
    </w:tbl>
    <w:p w14:paraId="052A11BB">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0CFFDD06">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357145"/>
    <w:rsid w:val="007D6A04"/>
    <w:rsid w:val="00E23C81"/>
    <w:rsid w:val="01253350"/>
    <w:rsid w:val="01282E62"/>
    <w:rsid w:val="014029CF"/>
    <w:rsid w:val="01470C4C"/>
    <w:rsid w:val="02200440"/>
    <w:rsid w:val="02284B43"/>
    <w:rsid w:val="02A81BA0"/>
    <w:rsid w:val="02B015E2"/>
    <w:rsid w:val="02DC08FA"/>
    <w:rsid w:val="033B569D"/>
    <w:rsid w:val="036A7B48"/>
    <w:rsid w:val="039C3BA0"/>
    <w:rsid w:val="03A845BB"/>
    <w:rsid w:val="03B45AD1"/>
    <w:rsid w:val="04D12EE4"/>
    <w:rsid w:val="04D23384"/>
    <w:rsid w:val="04D63993"/>
    <w:rsid w:val="06F832D7"/>
    <w:rsid w:val="07890F4F"/>
    <w:rsid w:val="0808579C"/>
    <w:rsid w:val="08892439"/>
    <w:rsid w:val="08EB30F3"/>
    <w:rsid w:val="09237408"/>
    <w:rsid w:val="09781BD6"/>
    <w:rsid w:val="09F359DF"/>
    <w:rsid w:val="0A575E65"/>
    <w:rsid w:val="0ACA0AB6"/>
    <w:rsid w:val="0B971310"/>
    <w:rsid w:val="0BBA6DAD"/>
    <w:rsid w:val="0BD95485"/>
    <w:rsid w:val="0C032502"/>
    <w:rsid w:val="0C27698C"/>
    <w:rsid w:val="0D4452F3"/>
    <w:rsid w:val="0DCE3154"/>
    <w:rsid w:val="0DEA4D61"/>
    <w:rsid w:val="0F2A7950"/>
    <w:rsid w:val="0F5E5042"/>
    <w:rsid w:val="0FC23B71"/>
    <w:rsid w:val="0FE95707"/>
    <w:rsid w:val="10510571"/>
    <w:rsid w:val="10787A20"/>
    <w:rsid w:val="108672DE"/>
    <w:rsid w:val="10D601E5"/>
    <w:rsid w:val="10EC685A"/>
    <w:rsid w:val="11641875"/>
    <w:rsid w:val="11875489"/>
    <w:rsid w:val="11F41C9F"/>
    <w:rsid w:val="11FA6155"/>
    <w:rsid w:val="12141EE7"/>
    <w:rsid w:val="12CF0947"/>
    <w:rsid w:val="12F1313F"/>
    <w:rsid w:val="136C678E"/>
    <w:rsid w:val="138819DA"/>
    <w:rsid w:val="13EB2FF5"/>
    <w:rsid w:val="13FE3E6C"/>
    <w:rsid w:val="14302302"/>
    <w:rsid w:val="14ED4CAC"/>
    <w:rsid w:val="15A46B04"/>
    <w:rsid w:val="165825BC"/>
    <w:rsid w:val="16BC5D73"/>
    <w:rsid w:val="170A7DED"/>
    <w:rsid w:val="176F36D7"/>
    <w:rsid w:val="1795226D"/>
    <w:rsid w:val="18456B1E"/>
    <w:rsid w:val="186C59CF"/>
    <w:rsid w:val="18943406"/>
    <w:rsid w:val="192656BE"/>
    <w:rsid w:val="19BB441C"/>
    <w:rsid w:val="1AFC4CEC"/>
    <w:rsid w:val="1B0B0DA8"/>
    <w:rsid w:val="1BC11611"/>
    <w:rsid w:val="1C1171C5"/>
    <w:rsid w:val="1CAD68E8"/>
    <w:rsid w:val="1D265138"/>
    <w:rsid w:val="1D7B6BCA"/>
    <w:rsid w:val="1DA41A79"/>
    <w:rsid w:val="1DB25B36"/>
    <w:rsid w:val="1DF53469"/>
    <w:rsid w:val="1E2F24F2"/>
    <w:rsid w:val="1E4F1B17"/>
    <w:rsid w:val="1E58492F"/>
    <w:rsid w:val="1E5B6757"/>
    <w:rsid w:val="1ED10AC6"/>
    <w:rsid w:val="1F89225F"/>
    <w:rsid w:val="1F900A1F"/>
    <w:rsid w:val="1FC0575D"/>
    <w:rsid w:val="1FC76621"/>
    <w:rsid w:val="203D4565"/>
    <w:rsid w:val="206132C7"/>
    <w:rsid w:val="206D63CA"/>
    <w:rsid w:val="21B00C1D"/>
    <w:rsid w:val="227C1950"/>
    <w:rsid w:val="23031BEB"/>
    <w:rsid w:val="23366E7A"/>
    <w:rsid w:val="23917691"/>
    <w:rsid w:val="239669EF"/>
    <w:rsid w:val="24264886"/>
    <w:rsid w:val="244D65B8"/>
    <w:rsid w:val="245E1E24"/>
    <w:rsid w:val="25AD5E5D"/>
    <w:rsid w:val="2732478D"/>
    <w:rsid w:val="27661469"/>
    <w:rsid w:val="27900EAD"/>
    <w:rsid w:val="279B538A"/>
    <w:rsid w:val="286F545C"/>
    <w:rsid w:val="287D7D0C"/>
    <w:rsid w:val="29314FBC"/>
    <w:rsid w:val="29954C89"/>
    <w:rsid w:val="2AA2081A"/>
    <w:rsid w:val="2B4558BC"/>
    <w:rsid w:val="2C024B86"/>
    <w:rsid w:val="2C927671"/>
    <w:rsid w:val="2CC6306F"/>
    <w:rsid w:val="2D7C5CD6"/>
    <w:rsid w:val="2E483E7E"/>
    <w:rsid w:val="2E690493"/>
    <w:rsid w:val="2E9854BD"/>
    <w:rsid w:val="2F0D407F"/>
    <w:rsid w:val="2F454B19"/>
    <w:rsid w:val="310224D9"/>
    <w:rsid w:val="316D40D0"/>
    <w:rsid w:val="31B4621C"/>
    <w:rsid w:val="31E3230A"/>
    <w:rsid w:val="330957E0"/>
    <w:rsid w:val="330B1B18"/>
    <w:rsid w:val="33356F64"/>
    <w:rsid w:val="33944516"/>
    <w:rsid w:val="33CC6DA8"/>
    <w:rsid w:val="34B62907"/>
    <w:rsid w:val="36BD137C"/>
    <w:rsid w:val="37C64260"/>
    <w:rsid w:val="37D0642B"/>
    <w:rsid w:val="38053EDF"/>
    <w:rsid w:val="380812A4"/>
    <w:rsid w:val="385D37E7"/>
    <w:rsid w:val="38782EDD"/>
    <w:rsid w:val="392612E3"/>
    <w:rsid w:val="39FB6033"/>
    <w:rsid w:val="3AF47E43"/>
    <w:rsid w:val="3B42664A"/>
    <w:rsid w:val="3CAD1E92"/>
    <w:rsid w:val="3D836A4E"/>
    <w:rsid w:val="3DBA54E2"/>
    <w:rsid w:val="3E3208A1"/>
    <w:rsid w:val="3EA37E97"/>
    <w:rsid w:val="3FBE0BC5"/>
    <w:rsid w:val="3FD2714A"/>
    <w:rsid w:val="4048103A"/>
    <w:rsid w:val="40635C59"/>
    <w:rsid w:val="40736643"/>
    <w:rsid w:val="40D24A7A"/>
    <w:rsid w:val="40DE6ABE"/>
    <w:rsid w:val="41297D82"/>
    <w:rsid w:val="41C30B49"/>
    <w:rsid w:val="41DE7162"/>
    <w:rsid w:val="42621029"/>
    <w:rsid w:val="435241E2"/>
    <w:rsid w:val="43975C51"/>
    <w:rsid w:val="439E3FA7"/>
    <w:rsid w:val="44B32266"/>
    <w:rsid w:val="44FC64F4"/>
    <w:rsid w:val="452A729E"/>
    <w:rsid w:val="467F4585"/>
    <w:rsid w:val="470628CB"/>
    <w:rsid w:val="4729480B"/>
    <w:rsid w:val="47555BD4"/>
    <w:rsid w:val="47736F56"/>
    <w:rsid w:val="479C21B7"/>
    <w:rsid w:val="47BC2DB1"/>
    <w:rsid w:val="47E96399"/>
    <w:rsid w:val="47F76025"/>
    <w:rsid w:val="48253F15"/>
    <w:rsid w:val="486E33F5"/>
    <w:rsid w:val="48E12B50"/>
    <w:rsid w:val="49250F54"/>
    <w:rsid w:val="499441BE"/>
    <w:rsid w:val="499A6C1C"/>
    <w:rsid w:val="4A195607"/>
    <w:rsid w:val="4A2138F0"/>
    <w:rsid w:val="4A583887"/>
    <w:rsid w:val="4A6D4E72"/>
    <w:rsid w:val="4B9F6E02"/>
    <w:rsid w:val="4C89637B"/>
    <w:rsid w:val="4CC622F5"/>
    <w:rsid w:val="4DB60D8F"/>
    <w:rsid w:val="4E6E48A8"/>
    <w:rsid w:val="4EEC036B"/>
    <w:rsid w:val="4F183F51"/>
    <w:rsid w:val="4F714FA1"/>
    <w:rsid w:val="501D2673"/>
    <w:rsid w:val="50560F58"/>
    <w:rsid w:val="50B82E88"/>
    <w:rsid w:val="50C80BF1"/>
    <w:rsid w:val="51852833"/>
    <w:rsid w:val="518F5FBE"/>
    <w:rsid w:val="51BC3BDF"/>
    <w:rsid w:val="528E1FD3"/>
    <w:rsid w:val="52AE4E21"/>
    <w:rsid w:val="52F11AC8"/>
    <w:rsid w:val="534F49D9"/>
    <w:rsid w:val="53555F0F"/>
    <w:rsid w:val="535D23D5"/>
    <w:rsid w:val="54184EE1"/>
    <w:rsid w:val="55A34919"/>
    <w:rsid w:val="55B37B72"/>
    <w:rsid w:val="56341678"/>
    <w:rsid w:val="56837A94"/>
    <w:rsid w:val="56F4341A"/>
    <w:rsid w:val="575A7321"/>
    <w:rsid w:val="580C3AB9"/>
    <w:rsid w:val="583C7AE0"/>
    <w:rsid w:val="586C1E9A"/>
    <w:rsid w:val="586E0800"/>
    <w:rsid w:val="58D4602A"/>
    <w:rsid w:val="59216F96"/>
    <w:rsid w:val="598C4145"/>
    <w:rsid w:val="59957D1B"/>
    <w:rsid w:val="59D4294E"/>
    <w:rsid w:val="59E52814"/>
    <w:rsid w:val="5A8249DD"/>
    <w:rsid w:val="5B634312"/>
    <w:rsid w:val="5B9D2CCD"/>
    <w:rsid w:val="5B9D5510"/>
    <w:rsid w:val="5B9E71EA"/>
    <w:rsid w:val="5E226FBC"/>
    <w:rsid w:val="5F5F0972"/>
    <w:rsid w:val="5FE72BD2"/>
    <w:rsid w:val="60120613"/>
    <w:rsid w:val="60AC2D1E"/>
    <w:rsid w:val="615D7134"/>
    <w:rsid w:val="618D5292"/>
    <w:rsid w:val="622E78FA"/>
    <w:rsid w:val="63343F70"/>
    <w:rsid w:val="64296E1C"/>
    <w:rsid w:val="64386FCC"/>
    <w:rsid w:val="649E64A2"/>
    <w:rsid w:val="65E5270A"/>
    <w:rsid w:val="6629576E"/>
    <w:rsid w:val="663D3C54"/>
    <w:rsid w:val="667A6962"/>
    <w:rsid w:val="66862C89"/>
    <w:rsid w:val="66BB486D"/>
    <w:rsid w:val="671A198D"/>
    <w:rsid w:val="67394C7D"/>
    <w:rsid w:val="68126B38"/>
    <w:rsid w:val="68291A1A"/>
    <w:rsid w:val="68352BB8"/>
    <w:rsid w:val="68CF0917"/>
    <w:rsid w:val="691327EB"/>
    <w:rsid w:val="691B1594"/>
    <w:rsid w:val="693A016B"/>
    <w:rsid w:val="6A17429C"/>
    <w:rsid w:val="6A567EA3"/>
    <w:rsid w:val="6A8F0168"/>
    <w:rsid w:val="6AF50B42"/>
    <w:rsid w:val="6B4B4368"/>
    <w:rsid w:val="6B701749"/>
    <w:rsid w:val="6B79100E"/>
    <w:rsid w:val="6C054650"/>
    <w:rsid w:val="6C262B15"/>
    <w:rsid w:val="6C844C00"/>
    <w:rsid w:val="6D26479C"/>
    <w:rsid w:val="6E10212C"/>
    <w:rsid w:val="6E43561A"/>
    <w:rsid w:val="6E557973"/>
    <w:rsid w:val="6E9568DB"/>
    <w:rsid w:val="6EC45B3B"/>
    <w:rsid w:val="6F0D6C22"/>
    <w:rsid w:val="6F47657F"/>
    <w:rsid w:val="6FAF23D9"/>
    <w:rsid w:val="705814EB"/>
    <w:rsid w:val="70635CF6"/>
    <w:rsid w:val="70670707"/>
    <w:rsid w:val="70781894"/>
    <w:rsid w:val="712F3FA3"/>
    <w:rsid w:val="71653487"/>
    <w:rsid w:val="71AA28F9"/>
    <w:rsid w:val="720E3691"/>
    <w:rsid w:val="7249173A"/>
    <w:rsid w:val="724E244C"/>
    <w:rsid w:val="72DA6946"/>
    <w:rsid w:val="732764B3"/>
    <w:rsid w:val="74026044"/>
    <w:rsid w:val="742C4E6F"/>
    <w:rsid w:val="74325A77"/>
    <w:rsid w:val="744031AD"/>
    <w:rsid w:val="74746410"/>
    <w:rsid w:val="750115F9"/>
    <w:rsid w:val="7508088E"/>
    <w:rsid w:val="75C8506C"/>
    <w:rsid w:val="75E5007C"/>
    <w:rsid w:val="77636B63"/>
    <w:rsid w:val="77813724"/>
    <w:rsid w:val="77861774"/>
    <w:rsid w:val="77A2369A"/>
    <w:rsid w:val="78F31435"/>
    <w:rsid w:val="79300B45"/>
    <w:rsid w:val="794D3E18"/>
    <w:rsid w:val="79F3729A"/>
    <w:rsid w:val="7A807CC3"/>
    <w:rsid w:val="7A880722"/>
    <w:rsid w:val="7ABE6120"/>
    <w:rsid w:val="7ACB0498"/>
    <w:rsid w:val="7AED0B4D"/>
    <w:rsid w:val="7C1E4487"/>
    <w:rsid w:val="7C215E02"/>
    <w:rsid w:val="7C76154A"/>
    <w:rsid w:val="7CF23764"/>
    <w:rsid w:val="7D5F3139"/>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 w:type="character" w:customStyle="1" w:styleId="23">
    <w:name w:val="font51"/>
    <w:basedOn w:val="17"/>
    <w:qFormat/>
    <w:uiPriority w:val="0"/>
    <w:rPr>
      <w:rFonts w:hint="eastAsia" w:ascii="宋体" w:hAnsi="宋体" w:eastAsia="宋体" w:cs="宋体"/>
      <w:color w:val="000000"/>
      <w:sz w:val="20"/>
      <w:szCs w:val="20"/>
      <w:u w:val="none"/>
    </w:rPr>
  </w:style>
  <w:style w:type="character" w:customStyle="1" w:styleId="24">
    <w:name w:val="font21"/>
    <w:basedOn w:val="17"/>
    <w:qFormat/>
    <w:uiPriority w:val="0"/>
    <w:rPr>
      <w:rFonts w:hint="default" w:ascii="Arial" w:hAnsi="Arial" w:cs="Arial"/>
      <w:color w:val="000000"/>
      <w:sz w:val="20"/>
      <w:szCs w:val="20"/>
      <w:u w:val="none"/>
    </w:rPr>
  </w:style>
  <w:style w:type="character" w:customStyle="1" w:styleId="25">
    <w:name w:val="font1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10682</Words>
  <Characters>11468</Characters>
  <Lines>0</Lines>
  <Paragraphs>0</Paragraphs>
  <TotalTime>1</TotalTime>
  <ScaleCrop>false</ScaleCrop>
  <LinksUpToDate>false</LinksUpToDate>
  <CharactersWithSpaces>11540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2025-10-23T08:56:01Z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