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5DBD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sz w:val="36"/>
          <w:szCs w:val="36"/>
          <w:highlight w:val="none"/>
          <w:shd w:val="clear" w:color="auto" w:fill="auto"/>
        </w:rPr>
      </w:pPr>
    </w:p>
    <w:p w14:paraId="0CC5F9EF">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63EBE17D">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2B38D290">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sz w:val="40"/>
          <w:szCs w:val="40"/>
          <w:highlight w:val="none"/>
          <w:shd w:val="clear" w:color="auto" w:fill="auto"/>
        </w:rPr>
      </w:pPr>
      <w:bookmarkStart w:id="0" w:name="_Toc15679"/>
      <w:bookmarkStart w:id="1" w:name="_Toc1949"/>
      <w:bookmarkStart w:id="2" w:name="_Toc25575"/>
      <w:bookmarkStart w:id="3" w:name="_Toc29123"/>
      <w:r>
        <w:rPr>
          <w:rFonts w:hint="eastAsia" w:cs="宋体"/>
          <w:b/>
          <w:bCs/>
          <w:color w:val="auto"/>
          <w:sz w:val="40"/>
          <w:szCs w:val="40"/>
          <w:highlight w:val="none"/>
          <w:shd w:val="clear" w:color="auto" w:fill="auto"/>
          <w:lang w:val="en-US" w:eastAsia="zh-CN"/>
        </w:rPr>
        <w:t>佳园社区综合服务建设项目工程</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76EC187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sz w:val="36"/>
          <w:szCs w:val="36"/>
          <w:highlight w:val="none"/>
          <w:shd w:val="clear" w:color="auto" w:fill="auto"/>
        </w:rPr>
      </w:pPr>
    </w:p>
    <w:p w14:paraId="30BD6F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415D8B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435CEE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35B16C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68F6A3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sz w:val="36"/>
          <w:szCs w:val="36"/>
          <w:highlight w:val="none"/>
          <w:shd w:val="clear" w:color="auto" w:fill="auto"/>
        </w:rPr>
      </w:pPr>
    </w:p>
    <w:p w14:paraId="7BAF7B75">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sz w:val="36"/>
          <w:szCs w:val="36"/>
          <w:highlight w:val="none"/>
          <w:shd w:val="clear" w:color="auto" w:fill="auto"/>
        </w:rPr>
      </w:pPr>
    </w:p>
    <w:p w14:paraId="35D6728B">
      <w:pPr>
        <w:spacing w:line="360" w:lineRule="auto"/>
        <w:ind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项目名称：佳园社区综合服务建设项目工程</w:t>
      </w:r>
    </w:p>
    <w:p w14:paraId="6FF0223C">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实施单位：阜康市人民政府博峰街办事处</w:t>
      </w:r>
    </w:p>
    <w:p w14:paraId="27180F04">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主管部门：阜康市人民政府博峰街办事处</w:t>
      </w:r>
    </w:p>
    <w:p w14:paraId="0D227EB2">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项目负责人：周超</w:t>
      </w:r>
    </w:p>
    <w:p w14:paraId="2317590C">
      <w:pPr>
        <w:spacing w:line="360" w:lineRule="auto"/>
        <w:ind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6707841A">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kern w:val="2"/>
          <w:sz w:val="28"/>
          <w:szCs w:val="28"/>
          <w:highlight w:val="none"/>
          <w:shd w:val="clear" w:color="auto" w:fill="auto"/>
          <w:lang w:val="en-US" w:eastAsia="zh-CN"/>
        </w:rPr>
      </w:pPr>
    </w:p>
    <w:p w14:paraId="02F4323F">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78CD88D4">
      <w:pPr>
        <w:pageBreakBefore w:val="0"/>
        <w:kinsoku/>
        <w:wordWrap/>
        <w:overflowPunct/>
        <w:topLinePunct w:val="0"/>
        <w:autoSpaceDE/>
        <w:autoSpaceDN/>
        <w:bidi w:val="0"/>
        <w:spacing w:line="560" w:lineRule="exact"/>
        <w:textAlignment w:val="auto"/>
        <w:rPr>
          <w:rFonts w:hint="eastAsia"/>
          <w:lang w:val="en-US" w:eastAsia="zh-CN"/>
        </w:rPr>
      </w:pPr>
    </w:p>
    <w:p w14:paraId="0EAABF41">
      <w:pPr>
        <w:keepNext w:val="0"/>
        <w:keepLines w:val="0"/>
        <w:pageBreakBefore w:val="0"/>
        <w:shd w:val="clear" w:color="auto" w:fill="auto"/>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1A767909">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50127E1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0F66D28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34FC8A9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6</w:t>
      </w:r>
      <w:r>
        <w:fldChar w:fldCharType="end"/>
      </w:r>
      <w:r>
        <w:rPr>
          <w:rFonts w:hint="eastAsia"/>
          <w:szCs w:val="28"/>
          <w:lang w:val="en-US" w:eastAsia="zh-CN"/>
        </w:rPr>
        <w:fldChar w:fldCharType="end"/>
      </w:r>
    </w:p>
    <w:p w14:paraId="3EC6791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5DB984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8</w:t>
      </w:r>
      <w:r>
        <w:fldChar w:fldCharType="end"/>
      </w:r>
      <w:r>
        <w:rPr>
          <w:rFonts w:hint="eastAsia"/>
          <w:szCs w:val="28"/>
          <w:lang w:val="en-US" w:eastAsia="zh-CN"/>
        </w:rPr>
        <w:fldChar w:fldCharType="end"/>
      </w:r>
    </w:p>
    <w:p w14:paraId="208E840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12</w:t>
      </w:r>
      <w:r>
        <w:fldChar w:fldCharType="end"/>
      </w:r>
      <w:r>
        <w:rPr>
          <w:rFonts w:hint="eastAsia"/>
          <w:szCs w:val="28"/>
          <w:lang w:val="en-US" w:eastAsia="zh-CN"/>
        </w:rPr>
        <w:fldChar w:fldCharType="end"/>
      </w:r>
    </w:p>
    <w:p w14:paraId="1D0EBC3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16</w:t>
      </w:r>
      <w:r>
        <w:fldChar w:fldCharType="end"/>
      </w:r>
      <w:r>
        <w:rPr>
          <w:rFonts w:hint="eastAsia"/>
          <w:szCs w:val="28"/>
          <w:lang w:val="en-US" w:eastAsia="zh-CN"/>
        </w:rPr>
        <w:fldChar w:fldCharType="end"/>
      </w:r>
    </w:p>
    <w:p w14:paraId="475BC6A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18</w:t>
      </w:r>
      <w:r>
        <w:fldChar w:fldCharType="end"/>
      </w:r>
      <w:r>
        <w:rPr>
          <w:rFonts w:hint="eastAsia"/>
          <w:szCs w:val="28"/>
          <w:lang w:val="en-US" w:eastAsia="zh-CN"/>
        </w:rPr>
        <w:fldChar w:fldCharType="end"/>
      </w:r>
    </w:p>
    <w:p w14:paraId="3D49624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18</w:t>
      </w:r>
      <w:r>
        <w:fldChar w:fldCharType="end"/>
      </w:r>
      <w:r>
        <w:rPr>
          <w:rFonts w:hint="eastAsia"/>
          <w:szCs w:val="28"/>
          <w:lang w:val="en-US" w:eastAsia="zh-CN"/>
        </w:rPr>
        <w:fldChar w:fldCharType="end"/>
      </w:r>
    </w:p>
    <w:p w14:paraId="2D3FE11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18</w:t>
      </w:r>
      <w:r>
        <w:fldChar w:fldCharType="end"/>
      </w:r>
      <w:r>
        <w:rPr>
          <w:rFonts w:hint="eastAsia"/>
          <w:szCs w:val="28"/>
          <w:lang w:val="en-US" w:eastAsia="zh-CN"/>
        </w:rPr>
        <w:fldChar w:fldCharType="end"/>
      </w:r>
    </w:p>
    <w:p w14:paraId="455CCF2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19</w:t>
      </w:r>
      <w:r>
        <w:fldChar w:fldCharType="end"/>
      </w:r>
      <w:r>
        <w:rPr>
          <w:rFonts w:hint="eastAsia"/>
          <w:szCs w:val="28"/>
          <w:lang w:val="en-US" w:eastAsia="zh-CN"/>
        </w:rPr>
        <w:fldChar w:fldCharType="end"/>
      </w:r>
    </w:p>
    <w:p w14:paraId="3F039AE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19</w:t>
      </w:r>
      <w:r>
        <w:fldChar w:fldCharType="end"/>
      </w:r>
      <w:r>
        <w:rPr>
          <w:rFonts w:hint="eastAsia"/>
          <w:szCs w:val="28"/>
          <w:lang w:val="en-US" w:eastAsia="zh-CN"/>
        </w:rPr>
        <w:fldChar w:fldCharType="end"/>
      </w:r>
    </w:p>
    <w:p w14:paraId="1417123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23</w:t>
      </w:r>
      <w:r>
        <w:fldChar w:fldCharType="end"/>
      </w:r>
      <w:r>
        <w:rPr>
          <w:rFonts w:hint="eastAsia"/>
          <w:szCs w:val="28"/>
          <w:lang w:val="en-US" w:eastAsia="zh-CN"/>
        </w:rPr>
        <w:fldChar w:fldCharType="end"/>
      </w:r>
    </w:p>
    <w:p w14:paraId="1736BFB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25</w:t>
      </w:r>
      <w:r>
        <w:fldChar w:fldCharType="end"/>
      </w:r>
      <w:r>
        <w:rPr>
          <w:rFonts w:hint="eastAsia"/>
          <w:szCs w:val="28"/>
          <w:lang w:val="en-US" w:eastAsia="zh-CN"/>
        </w:rPr>
        <w:fldChar w:fldCharType="end"/>
      </w:r>
    </w:p>
    <w:p w14:paraId="188EE2C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27</w:t>
      </w:r>
      <w:r>
        <w:fldChar w:fldCharType="end"/>
      </w:r>
      <w:r>
        <w:rPr>
          <w:rFonts w:hint="eastAsia"/>
          <w:szCs w:val="28"/>
          <w:lang w:val="en-US" w:eastAsia="zh-CN"/>
        </w:rPr>
        <w:fldChar w:fldCharType="end"/>
      </w:r>
    </w:p>
    <w:p w14:paraId="0E12D5E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28</w:t>
      </w:r>
      <w:r>
        <w:fldChar w:fldCharType="end"/>
      </w:r>
      <w:r>
        <w:rPr>
          <w:rFonts w:hint="eastAsia"/>
          <w:szCs w:val="28"/>
          <w:lang w:val="en-US" w:eastAsia="zh-CN"/>
        </w:rPr>
        <w:fldChar w:fldCharType="end"/>
      </w:r>
    </w:p>
    <w:p w14:paraId="0F25E2C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08819C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28</w:t>
      </w:r>
      <w:r>
        <w:fldChar w:fldCharType="end"/>
      </w:r>
      <w:r>
        <w:rPr>
          <w:rFonts w:hint="eastAsia"/>
          <w:szCs w:val="28"/>
          <w:lang w:val="en-US" w:eastAsia="zh-CN"/>
        </w:rPr>
        <w:fldChar w:fldCharType="end"/>
      </w:r>
    </w:p>
    <w:p w14:paraId="5461155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339E46BC">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40FB3BD">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4EC4B9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BB2FCF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32</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41F9FAA">
      <w:pPr>
        <w:keepNext w:val="0"/>
        <w:keepLines w:val="0"/>
        <w:pageBreakBefore w:val="0"/>
        <w:shd w:val="clear" w:color="auto" w:fill="auto"/>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p w14:paraId="7F8855A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highlight w:val="none"/>
          <w:shd w:val="clear" w:color="auto" w:fill="auto"/>
        </w:rPr>
      </w:pPr>
      <w:bookmarkStart w:id="4" w:name="_Toc22946"/>
      <w:bookmarkStart w:id="5" w:name="_Toc3663"/>
      <w:bookmarkStart w:id="6" w:name="_Toc20432"/>
      <w:bookmarkStart w:id="7" w:name="_Toc1194"/>
      <w:r>
        <w:rPr>
          <w:rFonts w:hint="eastAsia" w:cs="宋体"/>
          <w:b/>
          <w:bCs/>
          <w:color w:val="auto"/>
          <w:sz w:val="36"/>
          <w:szCs w:val="36"/>
          <w:highlight w:val="none"/>
          <w:shd w:val="clear" w:color="auto" w:fill="auto"/>
          <w:lang w:val="en-US" w:eastAsia="zh-CN"/>
        </w:rPr>
        <w:t>佳园社区综合服务建设</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000000"/>
          <w:sz w:val="36"/>
          <w:szCs w:val="36"/>
          <w:highlight w:val="none"/>
          <w:shd w:val="clear" w:color="auto" w:fill="auto"/>
        </w:rPr>
        <w:t>支出绩效评价报告</w:t>
      </w:r>
      <w:bookmarkEnd w:id="4"/>
      <w:bookmarkEnd w:id="5"/>
      <w:bookmarkEnd w:id="6"/>
      <w:bookmarkEnd w:id="7"/>
    </w:p>
    <w:p w14:paraId="4782A729">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highlight w:val="none"/>
          <w:shd w:val="clear" w:color="auto" w:fill="auto"/>
        </w:rPr>
      </w:pPr>
      <w:bookmarkStart w:id="8" w:name="_Toc18485"/>
      <w:r>
        <w:rPr>
          <w:rFonts w:hint="eastAsia" w:ascii="黑体" w:hAnsi="黑体" w:eastAsia="黑体" w:cs="黑体"/>
          <w:b w:val="0"/>
          <w:bCs w:val="0"/>
          <w:color w:val="000000"/>
          <w:highlight w:val="none"/>
          <w:shd w:val="clear" w:color="auto" w:fill="auto"/>
        </w:rPr>
        <w:t>一、基本情况</w:t>
      </w:r>
      <w:bookmarkEnd w:id="8"/>
    </w:p>
    <w:p w14:paraId="2F81DA57">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23B65AF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eastAsia="zh-CN"/>
        </w:rPr>
      </w:pPr>
      <w:bookmarkStart w:id="10" w:name="_Toc29812"/>
      <w:bookmarkStart w:id="11" w:name="_Toc22346"/>
      <w:bookmarkStart w:id="12" w:name="_Toc10645"/>
      <w:bookmarkStart w:id="13" w:name="_Toc5043"/>
      <w:r>
        <w:rPr>
          <w:rFonts w:hint="eastAsia" w:ascii="仿宋_GB2312" w:hAnsi="仿宋_GB2312" w:eastAsia="仿宋_GB2312" w:cs="仿宋_GB2312"/>
          <w:color w:val="000000"/>
          <w:sz w:val="32"/>
          <w:szCs w:val="32"/>
          <w:highlight w:val="none"/>
          <w:shd w:val="clear" w:color="auto" w:fill="auto"/>
          <w:lang w:val="en-US" w:eastAsia="zh-CN"/>
        </w:rPr>
        <w:t>1.</w:t>
      </w:r>
      <w:r>
        <w:rPr>
          <w:rFonts w:hint="eastAsia" w:ascii="仿宋_GB2312" w:hAnsi="仿宋_GB2312" w:eastAsia="仿宋_GB2312" w:cs="仿宋_GB2312"/>
          <w:color w:val="000000"/>
          <w:sz w:val="32"/>
          <w:szCs w:val="32"/>
          <w:highlight w:val="none"/>
          <w:shd w:val="clear" w:color="auto" w:fill="auto"/>
        </w:rPr>
        <w:t>项目背景</w:t>
      </w:r>
      <w:bookmarkEnd w:id="10"/>
      <w:bookmarkEnd w:id="11"/>
      <w:bookmarkEnd w:id="12"/>
      <w:bookmarkEnd w:id="13"/>
    </w:p>
    <w:p w14:paraId="2E73F7C9">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佳园社区综合服务建设项目工程项目是根据《城乡社区服务体系建设规划（2016—2020年）》、《新疆维吾尔自治区新型城镇化行动计划（2012-2020）》、《阜康市城乡一体化发展规划（2014-2030）》等文件精神，下达了该项目的立项批复，建设地点在阜康市同心巷停车场南侧空地。小区网格党支部，既是最基本的党的组织，又是最基础的治理单元，更是党的建设和社会治理融合共通的组织架构，是城乡社区化背景下基层民主集中制的实践形式。小区网格党支部建设是指在党和政府的领导下，依靠网格党支部力量，利用群众资源，强化小区功能，解决小区问题，促进小区政治、经济、文化、环境协调和健康发展，不断提高小区成员生活水平和生活质量的过程。小区网格党支部建设是一项新的工作，大力推进小区网格党支部建设，是我国城市经济和社会发展到一定阶段的必然要求，是面向新世纪我国城市现代化建设的重要途径。在此背景下，提出了新建博峰街道佳园社区准电小区综合服务设施的建设，制定实施方案。</w:t>
      </w:r>
    </w:p>
    <w:p w14:paraId="0491996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rPr>
      </w:pPr>
      <w:bookmarkStart w:id="14" w:name="_Toc10730"/>
      <w:bookmarkStart w:id="15" w:name="_Toc27343"/>
      <w:bookmarkStart w:id="16" w:name="_Toc1630"/>
      <w:bookmarkStart w:id="17" w:name="_Toc17880"/>
      <w:r>
        <w:rPr>
          <w:rFonts w:hint="eastAsia" w:ascii="仿宋_GB2312" w:hAnsi="仿宋_GB2312" w:eastAsia="仿宋_GB2312" w:cs="仿宋_GB2312"/>
          <w:color w:val="000000"/>
          <w:sz w:val="32"/>
          <w:szCs w:val="32"/>
          <w:highlight w:val="none"/>
          <w:shd w:val="clear" w:color="auto" w:fill="auto"/>
          <w:lang w:val="en-US" w:eastAsia="zh-CN"/>
        </w:rPr>
        <w:t>2.</w:t>
      </w:r>
      <w:r>
        <w:rPr>
          <w:rFonts w:hint="eastAsia" w:ascii="仿宋_GB2312" w:hAnsi="仿宋_GB2312" w:eastAsia="仿宋_GB2312" w:cs="仿宋_GB2312"/>
          <w:color w:val="000000"/>
          <w:sz w:val="32"/>
          <w:szCs w:val="32"/>
          <w:highlight w:val="none"/>
          <w:shd w:val="clear" w:color="auto" w:fill="auto"/>
        </w:rPr>
        <w:t>主要内容及实施情况</w:t>
      </w:r>
      <w:bookmarkEnd w:id="14"/>
      <w:bookmarkEnd w:id="15"/>
      <w:bookmarkEnd w:id="16"/>
      <w:bookmarkEnd w:id="17"/>
    </w:p>
    <w:p w14:paraId="3A5386BF">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eastAsia="zh-CN"/>
        </w:rPr>
      </w:pPr>
      <w:bookmarkStart w:id="18" w:name="_Toc16592"/>
      <w:bookmarkStart w:id="19" w:name="_Toc27409"/>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p>
    <w:p w14:paraId="3EF24BE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lang w:eastAsia="zh-CN"/>
        </w:rPr>
      </w:pPr>
      <w:r>
        <w:rPr>
          <w:rFonts w:hint="eastAsia" w:ascii="仿宋_GB2312" w:hAnsi="仿宋_GB2312" w:eastAsia="仿宋_GB2312" w:cs="仿宋_GB2312"/>
          <w:sz w:val="32"/>
          <w:szCs w:val="32"/>
          <w:lang w:eastAsia="zh-CN"/>
        </w:rPr>
        <w:t>项目总用地面积1375.41㎡，本次项目建设内容主要为：新建博峰街道佳园社区准电小区网格党支部面积996.72㎡，建设地上2层地下一层建筑，包括：建筑安装工程、室内装修工程、给排水、消防、采暖、办公设备及家具购置等，配套建设室外给排水、电力、热力管线，围墙、绿化及广场等基础设施。</w:t>
      </w:r>
    </w:p>
    <w:p w14:paraId="33F46E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3月6日经《昌吉州发展改革委关于阜康市博峰街道佳园社区综合服务设施建设项目可行性研究报告(代项目建议书)的批复》文件批复，经阜康市人民政府博峰街办事处党工委会会议，确定了项目领导小组，明确了责任分工：组长为亓彦超，副组长为吉松，项目负责人为周超,组员为孔培培，摆珊珊，其中：吉松负责监管工作，孔培培负责项目档案资料，周超负责资金拨付工作。</w:t>
      </w:r>
    </w:p>
    <w:p w14:paraId="3EF24108">
      <w:pPr>
        <w:pStyle w:val="5"/>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en-US" w:eastAsia="zh-CN"/>
        </w:rPr>
        <w:t>项目完成了促进社区基层组织建设，加强社区基层组织服务能力，改善社区基层组织基础设施条件，充分发挥社区基层党组织的战斗堡垒作用和广大党员的先锋模范作用，项目的实施达到更好的发挥网格便民、乐民服务群众的作用，满足群众娱乐活动需求的效果。在阜康市同心巷停车场南侧空地修建总建筑面积为996.72平米的综合服务设施建设，项目验收合格率达到90%，项目设计变更率为0%，工程按时完成率达到90%，综合服务建设成本达263.39万元，项目监理设计成本24万元。项目的实施达到为辖区党员、群众提供活动场地的效益，辖区人民满意度达到95%。该项目于2024年10月31日进行了验收，并出具验收报告，单位工程质量验收合格，截至2024年12月项目尚未完成竣工决算并移交使用。</w:t>
      </w:r>
    </w:p>
    <w:p w14:paraId="534EA1A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22" w:name="_Toc569"/>
      <w:bookmarkStart w:id="23" w:name="_Toc1858"/>
      <w:bookmarkStart w:id="24" w:name="_Toc10240"/>
      <w:bookmarkStart w:id="25" w:name="_Toc12348"/>
      <w:r>
        <w:rPr>
          <w:rFonts w:hint="eastAsia" w:ascii="仿宋_GB2312" w:hAnsi="仿宋_GB2312" w:eastAsia="仿宋_GB2312" w:cs="仿宋_GB2312"/>
          <w:color w:val="000000"/>
          <w:sz w:val="32"/>
          <w:szCs w:val="32"/>
          <w:highlight w:val="none"/>
          <w:shd w:val="clear" w:color="auto" w:fill="auto"/>
          <w:lang w:val="en-US" w:eastAsia="zh-CN"/>
        </w:rPr>
        <w:t>3.资金投入和使用情况</w:t>
      </w:r>
      <w:bookmarkEnd w:id="22"/>
      <w:bookmarkEnd w:id="23"/>
      <w:bookmarkEnd w:id="24"/>
      <w:bookmarkEnd w:id="25"/>
    </w:p>
    <w:p w14:paraId="6B2BA2D3">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29106015">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color w:val="auto"/>
          <w:sz w:val="32"/>
          <w:szCs w:val="32"/>
          <w:highlight w:val="none"/>
          <w:lang w:val="en-US" w:eastAsia="zh-CN"/>
        </w:rPr>
        <w:t>该项目年初预算数138.60万元，全年预算数287.39万元，该项目资金已全部落实到位，资金来源为财政拨款。</w:t>
      </w:r>
      <w:bookmarkEnd w:id="29"/>
      <w:bookmarkEnd w:id="30"/>
      <w:bookmarkEnd w:id="31"/>
      <w:bookmarkStart w:id="32" w:name="_Toc1166"/>
      <w:bookmarkStart w:id="33" w:name="_Toc3409"/>
      <w:bookmarkStart w:id="34" w:name="_Toc28187"/>
    </w:p>
    <w:p w14:paraId="61554725">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3E7ECFF8">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该项目年初预算数138.60万元，全年预算数287.39万元</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w:t>
      </w:r>
      <w:r>
        <w:rPr>
          <w:rFonts w:hint="eastAsia" w:ascii="仿宋_GB2312" w:hAnsi="仿宋_GB2312" w:eastAsia="仿宋_GB2312" w:cs="仿宋_GB2312"/>
          <w:color w:val="auto"/>
          <w:sz w:val="32"/>
          <w:szCs w:val="32"/>
          <w:highlight w:val="none"/>
          <w:lang w:val="en-US" w:eastAsia="zh-CN"/>
        </w:rPr>
        <w:t>287.39</w:t>
      </w:r>
      <w:r>
        <w:rPr>
          <w:rFonts w:hint="eastAsia" w:ascii="仿宋_GB2312" w:hAnsi="仿宋_GB2312" w:eastAsia="仿宋_GB2312" w:cs="仿宋_GB2312"/>
          <w:sz w:val="32"/>
          <w:szCs w:val="32"/>
          <w:highlight w:val="none"/>
          <w:lang w:val="en-US" w:eastAsia="zh-CN"/>
        </w:rPr>
        <w:t>万元，预算执行率为100%，主要用于：完成促进社区基层组织建设，加强社区基层组织服务能力，改善社区基层组织基础设施条件，充分发挥社区基层党组织的战斗堡垒作用和广大党员的先锋模范作用，项目的实施达到更好的发挥网格便民、乐民服务群众的作用，满足群众娱乐活动需求的效果。在阜康市同心巷停车场南侧空地修建总建筑面积为996.72平米的综合服务设施建设，项目验收合格率达到90%，项目设计变更率为0%，工程按时完成率达到90%，综合服务建设成本达263.39万元，项目监理设计成本24万元。项目的实施达到为辖区党员、群众提供活动场地的效益，辖区人民满意度达到95%。</w:t>
      </w:r>
      <w:bookmarkEnd w:id="35"/>
      <w:bookmarkEnd w:id="36"/>
      <w:bookmarkEnd w:id="37"/>
    </w:p>
    <w:p w14:paraId="5FC3368B">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5A1AE74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39" w:name="_Toc10047"/>
      <w:bookmarkStart w:id="40" w:name="_Toc14758"/>
      <w:bookmarkStart w:id="41" w:name="_Toc2547"/>
      <w:bookmarkStart w:id="42" w:name="_Toc8528"/>
      <w:r>
        <w:rPr>
          <w:rFonts w:hint="eastAsia" w:ascii="仿宋_GB2312" w:hAnsi="仿宋_GB2312" w:eastAsia="仿宋_GB2312" w:cs="仿宋_GB2312"/>
          <w:color w:val="000000"/>
          <w:sz w:val="32"/>
          <w:szCs w:val="32"/>
          <w:highlight w:val="none"/>
          <w:shd w:val="clear" w:color="auto" w:fill="auto"/>
          <w:lang w:val="en-US" w:eastAsia="zh-CN"/>
        </w:rPr>
        <w:t>1.总体目标</w:t>
      </w:r>
      <w:bookmarkEnd w:id="39"/>
      <w:bookmarkEnd w:id="40"/>
      <w:bookmarkEnd w:id="41"/>
      <w:bookmarkEnd w:id="42"/>
    </w:p>
    <w:p w14:paraId="201373C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佳园社区综合服务建设项目工程项目绩效总体目标为：为促进社区基层组织建设，加强社区基层组织服务能力，改善社区基层组织基础设施条件，充分发挥社区基层党组织的战斗堡垒作用和广大党员的先锋模范作用，2024年计划在阜康市同心巷停车场南侧空地修建总建筑面积为996.72平米的综合服务设施建设，项目验收合格率及工程按时完成率预计达到90%以上，项目设计变更率低于3%。通过项目的实施达到更好的发挥网格便民、乐民服务群众的作用，满足群众娱乐活动需求的效果。项目的实施预计使辖区人民满意度达到95%以上。</w:t>
      </w:r>
    </w:p>
    <w:p w14:paraId="785780A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43" w:name="_Toc4487"/>
      <w:bookmarkStart w:id="44" w:name="_Toc4007"/>
      <w:bookmarkStart w:id="45" w:name="_Toc3255"/>
      <w:bookmarkStart w:id="46" w:name="_Toc8990"/>
      <w:r>
        <w:rPr>
          <w:rFonts w:hint="eastAsia" w:ascii="仿宋_GB2312" w:hAnsi="仿宋_GB2312" w:eastAsia="仿宋_GB2312" w:cs="仿宋_GB2312"/>
          <w:color w:val="000000"/>
          <w:sz w:val="32"/>
          <w:szCs w:val="32"/>
          <w:highlight w:val="none"/>
          <w:shd w:val="clear" w:color="auto" w:fill="auto"/>
          <w:lang w:val="en-US" w:eastAsia="zh-CN"/>
        </w:rPr>
        <w:t>2.阶段性目标</w:t>
      </w:r>
      <w:bookmarkEnd w:id="43"/>
      <w:bookmarkEnd w:id="44"/>
      <w:bookmarkEnd w:id="45"/>
      <w:bookmarkEnd w:id="46"/>
    </w:p>
    <w:p w14:paraId="03D2CC2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sz w:val="32"/>
          <w:szCs w:val="32"/>
          <w:highlight w:val="none"/>
          <w:shd w:val="clear" w:color="auto" w:fill="auto"/>
          <w:lang w:eastAsia="zh-CN"/>
        </w:rPr>
      </w:pPr>
      <w:r>
        <w:rPr>
          <w:rFonts w:hint="eastAsia" w:ascii="仿宋_GB2312" w:hAnsi="仿宋_GB2312" w:eastAsia="仿宋_GB2312" w:cs="仿宋_GB2312"/>
          <w:bCs/>
          <w:color w:val="000000"/>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000000"/>
          <w:sz w:val="32"/>
          <w:szCs w:val="32"/>
          <w:highlight w:val="none"/>
          <w:shd w:val="clear" w:color="auto" w:fill="auto"/>
          <w:lang w:val="en-US" w:eastAsia="zh-CN"/>
        </w:rPr>
        <w:t>20</w:t>
      </w:r>
      <w:r>
        <w:rPr>
          <w:rFonts w:hint="eastAsia" w:ascii="仿宋_GB2312" w:hAnsi="仿宋_GB2312" w:eastAsia="仿宋_GB2312" w:cs="仿宋_GB2312"/>
          <w:bCs/>
          <w:color w:val="000000"/>
          <w:sz w:val="32"/>
          <w:szCs w:val="32"/>
          <w:highlight w:val="none"/>
          <w:shd w:val="clear" w:color="auto" w:fill="auto"/>
          <w:lang w:eastAsia="zh-CN"/>
        </w:rPr>
        <w:t>〕</w:t>
      </w:r>
      <w:r>
        <w:rPr>
          <w:rFonts w:hint="eastAsia" w:ascii="仿宋_GB2312" w:hAnsi="仿宋_GB2312" w:eastAsia="仿宋_GB2312" w:cs="仿宋_GB2312"/>
          <w:bCs/>
          <w:color w:val="000000"/>
          <w:sz w:val="32"/>
          <w:szCs w:val="32"/>
          <w:highlight w:val="none"/>
          <w:shd w:val="clear" w:color="auto" w:fill="auto"/>
          <w:lang w:val="en-US" w:eastAsia="zh-CN"/>
        </w:rPr>
        <w:t>10</w:t>
      </w:r>
      <w:r>
        <w:rPr>
          <w:rFonts w:hint="eastAsia" w:ascii="仿宋_GB2312" w:hAnsi="仿宋_GB2312" w:eastAsia="仿宋_GB2312" w:cs="仿宋_GB2312"/>
          <w:bCs/>
          <w:color w:val="000000"/>
          <w:sz w:val="32"/>
          <w:szCs w:val="32"/>
          <w:highlight w:val="none"/>
          <w:shd w:val="clear" w:color="auto" w:fill="auto"/>
          <w:lang w:eastAsia="zh-CN"/>
        </w:rPr>
        <w:t>号）</w:t>
      </w:r>
      <w:r>
        <w:rPr>
          <w:rFonts w:hint="eastAsia" w:ascii="仿宋_GB2312" w:hAnsi="仿宋_GB2312" w:eastAsia="仿宋_GB2312" w:cs="仿宋_GB2312"/>
          <w:color w:val="000000"/>
          <w:sz w:val="32"/>
          <w:szCs w:val="32"/>
          <w:highlight w:val="none"/>
          <w:shd w:val="clear" w:color="auto" w:fill="auto"/>
          <w:lang w:val="en-US" w:eastAsia="zh-CN"/>
        </w:rPr>
        <w:t>等文件</w:t>
      </w:r>
      <w:r>
        <w:rPr>
          <w:rFonts w:hint="eastAsia" w:ascii="仿宋_GB2312" w:hAnsi="仿宋_GB2312" w:eastAsia="仿宋_GB2312" w:cs="仿宋_GB2312"/>
          <w:bCs/>
          <w:color w:val="000000"/>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sz w:val="32"/>
          <w:szCs w:val="32"/>
          <w:highlight w:val="none"/>
          <w:shd w:val="clear" w:color="auto" w:fill="auto"/>
          <w:lang w:val="en-US" w:eastAsia="zh-CN"/>
        </w:rPr>
        <w:t>后</w:t>
      </w:r>
      <w:r>
        <w:rPr>
          <w:rFonts w:hint="eastAsia" w:ascii="仿宋_GB2312" w:hAnsi="仿宋_GB2312" w:eastAsia="仿宋_GB2312" w:cs="仿宋_GB2312"/>
          <w:bCs/>
          <w:color w:val="000000"/>
          <w:sz w:val="32"/>
          <w:szCs w:val="32"/>
          <w:highlight w:val="none"/>
          <w:shd w:val="clear" w:color="auto" w:fill="auto"/>
          <w:lang w:eastAsia="zh-CN"/>
        </w:rPr>
        <w:t>绩效目标如下：</w:t>
      </w:r>
    </w:p>
    <w:p w14:paraId="20FE3A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5554C2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4CB92F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综合服务设施的修建总面积</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指标，预期目标值为≥996.72平米；</w:t>
      </w:r>
    </w:p>
    <w:p w14:paraId="0643E8D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6C1868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40370B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项目设计变更率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w:t>
      </w:r>
    </w:p>
    <w:p w14:paraId="10887E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2C791C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工程按时完成率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012BA1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57F05C9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经济成本指标</w:t>
      </w:r>
    </w:p>
    <w:p w14:paraId="6C4037C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“综合服务建设工程成本”指标，预期目标值为</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263.39万元；</w:t>
      </w:r>
    </w:p>
    <w:p w14:paraId="74CEA2E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“项目监理设计成本”指标，预期目标值为</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24万元；</w:t>
      </w:r>
    </w:p>
    <w:p w14:paraId="04EA9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57CD05C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781F379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为辖区党员、群众提供活动场地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指标，预期目标值为提高；</w:t>
      </w:r>
    </w:p>
    <w:p w14:paraId="7D7A53A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2E17890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辖区人民满意度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4863BBF6">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highlight w:val="none"/>
          <w:shd w:val="clear" w:color="auto" w:fill="auto"/>
          <w:lang w:val="en-US" w:eastAsia="zh-CN"/>
        </w:rPr>
      </w:pPr>
      <w:bookmarkStart w:id="47" w:name="_Toc26567"/>
      <w:r>
        <w:rPr>
          <w:rFonts w:hint="eastAsia" w:ascii="宋体" w:hAnsi="宋体" w:eastAsia="宋体" w:cs="宋体"/>
          <w:b/>
          <w:bCs/>
          <w:color w:val="000000"/>
          <w:highlight w:val="none"/>
          <w:shd w:val="clear" w:color="auto" w:fill="auto"/>
        </w:rPr>
        <w:t>二、绩效评价工作开展情况</w:t>
      </w:r>
      <w:bookmarkEnd w:id="47"/>
    </w:p>
    <w:p w14:paraId="2C947D38">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480473081"/>
      <w:bookmarkStart w:id="49" w:name="_Toc5258"/>
      <w:bookmarkStart w:id="50" w:name="_Toc26632"/>
      <w:bookmarkStart w:id="51" w:name="_Toc21664"/>
      <w:bookmarkStart w:id="52" w:name="_Toc12868"/>
      <w:bookmarkStart w:id="53" w:name="_Toc5462343"/>
      <w:bookmarkStart w:id="54" w:name="_Toc22169_WPSOffice_Level2"/>
      <w:bookmarkStart w:id="55" w:name="_Toc22922"/>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6BE53831">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30F7FAFC">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43BEE8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7BBDF57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696960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CA055B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5D6351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58" w:name="_Toc21770"/>
      <w:bookmarkStart w:id="59" w:name="_Toc417"/>
      <w:r>
        <w:rPr>
          <w:rFonts w:hint="eastAsia" w:cs="仿宋_GB2312"/>
          <w:color w:val="000000"/>
          <w:sz w:val="32"/>
          <w:szCs w:val="32"/>
          <w:highlight w:val="none"/>
          <w:shd w:val="clear" w:color="auto" w:fill="auto"/>
          <w:lang w:val="en-US" w:eastAsia="zh-CN"/>
        </w:rPr>
        <w:t>2</w:t>
      </w:r>
      <w:r>
        <w:rPr>
          <w:rFonts w:hint="eastAsia" w:ascii="仿宋_GB2312" w:hAnsi="仿宋_GB2312" w:eastAsia="仿宋_GB2312" w:cs="仿宋_GB2312"/>
          <w:color w:val="000000"/>
          <w:sz w:val="32"/>
          <w:szCs w:val="32"/>
          <w:highlight w:val="none"/>
          <w:shd w:val="clear" w:color="auto" w:fill="auto"/>
          <w:lang w:val="en-US" w:eastAsia="zh-CN"/>
        </w:rPr>
        <w:t>.</w:t>
      </w:r>
      <w:r>
        <w:rPr>
          <w:rFonts w:hint="eastAsia" w:ascii="仿宋_GB2312" w:hAnsi="仿宋_GB2312" w:eastAsia="仿宋_GB2312" w:cs="仿宋_GB2312"/>
          <w:color w:val="000000"/>
          <w:sz w:val="32"/>
          <w:szCs w:val="32"/>
          <w:highlight w:val="none"/>
          <w:shd w:val="clear" w:color="auto" w:fill="auto"/>
          <w:lang w:eastAsia="zh-CN"/>
        </w:rPr>
        <w:t>绩效评价的目的</w:t>
      </w:r>
      <w:bookmarkEnd w:id="57"/>
      <w:bookmarkEnd w:id="58"/>
      <w:bookmarkEnd w:id="59"/>
    </w:p>
    <w:p w14:paraId="78A2D1D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highlight w:val="none"/>
          <w:shd w:val="clear" w:color="auto" w:fill="auto"/>
          <w:lang w:eastAsia="zh-CN"/>
        </w:rPr>
      </w:pPr>
      <w:r>
        <w:rPr>
          <w:rFonts w:hint="eastAsia" w:ascii="仿宋_GB2312" w:hAnsi="仿宋_GB2312" w:eastAsia="仿宋_GB2312" w:cs="仿宋_GB2312"/>
          <w:color w:val="000000"/>
          <w:sz w:val="32"/>
          <w:szCs w:val="32"/>
          <w:highlight w:val="none"/>
          <w:shd w:val="clear" w:color="auto" w:fill="auto"/>
          <w:lang w:eastAsia="zh-CN"/>
        </w:rPr>
        <w:t>为全面了解</w:t>
      </w:r>
      <w:r>
        <w:rPr>
          <w:rFonts w:hint="eastAsia" w:ascii="仿宋_GB2312" w:hAnsi="仿宋_GB2312" w:eastAsia="仿宋_GB2312" w:cs="仿宋_GB2312"/>
          <w:color w:val="000000"/>
          <w:sz w:val="32"/>
          <w:szCs w:val="32"/>
          <w:highlight w:val="none"/>
          <w:shd w:val="clear" w:color="auto" w:fill="auto"/>
          <w:lang w:val="en-US" w:eastAsia="zh-CN"/>
        </w:rPr>
        <w:t>该</w:t>
      </w:r>
      <w:r>
        <w:rPr>
          <w:rFonts w:hint="eastAsia" w:ascii="仿宋_GB2312" w:hAnsi="仿宋_GB2312" w:eastAsia="仿宋_GB2312" w:cs="仿宋_GB2312"/>
          <w:color w:val="000000"/>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000000"/>
          <w:sz w:val="32"/>
          <w:szCs w:val="32"/>
          <w:highlight w:val="none"/>
          <w:shd w:val="clear" w:color="auto" w:fill="auto"/>
          <w:lang w:val="en-US" w:eastAsia="zh-CN"/>
        </w:rPr>
        <w:t>绩效</w:t>
      </w:r>
      <w:r>
        <w:rPr>
          <w:rFonts w:hint="eastAsia" w:ascii="仿宋_GB2312" w:hAnsi="仿宋_GB2312" w:eastAsia="仿宋_GB2312" w:cs="仿宋_GB2312"/>
          <w:color w:val="000000"/>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000000"/>
          <w:sz w:val="32"/>
          <w:szCs w:val="32"/>
          <w:highlight w:val="none"/>
          <w:shd w:val="clear" w:color="auto" w:fill="auto"/>
          <w:lang w:val="en-US" w:eastAsia="zh-CN"/>
        </w:rPr>
        <w:t>部门</w:t>
      </w:r>
      <w:r>
        <w:rPr>
          <w:rFonts w:hint="eastAsia" w:ascii="仿宋_GB2312" w:hAnsi="仿宋_GB2312" w:eastAsia="仿宋_GB2312" w:cs="仿宋_GB2312"/>
          <w:color w:val="000000"/>
          <w:sz w:val="32"/>
          <w:szCs w:val="32"/>
          <w:highlight w:val="none"/>
          <w:shd w:val="clear" w:color="auto" w:fill="auto"/>
          <w:lang w:eastAsia="zh-CN"/>
        </w:rPr>
        <w:t>绩效评价来总结经验和教训，促进项目成果转化和应用，为今后类似项目的长效管理，提供可行性参考建议。</w:t>
      </w:r>
    </w:p>
    <w:p w14:paraId="354CEE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054B51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74C5F6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17D2C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AAEF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CE9AF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3E74A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39BE6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6D542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1BDE5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3F90C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CAD9E96">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61" w:name="_Toc31970"/>
      <w:bookmarkStart w:id="62" w:name="_Toc16346"/>
      <w:r>
        <w:rPr>
          <w:rFonts w:hint="eastAsia" w:cs="仿宋_GB2312"/>
          <w:color w:val="000000"/>
          <w:sz w:val="32"/>
          <w:szCs w:val="32"/>
          <w:highlight w:val="none"/>
          <w:shd w:val="clear" w:color="auto" w:fill="auto"/>
          <w:lang w:val="en-US" w:eastAsia="zh-CN"/>
        </w:rPr>
        <w:t>3</w:t>
      </w:r>
      <w:r>
        <w:rPr>
          <w:rFonts w:hint="eastAsia" w:ascii="仿宋_GB2312" w:hAnsi="仿宋_GB2312" w:eastAsia="仿宋_GB2312" w:cs="仿宋_GB2312"/>
          <w:color w:val="000000"/>
          <w:sz w:val="32"/>
          <w:szCs w:val="32"/>
          <w:highlight w:val="none"/>
          <w:shd w:val="clear" w:color="auto" w:fill="auto"/>
          <w:lang w:val="en-US" w:eastAsia="zh-CN"/>
        </w:rPr>
        <w:t>.绩效评价的对象</w:t>
      </w:r>
      <w:bookmarkEnd w:id="60"/>
      <w:bookmarkEnd w:id="61"/>
      <w:bookmarkEnd w:id="62"/>
    </w:p>
    <w:p w14:paraId="6E4D6D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文件要求对2024年度我单位实施的佳园社区综合服务建设项目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00B66FD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阜康市人民政府博峰街办事处</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w:t>
      </w:r>
      <w:r>
        <w:rPr>
          <w:rFonts w:hint="default" w:ascii="仿宋_GB2312" w:hAnsi="仿宋_GB2312" w:eastAsia="仿宋_GB2312" w:cs="仿宋_GB2312"/>
          <w:b w:val="0"/>
          <w:bCs w:val="0"/>
          <w:color w:val="000000"/>
          <w:kern w:val="2"/>
          <w:sz w:val="32"/>
          <w:szCs w:val="32"/>
          <w:highlight w:val="none"/>
          <w:shd w:val="clear" w:color="auto" w:fill="auto"/>
          <w:lang w:val="en-US" w:eastAsia="zh-CN" w:bidi="ar-SA"/>
        </w:rPr>
        <w:t>责实施，旨在</w:t>
      </w:r>
      <w:r>
        <w:rPr>
          <w:rFonts w:hint="eastAsia" w:ascii="仿宋_GB2312" w:hAnsi="仿宋_GB2312" w:eastAsia="仿宋_GB2312" w:cs="仿宋_GB2312"/>
          <w:b w:val="0"/>
          <w:bCs w:val="0"/>
          <w:color w:val="000000"/>
          <w:kern w:val="2"/>
          <w:sz w:val="32"/>
          <w:szCs w:val="32"/>
          <w:highlight w:val="none"/>
          <w:shd w:val="clear" w:color="auto" w:fill="auto"/>
          <w:lang w:val="en-US" w:eastAsia="zh-CN" w:bidi="ar-SA"/>
        </w:rPr>
        <w:t>为促进社区基层组织建设，加强社区基层组织服务能力，改善社区基层组织基础设施条件，充分发挥社区基层党组织的战斗堡垒作用和广大党员的先锋模范作用，2024年计划在阜康市同心巷停车场南侧空地修建总建筑面积为996.72平米的综合服务设施建设，项目验收合格率及工程按时完成率预计达到90%以上，项目设计变更率低于3%。通过项目的实施达到更好的发挥网格便民、乐民服务群众的作用，满足群众娱乐活动需求的效果。项目的实施预计使辖区人民满意度达到95%以上</w:t>
      </w:r>
      <w:r>
        <w:rPr>
          <w:rFonts w:hint="default" w:ascii="仿宋_GB2312" w:hAnsi="仿宋_GB2312" w:eastAsia="仿宋_GB2312" w:cs="仿宋_GB2312"/>
          <w:b w:val="0"/>
          <w:bCs w:val="0"/>
          <w:color w:val="000000"/>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2024年4月15日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287.39</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2A122D91">
      <w:pPr>
        <w:pStyle w:val="4"/>
        <w:pageBreakBefore w:val="0"/>
        <w:kinsoku/>
        <w:wordWrap/>
        <w:overflowPunct/>
        <w:topLinePunct w:val="0"/>
        <w:autoSpaceDE/>
        <w:autoSpaceDN/>
        <w:bidi w:val="0"/>
        <w:adjustRightInd/>
        <w:spacing w:line="560" w:lineRule="exact"/>
        <w:textAlignment w:val="auto"/>
        <w:rPr>
          <w:rFonts w:hint="default" w:cs="仿宋_GB2312"/>
          <w:color w:val="000000"/>
          <w:sz w:val="32"/>
          <w:szCs w:val="32"/>
          <w:highlight w:val="none"/>
          <w:shd w:val="clear" w:color="auto" w:fill="auto"/>
          <w:lang w:val="en-US" w:eastAsia="zh-CN"/>
        </w:rPr>
      </w:pPr>
      <w:bookmarkStart w:id="63" w:name="_Toc21311"/>
      <w:bookmarkStart w:id="64" w:name="_Toc11666"/>
      <w:r>
        <w:rPr>
          <w:rFonts w:hint="default" w:cs="仿宋_GB2312"/>
          <w:color w:val="000000"/>
          <w:sz w:val="32"/>
          <w:szCs w:val="32"/>
          <w:highlight w:val="none"/>
          <w:shd w:val="clear" w:color="auto" w:fill="auto"/>
          <w:lang w:val="en-US" w:eastAsia="zh-CN"/>
        </w:rPr>
        <w:t>4.绩效评价的范围</w:t>
      </w:r>
      <w:bookmarkEnd w:id="63"/>
      <w:bookmarkEnd w:id="64"/>
    </w:p>
    <w:p w14:paraId="780889E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89004D1">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0EC742F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0EA6D20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6FDE7BFB">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社会影响：考察项目对社会等方面的综合影响。</w:t>
      </w:r>
    </w:p>
    <w:p w14:paraId="70A3A178">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22A58CDC">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49493827">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eastAsia" w:ascii="Times New Roman" w:hAnsi="Times New Roman" w:eastAsia="仿宋_GB2312" w:cs="Times New Roman"/>
          <w:color w:val="auto"/>
          <w:sz w:val="32"/>
          <w:szCs w:val="32"/>
          <w:lang w:eastAsia="zh-CN"/>
        </w:rPr>
        <w:t>结合</w:t>
      </w:r>
      <w:r>
        <w:rPr>
          <w:rFonts w:hint="eastAsia" w:ascii="Times New Roman" w:hAnsi="Times New Roman" w:eastAsia="仿宋_GB2312" w:cs="Times New Roman"/>
          <w:color w:val="auto"/>
          <w:sz w:val="32"/>
          <w:szCs w:val="32"/>
          <w:lang w:val="en-US" w:eastAsia="zh-CN"/>
        </w:rPr>
        <w:t>佳园社区综合服务建设</w:t>
      </w:r>
      <w:r>
        <w:rPr>
          <w:rFonts w:hint="eastAsia" w:ascii="Times New Roman" w:hAnsi="Times New Roman" w:eastAsia="仿宋_GB2312" w:cs="Times New Roman"/>
          <w:color w:val="auto"/>
          <w:sz w:val="32"/>
          <w:szCs w:val="32"/>
          <w:lang w:eastAsia="zh-CN"/>
        </w:rPr>
        <w:t>项目实际</w:t>
      </w:r>
      <w:r>
        <w:rPr>
          <w:rFonts w:hint="eastAsia" w:ascii="Times New Roman" w:hAnsi="Times New Roman" w:eastAsia="仿宋_GB2312" w:cs="Times New Roman"/>
          <w:color w:val="000000"/>
          <w:sz w:val="32"/>
          <w:szCs w:val="32"/>
          <w:lang w:eastAsia="zh-CN"/>
        </w:rPr>
        <w:t>开展情况，运用定量和定性分析相结合的方法，总结经验做法，反思项目实施和管理中的问题，以切实提升财政资金管理的科学化、规范化和精细化水平。</w:t>
      </w:r>
    </w:p>
    <w:p w14:paraId="5CA4425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049805F1">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572F219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16ED1AFD">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78C71445">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21076C73">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4396"/>
      <w:bookmarkStart w:id="71" w:name="_Toc1913"/>
      <w:bookmarkStart w:id="72" w:name="_Toc419984722"/>
      <w:bookmarkStart w:id="73" w:name="_Toc26131"/>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0CA8D85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0BA69E7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23033E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B8E9D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5ECBD3C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54652C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60F4B90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DE6E60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6C9A01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39B35E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000000"/>
          <w:sz w:val="32"/>
          <w:szCs w:val="32"/>
          <w:highlight w:val="none"/>
          <w:shd w:val="clear" w:color="auto" w:fill="auto"/>
          <w:lang w:val="en-US" w:eastAsia="zh-CN"/>
        </w:rPr>
        <w:t>3.</w:t>
      </w:r>
      <w:r>
        <w:rPr>
          <w:rFonts w:hint="eastAsia" w:ascii="仿宋_GB2312" w:hAnsi="仿宋_GB2312" w:eastAsia="仿宋_GB2312" w:cs="仿宋_GB2312"/>
          <w:color w:val="000000"/>
          <w:sz w:val="32"/>
          <w:szCs w:val="32"/>
          <w:highlight w:val="none"/>
          <w:shd w:val="clear" w:color="auto" w:fill="auto"/>
        </w:rPr>
        <w:t>评价</w:t>
      </w:r>
      <w:r>
        <w:rPr>
          <w:rFonts w:hint="eastAsia" w:ascii="仿宋_GB2312" w:hAnsi="仿宋_GB2312" w:eastAsia="仿宋_GB2312" w:cs="仿宋_GB2312"/>
          <w:color w:val="000000"/>
          <w:sz w:val="32"/>
          <w:szCs w:val="32"/>
          <w:highlight w:val="none"/>
          <w:shd w:val="clear" w:color="auto" w:fill="auto"/>
          <w:lang w:val="en-US" w:eastAsia="zh-CN"/>
        </w:rPr>
        <w:t>方法</w:t>
      </w:r>
      <w:bookmarkEnd w:id="75"/>
      <w:bookmarkEnd w:id="76"/>
      <w:bookmarkEnd w:id="77"/>
    </w:p>
    <w:p w14:paraId="13425EF2">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346CAAC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EB10761">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原因：成本效益分析法适用于可量化收益的工程项目，该方法能直观反映项目经济可行性，帮助决策者判断资源投入是否实现效益最大化，尤其在财政资金有限的情况下，可优先筛选高性价比项目。</w:t>
      </w:r>
    </w:p>
    <w:p w14:paraId="3FBB26A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000000"/>
          <w:spacing w:val="17"/>
          <w:sz w:val="32"/>
          <w:szCs w:val="32"/>
          <w:highlight w:val="none"/>
          <w:lang w:eastAsia="zh-CN"/>
        </w:rPr>
        <w:t>原因：比较法</w:t>
      </w:r>
      <w:r>
        <w:rPr>
          <w:rFonts w:hint="default" w:ascii="Times New Roman" w:hAnsi="Times New Roman" w:eastAsia="仿宋_GB2312" w:cs="Times New Roman"/>
          <w:color w:val="000000"/>
          <w:spacing w:val="17"/>
          <w:sz w:val="32"/>
          <w:szCs w:val="32"/>
          <w:highlight w:val="none"/>
        </w:rPr>
        <w:t>适用于标准化程度较高的项目，通过对比可快速发现项目在同类工程中的优势与不足，帮助总结经验教训，优化后续项目管理；同时能直观反映项目实际执行与计划的偏差，为动态调整提供依据。</w:t>
      </w:r>
    </w:p>
    <w:p w14:paraId="3827DF7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原因：因素分析法适用于复杂、受多因素影响的工程项目，如大型公共建筑项目等。该方法能系统梳理项目成败的内在逻辑，帮助识别风险点和改进方向，尤其在项目出现绩效偏差时，可精准定位问题根源，为制定针对性措施提供支撑。</w:t>
      </w:r>
    </w:p>
    <w:p w14:paraId="7D5F1C0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原因：公众评判法适用于直接影响公众生活的民生项目，该方法以公众感受为核心，弥补了量化指标的局限性，能真实反映项目是否满足群众需求，增强项目的社会认可度和公信力。</w:t>
      </w:r>
    </w:p>
    <w:p w14:paraId="585092E3">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000000"/>
          <w:sz w:val="32"/>
          <w:szCs w:val="32"/>
          <w:highlight w:val="none"/>
          <w:shd w:val="clear" w:color="auto" w:fill="auto"/>
          <w:lang w:val="en-US" w:eastAsia="zh-CN"/>
        </w:rPr>
        <w:t>4.评价标准</w:t>
      </w:r>
      <w:bookmarkEnd w:id="78"/>
      <w:bookmarkEnd w:id="79"/>
      <w:bookmarkEnd w:id="80"/>
    </w:p>
    <w:p w14:paraId="6577A462">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w:t>
      </w:r>
      <w:r>
        <w:rPr>
          <w:rFonts w:hint="eastAsia" w:ascii="Times New Roman" w:hAnsi="Times New Roman" w:eastAsia="仿宋_GB2312" w:cs="Times New Roman"/>
          <w:color w:val="000000"/>
          <w:spacing w:val="17"/>
          <w:sz w:val="32"/>
          <w:szCs w:val="32"/>
          <w:highlight w:val="none"/>
          <w:lang w:eastAsia="zh-CN"/>
        </w:rPr>
        <w:t>。</w:t>
      </w:r>
    </w:p>
    <w:p w14:paraId="7A80BA5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47E8838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7B91BE41">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649ABF9">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2293F38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3F19FE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C21FABB">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2464647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w:t>
      </w:r>
      <w:r>
        <w:rPr>
          <w:rFonts w:hint="eastAsia" w:ascii="Times New Roman" w:hAnsi="Times New Roman" w:eastAsia="仿宋_GB2312" w:cs="Times New Roman"/>
          <w:color w:val="auto"/>
          <w:spacing w:val="17"/>
          <w:sz w:val="32"/>
          <w:szCs w:val="32"/>
          <w:highlight w:val="none"/>
          <w:lang w:val="en-US" w:eastAsia="zh-CN"/>
        </w:rPr>
        <w:t>过调研对佳园社区综合服务建设项目实施内容、目标</w:t>
      </w:r>
      <w:r>
        <w:rPr>
          <w:rFonts w:hint="eastAsia" w:ascii="Times New Roman" w:hAnsi="Times New Roman" w:eastAsia="仿宋_GB2312" w:cs="Times New Roman"/>
          <w:color w:val="000000"/>
          <w:spacing w:val="17"/>
          <w:sz w:val="32"/>
          <w:szCs w:val="32"/>
          <w:highlight w:val="none"/>
          <w:lang w:val="en-US" w:eastAsia="zh-CN"/>
        </w:rPr>
        <w:t>信息、预算信息以及其他的一些项目基本信息，有了初步了解，为制定绩效评价工作方案做好准备。</w:t>
      </w:r>
      <w:bookmarkEnd w:id="84"/>
    </w:p>
    <w:p w14:paraId="6EC6726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4765669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4F276EC4">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CC0B1B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324E853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1B786E4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3A53939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62FC45D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7D9149C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4192FBE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0D0ECE7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6DDA8EC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A72F36F">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7B8FE3AC">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2B809F10">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7198FFA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27B2D1A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0BA116D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179A58B6">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621A01F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highlight w:val="none"/>
          <w:shd w:val="clear" w:color="auto" w:fill="auto"/>
        </w:rPr>
      </w:pPr>
      <w:bookmarkStart w:id="104" w:name="_Toc19261"/>
      <w:r>
        <w:rPr>
          <w:rFonts w:hint="eastAsia" w:ascii="黑体" w:hAnsi="黑体" w:eastAsia="黑体" w:cs="黑体"/>
          <w:b w:val="0"/>
          <w:bCs w:val="0"/>
          <w:color w:val="000000"/>
          <w:highlight w:val="none"/>
          <w:shd w:val="clear" w:color="auto" w:fill="auto"/>
          <w:lang w:val="en-US" w:eastAsia="zh-CN"/>
        </w:rPr>
        <w:t>三、</w:t>
      </w:r>
      <w:r>
        <w:rPr>
          <w:rFonts w:hint="eastAsia" w:ascii="黑体" w:hAnsi="黑体" w:eastAsia="黑体" w:cs="黑体"/>
          <w:b w:val="0"/>
          <w:bCs w:val="0"/>
          <w:color w:val="000000"/>
          <w:highlight w:val="none"/>
          <w:shd w:val="clear" w:color="auto" w:fill="auto"/>
        </w:rPr>
        <w:t>综合评价情况及评价结论</w:t>
      </w:r>
      <w:bookmarkEnd w:id="104"/>
    </w:p>
    <w:p w14:paraId="7B882BD4">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4F903EA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佳园社区综合服务建设项目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w:t>
      </w:r>
      <w:r>
        <w:rPr>
          <w:rFonts w:hint="default" w:ascii="Times New Roman" w:hAnsi="Times New Roman" w:eastAsia="仿宋_GB2312" w:cs="Times New Roman"/>
          <w:sz w:val="32"/>
          <w:szCs w:val="32"/>
          <w:highlight w:val="none"/>
        </w:rPr>
        <w:t>了预期的标准与要求。</w:t>
      </w:r>
    </w:p>
    <w:p w14:paraId="4A1A388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阜康市人民政府博峰街办事处</w:t>
      </w:r>
      <w:r>
        <w:rPr>
          <w:rFonts w:hint="default" w:ascii="Times New Roman" w:hAnsi="Times New Roman" w:eastAsia="仿宋_GB2312" w:cs="Times New Roman"/>
          <w:color w:val="auto"/>
          <w:sz w:val="32"/>
          <w:szCs w:val="32"/>
          <w:highlight w:val="none"/>
        </w:rPr>
        <w:t>通过有效的规划、组织与协调</w:t>
      </w:r>
      <w:r>
        <w:rPr>
          <w:rFonts w:hint="default" w:ascii="Times New Roman" w:hAnsi="Times New Roman" w:eastAsia="仿宋_GB2312" w:cs="Times New Roman"/>
          <w:sz w:val="32"/>
          <w:szCs w:val="32"/>
          <w:highlight w:val="none"/>
        </w:rPr>
        <w:t>，项目得以顺利实施，并在预算与时间上保持了良好的控制。</w:t>
      </w:r>
    </w:p>
    <w:p w14:paraId="55419F7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为辖区党员、群众提供活动场地</w:t>
      </w:r>
      <w:r>
        <w:rPr>
          <w:rFonts w:hint="default" w:ascii="Times New Roman" w:hAnsi="Times New Roman" w:eastAsia="仿宋_GB2312" w:cs="Times New Roman"/>
          <w:color w:val="auto"/>
          <w:sz w:val="32"/>
          <w:szCs w:val="32"/>
          <w:highlight w:val="none"/>
        </w:rPr>
        <w:t>等方面的提升，为项目的利</w:t>
      </w:r>
      <w:r>
        <w:rPr>
          <w:rFonts w:hint="default" w:ascii="Times New Roman" w:hAnsi="Times New Roman" w:eastAsia="仿宋_GB2312" w:cs="Times New Roman"/>
          <w:sz w:val="32"/>
          <w:szCs w:val="32"/>
          <w:highlight w:val="none"/>
        </w:rPr>
        <w:t>益相关者带来了实实在在的利益。</w:t>
      </w:r>
    </w:p>
    <w:p w14:paraId="457119A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佳园社区综合服务建设项目</w:t>
      </w:r>
      <w:r>
        <w:rPr>
          <w:rFonts w:hint="default" w:ascii="Times New Roman" w:hAnsi="Times New Roman" w:eastAsia="仿宋_GB2312" w:cs="Times New Roman"/>
          <w:color w:val="auto"/>
          <w:sz w:val="32"/>
          <w:szCs w:val="32"/>
          <w:highlight w:val="none"/>
        </w:rPr>
        <w:t>在绩</w:t>
      </w:r>
      <w:r>
        <w:rPr>
          <w:rFonts w:hint="default" w:ascii="Times New Roman" w:hAnsi="Times New Roman" w:eastAsia="仿宋_GB2312" w:cs="Times New Roman"/>
          <w:sz w:val="32"/>
          <w:szCs w:val="32"/>
          <w:highlight w:val="none"/>
        </w:rPr>
        <w:t>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w:t>
      </w:r>
      <w:r>
        <w:rPr>
          <w:rFonts w:hint="eastAsia" w:ascii="仿宋_GB2312" w:hAnsi="仿宋_GB2312" w:eastAsia="仿宋_GB2312" w:cs="仿宋_GB2312"/>
          <w:sz w:val="32"/>
          <w:szCs w:val="32"/>
          <w:highlight w:val="none"/>
          <w:lang w:val="en-US" w:eastAsia="zh-CN"/>
        </w:rPr>
        <w:t>价等级为</w:t>
      </w:r>
      <w:r>
        <w:rPr>
          <w:rFonts w:hint="eastAsia" w:ascii="仿宋_GB2312" w:hAnsi="仿宋_GB2312" w:eastAsia="仿宋_GB2312" w:cs="仿宋_GB2312"/>
          <w:sz w:val="32"/>
          <w:szCs w:val="32"/>
          <w:lang w:eastAsia="zh-CN"/>
        </w:rPr>
        <w:t>优。</w:t>
      </w:r>
    </w:p>
    <w:p w14:paraId="01B0952E">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772F44C5">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佳园社区综合服务建设项目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color="auto" w:fill="auto"/>
          <w:lang w:val="en-US" w:eastAsia="zh-CN"/>
        </w:rPr>
        <w:t>20</w:t>
      </w:r>
      <w:r>
        <w:rPr>
          <w:rFonts w:hint="default" w:ascii="Times New Roman" w:hAnsi="Times New Roman" w:eastAsia="仿宋_GB2312" w:cs="Times New Roman"/>
          <w:color w:val="auto"/>
          <w:spacing w:val="17"/>
          <w:sz w:val="32"/>
          <w:szCs w:val="32"/>
          <w:highlight w:val="none"/>
          <w:shd w:val="clear" w:color="auto" w:fill="auto"/>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14:paraId="16541A8D">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noWrap w:val="0"/>
            <w:tcMar>
              <w:top w:w="15" w:type="dxa"/>
              <w:left w:w="15" w:type="dxa"/>
              <w:right w:w="15" w:type="dxa"/>
            </w:tcMar>
            <w:vAlign w:val="center"/>
          </w:tcPr>
          <w:p w14:paraId="62DC2E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表3-1：佳园社区综合服务建设项目得分表</w:t>
            </w:r>
          </w:p>
        </w:tc>
      </w:tr>
      <w:tr w14:paraId="6827F27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BD8D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A899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BD7E4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B020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878A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23FEB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5C2A688">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AA2E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C823E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C9119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BAD34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C8D4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EE2DF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AC9C16F">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01FE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DE49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6F30F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840B9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A38F2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5A674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4930DECC">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728EA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6ED7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A9EED4B">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8FDB6C">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2C77D4">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07D694">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14:paraId="05F892A5">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highlight w:val="none"/>
          <w:shd w:val="clear" w:color="auto" w:fill="auto"/>
          <w:lang w:val="en-US" w:eastAsia="zh-CN"/>
        </w:rPr>
      </w:pPr>
      <w:bookmarkStart w:id="107" w:name="_Toc14941"/>
      <w:r>
        <w:rPr>
          <w:rFonts w:hint="eastAsia" w:ascii="黑体" w:hAnsi="黑体" w:eastAsia="黑体" w:cs="黑体"/>
          <w:b w:val="0"/>
          <w:bCs w:val="0"/>
          <w:color w:val="000000"/>
          <w:highlight w:val="none"/>
          <w:shd w:val="clear" w:color="auto" w:fill="auto"/>
          <w:lang w:val="en-US" w:eastAsia="zh-CN"/>
        </w:rPr>
        <w:t>四、绩效评价指标分析</w:t>
      </w:r>
      <w:bookmarkEnd w:id="107"/>
    </w:p>
    <w:p w14:paraId="73A91D87">
      <w:pPr>
        <w:pStyle w:val="14"/>
        <w:widowControl/>
        <w:spacing w:before="0" w:beforeLines="0" w:after="0" w:afterLines="0"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50BE3F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kern w:val="2"/>
          <w:sz w:val="32"/>
          <w:szCs w:val="32"/>
          <w:highlight w:val="none"/>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shd w:val="clear" w:color="auto" w:fill="auto"/>
          <w:lang w:val="en-US" w:eastAsia="zh-CN"/>
        </w:rPr>
        <w:t>4</w:t>
      </w:r>
      <w:r>
        <w:rPr>
          <w:rFonts w:hint="eastAsia" w:ascii="仿宋_GB2312" w:hAnsi="仿宋_GB2312" w:eastAsia="仿宋_GB2312" w:cs="仿宋_GB2312"/>
          <w:b/>
          <w:bCs/>
          <w:color w:val="auto"/>
          <w:kern w:val="2"/>
          <w:sz w:val="32"/>
          <w:szCs w:val="32"/>
          <w:highlight w:val="none"/>
          <w:shd w:val="clear" w:color="auto" w:fill="auto"/>
          <w:lang w:eastAsia="zh-CN"/>
        </w:rPr>
        <w:t>-1</w:t>
      </w:r>
      <w:r>
        <w:rPr>
          <w:rFonts w:hint="eastAsia" w:ascii="仿宋_GB2312" w:hAnsi="仿宋_GB2312" w:eastAsia="仿宋_GB2312" w:cs="仿宋_GB2312"/>
          <w:color w:val="auto"/>
          <w:kern w:val="2"/>
          <w:sz w:val="32"/>
          <w:szCs w:val="32"/>
          <w:highlight w:val="none"/>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3C72D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kern w:val="0"/>
          <w:sz w:val="32"/>
          <w:szCs w:val="32"/>
          <w:highlight w:val="none"/>
          <w:shd w:val="clear" w:color="auto" w:fill="auto"/>
          <w:lang w:val="en-US" w:eastAsia="zh-CN"/>
        </w:rPr>
      </w:pPr>
      <w:r>
        <w:rPr>
          <w:rFonts w:hint="eastAsia" w:ascii="仿宋_GB2312" w:hAnsi="仿宋_GB2312" w:eastAsia="仿宋_GB2312" w:cs="仿宋_GB2312"/>
          <w:b/>
          <w:bCs/>
          <w:color w:val="000000"/>
          <w:kern w:val="0"/>
          <w:sz w:val="32"/>
          <w:szCs w:val="32"/>
          <w:highlight w:val="none"/>
          <w:shd w:val="clear" w:color="auto" w:fill="auto"/>
          <w:lang w:val="zh-TW" w:eastAsia="zh-TW"/>
        </w:rPr>
        <w:t>表</w:t>
      </w:r>
      <w:r>
        <w:rPr>
          <w:rFonts w:hint="eastAsia" w:ascii="仿宋_GB2312" w:hAnsi="仿宋_GB2312" w:eastAsia="仿宋_GB2312" w:cs="仿宋_GB2312"/>
          <w:b/>
          <w:bCs/>
          <w:color w:val="000000"/>
          <w:kern w:val="0"/>
          <w:sz w:val="32"/>
          <w:szCs w:val="32"/>
          <w:highlight w:val="none"/>
          <w:shd w:val="clear" w:color="auto" w:fill="auto"/>
          <w:lang w:val="en-US" w:eastAsia="zh-CN"/>
        </w:rPr>
        <w:t>4-1</w:t>
      </w:r>
      <w:r>
        <w:rPr>
          <w:rFonts w:hint="eastAsia" w:ascii="仿宋_GB2312" w:hAnsi="仿宋_GB2312" w:eastAsia="仿宋_GB2312" w:cs="仿宋_GB2312"/>
          <w:b/>
          <w:bCs/>
          <w:color w:val="000000"/>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1825A100">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77F788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0C3EB9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46C152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2726FF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002303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62B5F5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auto" w:sz="4" w:space="0"/>
              <w:right w:val="single" w:color="000000" w:sz="4" w:space="0"/>
            </w:tcBorders>
            <w:shd w:val="clear" w:color="auto" w:fill="auto"/>
            <w:noWrap w:val="0"/>
            <w:tcMar>
              <w:top w:w="12" w:type="dxa"/>
              <w:left w:w="12" w:type="dxa"/>
              <w:right w:w="12" w:type="dxa"/>
            </w:tcMar>
            <w:vAlign w:val="center"/>
          </w:tcPr>
          <w:p w14:paraId="085AA2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得分</w:t>
            </w:r>
          </w:p>
        </w:tc>
      </w:tr>
      <w:tr w14:paraId="0FDDDEEB">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3ED2D9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60C645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3FD9A2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E3CB5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A1B48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noWrap w:val="0"/>
            <w:tcMar>
              <w:top w:w="12" w:type="dxa"/>
              <w:left w:w="12" w:type="dxa"/>
              <w:right w:w="12" w:type="dxa"/>
            </w:tcMar>
            <w:vAlign w:val="center"/>
          </w:tcPr>
          <w:p w14:paraId="7EC842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noWrap w:val="0"/>
            <w:tcMar>
              <w:top w:w="12" w:type="dxa"/>
              <w:left w:w="12" w:type="dxa"/>
              <w:right w:w="12" w:type="dxa"/>
            </w:tcMar>
            <w:vAlign w:val="center"/>
          </w:tcPr>
          <w:p w14:paraId="3C87DF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F51D73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EE858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63258E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40D1FC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735737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30315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立项程序规范性</w:t>
            </w:r>
          </w:p>
        </w:tc>
        <w:tc>
          <w:tcPr>
            <w:tcW w:w="141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3FD8E9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601C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1C033B5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007D07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43DCE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03B9AD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绩效目标</w:t>
            </w:r>
          </w:p>
        </w:tc>
        <w:tc>
          <w:tcPr>
            <w:tcW w:w="794"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34C96B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10</w:t>
            </w: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719887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绩效目标合理性</w:t>
            </w:r>
          </w:p>
        </w:tc>
        <w:tc>
          <w:tcPr>
            <w:tcW w:w="141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CB622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0D6D2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190F3D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43A00A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42D0D2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3E383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75AC6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ECC5E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绩效指标明确性</w:t>
            </w:r>
          </w:p>
        </w:tc>
        <w:tc>
          <w:tcPr>
            <w:tcW w:w="141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DA9A7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A29D9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568F83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9B853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63D4EA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1A44F2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资金投入</w:t>
            </w:r>
          </w:p>
        </w:tc>
        <w:tc>
          <w:tcPr>
            <w:tcW w:w="794" w:type="dxa"/>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26734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4EB663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预算编制科学性</w:t>
            </w:r>
          </w:p>
        </w:tc>
        <w:tc>
          <w:tcPr>
            <w:tcW w:w="141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3E51FB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66E11E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0772CF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70339B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0B536E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791323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592A59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750D87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资金分配合理性</w:t>
            </w:r>
          </w:p>
        </w:tc>
        <w:tc>
          <w:tcPr>
            <w:tcW w:w="141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2CDF8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14:paraId="47FF6E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49C17F8A">
        <w:tblPrEx>
          <w:tblCellMar>
            <w:top w:w="0" w:type="dxa"/>
            <w:left w:w="0" w:type="dxa"/>
            <w:bottom w:w="0" w:type="dxa"/>
            <w:right w:w="0" w:type="dxa"/>
          </w:tblCellMar>
        </w:tblPrEx>
        <w:trPr>
          <w:trHeight w:val="382" w:hRule="atLeast"/>
          <w:tblHeader/>
          <w:jc w:val="center"/>
        </w:trPr>
        <w:tc>
          <w:tcPr>
            <w:tcW w:w="3285" w:type="dxa"/>
            <w:gridSpan w:val="3"/>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28DE1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合计</w:t>
            </w:r>
          </w:p>
        </w:tc>
        <w:tc>
          <w:tcPr>
            <w:tcW w:w="797" w:type="dxa"/>
            <w:gridSpan w:val="2"/>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815A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20</w:t>
            </w:r>
          </w:p>
        </w:tc>
        <w:tc>
          <w:tcPr>
            <w:tcW w:w="1871" w:type="dxa"/>
            <w:gridSpan w:val="2"/>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65FA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417" w:type="dxa"/>
            <w:gridSpan w:val="2"/>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FDB3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auto"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92D6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638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pPr>
            <w:r>
              <w:rPr>
                <w:rFonts w:hint="eastAsia" w:ascii="宋体" w:hAnsi="宋体" w:eastAsia="宋体" w:cs="宋体"/>
                <w:color w:val="auto"/>
                <w:kern w:val="0"/>
                <w:sz w:val="20"/>
                <w:szCs w:val="20"/>
                <w:highlight w:val="none"/>
                <w:shd w:val="clear" w:color="auto" w:fill="auto"/>
                <w:lang w:val="en-US" w:eastAsia="zh-CN"/>
              </w:rPr>
              <w:t>20</w:t>
            </w:r>
          </w:p>
        </w:tc>
      </w:tr>
    </w:tbl>
    <w:p w14:paraId="47BB39D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35A76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color w:val="auto"/>
          <w:sz w:val="32"/>
          <w:szCs w:val="32"/>
          <w:lang w:eastAsia="zh-CN"/>
        </w:rPr>
        <w:t>《城乡社区服务体系建设规划（2016—2020年）》、《新疆维吾尔自治区新型城镇化行动计划（2012-2020）》、《阜康市城乡一体化发展规划（2014-2030）》等文件要求；</w:t>
      </w:r>
    </w:p>
    <w:p w14:paraId="45B1EA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color w:val="auto"/>
          <w:sz w:val="32"/>
          <w:szCs w:val="32"/>
          <w:lang w:eastAsia="zh-CN"/>
        </w:rPr>
        <w:t>项目立项符合《昌吉州发展改革委关于阜康市博峰街道佳园社区综合服务设施建设项目可行性研究报告(代项目建议书)的批复》文件要求；</w:t>
      </w:r>
    </w:p>
    <w:p w14:paraId="2A4E43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③项目立项与</w:t>
      </w:r>
      <w:r>
        <w:rPr>
          <w:rFonts w:hint="eastAsia" w:ascii="仿宋_GB2312" w:hAnsi="仿宋_GB2312" w:eastAsia="仿宋_GB2312" w:cs="仿宋_GB2312"/>
          <w:color w:val="auto"/>
          <w:sz w:val="32"/>
          <w:szCs w:val="32"/>
          <w:lang w:val="en-US"/>
        </w:rPr>
        <w:t>贯彻落实党的路线、方针、政策，执行市人民政府的决定和决议，确保市委、市政府的政令畅通</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rPr>
        <w:t>协同有关部门对辖区内巷道、街道临时建设设施进行初审；对庭院卫生、绿化、美化工作进行监督检查</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lang w:eastAsia="zh-CN"/>
        </w:rPr>
        <w:t>相符，属于部门履职所需；</w:t>
      </w:r>
    </w:p>
    <w:p w14:paraId="1C4F292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3958F4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4C6191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4EF6DEB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7C81EF7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4F9DCF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575F20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③事前经过必要的可行性研究、专家论证、风险评估、绩效评估、集体决策。</w:t>
      </w:r>
    </w:p>
    <w:p w14:paraId="130038A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综上，该项指标满分3分，得分3分</w:t>
      </w:r>
      <w:r>
        <w:rPr>
          <w:rFonts w:hint="eastAsia" w:ascii="仿宋_GB2312" w:hAnsi="仿宋_GB2312" w:eastAsia="仿宋_GB2312" w:cs="仿宋_GB2312"/>
          <w:b/>
          <w:bCs/>
          <w:sz w:val="32"/>
          <w:szCs w:val="32"/>
          <w:lang w:val="en-US" w:eastAsia="zh-CN"/>
        </w:rPr>
        <w:t>。</w:t>
      </w:r>
    </w:p>
    <w:p w14:paraId="2B6A66A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23542"/>
      <w:bookmarkStart w:id="114" w:name="_Toc15382"/>
      <w:r>
        <w:rPr>
          <w:rFonts w:hint="eastAsia" w:ascii="仿宋_GB2312" w:hAnsi="仿宋_GB2312" w:eastAsia="仿宋_GB2312" w:cs="仿宋_GB2312"/>
          <w:b/>
          <w:bCs/>
          <w:color w:val="auto"/>
          <w:sz w:val="32"/>
          <w:szCs w:val="32"/>
          <w:lang w:val="en-US" w:eastAsia="zh-CN"/>
        </w:rPr>
        <w:t>3.绩效目标合理性</w:t>
      </w:r>
      <w:bookmarkEnd w:id="113"/>
      <w:bookmarkEnd w:id="114"/>
    </w:p>
    <w:p w14:paraId="0FD65E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202490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为促进社区基层组织建设，加强社区基层组织服务能力，改善社区基层组织基础设施条件，充分发挥社区基层党组织的战斗堡垒作用和广大党员的先锋模范作用，2024年计划在阜康市同心巷停车场南侧空地修建总建筑面积为996.72平米的综合服务设施建设。绩效目标与实际工作内容一致，两者具有相关性。</w:t>
      </w:r>
    </w:p>
    <w:p w14:paraId="2EA9CD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综合服务设施的修建总面积996.72平米，项目验收合格率达到90%，项目设计变更率为0%，工程按时完成率达到90%，综合服务建设成本达263.39万元，项目监理设计成本24万元。达到为辖区党员、群众提供活动场地的效益，预期产出效益和效果是否符合正常的业绩水平。</w:t>
      </w:r>
    </w:p>
    <w:p w14:paraId="3F34C3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w:t>
      </w:r>
      <w:r>
        <w:rPr>
          <w:rFonts w:hint="eastAsia" w:ascii="仿宋_GB2312" w:hAnsi="仿宋_GB2312" w:eastAsia="仿宋_GB2312" w:cs="仿宋_GB2312"/>
          <w:color w:val="auto"/>
          <w:sz w:val="32"/>
          <w:szCs w:val="32"/>
          <w:highlight w:val="none"/>
          <w:lang w:eastAsia="zh-CN"/>
        </w:rPr>
        <w:t>》中预算金额为287.39万元，预算确定的项目资金与预算确定的项目投资额相匹配。</w:t>
      </w:r>
    </w:p>
    <w:p w14:paraId="388C2E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1E7C8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0650"/>
      <w:bookmarkStart w:id="116" w:name="_Toc18198"/>
      <w:r>
        <w:rPr>
          <w:rFonts w:hint="eastAsia" w:ascii="仿宋_GB2312" w:hAnsi="仿宋_GB2312" w:eastAsia="仿宋_GB2312" w:cs="仿宋_GB2312"/>
          <w:b/>
          <w:bCs/>
          <w:sz w:val="32"/>
          <w:szCs w:val="32"/>
          <w:lang w:val="en-US" w:eastAsia="zh-CN"/>
        </w:rPr>
        <w:t>4.绩效指标明确性</w:t>
      </w:r>
      <w:bookmarkEnd w:id="115"/>
      <w:bookmarkEnd w:id="116"/>
    </w:p>
    <w:p w14:paraId="0327879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其中三级指标共计8个</w:t>
      </w:r>
      <w:r>
        <w:rPr>
          <w:rFonts w:hint="eastAsia" w:ascii="仿宋_GB2312" w:hAnsi="仿宋_GB2312" w:eastAsia="仿宋_GB2312" w:cs="仿宋_GB2312"/>
          <w:color w:val="auto"/>
          <w:sz w:val="32"/>
          <w:szCs w:val="32"/>
          <w:lang w:eastAsia="zh-CN"/>
        </w:rPr>
        <w:t>；</w:t>
      </w:r>
    </w:p>
    <w:p w14:paraId="1DBB6D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量化率达到87.5%</w:t>
      </w:r>
      <w:r>
        <w:rPr>
          <w:rFonts w:hint="eastAsia" w:ascii="仿宋_GB2312" w:hAnsi="仿宋_GB2312" w:eastAsia="仿宋_GB2312" w:cs="仿宋_GB2312"/>
          <w:color w:val="auto"/>
          <w:sz w:val="32"/>
          <w:szCs w:val="32"/>
          <w:lang w:eastAsia="zh-CN"/>
        </w:rPr>
        <w:t>；</w:t>
      </w:r>
    </w:p>
    <w:p w14:paraId="660923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③《项目绩效目标申报表》中，三级指标的年度指标值与年度绩效目标中任务数一致。</w:t>
      </w:r>
    </w:p>
    <w:p w14:paraId="2960C3D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1892A6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6CFBA6B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19401"/>
      <w:bookmarkStart w:id="118" w:name="_Toc8296"/>
      <w:r>
        <w:rPr>
          <w:rFonts w:hint="eastAsia" w:ascii="仿宋_GB2312" w:hAnsi="仿宋_GB2312" w:eastAsia="仿宋_GB2312" w:cs="仿宋_GB2312"/>
          <w:b/>
          <w:bCs/>
          <w:sz w:val="32"/>
          <w:szCs w:val="32"/>
          <w:lang w:val="en-US" w:eastAsia="zh-CN"/>
        </w:rPr>
        <w:t>5.预算编制科学性</w:t>
      </w:r>
      <w:bookmarkEnd w:id="117"/>
      <w:bookmarkEnd w:id="118"/>
    </w:p>
    <w:p w14:paraId="1386D0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192AAD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color w:val="auto"/>
          <w:sz w:val="32"/>
          <w:szCs w:val="32"/>
          <w:lang w:eastAsia="zh-CN"/>
        </w:rPr>
        <w:t>预算申请内容为计划在阜康市同心巷停车场南侧空地修建总建筑面积为996.72平米的综合服务设施建设，项目实际内容为在阜康市同心巷停车场南侧空地修建总建筑面积为996.72平米的综合服务设施建设，预算申请与项目内容匹配；</w:t>
      </w:r>
    </w:p>
    <w:p w14:paraId="729488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color w:val="auto"/>
          <w:sz w:val="32"/>
          <w:szCs w:val="32"/>
          <w:lang w:eastAsia="zh-CN"/>
        </w:rPr>
        <w:t>项目预算申请资金287.39</w:t>
      </w:r>
      <w:r>
        <w:rPr>
          <w:rFonts w:hint="eastAsia" w:ascii="仿宋_GB2312" w:hAnsi="仿宋_GB2312" w:eastAsia="仿宋_GB2312" w:cs="仿宋_GB2312"/>
          <w:color w:val="auto"/>
          <w:sz w:val="32"/>
          <w:szCs w:val="32"/>
          <w:lang w:val="en-US" w:eastAsia="zh-CN"/>
        </w:rPr>
        <w:t>万</w:t>
      </w:r>
      <w:r>
        <w:rPr>
          <w:rFonts w:hint="eastAsia" w:ascii="仿宋_GB2312" w:hAnsi="仿宋_GB2312" w:eastAsia="仿宋_GB2312" w:cs="仿宋_GB2312"/>
          <w:color w:val="auto"/>
          <w:sz w:val="32"/>
          <w:szCs w:val="32"/>
          <w:lang w:eastAsia="zh-CN"/>
        </w:rPr>
        <w:t>元，我单位在预算申请中严格按照项目实施内容及测算标准进行核算，其中：综合服务建设工程成本费用263.39万元、项目监理设计成本费用24万元。</w:t>
      </w:r>
    </w:p>
    <w:p w14:paraId="0D5493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0C75F9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50145C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344562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申请佳园社区综合服务建设项目资金的请示</w:t>
      </w:r>
      <w:r>
        <w:rPr>
          <w:rFonts w:hint="eastAsia" w:ascii="仿宋_GB2312" w:hAnsi="仿宋_GB2312" w:eastAsia="仿宋_GB2312" w:cs="仿宋_GB2312"/>
          <w:color w:val="auto"/>
          <w:sz w:val="32"/>
          <w:szCs w:val="32"/>
          <w:lang w:eastAsia="zh-Hans"/>
        </w:rPr>
        <w:t>》为依据进行资金分配，预算资</w:t>
      </w:r>
      <w:r>
        <w:rPr>
          <w:rFonts w:hint="eastAsia" w:ascii="仿宋_GB2312" w:hAnsi="仿宋_GB2312" w:eastAsia="仿宋_GB2312" w:cs="仿宋_GB2312"/>
          <w:sz w:val="32"/>
          <w:szCs w:val="32"/>
          <w:lang w:eastAsia="zh-Hans"/>
        </w:rPr>
        <w:t>金分配依据充分</w:t>
      </w:r>
      <w:r>
        <w:rPr>
          <w:rFonts w:hint="eastAsia" w:ascii="仿宋_GB2312" w:hAnsi="仿宋_GB2312" w:eastAsia="仿宋_GB2312" w:cs="仿宋_GB2312"/>
          <w:sz w:val="32"/>
          <w:szCs w:val="32"/>
          <w:lang w:eastAsia="zh-CN"/>
        </w:rPr>
        <w:t>。</w:t>
      </w:r>
    </w:p>
    <w:p w14:paraId="2FECF4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②项目实</w:t>
      </w:r>
      <w:r>
        <w:rPr>
          <w:rFonts w:hint="eastAsia" w:ascii="仿宋_GB2312" w:hAnsi="仿宋_GB2312" w:eastAsia="仿宋_GB2312" w:cs="仿宋_GB2312"/>
          <w:color w:val="auto"/>
          <w:sz w:val="32"/>
          <w:szCs w:val="32"/>
          <w:lang w:eastAsia="zh-CN"/>
        </w:rPr>
        <w:t>际到位资金287.39万元，资金分配额度合理，与项目单位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50A8B16F">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color w:val="auto"/>
          <w:sz w:val="32"/>
          <w:szCs w:val="32"/>
          <w:lang w:val="en-US" w:eastAsia="zh-CN"/>
        </w:rPr>
        <w:t>综上，该项指标满分3分，得分3分</w:t>
      </w:r>
      <w:r>
        <w:rPr>
          <w:rFonts w:hint="eastAsia" w:ascii="仿宋_GB2312" w:hAnsi="仿宋_GB2312" w:eastAsia="仿宋_GB2312" w:cs="仿宋_GB2312"/>
          <w:b/>
          <w:bCs/>
          <w:sz w:val="32"/>
          <w:szCs w:val="32"/>
          <w:lang w:val="en-US" w:eastAsia="zh-CN"/>
        </w:rPr>
        <w:t>。</w:t>
      </w:r>
    </w:p>
    <w:p w14:paraId="2D3D3502">
      <w:pPr>
        <w:pStyle w:val="14"/>
        <w:widowControl/>
        <w:numPr>
          <w:ilvl w:val="0"/>
          <w:numId w:val="0"/>
        </w:numPr>
        <w:spacing w:before="0" w:beforeLines="0" w:after="0" w:afterLines="0"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2F1E21CC">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shd w:val="clear" w:color="auto" w:fill="auto"/>
          <w:lang w:val="zh-TW" w:eastAsia="zh-TW"/>
        </w:rPr>
      </w:pPr>
      <w:r>
        <w:rPr>
          <w:rFonts w:hint="eastAsia" w:ascii="仿宋_GB2312" w:hAnsi="仿宋_GB2312" w:eastAsia="仿宋_GB2312" w:cs="仿宋_GB2312"/>
          <w:color w:val="auto"/>
          <w:kern w:val="2"/>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shd w:val="clear" w:color="auto" w:fill="auto"/>
          <w:lang w:eastAsia="zh-CN"/>
        </w:rPr>
        <w:t>管理</w:t>
      </w:r>
      <w:r>
        <w:rPr>
          <w:rFonts w:hint="eastAsia" w:ascii="仿宋_GB2312" w:hAnsi="仿宋_GB2312" w:eastAsia="仿宋_GB2312" w:cs="仿宋_GB2312"/>
          <w:color w:val="auto"/>
          <w:kern w:val="2"/>
          <w:sz w:val="32"/>
          <w:szCs w:val="32"/>
          <w:highlight w:val="none"/>
          <w:shd w:val="clear" w:color="auto" w:fill="auto"/>
          <w:lang w:val="zh-TW" w:eastAsia="zh-TW"/>
        </w:rPr>
        <w:t>类指标由</w:t>
      </w:r>
      <w:r>
        <w:rPr>
          <w:rFonts w:hint="eastAsia" w:ascii="仿宋_GB2312" w:hAnsi="仿宋_GB2312" w:eastAsia="仿宋_GB2312" w:cs="仿宋_GB2312"/>
          <w:color w:val="auto"/>
          <w:kern w:val="2"/>
          <w:sz w:val="32"/>
          <w:szCs w:val="32"/>
          <w:highlight w:val="none"/>
          <w:shd w:val="clear" w:color="auto" w:fill="auto"/>
          <w:lang w:eastAsia="zh-CN"/>
        </w:rPr>
        <w:t>2</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val="zh-TW" w:eastAsia="zh-CN"/>
        </w:rPr>
        <w:t>二</w:t>
      </w:r>
      <w:r>
        <w:rPr>
          <w:rFonts w:hint="eastAsia" w:ascii="仿宋_GB2312" w:hAnsi="仿宋_GB2312" w:eastAsia="仿宋_GB2312" w:cs="仿宋_GB2312"/>
          <w:color w:val="auto"/>
          <w:kern w:val="2"/>
          <w:sz w:val="32"/>
          <w:szCs w:val="32"/>
          <w:highlight w:val="none"/>
          <w:shd w:val="clear" w:color="auto" w:fill="auto"/>
          <w:lang w:val="zh-TW" w:eastAsia="zh-TW"/>
        </w:rPr>
        <w:t>级指标和</w:t>
      </w:r>
      <w:r>
        <w:rPr>
          <w:rFonts w:hint="eastAsia" w:ascii="仿宋_GB2312" w:hAnsi="仿宋_GB2312" w:eastAsia="仿宋_GB2312" w:cs="仿宋_GB2312"/>
          <w:color w:val="auto"/>
          <w:kern w:val="2"/>
          <w:sz w:val="32"/>
          <w:szCs w:val="32"/>
          <w:highlight w:val="none"/>
          <w:shd w:val="clear" w:color="auto" w:fill="auto"/>
          <w:lang w:val="en-US" w:eastAsia="zh-CN"/>
        </w:rPr>
        <w:t>5</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eastAsia="zh-CN"/>
        </w:rPr>
        <w:t>三</w:t>
      </w:r>
      <w:r>
        <w:rPr>
          <w:rFonts w:hint="eastAsia" w:ascii="仿宋_GB2312" w:hAnsi="仿宋_GB2312" w:eastAsia="仿宋_GB2312" w:cs="仿宋_GB2312"/>
          <w:color w:val="auto"/>
          <w:kern w:val="2"/>
          <w:sz w:val="32"/>
          <w:szCs w:val="32"/>
          <w:highlight w:val="none"/>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shd w:val="clear" w:color="auto" w:fill="auto"/>
          <w:lang w:val="en-US" w:eastAsia="zh-CN"/>
        </w:rPr>
        <w:t>20</w:t>
      </w:r>
      <w:r>
        <w:rPr>
          <w:rFonts w:hint="eastAsia" w:ascii="仿宋_GB2312" w:hAnsi="仿宋_GB2312" w:eastAsia="仿宋_GB2312" w:cs="仿宋_GB2312"/>
          <w:color w:val="auto"/>
          <w:kern w:val="2"/>
          <w:sz w:val="32"/>
          <w:szCs w:val="32"/>
          <w:highlight w:val="none"/>
          <w:shd w:val="clear" w:color="auto" w:fill="auto"/>
          <w:lang w:val="zh-TW" w:eastAsia="zh-TW"/>
        </w:rPr>
        <w:t>分，实际得分</w:t>
      </w:r>
      <w:r>
        <w:rPr>
          <w:rFonts w:hint="eastAsia" w:ascii="仿宋_GB2312" w:hAnsi="仿宋_GB2312" w:eastAsia="仿宋_GB2312" w:cs="仿宋_GB2312"/>
          <w:color w:val="auto"/>
          <w:kern w:val="2"/>
          <w:sz w:val="32"/>
          <w:szCs w:val="32"/>
          <w:highlight w:val="none"/>
          <w:shd w:val="clear" w:color="auto" w:fill="auto"/>
          <w:lang w:val="en-US" w:eastAsia="zh-CN"/>
        </w:rPr>
        <w:t>20</w:t>
      </w:r>
      <w:r>
        <w:rPr>
          <w:rFonts w:hint="eastAsia" w:ascii="仿宋_GB2312" w:hAnsi="仿宋_GB2312" w:eastAsia="仿宋_GB2312" w:cs="仿宋_GB2312"/>
          <w:color w:val="auto"/>
          <w:kern w:val="2"/>
          <w:sz w:val="32"/>
          <w:szCs w:val="32"/>
          <w:highlight w:val="none"/>
          <w:shd w:val="clear" w:color="auto" w:fill="auto"/>
          <w:lang w:val="zh-TW" w:eastAsia="zh-TW"/>
        </w:rPr>
        <w:t>分</w:t>
      </w:r>
      <w:r>
        <w:rPr>
          <w:rFonts w:hint="eastAsia" w:ascii="仿宋_GB2312" w:hAnsi="仿宋_GB2312" w:eastAsia="仿宋_GB2312" w:cs="仿宋_GB2312"/>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shd w:val="clear" w:color="auto" w:fill="auto"/>
          <w:lang w:val="en-US" w:eastAsia="zh-CN"/>
        </w:rPr>
        <w:t>4</w:t>
      </w:r>
      <w:r>
        <w:rPr>
          <w:rFonts w:hint="eastAsia" w:ascii="仿宋_GB2312" w:hAnsi="仿宋_GB2312" w:eastAsia="仿宋_GB2312" w:cs="仿宋_GB2312"/>
          <w:color w:val="auto"/>
          <w:kern w:val="2"/>
          <w:sz w:val="32"/>
          <w:szCs w:val="32"/>
          <w:highlight w:val="none"/>
          <w:shd w:val="clear" w:color="auto" w:fill="auto"/>
          <w:lang w:eastAsia="zh-CN"/>
        </w:rPr>
        <w:t>-2</w:t>
      </w:r>
      <w:r>
        <w:rPr>
          <w:rFonts w:hint="eastAsia" w:ascii="仿宋_GB2312" w:hAnsi="仿宋_GB2312" w:eastAsia="仿宋_GB2312" w:cs="仿宋_GB2312"/>
          <w:color w:val="auto"/>
          <w:kern w:val="2"/>
          <w:sz w:val="32"/>
          <w:szCs w:val="32"/>
          <w:highlight w:val="none"/>
          <w:shd w:val="clear" w:color="auto" w:fill="auto"/>
          <w:lang w:val="zh-TW" w:eastAsia="zh-TW"/>
        </w:rPr>
        <w:t>所示</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b/>
          <w:bCs/>
          <w:color w:val="auto"/>
          <w:kern w:val="2"/>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w:t>
      </w:r>
    </w:p>
    <w:p w14:paraId="15D29E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8"/>
          <w:szCs w:val="28"/>
          <w:highlight w:val="none"/>
          <w:shd w:val="clear" w:color="auto" w:fill="auto"/>
          <w:lang w:val="en-US" w:eastAsia="zh-CN"/>
        </w:rPr>
      </w:pPr>
      <w:r>
        <w:rPr>
          <w:rFonts w:hint="eastAsia" w:ascii="宋体" w:hAnsi="宋体" w:eastAsia="宋体" w:cs="宋体"/>
          <w:b/>
          <w:bCs/>
          <w:color w:val="000000"/>
          <w:kern w:val="0"/>
          <w:sz w:val="28"/>
          <w:szCs w:val="28"/>
          <w:highlight w:val="none"/>
          <w:shd w:val="clear" w:color="auto" w:fill="auto"/>
          <w:lang w:val="zh-TW" w:eastAsia="zh-TW"/>
        </w:rPr>
        <w:t>表</w:t>
      </w:r>
      <w:r>
        <w:rPr>
          <w:rFonts w:hint="eastAsia" w:ascii="宋体" w:hAnsi="宋体" w:eastAsia="宋体" w:cs="宋体"/>
          <w:b/>
          <w:bCs/>
          <w:color w:val="000000"/>
          <w:kern w:val="0"/>
          <w:sz w:val="28"/>
          <w:szCs w:val="28"/>
          <w:highlight w:val="none"/>
          <w:shd w:val="clear" w:color="auto" w:fill="auto"/>
          <w:lang w:val="en-US" w:eastAsia="zh-CN"/>
        </w:rPr>
        <w:t>4-2</w:t>
      </w:r>
      <w:r>
        <w:rPr>
          <w:rFonts w:hint="eastAsia" w:ascii="宋体" w:hAnsi="宋体" w:eastAsia="宋体" w:cs="宋体"/>
          <w:b/>
          <w:bCs/>
          <w:color w:val="000000"/>
          <w:kern w:val="0"/>
          <w:sz w:val="28"/>
          <w:szCs w:val="28"/>
          <w:highlight w:val="none"/>
          <w:shd w:val="clear" w:color="auto" w:fill="auto"/>
          <w:lang w:val="zh-TW" w:eastAsia="zh-TW"/>
        </w:rPr>
        <w:t>项目</w:t>
      </w:r>
      <w:r>
        <w:rPr>
          <w:rFonts w:hint="eastAsia" w:cs="宋体"/>
          <w:b/>
          <w:bCs/>
          <w:color w:val="000000"/>
          <w:kern w:val="0"/>
          <w:sz w:val="28"/>
          <w:szCs w:val="28"/>
          <w:highlight w:val="none"/>
          <w:shd w:val="clear" w:color="auto" w:fill="auto"/>
          <w:lang w:val="en-US" w:eastAsia="zh-CN"/>
        </w:rPr>
        <w:t>过程</w:t>
      </w:r>
      <w:r>
        <w:rPr>
          <w:rFonts w:hint="eastAsia" w:ascii="宋体" w:hAnsi="宋体" w:eastAsia="宋体" w:cs="宋体"/>
          <w:b/>
          <w:bCs/>
          <w:color w:val="000000"/>
          <w:kern w:val="0"/>
          <w:sz w:val="28"/>
          <w:szCs w:val="28"/>
          <w:highlight w:val="none"/>
          <w:shd w:val="clear" w:color="auto" w:fill="auto"/>
          <w:lang w:val="zh-TW" w:eastAsia="zh-TW"/>
        </w:rPr>
        <w:t>指标及分值</w:t>
      </w:r>
      <w:r>
        <w:rPr>
          <w:rFonts w:hint="eastAsia" w:ascii="宋体" w:hAnsi="宋体" w:eastAsia="宋体" w:cs="宋体"/>
          <w:b/>
          <w:bCs/>
          <w:color w:val="000000"/>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92F629D">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431919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20E23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79C36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BB2D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246716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0C5F26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noWrap w:val="0"/>
            <w:tcMar>
              <w:top w:w="12" w:type="dxa"/>
              <w:left w:w="12" w:type="dxa"/>
              <w:right w:w="12" w:type="dxa"/>
            </w:tcMar>
            <w:vAlign w:val="center"/>
          </w:tcPr>
          <w:p w14:paraId="524501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得分</w:t>
            </w:r>
          </w:p>
        </w:tc>
      </w:tr>
      <w:tr w14:paraId="3C81B4B7">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4CDA5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69AD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9B6C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6A3C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E26F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04DBD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B0A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C39178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9F953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CF205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7D274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A9BC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2C9E2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17467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53872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7BEB66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941CE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C6633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031CB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A9741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7E7DF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72C37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79AD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F1A05E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F1280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A0CB8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0AEC3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5C25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4ADAF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63D1F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422A5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D2C775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8446B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5C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FFE39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FF8C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65D66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22E0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0CE8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F660A5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DA80E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9F8B7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BC077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BF4A5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595D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14:paraId="77E241A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25F1DB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项目预算资金为287.39万元，其中：财政安排资金287.39万元，其他资金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0645203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资金到位率=（287.39万元/287.39万元）×100%</w:t>
      </w:r>
      <w:r>
        <w:rPr>
          <w:rFonts w:hint="eastAsia" w:ascii="仿宋_GB2312" w:hAnsi="仿宋_GB2312" w:eastAsia="仿宋_GB2312" w:cs="仿宋_GB2312"/>
          <w:b w:val="0"/>
          <w:bCs w:val="0"/>
          <w:color w:val="auto"/>
          <w:sz w:val="32"/>
          <w:szCs w:val="32"/>
          <w:lang w:val="en-US" w:eastAsia="zh-CN"/>
        </w:rPr>
        <w:t>=100%</w:t>
      </w:r>
    </w:p>
    <w:p w14:paraId="0AE6E3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63F8C1A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4" w:name="_Toc17709"/>
      <w:bookmarkStart w:id="125" w:name="_Toc9705"/>
      <w:r>
        <w:rPr>
          <w:rFonts w:hint="eastAsia" w:ascii="仿宋_GB2312" w:hAnsi="仿宋_GB2312" w:eastAsia="仿宋_GB2312" w:cs="仿宋_GB2312"/>
          <w:b/>
          <w:bCs/>
          <w:sz w:val="32"/>
          <w:szCs w:val="32"/>
          <w:lang w:val="en-US" w:eastAsia="zh-CN"/>
        </w:rPr>
        <w:t>2.预算执行率</w:t>
      </w:r>
      <w:bookmarkEnd w:id="124"/>
      <w:bookmarkEnd w:id="125"/>
    </w:p>
    <w:p w14:paraId="52E9FC0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rPr>
        <w:t>287.39</w:t>
      </w:r>
      <w:r>
        <w:rPr>
          <w:rFonts w:hint="eastAsia" w:ascii="仿宋_GB2312" w:hAnsi="仿宋_GB2312" w:eastAsia="仿宋_GB2312" w:cs="仿宋_GB2312"/>
          <w:color w:val="auto"/>
          <w:sz w:val="32"/>
          <w:szCs w:val="32"/>
          <w:lang w:val="en-US" w:eastAsia="zh-CN"/>
        </w:rPr>
        <w:t>万元。</w:t>
      </w:r>
    </w:p>
    <w:p w14:paraId="47273EC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预算执行率=（287.39万元/287.39万元）×100%</w:t>
      </w:r>
      <w:r>
        <w:rPr>
          <w:rFonts w:hint="eastAsia" w:ascii="仿宋_GB2312" w:hAnsi="仿宋_GB2312" w:eastAsia="仿宋_GB2312" w:cs="仿宋_GB2312"/>
          <w:color w:val="auto"/>
          <w:sz w:val="32"/>
          <w:szCs w:val="32"/>
          <w:lang w:val="en-US" w:eastAsia="zh-CN"/>
        </w:rPr>
        <w:t>=100%</w:t>
      </w:r>
    </w:p>
    <w:p w14:paraId="035B846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7C6D4D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18691"/>
      <w:bookmarkStart w:id="127" w:name="_Toc28875"/>
      <w:r>
        <w:rPr>
          <w:rFonts w:hint="eastAsia" w:ascii="仿宋_GB2312" w:hAnsi="仿宋_GB2312" w:eastAsia="仿宋_GB2312" w:cs="仿宋_GB2312"/>
          <w:b/>
          <w:bCs/>
          <w:sz w:val="32"/>
          <w:szCs w:val="32"/>
          <w:lang w:val="en-US" w:eastAsia="zh-CN"/>
        </w:rPr>
        <w:t>3.资金使用合规性</w:t>
      </w:r>
      <w:bookmarkEnd w:id="126"/>
      <w:bookmarkEnd w:id="127"/>
    </w:p>
    <w:p w14:paraId="3143BBC4">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①本项目资金支出符合国家财经法规、《政府会计制度》《阜康市人民政府博峰街办事处资金管理办法》《阜康市人民政府博峰街办事处专项资金管理办法》；</w:t>
      </w:r>
    </w:p>
    <w:p w14:paraId="47BADE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53AA78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6CC76D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19827756">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57D4CC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758D419">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18D7DA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阜康市人民政府博峰街办事处资金管理办法》《阜康市人民政府博峰街办事处收支业务管理制度》《阜康市人民政府博峰街办事处政府采购业务管理制度》《阜康市人民政府博峰街办事处合同管理制度》，</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589B6C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财务和业务管理制度合法、合规、完整，本项目执行符合上述制度规定。</w:t>
      </w:r>
    </w:p>
    <w:p w14:paraId="434CC83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14B7C67D">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485F36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符合《财务预算管理制度》《项目管理制度》《阜康市人民政府博峰街办事处采购业务管理制度》《阜康市人民政府博峰街办事处合同管理制度》等管理规定，</w:t>
      </w:r>
      <w:r>
        <w:rPr>
          <w:rFonts w:hint="eastAsia" w:ascii="仿宋_GB2312" w:hAnsi="仿宋_GB2312" w:eastAsia="仿宋_GB2312" w:cs="仿宋_GB2312"/>
          <w:color w:val="auto"/>
          <w:sz w:val="32"/>
          <w:szCs w:val="32"/>
          <w:lang w:eastAsia="zh-CN"/>
        </w:rPr>
        <w:t>；</w:t>
      </w:r>
    </w:p>
    <w:p w14:paraId="14F877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p>
    <w:p w14:paraId="47A4F7ED">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03F045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佳园社区综合服务建设项目工作领导小组，由吉松任组长，负责项目的组织工作；周超任副组长，负责项目的实施工作；组员包括：摆珊珊和孔培培，主要负责项目监督管理、验收以及资金核拨等工作。</w:t>
      </w:r>
    </w:p>
    <w:p w14:paraId="27E92B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00581BA8">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0" w:name="_Toc2441"/>
      <w:r>
        <w:rPr>
          <w:rFonts w:hint="eastAsia" w:ascii="Times New Roman" w:hAnsi="Times New Roman" w:eastAsia="楷体_GB2312" w:cs="Times New Roman"/>
          <w:kern w:val="28"/>
          <w:sz w:val="32"/>
          <w:lang w:val="en-US" w:eastAsia="zh-CN"/>
        </w:rPr>
        <w:t>（三）项目产出情况</w:t>
      </w:r>
      <w:bookmarkEnd w:id="130"/>
    </w:p>
    <w:p w14:paraId="518D923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shd w:val="clear" w:color="auto" w:fill="auto"/>
          <w:lang w:val="zh-TW" w:eastAsia="zh-TW"/>
        </w:rPr>
      </w:pPr>
      <w:r>
        <w:rPr>
          <w:rFonts w:hint="eastAsia" w:ascii="仿宋_GB2312" w:hAnsi="仿宋_GB2312" w:eastAsia="仿宋_GB2312" w:cs="仿宋_GB2312"/>
          <w:color w:val="auto"/>
          <w:kern w:val="2"/>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shd w:val="clear" w:color="auto" w:fill="auto"/>
          <w:lang w:val="en-US" w:eastAsia="zh-CN"/>
        </w:rPr>
        <w:t>4</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val="zh-TW" w:eastAsia="zh-CN"/>
        </w:rPr>
        <w:t>二</w:t>
      </w:r>
      <w:r>
        <w:rPr>
          <w:rFonts w:hint="eastAsia" w:ascii="仿宋_GB2312" w:hAnsi="仿宋_GB2312" w:eastAsia="仿宋_GB2312" w:cs="仿宋_GB2312"/>
          <w:color w:val="auto"/>
          <w:kern w:val="2"/>
          <w:sz w:val="32"/>
          <w:szCs w:val="32"/>
          <w:highlight w:val="none"/>
          <w:shd w:val="clear" w:color="auto" w:fill="auto"/>
          <w:lang w:val="zh-TW" w:eastAsia="zh-TW"/>
        </w:rPr>
        <w:t>级指标和</w:t>
      </w:r>
      <w:r>
        <w:rPr>
          <w:rFonts w:hint="eastAsia" w:ascii="仿宋_GB2312" w:hAnsi="仿宋_GB2312" w:eastAsia="仿宋_GB2312" w:cs="仿宋_GB2312"/>
          <w:color w:val="auto"/>
          <w:kern w:val="2"/>
          <w:sz w:val="32"/>
          <w:szCs w:val="32"/>
          <w:highlight w:val="none"/>
          <w:shd w:val="clear" w:color="auto" w:fill="auto"/>
          <w:lang w:val="en-US" w:eastAsia="zh-CN"/>
        </w:rPr>
        <w:t>6</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eastAsia="zh-CN"/>
        </w:rPr>
        <w:t>三</w:t>
      </w:r>
      <w:r>
        <w:rPr>
          <w:rFonts w:hint="eastAsia" w:ascii="仿宋_GB2312" w:hAnsi="仿宋_GB2312" w:eastAsia="仿宋_GB2312" w:cs="仿宋_GB2312"/>
          <w:color w:val="auto"/>
          <w:kern w:val="2"/>
          <w:sz w:val="32"/>
          <w:szCs w:val="32"/>
          <w:highlight w:val="none"/>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shd w:val="clear" w:color="auto" w:fill="auto"/>
          <w:lang w:val="en-US" w:eastAsia="zh-CN"/>
        </w:rPr>
        <w:t>40</w:t>
      </w:r>
      <w:r>
        <w:rPr>
          <w:rFonts w:hint="eastAsia" w:ascii="仿宋_GB2312" w:hAnsi="仿宋_GB2312" w:eastAsia="仿宋_GB2312" w:cs="仿宋_GB2312"/>
          <w:color w:val="auto"/>
          <w:kern w:val="2"/>
          <w:sz w:val="32"/>
          <w:szCs w:val="32"/>
          <w:highlight w:val="none"/>
          <w:shd w:val="clear" w:color="auto" w:fill="auto"/>
          <w:lang w:val="zh-TW" w:eastAsia="zh-TW"/>
        </w:rPr>
        <w:t>分，实际得分</w:t>
      </w:r>
      <w:r>
        <w:rPr>
          <w:rFonts w:hint="eastAsia" w:ascii="仿宋_GB2312" w:hAnsi="仿宋_GB2312" w:eastAsia="仿宋_GB2312" w:cs="仿宋_GB2312"/>
          <w:color w:val="auto"/>
          <w:kern w:val="2"/>
          <w:sz w:val="32"/>
          <w:szCs w:val="32"/>
          <w:highlight w:val="none"/>
          <w:shd w:val="clear" w:color="auto" w:fill="auto"/>
          <w:lang w:val="en-US" w:eastAsia="zh-CN"/>
        </w:rPr>
        <w:t>40</w:t>
      </w:r>
      <w:r>
        <w:rPr>
          <w:rFonts w:hint="eastAsia" w:ascii="仿宋_GB2312" w:hAnsi="仿宋_GB2312" w:eastAsia="仿宋_GB2312" w:cs="仿宋_GB2312"/>
          <w:color w:val="auto"/>
          <w:kern w:val="2"/>
          <w:sz w:val="32"/>
          <w:szCs w:val="32"/>
          <w:highlight w:val="none"/>
          <w:shd w:val="clear" w:color="auto" w:fill="auto"/>
          <w:lang w:val="zh-TW" w:eastAsia="zh-TW"/>
        </w:rPr>
        <w:t>分</w:t>
      </w:r>
      <w:r>
        <w:rPr>
          <w:rFonts w:hint="eastAsia" w:ascii="仿宋_GB2312" w:hAnsi="仿宋_GB2312" w:eastAsia="仿宋_GB2312" w:cs="仿宋_GB2312"/>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shd w:val="clear" w:color="auto" w:fill="auto"/>
          <w:lang w:val="en-US" w:eastAsia="zh-CN"/>
        </w:rPr>
        <w:t>4</w:t>
      </w:r>
      <w:r>
        <w:rPr>
          <w:rFonts w:hint="eastAsia" w:ascii="仿宋_GB2312" w:hAnsi="仿宋_GB2312" w:eastAsia="仿宋_GB2312" w:cs="仿宋_GB2312"/>
          <w:color w:val="auto"/>
          <w:kern w:val="2"/>
          <w:sz w:val="32"/>
          <w:szCs w:val="32"/>
          <w:highlight w:val="none"/>
          <w:shd w:val="clear" w:color="auto" w:fill="auto"/>
          <w:lang w:eastAsia="zh-CN"/>
        </w:rPr>
        <w:t>-</w:t>
      </w:r>
      <w:r>
        <w:rPr>
          <w:rFonts w:hint="eastAsia" w:ascii="仿宋_GB2312" w:hAnsi="仿宋_GB2312" w:eastAsia="仿宋_GB2312" w:cs="仿宋_GB2312"/>
          <w:color w:val="auto"/>
          <w:kern w:val="2"/>
          <w:sz w:val="32"/>
          <w:szCs w:val="32"/>
          <w:highlight w:val="none"/>
          <w:shd w:val="clear" w:color="auto" w:fill="auto"/>
          <w:lang w:val="en-US" w:eastAsia="zh-CN"/>
        </w:rPr>
        <w:t>3</w:t>
      </w:r>
      <w:r>
        <w:rPr>
          <w:rFonts w:hint="eastAsia" w:ascii="仿宋_GB2312" w:hAnsi="仿宋_GB2312" w:eastAsia="仿宋_GB2312" w:cs="仿宋_GB2312"/>
          <w:color w:val="auto"/>
          <w:kern w:val="2"/>
          <w:sz w:val="32"/>
          <w:szCs w:val="32"/>
          <w:highlight w:val="none"/>
          <w:shd w:val="clear" w:color="auto" w:fill="auto"/>
          <w:lang w:val="zh-TW" w:eastAsia="zh-TW"/>
        </w:rPr>
        <w:t>所示</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b/>
          <w:bCs/>
          <w:color w:val="auto"/>
          <w:kern w:val="2"/>
          <w:sz w:val="32"/>
          <w:szCs w:val="32"/>
          <w:highlight w:val="none"/>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w:t>
      </w:r>
    </w:p>
    <w:p w14:paraId="545BF7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b/>
          <w:bCs/>
          <w:color w:val="000000"/>
          <w:kern w:val="0"/>
          <w:sz w:val="28"/>
          <w:szCs w:val="28"/>
          <w:highlight w:val="none"/>
          <w:shd w:val="clear" w:color="auto" w:fill="auto"/>
          <w:lang w:val="en-US" w:eastAsia="zh-CN"/>
        </w:rPr>
      </w:pPr>
      <w:r>
        <w:rPr>
          <w:rFonts w:hint="eastAsia" w:ascii="宋体" w:hAnsi="宋体" w:eastAsia="宋体" w:cs="宋体"/>
          <w:b/>
          <w:bCs/>
          <w:color w:val="000000"/>
          <w:kern w:val="0"/>
          <w:sz w:val="28"/>
          <w:szCs w:val="28"/>
          <w:highlight w:val="none"/>
          <w:shd w:val="clear" w:color="auto" w:fill="auto"/>
          <w:lang w:val="zh-TW" w:eastAsia="zh-TW"/>
        </w:rPr>
        <w:t>表</w:t>
      </w:r>
      <w:r>
        <w:rPr>
          <w:rFonts w:hint="eastAsia" w:ascii="宋体" w:hAnsi="宋体" w:eastAsia="宋体" w:cs="宋体"/>
          <w:b/>
          <w:bCs/>
          <w:color w:val="000000"/>
          <w:kern w:val="0"/>
          <w:sz w:val="28"/>
          <w:szCs w:val="28"/>
          <w:highlight w:val="none"/>
          <w:shd w:val="clear" w:color="auto" w:fill="auto"/>
          <w:lang w:val="en-US" w:eastAsia="zh-CN"/>
        </w:rPr>
        <w:t>4-3项目产出</w:t>
      </w:r>
      <w:r>
        <w:rPr>
          <w:rFonts w:hint="eastAsia" w:ascii="宋体" w:hAnsi="宋体" w:eastAsia="宋体" w:cs="宋体"/>
          <w:b/>
          <w:bCs/>
          <w:color w:val="000000"/>
          <w:kern w:val="0"/>
          <w:sz w:val="28"/>
          <w:szCs w:val="28"/>
          <w:highlight w:val="none"/>
          <w:shd w:val="clear" w:color="auto" w:fill="auto"/>
          <w:lang w:val="zh-TW" w:eastAsia="zh-TW"/>
        </w:rPr>
        <w:t>指标及分值</w:t>
      </w:r>
      <w:r>
        <w:rPr>
          <w:rFonts w:hint="eastAsia" w:ascii="宋体" w:hAnsi="宋体" w:eastAsia="宋体" w:cs="宋体"/>
          <w:b/>
          <w:bCs/>
          <w:color w:val="000000"/>
          <w:kern w:val="0"/>
          <w:sz w:val="28"/>
          <w:szCs w:val="28"/>
          <w:highlight w:val="none"/>
          <w:shd w:val="clear" w:color="auto" w:fill="auto"/>
          <w:lang w:val="en-US" w:eastAsia="zh-CN"/>
        </w:rPr>
        <w:t>情况</w:t>
      </w:r>
      <w:r>
        <w:rPr>
          <w:rFonts w:hint="eastAsia" w:cs="宋体"/>
          <w:b/>
          <w:bCs/>
          <w:color w:val="000000"/>
          <w:kern w:val="0"/>
          <w:sz w:val="28"/>
          <w:szCs w:val="28"/>
          <w:highlight w:val="none"/>
          <w:shd w:val="clear" w:color="auto" w:fill="auto"/>
          <w:lang w:val="en-US" w:eastAsia="zh-CN"/>
        </w:rPr>
        <w:t xml:space="preserve"> </w:t>
      </w:r>
    </w:p>
    <w:tbl>
      <w:tblPr>
        <w:tblStyle w:val="16"/>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14:paraId="12908397">
        <w:tblPrEx>
          <w:tblCellMar>
            <w:top w:w="0" w:type="dxa"/>
            <w:left w:w="0" w:type="dxa"/>
            <w:bottom w:w="0" w:type="dxa"/>
            <w:right w:w="0" w:type="dxa"/>
          </w:tblCellMar>
        </w:tblPrEx>
        <w:trPr>
          <w:trHeight w:val="750" w:hRule="atLeast"/>
        </w:trPr>
        <w:tc>
          <w:tcPr>
            <w:tcW w:w="63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9D42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一级指标</w:t>
            </w:r>
          </w:p>
        </w:tc>
        <w:tc>
          <w:tcPr>
            <w:tcW w:w="92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087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二级指标</w:t>
            </w: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4AE2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三级指标</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F5DC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年度指标值</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AE15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标杆分值</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3B21B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全年实际完成值</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90B6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指标得分</w:t>
            </w:r>
          </w:p>
        </w:tc>
      </w:tr>
      <w:tr w14:paraId="4162C741">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EAC6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产出</w:t>
            </w:r>
          </w:p>
        </w:tc>
        <w:tc>
          <w:tcPr>
            <w:tcW w:w="92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2C73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9DB0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综合服务设施的修建总面积</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F105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≥996.72平米</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AFE1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9630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996.72平米</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1972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FB28D44">
        <w:tblPrEx>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F079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B465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质量指标</w:t>
            </w: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DD5C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项目验收合格率</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75E4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5B20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333E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3847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EAB20F6">
        <w:tblPrEx>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8A0A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AC3C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6DEC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项目设计变更率</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F32D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5CE4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48E8D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92D5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E4154BA">
        <w:tblPrEx>
          <w:tblCellMar>
            <w:top w:w="0" w:type="dxa"/>
            <w:left w:w="0" w:type="dxa"/>
            <w:bottom w:w="0" w:type="dxa"/>
            <w:right w:w="0" w:type="dxa"/>
          </w:tblCellMar>
        </w:tblPrEx>
        <w:trPr>
          <w:trHeight w:val="410"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D968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4A0F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时效指标</w:t>
            </w: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D54C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工程按时完成率</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7D8A4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90DE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B927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DF0B3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C24DECE">
        <w:tblPrEx>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6D51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D23D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成本指标</w:t>
            </w:r>
          </w:p>
        </w:tc>
        <w:tc>
          <w:tcPr>
            <w:tcW w:w="264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D289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综合服务建设工程成本</w:t>
            </w:r>
          </w:p>
        </w:tc>
        <w:tc>
          <w:tcPr>
            <w:tcW w:w="1437"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F465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≤263.39万元</w:t>
            </w:r>
          </w:p>
        </w:tc>
        <w:tc>
          <w:tcPr>
            <w:tcW w:w="5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A5FD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36FF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263.39万元</w:t>
            </w:r>
          </w:p>
        </w:tc>
        <w:tc>
          <w:tcPr>
            <w:tcW w:w="631"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CA6D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5BC3CAD">
        <w:tblPrEx>
          <w:tblCellMar>
            <w:top w:w="0" w:type="dxa"/>
            <w:left w:w="0" w:type="dxa"/>
            <w:bottom w:w="0" w:type="dxa"/>
            <w:right w:w="0" w:type="dxa"/>
          </w:tblCellMar>
        </w:tblPrEx>
        <w:trPr>
          <w:trHeight w:val="428" w:hRule="atLeast"/>
        </w:trPr>
        <w:tc>
          <w:tcPr>
            <w:tcW w:w="634" w:type="dxa"/>
            <w:vMerge w:val="continue"/>
            <w:tcBorders>
              <w:top w:val="single" w:color="auto" w:sz="4" w:space="0"/>
              <w:left w:val="single" w:color="auto" w:sz="4" w:space="0"/>
              <w:bottom w:val="single" w:color="000000" w:sz="4" w:space="0"/>
              <w:right w:val="single" w:color="000000" w:sz="4" w:space="0"/>
            </w:tcBorders>
            <w:noWrap w:val="0"/>
            <w:tcMar>
              <w:top w:w="15" w:type="dxa"/>
              <w:left w:w="15" w:type="dxa"/>
              <w:right w:w="15" w:type="dxa"/>
            </w:tcMar>
            <w:vAlign w:val="center"/>
          </w:tcPr>
          <w:p w14:paraId="1E19296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928" w:type="dxa"/>
            <w:vMerge w:val="continue"/>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181AC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0"/>
                <w:szCs w:val="20"/>
                <w:highlight w:val="yellow"/>
                <w:shd w:val="clear" w:color="auto" w:fill="auto"/>
                <w:lang w:val="en-US" w:eastAsia="zh-CN"/>
              </w:rPr>
            </w:pPr>
          </w:p>
        </w:tc>
        <w:tc>
          <w:tcPr>
            <w:tcW w:w="2644"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65B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项目监理设计成本</w:t>
            </w:r>
          </w:p>
        </w:tc>
        <w:tc>
          <w:tcPr>
            <w:tcW w:w="1437"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DF29BB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≤24万元</w:t>
            </w:r>
          </w:p>
        </w:tc>
        <w:tc>
          <w:tcPr>
            <w:tcW w:w="558"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47A5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F0814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rPr>
            </w:pPr>
            <w:r>
              <w:rPr>
                <w:rFonts w:hint="eastAsia" w:ascii="宋体" w:hAnsi="宋体" w:eastAsia="宋体" w:cs="宋体"/>
                <w:color w:val="auto"/>
                <w:kern w:val="0"/>
                <w:sz w:val="20"/>
                <w:szCs w:val="20"/>
                <w:highlight w:val="none"/>
                <w:shd w:val="clear" w:color="auto" w:fill="auto"/>
                <w:lang w:val="en-US" w:eastAsia="zh-CN"/>
              </w:rPr>
              <w:t>24万元</w:t>
            </w:r>
          </w:p>
        </w:tc>
        <w:tc>
          <w:tcPr>
            <w:tcW w:w="631"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2DA1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D373A85">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16672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DF994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70097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98683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271008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5CA3F7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综合服务设施的修建总面积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指标，预期目标值为≥996.72平米，实际完成为996.72平米。实际完成率=（996.72平米/996.72平米）×100%=100%。</w:t>
      </w:r>
    </w:p>
    <w:p w14:paraId="2043AC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69C86FA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11C878D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项目验收合格率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指标，预期目标值为≥90%，实际完成为90%。实际完成率100%。</w:t>
      </w:r>
    </w:p>
    <w:p w14:paraId="568CE3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项目设计变更率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指标，预期目标值为≤3%，实际完成为0%。实际完成率100%。</w:t>
      </w:r>
    </w:p>
    <w:p w14:paraId="048B48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F8E6C6D">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692A38F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工程按时完成率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指标，预期目标值为≥90%，实际完成为90%。实际完成率100%。</w:t>
      </w:r>
    </w:p>
    <w:p w14:paraId="7D4E7F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19F76D4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199581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1A5747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综合服务建设工程成本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指标，预期目标值为≤263.39万元，实际完成为263.39万元。实际完成率=（263.39万元/263.39万元）×100%=100%。</w:t>
      </w:r>
    </w:p>
    <w:p w14:paraId="682108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项目监理设计成本</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指标，预期目标值为≤24万元，实际完成为24万元。实际完成率=（24万元/24万元）×100%=100%。</w:t>
      </w:r>
    </w:p>
    <w:p w14:paraId="156AD2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综上，该项指标满分20分，得分20分。</w:t>
      </w:r>
    </w:p>
    <w:p w14:paraId="52342673">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44A4575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shd w:val="clear" w:color="auto" w:fill="auto"/>
          <w:lang w:val="zh-TW" w:eastAsia="zh-TW"/>
        </w:rPr>
      </w:pPr>
      <w:r>
        <w:rPr>
          <w:rFonts w:hint="eastAsia" w:ascii="仿宋_GB2312" w:hAnsi="仿宋_GB2312" w:eastAsia="仿宋_GB2312" w:cs="仿宋_GB2312"/>
          <w:color w:val="auto"/>
          <w:kern w:val="2"/>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shd w:val="clear" w:color="auto" w:fill="auto"/>
          <w:lang w:val="zh-TW" w:eastAsia="zh-TW"/>
        </w:rPr>
        <w:t>类指标</w:t>
      </w:r>
      <w:r>
        <w:rPr>
          <w:rFonts w:hint="default" w:ascii="Times New Roman" w:hAnsi="Times New Roman" w:eastAsia="仿宋_GB2312" w:cs="Times New Roman"/>
          <w:sz w:val="32"/>
          <w:szCs w:val="32"/>
          <w:lang w:val="en-US" w:eastAsia="zh-CN"/>
        </w:rPr>
        <w:t>包括项目实施效益和满意度两方面的内容</w:t>
      </w:r>
      <w:r>
        <w:rPr>
          <w:rFonts w:hint="default" w:ascii="Times New Roman" w:hAnsi="Times New Roman" w:eastAsia="仿宋_GB2312" w:cs="Times New Roman"/>
          <w:color w:val="auto"/>
          <w:sz w:val="32"/>
          <w:szCs w:val="32"/>
          <w:lang w:val="en-US"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由</w:t>
      </w:r>
      <w:r>
        <w:rPr>
          <w:rFonts w:hint="eastAsia" w:ascii="仿宋_GB2312" w:hAnsi="仿宋_GB2312" w:eastAsia="仿宋_GB2312" w:cs="仿宋_GB2312"/>
          <w:color w:val="auto"/>
          <w:kern w:val="2"/>
          <w:sz w:val="32"/>
          <w:szCs w:val="32"/>
          <w:highlight w:val="none"/>
          <w:shd w:val="clear" w:color="auto" w:fill="auto"/>
          <w:lang w:val="en-US" w:eastAsia="zh-CN"/>
        </w:rPr>
        <w:t>2</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val="zh-TW" w:eastAsia="zh-CN"/>
        </w:rPr>
        <w:t>二</w:t>
      </w:r>
      <w:r>
        <w:rPr>
          <w:rFonts w:hint="eastAsia" w:ascii="仿宋_GB2312" w:hAnsi="仿宋_GB2312" w:eastAsia="仿宋_GB2312" w:cs="仿宋_GB2312"/>
          <w:color w:val="auto"/>
          <w:kern w:val="2"/>
          <w:sz w:val="32"/>
          <w:szCs w:val="32"/>
          <w:highlight w:val="none"/>
          <w:shd w:val="clear" w:color="auto" w:fill="auto"/>
          <w:lang w:val="zh-TW" w:eastAsia="zh-TW"/>
        </w:rPr>
        <w:t>级指标和</w:t>
      </w:r>
      <w:r>
        <w:rPr>
          <w:rFonts w:hint="eastAsia" w:ascii="仿宋_GB2312" w:hAnsi="仿宋_GB2312" w:eastAsia="仿宋_GB2312" w:cs="仿宋_GB2312"/>
          <w:color w:val="auto"/>
          <w:kern w:val="2"/>
          <w:sz w:val="32"/>
          <w:szCs w:val="32"/>
          <w:highlight w:val="none"/>
          <w:shd w:val="clear" w:color="auto" w:fill="auto"/>
          <w:lang w:val="en-US" w:eastAsia="zh-CN"/>
        </w:rPr>
        <w:t>2</w:t>
      </w:r>
      <w:r>
        <w:rPr>
          <w:rFonts w:hint="eastAsia" w:ascii="仿宋_GB2312" w:hAnsi="仿宋_GB2312" w:eastAsia="仿宋_GB2312" w:cs="仿宋_GB2312"/>
          <w:color w:val="auto"/>
          <w:kern w:val="2"/>
          <w:sz w:val="32"/>
          <w:szCs w:val="32"/>
          <w:highlight w:val="none"/>
          <w:shd w:val="clear" w:color="auto" w:fill="auto"/>
          <w:lang w:val="zh-TW" w:eastAsia="zh-TW"/>
        </w:rPr>
        <w:t>个</w:t>
      </w:r>
      <w:r>
        <w:rPr>
          <w:rFonts w:hint="eastAsia" w:ascii="仿宋_GB2312" w:hAnsi="仿宋_GB2312" w:eastAsia="仿宋_GB2312" w:cs="仿宋_GB2312"/>
          <w:color w:val="auto"/>
          <w:kern w:val="2"/>
          <w:sz w:val="32"/>
          <w:szCs w:val="32"/>
          <w:highlight w:val="none"/>
          <w:shd w:val="clear" w:color="auto" w:fill="auto"/>
          <w:lang w:eastAsia="zh-CN"/>
        </w:rPr>
        <w:t>三</w:t>
      </w:r>
      <w:r>
        <w:rPr>
          <w:rFonts w:hint="eastAsia" w:ascii="仿宋_GB2312" w:hAnsi="仿宋_GB2312" w:eastAsia="仿宋_GB2312" w:cs="仿宋_GB2312"/>
          <w:color w:val="auto"/>
          <w:kern w:val="2"/>
          <w:sz w:val="32"/>
          <w:szCs w:val="32"/>
          <w:highlight w:val="none"/>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shd w:val="clear" w:color="auto" w:fill="auto"/>
          <w:lang w:val="en-US" w:eastAsia="zh-CN"/>
        </w:rPr>
        <w:t>20</w:t>
      </w:r>
      <w:r>
        <w:rPr>
          <w:rFonts w:hint="eastAsia" w:ascii="仿宋_GB2312" w:hAnsi="仿宋_GB2312" w:eastAsia="仿宋_GB2312" w:cs="仿宋_GB2312"/>
          <w:color w:val="auto"/>
          <w:kern w:val="2"/>
          <w:sz w:val="32"/>
          <w:szCs w:val="32"/>
          <w:highlight w:val="none"/>
          <w:shd w:val="clear" w:color="auto" w:fill="auto"/>
          <w:lang w:val="zh-TW" w:eastAsia="zh-TW"/>
        </w:rPr>
        <w:t>分，实际得分</w:t>
      </w:r>
      <w:r>
        <w:rPr>
          <w:rFonts w:hint="eastAsia" w:ascii="仿宋_GB2312" w:hAnsi="仿宋_GB2312" w:eastAsia="仿宋_GB2312" w:cs="仿宋_GB2312"/>
          <w:color w:val="auto"/>
          <w:kern w:val="2"/>
          <w:sz w:val="32"/>
          <w:szCs w:val="32"/>
          <w:highlight w:val="none"/>
          <w:shd w:val="clear" w:color="auto" w:fill="auto"/>
          <w:lang w:val="en-US" w:eastAsia="zh-CN"/>
        </w:rPr>
        <w:t>20</w:t>
      </w:r>
      <w:r>
        <w:rPr>
          <w:rFonts w:hint="eastAsia" w:ascii="仿宋_GB2312" w:hAnsi="仿宋_GB2312" w:eastAsia="仿宋_GB2312" w:cs="仿宋_GB2312"/>
          <w:color w:val="auto"/>
          <w:kern w:val="2"/>
          <w:sz w:val="32"/>
          <w:szCs w:val="32"/>
          <w:highlight w:val="none"/>
          <w:shd w:val="clear" w:color="auto" w:fill="auto"/>
          <w:lang w:val="zh-TW" w:eastAsia="zh-TW"/>
        </w:rPr>
        <w:t>分</w:t>
      </w:r>
      <w:r>
        <w:rPr>
          <w:rFonts w:hint="eastAsia" w:ascii="仿宋_GB2312" w:hAnsi="仿宋_GB2312" w:eastAsia="仿宋_GB2312" w:cs="仿宋_GB2312"/>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shd w:val="clear" w:color="auto" w:fill="auto"/>
          <w:lang w:val="en-US" w:eastAsia="zh-CN"/>
        </w:rPr>
        <w:t>4</w:t>
      </w:r>
      <w:r>
        <w:rPr>
          <w:rFonts w:hint="eastAsia" w:ascii="仿宋_GB2312" w:hAnsi="仿宋_GB2312" w:eastAsia="仿宋_GB2312" w:cs="仿宋_GB2312"/>
          <w:color w:val="auto"/>
          <w:kern w:val="2"/>
          <w:sz w:val="32"/>
          <w:szCs w:val="32"/>
          <w:highlight w:val="none"/>
          <w:shd w:val="clear" w:color="auto" w:fill="auto"/>
          <w:lang w:eastAsia="zh-CN"/>
        </w:rPr>
        <w:t>-</w:t>
      </w:r>
      <w:r>
        <w:rPr>
          <w:rFonts w:hint="eastAsia" w:ascii="仿宋_GB2312" w:hAnsi="仿宋_GB2312" w:eastAsia="仿宋_GB2312" w:cs="仿宋_GB2312"/>
          <w:color w:val="auto"/>
          <w:kern w:val="2"/>
          <w:sz w:val="32"/>
          <w:szCs w:val="32"/>
          <w:highlight w:val="none"/>
          <w:shd w:val="clear" w:color="auto" w:fill="auto"/>
          <w:lang w:val="en-US" w:eastAsia="zh-CN"/>
        </w:rPr>
        <w:t>4</w:t>
      </w:r>
      <w:r>
        <w:rPr>
          <w:rFonts w:hint="eastAsia" w:ascii="仿宋_GB2312" w:hAnsi="仿宋_GB2312" w:eastAsia="仿宋_GB2312" w:cs="仿宋_GB2312"/>
          <w:color w:val="auto"/>
          <w:kern w:val="2"/>
          <w:sz w:val="32"/>
          <w:szCs w:val="32"/>
          <w:highlight w:val="none"/>
          <w:shd w:val="clear" w:color="auto" w:fill="auto"/>
          <w:lang w:val="zh-TW" w:eastAsia="zh-TW"/>
        </w:rPr>
        <w:t>所示</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b/>
          <w:bCs/>
          <w:color w:val="auto"/>
          <w:kern w:val="2"/>
          <w:sz w:val="32"/>
          <w:szCs w:val="32"/>
          <w:highlight w:val="none"/>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shd w:val="clear" w:color="auto" w:fill="auto"/>
          <w:lang w:val="zh-TW" w:eastAsia="zh-CN"/>
        </w:rPr>
        <w:t>）</w:t>
      </w:r>
      <w:r>
        <w:rPr>
          <w:rFonts w:hint="eastAsia" w:ascii="仿宋_GB2312" w:hAnsi="仿宋_GB2312" w:eastAsia="仿宋_GB2312" w:cs="仿宋_GB2312"/>
          <w:color w:val="auto"/>
          <w:kern w:val="2"/>
          <w:sz w:val="32"/>
          <w:szCs w:val="32"/>
          <w:highlight w:val="none"/>
          <w:shd w:val="clear" w:color="auto" w:fill="auto"/>
          <w:lang w:val="zh-TW" w:eastAsia="zh-TW"/>
        </w:rPr>
        <w:t>：</w:t>
      </w:r>
    </w:p>
    <w:p w14:paraId="0099B68E">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kern w:val="0"/>
          <w:sz w:val="28"/>
          <w:szCs w:val="28"/>
          <w:highlight w:val="none"/>
          <w:shd w:val="clear" w:color="auto" w:fill="auto"/>
          <w:lang w:val="en-US" w:eastAsia="zh-CN"/>
        </w:rPr>
      </w:pPr>
      <w:r>
        <w:rPr>
          <w:rFonts w:hint="eastAsia" w:ascii="宋体" w:hAnsi="宋体" w:eastAsia="宋体" w:cs="宋体"/>
          <w:b/>
          <w:bCs/>
          <w:color w:val="000000"/>
          <w:kern w:val="0"/>
          <w:sz w:val="28"/>
          <w:szCs w:val="28"/>
          <w:highlight w:val="none"/>
          <w:shd w:val="clear" w:color="auto" w:fill="auto"/>
          <w:lang w:val="zh-TW" w:eastAsia="zh-TW"/>
        </w:rPr>
        <w:t>表</w:t>
      </w:r>
      <w:r>
        <w:rPr>
          <w:rFonts w:hint="eastAsia" w:ascii="宋体" w:hAnsi="宋体" w:eastAsia="宋体" w:cs="宋体"/>
          <w:b/>
          <w:bCs/>
          <w:color w:val="000000"/>
          <w:kern w:val="0"/>
          <w:sz w:val="28"/>
          <w:szCs w:val="28"/>
          <w:highlight w:val="none"/>
          <w:shd w:val="clear" w:color="auto" w:fill="auto"/>
          <w:lang w:val="en-US" w:eastAsia="zh-CN"/>
        </w:rPr>
        <w:t>4-4项目效益</w:t>
      </w:r>
      <w:r>
        <w:rPr>
          <w:rFonts w:hint="eastAsia" w:ascii="宋体" w:hAnsi="宋体" w:eastAsia="宋体" w:cs="宋体"/>
          <w:b/>
          <w:bCs/>
          <w:color w:val="000000"/>
          <w:kern w:val="0"/>
          <w:sz w:val="28"/>
          <w:szCs w:val="28"/>
          <w:highlight w:val="none"/>
          <w:shd w:val="clear" w:color="auto" w:fill="auto"/>
          <w:lang w:val="zh-TW" w:eastAsia="zh-TW"/>
        </w:rPr>
        <w:t>指标及分值</w:t>
      </w:r>
      <w:r>
        <w:rPr>
          <w:rFonts w:hint="eastAsia" w:ascii="宋体" w:hAnsi="宋体" w:eastAsia="宋体" w:cs="宋体"/>
          <w:b/>
          <w:bCs/>
          <w:color w:val="000000"/>
          <w:kern w:val="0"/>
          <w:sz w:val="28"/>
          <w:szCs w:val="28"/>
          <w:highlight w:val="none"/>
          <w:shd w:val="clear" w:color="auto" w:fill="auto"/>
          <w:lang w:val="en-US" w:eastAsia="zh-CN"/>
        </w:rPr>
        <w:t>情况</w:t>
      </w:r>
    </w:p>
    <w:tbl>
      <w:tblPr>
        <w:tblStyle w:val="16"/>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14:paraId="5B357C3B">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45433C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一级</w:t>
            </w:r>
          </w:p>
          <w:p w14:paraId="521AEF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noWrap w:val="0"/>
            <w:tcMar>
              <w:top w:w="15" w:type="dxa"/>
              <w:left w:w="15" w:type="dxa"/>
              <w:right w:w="15" w:type="dxa"/>
            </w:tcMar>
            <w:vAlign w:val="center"/>
          </w:tcPr>
          <w:p w14:paraId="1E18F52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CB38B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6E510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年度指</w:t>
            </w:r>
          </w:p>
          <w:p w14:paraId="75AD7E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1ABC6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标杆</w:t>
            </w:r>
          </w:p>
          <w:p w14:paraId="201269D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19117A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全年实</w:t>
            </w:r>
          </w:p>
          <w:p w14:paraId="0AFFF5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253426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指标</w:t>
            </w:r>
          </w:p>
          <w:p w14:paraId="1AC5D4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kern w:val="0"/>
                <w:sz w:val="20"/>
                <w:szCs w:val="20"/>
                <w:highlight w:val="none"/>
                <w:shd w:val="clear" w:color="auto" w:fill="auto"/>
                <w:lang w:val="en-US" w:eastAsia="zh-CN"/>
              </w:rPr>
            </w:pPr>
            <w:r>
              <w:rPr>
                <w:rFonts w:hint="eastAsia" w:ascii="宋体" w:hAnsi="宋体" w:eastAsia="宋体" w:cs="宋体"/>
                <w:b/>
                <w:bCs/>
                <w:color w:val="000000"/>
                <w:kern w:val="0"/>
                <w:sz w:val="20"/>
                <w:szCs w:val="20"/>
                <w:highlight w:val="none"/>
                <w:shd w:val="clear" w:color="auto" w:fill="auto"/>
                <w:lang w:val="en-US" w:eastAsia="zh-CN"/>
              </w:rPr>
              <w:t>得分</w:t>
            </w:r>
          </w:p>
        </w:tc>
      </w:tr>
      <w:tr w14:paraId="6A325B16">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noWrap w:val="0"/>
            <w:tcMar>
              <w:top w:w="15" w:type="dxa"/>
              <w:left w:w="15" w:type="dxa"/>
              <w:right w:w="15" w:type="dxa"/>
            </w:tcMar>
            <w:vAlign w:val="center"/>
          </w:tcPr>
          <w:p w14:paraId="05EA6A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r>
              <w:rPr>
                <w:rFonts w:hint="eastAsia" w:ascii="宋体" w:hAnsi="宋体" w:eastAsia="宋体" w:cs="宋体"/>
                <w:color w:val="000000"/>
                <w:kern w:val="0"/>
                <w:sz w:val="20"/>
                <w:szCs w:val="20"/>
                <w:highlight w:val="none"/>
                <w:shd w:val="clear" w:color="auto" w:fill="auto"/>
                <w:lang w:val="en-US" w:eastAsia="zh-CN"/>
              </w:rPr>
              <w:t>效益</w:t>
            </w:r>
          </w:p>
        </w:tc>
        <w:tc>
          <w:tcPr>
            <w:tcW w:w="1725" w:type="dxa"/>
            <w:tcBorders>
              <w:top w:val="single" w:color="000000" w:sz="4" w:space="0"/>
              <w:left w:val="single" w:color="000000" w:sz="4" w:space="0"/>
              <w:bottom w:val="single" w:color="000000" w:sz="4" w:space="0"/>
              <w:right w:val="single" w:color="auto" w:sz="4" w:space="0"/>
            </w:tcBorders>
            <w:shd w:val="clear" w:color="auto" w:fill="auto"/>
            <w:noWrap w:val="0"/>
            <w:tcMar>
              <w:top w:w="15" w:type="dxa"/>
              <w:left w:w="15" w:type="dxa"/>
              <w:right w:w="15" w:type="dxa"/>
            </w:tcMar>
            <w:vAlign w:val="center"/>
          </w:tcPr>
          <w:p w14:paraId="084F6E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noWrap w:val="0"/>
            <w:tcMar>
              <w:top w:w="15" w:type="dxa"/>
              <w:left w:w="15" w:type="dxa"/>
              <w:right w:w="15" w:type="dxa"/>
            </w:tcMar>
            <w:vAlign w:val="center"/>
          </w:tcPr>
          <w:p w14:paraId="53F667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为辖区党员、群众提供活动场地</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3E5BF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5424A0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3E0AEDF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noWrap w:val="0"/>
            <w:tcMar>
              <w:top w:w="15" w:type="dxa"/>
              <w:left w:w="15" w:type="dxa"/>
              <w:right w:w="15" w:type="dxa"/>
            </w:tcMar>
            <w:vAlign w:val="center"/>
          </w:tcPr>
          <w:p w14:paraId="76A9B7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56846434">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noWrap w:val="0"/>
            <w:tcMar>
              <w:top w:w="15" w:type="dxa"/>
              <w:left w:w="15" w:type="dxa"/>
              <w:right w:w="15" w:type="dxa"/>
            </w:tcMar>
            <w:vAlign w:val="center"/>
          </w:tcPr>
          <w:p w14:paraId="2872EE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01CF2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4B5B7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辖区人民满意度</w:t>
            </w:r>
          </w:p>
        </w:tc>
        <w:tc>
          <w:tcPr>
            <w:tcW w:w="8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E3FCD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r>
              <w:rPr>
                <w:rFonts w:hint="eastAsia" w:ascii="宋体" w:hAnsi="宋体" w:eastAsia="宋体" w:cs="宋体"/>
                <w:color w:val="auto"/>
                <w:kern w:val="0"/>
                <w:sz w:val="20"/>
                <w:szCs w:val="20"/>
                <w:highlight w:val="none"/>
                <w:shd w:val="clear" w:color="auto" w:fill="auto"/>
                <w:lang w:val="en-US" w:eastAsia="zh-CN"/>
              </w:rPr>
              <w:t>5%</w:t>
            </w:r>
          </w:p>
        </w:tc>
        <w:tc>
          <w:tcPr>
            <w:tcW w:w="6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3CB4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0D1D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5B84B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r>
      <w:tr w14:paraId="0EEBF6A4">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25659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B957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9671D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1E0CF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CB3891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7BF6DE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为辖区党员、群众提供活动场地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指标，预期目标值为提高，实际完成为达到预期指标。</w:t>
      </w:r>
    </w:p>
    <w:p w14:paraId="6801CF3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通过项目的实施，新建博峰街道佳园社</w:t>
      </w:r>
      <w:r>
        <w:rPr>
          <w:rFonts w:hint="eastAsia" w:ascii="仿宋_GB2312" w:hAnsi="仿宋_GB2312" w:eastAsia="仿宋_GB2312" w:cs="仿宋_GB2312"/>
          <w:b w:val="0"/>
          <w:bCs w:val="0"/>
          <w:sz w:val="32"/>
          <w:szCs w:val="32"/>
          <w:lang w:val="en-US" w:eastAsia="zh-CN"/>
        </w:rPr>
        <w:t>区准电小区网格党支部面积996.72㎡，建设地上2层地下一层建筑，包括：建筑安装工程、室内装修工程、给排水、消防、采暖、办公设备及家具购置等，配套建设室外给排水、电力、热力管线，围墙、绿化及广场等基础设施，达到为辖区党员、群众提供活动场地的效益。</w:t>
      </w:r>
    </w:p>
    <w:p w14:paraId="55BDAE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506E2E7D">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24F3C0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辖区人民满意度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指标，预期目标值为95%，实际完成为95%。</w:t>
      </w:r>
    </w:p>
    <w:p w14:paraId="1241B69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D5437F1">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highlight w:val="none"/>
          <w:shd w:val="clear" w:color="auto" w:fill="auto"/>
          <w:lang w:val="en-US" w:eastAsia="zh-CN"/>
        </w:rPr>
      </w:pPr>
      <w:bookmarkStart w:id="145" w:name="_Toc6622"/>
      <w:r>
        <w:rPr>
          <w:rFonts w:hint="eastAsia" w:ascii="黑体" w:hAnsi="黑体" w:cs="黑体"/>
          <w:b w:val="0"/>
          <w:bCs w:val="0"/>
          <w:color w:val="000000"/>
          <w:highlight w:val="none"/>
          <w:shd w:val="clear" w:color="auto" w:fill="auto"/>
          <w:lang w:val="en-US" w:eastAsia="zh-CN"/>
        </w:rPr>
        <w:t>五</w:t>
      </w:r>
      <w:r>
        <w:rPr>
          <w:rFonts w:hint="eastAsia" w:ascii="黑体" w:hAnsi="黑体" w:eastAsia="黑体" w:cs="黑体"/>
          <w:b w:val="0"/>
          <w:bCs w:val="0"/>
          <w:color w:val="000000"/>
          <w:highlight w:val="none"/>
          <w:shd w:val="clear" w:color="auto" w:fill="auto"/>
          <w:lang w:val="en-US" w:eastAsia="zh-CN"/>
        </w:rPr>
        <w:t>、主要经验及做法、存在的问题及原因分析</w:t>
      </w:r>
      <w:bookmarkEnd w:id="145"/>
    </w:p>
    <w:p w14:paraId="4910094A">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0F36BD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佳园社区综合服务建设项目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287.39</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287.39</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0B7078E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阜康市人民政府博峰街办事处</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阜康市人民政府博峰街办事处</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w:t>
      </w:r>
      <w:r>
        <w:rPr>
          <w:rFonts w:hint="eastAsia" w:ascii="仿宋_GB2312" w:hAnsi="仿宋_GB2312" w:eastAsia="仿宋_GB2312" w:cs="仿宋_GB2312"/>
          <w:sz w:val="32"/>
          <w:szCs w:val="32"/>
          <w:lang w:eastAsia="zh-CN"/>
        </w:rPr>
        <w:t>和效果。</w:t>
      </w:r>
    </w:p>
    <w:bookmarkEnd w:id="147"/>
    <w:bookmarkEnd w:id="148"/>
    <w:p w14:paraId="5DF2CE5F">
      <w:pPr>
        <w:pStyle w:val="14"/>
        <w:keepNext w:val="0"/>
        <w:keepLines w:val="0"/>
        <w:pageBreakBefore w:val="0"/>
        <w:widowControl/>
        <w:kinsoku/>
        <w:wordWrap/>
        <w:overflowPunct/>
        <w:topLinePunct w:val="0"/>
        <w:autoSpaceDE/>
        <w:autoSpaceDN/>
        <w:bidi w:val="0"/>
        <w:adjustRightInd/>
        <w:snapToGrid/>
        <w:spacing w:before="0" w:beforeLines="0" w:after="0" w:afterLines="0"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794B5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组织保障方面：工程技术、施工、采购、监理等部门之间存在沟通壁垒，信息传递不及时、不畅通。主要原因在于项目未建立统一的信息化管理，部门间仍依赖传统的文件传递和口头沟通方式，缺乏有效的跨部门协作流程和责任界定机制。</w:t>
      </w:r>
    </w:p>
    <w:p w14:paraId="244086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使用效率不足：项目部分资金存在闲置或拨付进度滞后的情况，导致部分子项目因资金未及时到位而延误工期。经分析，主要原因是资金预算编制时未充分考虑项目实际进度与资金需求的匹配性，同时缺乏动态调整机制，未能根据项目实际推进情况灵活调配资金。</w:t>
      </w:r>
    </w:p>
    <w:p w14:paraId="03A5FA6C">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highlight w:val="none"/>
          <w:shd w:val="clear" w:color="auto" w:fill="auto"/>
          <w:lang w:val="en-US" w:eastAsia="zh-CN"/>
        </w:rPr>
      </w:pPr>
      <w:bookmarkStart w:id="150" w:name="_Toc3333"/>
      <w:r>
        <w:rPr>
          <w:rFonts w:hint="eastAsia" w:ascii="黑体" w:hAnsi="黑体" w:cs="黑体"/>
          <w:b w:val="0"/>
          <w:bCs w:val="0"/>
          <w:color w:val="000000"/>
          <w:highlight w:val="none"/>
          <w:shd w:val="clear" w:color="auto" w:fill="auto"/>
          <w:lang w:val="en-US" w:eastAsia="zh-CN"/>
        </w:rPr>
        <w:t>六</w:t>
      </w:r>
      <w:r>
        <w:rPr>
          <w:rFonts w:hint="eastAsia" w:ascii="黑体" w:hAnsi="黑体" w:eastAsia="黑体" w:cs="黑体"/>
          <w:b w:val="0"/>
          <w:bCs w:val="0"/>
          <w:color w:val="000000"/>
          <w:highlight w:val="none"/>
          <w:shd w:val="clear" w:color="auto" w:fill="auto"/>
          <w:lang w:val="en-US" w:eastAsia="zh-CN"/>
        </w:rPr>
        <w:t>、有关建议</w:t>
      </w:r>
      <w:bookmarkEnd w:id="150"/>
    </w:p>
    <w:p w14:paraId="72FA81BE">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kern w:val="2"/>
          <w:sz w:val="32"/>
          <w:szCs w:val="32"/>
          <w:lang w:val="en-US" w:eastAsia="zh-CN" w:bidi="ar-SA"/>
        </w:rPr>
      </w:pPr>
      <w:bookmarkStart w:id="151" w:name="_Toc14256"/>
      <w:r>
        <w:rPr>
          <w:rFonts w:hint="eastAsia" w:ascii="仿宋_GB2312" w:hAnsi="仿宋_GB2312" w:eastAsia="仿宋_GB2312" w:cs="仿宋_GB2312"/>
          <w:kern w:val="2"/>
          <w:sz w:val="32"/>
          <w:szCs w:val="32"/>
          <w:lang w:val="en-US" w:eastAsia="zh-CN" w:bidi="ar-SA"/>
        </w:rPr>
        <w:t>1.重新梳理项目组织架构，明确各部门职责和工作界面，制定详细的跨部门协作流程和工作规范。建立高效的沟通协调机制，设立项目协调小组或定期召开联席会议，及时解决部门间存在的问题和分歧。</w:t>
      </w:r>
    </w:p>
    <w:p w14:paraId="79EC8AEA">
      <w:pPr>
        <w:pStyle w:val="2"/>
        <w:pageBreakBefore w:val="0"/>
        <w:kinsoku/>
        <w:wordWrap/>
        <w:overflowPunct/>
        <w:topLinePunct w:val="0"/>
        <w:autoSpaceDE/>
        <w:autoSpaceDN/>
        <w:bidi w:val="0"/>
        <w:adjustRightInd/>
        <w:spacing w:beforeLines="0" w:afterLines="0" w:line="560" w:lineRule="exact"/>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2.优化资金预算与动态管理：在项目前期，组织专业人员结合项目实际情况和历史数据，科学编制资金预算，细化预算科目和资金使用计划。建立资金动态监控机制，定期分析项目资金使用情况与实际进度的匹配度，根据项目推进情况及时调整资金分配方案。同时，简化资金审批流程，明确各审批环节的时限要求，提高资金拨付效率</w:t>
      </w:r>
      <w:r>
        <w:rPr>
          <w:rFonts w:hint="eastAsia" w:ascii="宋体" w:hAnsi="宋体" w:eastAsia="宋体" w:cs="宋体"/>
          <w:kern w:val="2"/>
          <w:sz w:val="28"/>
          <w:szCs w:val="28"/>
          <w:lang w:val="en-US" w:eastAsia="zh-CN" w:bidi="ar-SA"/>
        </w:rPr>
        <w:t>。</w:t>
      </w:r>
    </w:p>
    <w:p w14:paraId="327E4F54">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highlight w:val="none"/>
          <w:shd w:val="clear" w:color="auto" w:fill="auto"/>
          <w:lang w:val="en-US" w:eastAsia="zh-CN"/>
        </w:rPr>
      </w:pPr>
      <w:r>
        <w:rPr>
          <w:rFonts w:hint="eastAsia" w:ascii="黑体" w:hAnsi="黑体" w:cs="黑体"/>
          <w:b w:val="0"/>
          <w:bCs w:val="0"/>
          <w:color w:val="000000"/>
          <w:highlight w:val="none"/>
          <w:shd w:val="clear" w:color="auto" w:fill="auto"/>
          <w:lang w:val="en-US" w:eastAsia="zh-CN"/>
        </w:rPr>
        <w:t>七</w:t>
      </w:r>
      <w:r>
        <w:rPr>
          <w:rFonts w:hint="eastAsia" w:ascii="黑体" w:hAnsi="黑体" w:eastAsia="黑体" w:cs="黑体"/>
          <w:b w:val="0"/>
          <w:bCs w:val="0"/>
          <w:color w:val="000000"/>
          <w:highlight w:val="none"/>
          <w:shd w:val="clear" w:color="auto" w:fill="auto"/>
          <w:lang w:val="en-US" w:eastAsia="zh-CN"/>
        </w:rPr>
        <w:t>、其他需要说明的问题</w:t>
      </w:r>
      <w:bookmarkEnd w:id="151"/>
    </w:p>
    <w:p w14:paraId="1EFD97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46238493">
      <w:pPr>
        <w:pageBreakBefore w:val="0"/>
        <w:kinsoku/>
        <w:wordWrap/>
        <w:overflowPunct/>
        <w:topLinePunct w:val="0"/>
        <w:autoSpaceDE/>
        <w:autoSpaceDN/>
        <w:bidi w:val="0"/>
        <w:adjustRightInd/>
        <w:spacing w:line="560" w:lineRule="exact"/>
        <w:textAlignment w:val="auto"/>
        <w:rPr>
          <w:rFonts w:hint="eastAsia" w:cs="宋体"/>
          <w:color w:val="000000"/>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16C5145D">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2" w:name="_Toc28971"/>
      <w:bookmarkStart w:id="153" w:name="_Toc11349"/>
      <w:r>
        <w:rPr>
          <w:rFonts w:hint="eastAsia" w:ascii="宋体" w:hAnsi="宋体" w:eastAsia="宋体" w:cs="宋体"/>
          <w:b/>
          <w:bCs/>
          <w:color w:val="000000"/>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875"/>
        <w:gridCol w:w="875"/>
        <w:gridCol w:w="875"/>
        <w:gridCol w:w="1195"/>
        <w:gridCol w:w="1355"/>
        <w:gridCol w:w="1275"/>
        <w:gridCol w:w="1035"/>
        <w:gridCol w:w="1195"/>
        <w:gridCol w:w="875"/>
        <w:gridCol w:w="876"/>
        <w:gridCol w:w="876"/>
        <w:gridCol w:w="876"/>
        <w:gridCol w:w="1116"/>
      </w:tblGrid>
      <w:tr w14:paraId="0B6A9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52C3ED1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749A5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63DB5C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6D408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4BB67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19BD21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佳园社区综合服务建设项目工程</w:t>
            </w:r>
          </w:p>
        </w:tc>
      </w:tr>
      <w:tr w14:paraId="325DF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798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98C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阜康市人民政府博峰街办事处</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A712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1E21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阜康市人民政府博峰街办事处</w:t>
            </w:r>
          </w:p>
        </w:tc>
      </w:tr>
      <w:tr w14:paraId="5BCC0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6CAE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193526">
            <w:pPr>
              <w:jc w:val="cente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C56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344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1F8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EED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41C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942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9261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E6A10">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BD78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B9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138.60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42FC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287.39</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BA2D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287.39</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A9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C09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06D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891D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6FA41">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97B5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1A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138.60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16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287.39</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F0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287.39</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6E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7F4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EE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D36D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A6B5F">
            <w:pPr>
              <w:jc w:val="center"/>
              <w:rPr>
                <w:rFonts w:hint="eastAsia" w:ascii="宋体" w:hAnsi="宋体" w:eastAsia="宋体" w:cs="宋体"/>
                <w:b/>
                <w:bCs/>
                <w:i w:val="0"/>
                <w:iCs w:val="0"/>
                <w:color w:val="000000"/>
                <w:sz w:val="18"/>
                <w:szCs w:val="18"/>
                <w:u w:val="none"/>
              </w:rPr>
            </w:pPr>
          </w:p>
        </w:tc>
        <w:tc>
          <w:tcPr>
            <w:tcW w:w="7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55E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AB4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7FF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1EB9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09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7F3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58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41C3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11E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0CE7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96F2E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7253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CE553">
            <w:pPr>
              <w:jc w:val="center"/>
              <w:rPr>
                <w:rFonts w:hint="eastAsia" w:ascii="宋体" w:hAnsi="宋体" w:eastAsia="宋体" w:cs="宋体"/>
                <w:b/>
                <w:bCs/>
                <w:i w:val="0"/>
                <w:iCs w:val="0"/>
                <w:color w:val="000000"/>
                <w:sz w:val="18"/>
                <w:szCs w:val="18"/>
                <w:u w:val="none"/>
              </w:rPr>
            </w:pPr>
          </w:p>
        </w:tc>
        <w:tc>
          <w:tcPr>
            <w:tcW w:w="196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4B1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促进社区基层组织建设，加强社区基层组织服务能力，改善社区基层组织基础设施条件，充分发挥社区基层党组织的战斗堡垒作用和广大党员的先锋模范作用，2024年计划在阜康市同心巷停车场南侧空地修建总建筑面积为996.72平米的综合服务设施建设，项目验收合格率及工程按时完成率预计达到90%以上，项目设计变更率低于3%。通过项目的实施达到更好的发挥网格便民、乐民服务群众的作用，满足群众娱乐活动需求的效果。项目的实施预计使辖区人民满意度达到95%以上。</w:t>
            </w:r>
          </w:p>
        </w:tc>
        <w:tc>
          <w:tcPr>
            <w:tcW w:w="283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88A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12月31日，本项目完成综合服务设施的修建总面积996.72平米，项目验收合格率达到90%，项目设计变更率为0%，工程按时完成率达到90%，综合服务建设成本达263.39万元，项目监理设计成本24.00万元。项目的实施达到为辖区党员、群众提供活动场地的效益，辖区人民满意度达到95%。</w:t>
            </w:r>
          </w:p>
        </w:tc>
      </w:tr>
      <w:tr w14:paraId="1D2C6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1BD2E1">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CB04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21D8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A34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A33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DE1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ADDC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073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FDE8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9C4A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412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4B9D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C88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742C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65540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AFC45">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55802">
            <w:pPr>
              <w:jc w:val="center"/>
              <w:rPr>
                <w:rFonts w:hint="eastAsia" w:ascii="宋体" w:hAnsi="宋体" w:eastAsia="宋体" w:cs="宋体"/>
                <w:b/>
                <w:bCs/>
                <w:i w:val="0"/>
                <w:iCs w:val="0"/>
                <w:color w:val="000000"/>
                <w:sz w:val="18"/>
                <w:szCs w:val="18"/>
                <w:u w:val="none"/>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3E8A3">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2EE21">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C8B1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B90F3">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C625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EC6A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14D0">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2EAAD">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3071B">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FFF32">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0A347">
            <w:pPr>
              <w:jc w:val="center"/>
              <w:rPr>
                <w:rFonts w:hint="eastAsia" w:ascii="宋体" w:hAnsi="宋体" w:eastAsia="宋体" w:cs="宋体"/>
                <w:b/>
                <w:bCs/>
                <w:i w:val="0"/>
                <w:iCs w:val="0"/>
                <w:color w:val="000000"/>
                <w:sz w:val="18"/>
                <w:szCs w:val="18"/>
                <w:u w:val="none"/>
              </w:rPr>
            </w:pPr>
          </w:p>
        </w:tc>
        <w:tc>
          <w:tcPr>
            <w:tcW w:w="8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8602A">
            <w:pPr>
              <w:jc w:val="center"/>
              <w:rPr>
                <w:rFonts w:hint="eastAsia" w:ascii="宋体" w:hAnsi="宋体" w:eastAsia="宋体" w:cs="宋体"/>
                <w:b/>
                <w:bCs/>
                <w:i w:val="0"/>
                <w:iCs w:val="0"/>
                <w:color w:val="000000"/>
                <w:sz w:val="18"/>
                <w:szCs w:val="18"/>
                <w:u w:val="none"/>
              </w:rPr>
            </w:pPr>
          </w:p>
        </w:tc>
      </w:tr>
      <w:tr w14:paraId="14CE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349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9C76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8C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C8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综合服务设施的修建总面积</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1F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A5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&gt;=996.72平米</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45F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=996.72平米</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0510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C9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CC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B591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9F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FC0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355BF">
            <w:pPr>
              <w:jc w:val="center"/>
              <w:rPr>
                <w:rFonts w:hint="eastAsia" w:ascii="宋体" w:hAnsi="宋体" w:eastAsia="宋体" w:cs="宋体"/>
                <w:i w:val="0"/>
                <w:iCs w:val="0"/>
                <w:color w:val="000000"/>
                <w:sz w:val="18"/>
                <w:szCs w:val="18"/>
                <w:u w:val="none"/>
              </w:rPr>
            </w:pPr>
          </w:p>
        </w:tc>
      </w:tr>
      <w:tr w14:paraId="728B8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A858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04BEA">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15B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27D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CB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C75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CE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A526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89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5F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4349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D2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02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8C96">
            <w:pPr>
              <w:jc w:val="center"/>
              <w:rPr>
                <w:rFonts w:hint="eastAsia" w:ascii="宋体" w:hAnsi="宋体" w:eastAsia="宋体" w:cs="宋体"/>
                <w:i w:val="0"/>
                <w:iCs w:val="0"/>
                <w:color w:val="000000"/>
                <w:sz w:val="18"/>
                <w:szCs w:val="18"/>
                <w:u w:val="none"/>
              </w:rPr>
            </w:pPr>
          </w:p>
        </w:tc>
      </w:tr>
      <w:tr w14:paraId="32AEF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279B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8D10D">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DA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20C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0DE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A0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5B6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FD21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12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D60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131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E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A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44548">
            <w:pPr>
              <w:jc w:val="center"/>
              <w:rPr>
                <w:rFonts w:hint="eastAsia" w:ascii="宋体" w:hAnsi="宋体" w:eastAsia="宋体" w:cs="宋体"/>
                <w:i w:val="0"/>
                <w:iCs w:val="0"/>
                <w:color w:val="000000"/>
                <w:sz w:val="18"/>
                <w:szCs w:val="18"/>
                <w:u w:val="none"/>
              </w:rPr>
            </w:pPr>
          </w:p>
        </w:tc>
      </w:tr>
      <w:tr w14:paraId="1FD1C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9E9C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B826A">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D2B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0F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工程按时完成率</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FE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33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3F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BCC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4F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C6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1569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2AE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3C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FC5BA">
            <w:pPr>
              <w:jc w:val="center"/>
              <w:rPr>
                <w:rFonts w:hint="eastAsia" w:ascii="宋体" w:hAnsi="宋体" w:eastAsia="宋体" w:cs="宋体"/>
                <w:i w:val="0"/>
                <w:iCs w:val="0"/>
                <w:color w:val="000000"/>
                <w:sz w:val="18"/>
                <w:szCs w:val="18"/>
                <w:u w:val="none"/>
              </w:rPr>
            </w:pPr>
          </w:p>
        </w:tc>
      </w:tr>
      <w:tr w14:paraId="6F230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478CA">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029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68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1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综合服务建设工程成本</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5F8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FCB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&lt;=263.39万元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20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=263.39万元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6D35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B3D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F0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2C02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7FB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33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08B50">
            <w:pPr>
              <w:jc w:val="center"/>
              <w:rPr>
                <w:rFonts w:hint="eastAsia" w:ascii="宋体" w:hAnsi="宋体" w:eastAsia="宋体" w:cs="宋体"/>
                <w:i w:val="0"/>
                <w:iCs w:val="0"/>
                <w:color w:val="000000"/>
                <w:sz w:val="18"/>
                <w:szCs w:val="18"/>
                <w:u w:val="none"/>
              </w:rPr>
            </w:pPr>
          </w:p>
        </w:tc>
      </w:tr>
      <w:tr w14:paraId="1C350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49CB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9194E">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3D9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6F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项目监理设计成本</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DF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C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&lt;=24.00万元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30A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=24.00万元</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A454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13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5C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3EA9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77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28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AC2C6">
            <w:pPr>
              <w:jc w:val="center"/>
              <w:rPr>
                <w:rFonts w:hint="eastAsia" w:ascii="宋体" w:hAnsi="宋体" w:eastAsia="宋体" w:cs="宋体"/>
                <w:i w:val="0"/>
                <w:iCs w:val="0"/>
                <w:color w:val="000000"/>
                <w:sz w:val="18"/>
                <w:szCs w:val="18"/>
                <w:u w:val="none"/>
              </w:rPr>
            </w:pPr>
          </w:p>
        </w:tc>
      </w:tr>
      <w:tr w14:paraId="10D20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30808">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6A0DF">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EC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B469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6CB9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758C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E82BE">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FE5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1F17">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D085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B6C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9449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1E005">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63403">
            <w:pPr>
              <w:jc w:val="center"/>
              <w:rPr>
                <w:rFonts w:hint="eastAsia" w:ascii="宋体" w:hAnsi="宋体" w:eastAsia="宋体" w:cs="宋体"/>
                <w:i w:val="0"/>
                <w:iCs w:val="0"/>
                <w:color w:val="000000"/>
                <w:sz w:val="18"/>
                <w:szCs w:val="18"/>
                <w:u w:val="none"/>
              </w:rPr>
            </w:pPr>
          </w:p>
        </w:tc>
      </w:tr>
      <w:tr w14:paraId="3AEC6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4695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2E564">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73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DF6C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6B29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D6DB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8975C">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AC0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7145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920D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7E7A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01908">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84AB5">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46599">
            <w:pPr>
              <w:jc w:val="center"/>
              <w:rPr>
                <w:rFonts w:hint="eastAsia" w:ascii="宋体" w:hAnsi="宋体" w:eastAsia="宋体" w:cs="宋体"/>
                <w:i w:val="0"/>
                <w:iCs w:val="0"/>
                <w:color w:val="000000"/>
                <w:sz w:val="18"/>
                <w:szCs w:val="18"/>
                <w:u w:val="none"/>
              </w:rPr>
            </w:pPr>
          </w:p>
        </w:tc>
      </w:tr>
      <w:tr w14:paraId="1C9CA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D460EC">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1E5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DA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2B31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91366">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028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2D5DB">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267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EBD14">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8C8D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7B078">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E40B6">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24BD1">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8DBCE">
            <w:pPr>
              <w:jc w:val="center"/>
              <w:rPr>
                <w:rFonts w:hint="eastAsia" w:ascii="宋体" w:hAnsi="宋体" w:eastAsia="宋体" w:cs="宋体"/>
                <w:i w:val="0"/>
                <w:iCs w:val="0"/>
                <w:color w:val="000000"/>
                <w:sz w:val="18"/>
                <w:szCs w:val="18"/>
                <w:u w:val="none"/>
              </w:rPr>
            </w:pPr>
          </w:p>
        </w:tc>
      </w:tr>
      <w:tr w14:paraId="624D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C61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2D799">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696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171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为辖区党员、群众提供活动场地</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6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57F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EB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43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3D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6D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15C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EF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B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E03D9">
            <w:pPr>
              <w:jc w:val="center"/>
              <w:rPr>
                <w:rFonts w:hint="eastAsia" w:ascii="宋体" w:hAnsi="宋体" w:eastAsia="宋体" w:cs="宋体"/>
                <w:i w:val="0"/>
                <w:iCs w:val="0"/>
                <w:color w:val="000000"/>
                <w:sz w:val="18"/>
                <w:szCs w:val="18"/>
                <w:u w:val="none"/>
              </w:rPr>
            </w:pPr>
          </w:p>
        </w:tc>
      </w:tr>
      <w:tr w14:paraId="4B943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16077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4D419">
            <w:pPr>
              <w:jc w:val="center"/>
              <w:rPr>
                <w:rFonts w:hint="eastAsia" w:ascii="宋体" w:hAnsi="宋体" w:eastAsia="宋体" w:cs="宋体"/>
                <w:i w:val="0"/>
                <w:iCs w:val="0"/>
                <w:color w:val="000000"/>
                <w:sz w:val="18"/>
                <w:szCs w:val="18"/>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80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DB39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A1CBC">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497F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DC402">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7880">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B661E">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D794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68F04">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C7D6C">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857DC">
            <w:pPr>
              <w:jc w:val="cente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D38FF">
            <w:pPr>
              <w:jc w:val="center"/>
              <w:rPr>
                <w:rFonts w:hint="eastAsia" w:ascii="宋体" w:hAnsi="宋体" w:eastAsia="宋体" w:cs="宋体"/>
                <w:i w:val="0"/>
                <w:iCs w:val="0"/>
                <w:color w:val="000000"/>
                <w:sz w:val="18"/>
                <w:szCs w:val="18"/>
                <w:u w:val="none"/>
              </w:rPr>
            </w:pPr>
          </w:p>
        </w:tc>
      </w:tr>
      <w:tr w14:paraId="6DDDA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45FFA2">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8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18A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B5D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辖区人民满意度</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F0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0A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8B9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8D3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9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17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A6776">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B4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83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F3252">
            <w:pPr>
              <w:jc w:val="center"/>
              <w:rPr>
                <w:rFonts w:hint="eastAsia" w:ascii="宋体" w:hAnsi="宋体" w:eastAsia="宋体" w:cs="宋体"/>
                <w:i w:val="0"/>
                <w:iCs w:val="0"/>
                <w:color w:val="000000"/>
                <w:sz w:val="18"/>
                <w:szCs w:val="18"/>
                <w:u w:val="none"/>
              </w:rPr>
            </w:pPr>
          </w:p>
        </w:tc>
      </w:tr>
      <w:tr w14:paraId="5335B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96" w:type="pct"/>
            <w:gridSpan w:val="4"/>
            <w:tcBorders>
              <w:top w:val="single" w:color="000000" w:sz="4" w:space="0"/>
              <w:left w:val="single" w:color="000000" w:sz="4" w:space="0"/>
              <w:bottom w:val="single" w:color="000000" w:sz="4" w:space="0"/>
              <w:right w:val="nil"/>
            </w:tcBorders>
            <w:shd w:val="clear" w:color="auto" w:fill="auto"/>
            <w:vAlign w:val="center"/>
          </w:tcPr>
          <w:p w14:paraId="7A03B4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71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nil"/>
              <w:bottom w:val="single" w:color="000000" w:sz="4" w:space="0"/>
              <w:right w:val="single" w:color="000000" w:sz="4" w:space="0"/>
            </w:tcBorders>
            <w:shd w:val="clear" w:color="auto" w:fill="auto"/>
            <w:vAlign w:val="center"/>
          </w:tcPr>
          <w:p w14:paraId="2691FF4D">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3C3CD">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F076">
            <w:pPr>
              <w:jc w:val="center"/>
              <w:rPr>
                <w:rFonts w:hint="eastAsia" w:ascii="宋体" w:hAnsi="宋体" w:eastAsia="宋体" w:cs="宋体"/>
                <w:i w:val="0"/>
                <w:iCs w:val="0"/>
                <w:color w:val="000000"/>
                <w:sz w:val="18"/>
                <w:szCs w:val="18"/>
                <w:u w:val="none"/>
              </w:rPr>
            </w:pPr>
            <w:bookmarkStart w:id="156" w:name="_GoBack"/>
            <w:bookmarkEnd w:id="156"/>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BF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78BEA">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0CE16">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21D0">
            <w:pP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61F80">
            <w:pPr>
              <w:rPr>
                <w:rFonts w:hint="eastAsia" w:ascii="宋体" w:hAnsi="宋体" w:eastAsia="宋体" w:cs="宋体"/>
                <w:i w:val="0"/>
                <w:iCs w:val="0"/>
                <w:color w:val="000000"/>
                <w:sz w:val="18"/>
                <w:szCs w:val="18"/>
                <w:u w:val="none"/>
              </w:rPr>
            </w:pPr>
          </w:p>
        </w:tc>
        <w:tc>
          <w:tcPr>
            <w:tcW w:w="8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8A49">
            <w:pPr>
              <w:rPr>
                <w:rFonts w:hint="eastAsia" w:ascii="宋体" w:hAnsi="宋体" w:eastAsia="宋体" w:cs="宋体"/>
                <w:i w:val="0"/>
                <w:iCs w:val="0"/>
                <w:color w:val="000000"/>
                <w:sz w:val="18"/>
                <w:szCs w:val="18"/>
                <w:u w:val="none"/>
              </w:rPr>
            </w:pPr>
          </w:p>
        </w:tc>
      </w:tr>
    </w:tbl>
    <w:p w14:paraId="50B8017C">
      <w:pPr>
        <w:ind w:left="0" w:leftChars="0" w:firstLine="0" w:firstLineChars="0"/>
      </w:pPr>
      <w:r>
        <w:br w:type="page"/>
      </w:r>
    </w:p>
    <w:p w14:paraId="76938030">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highlight w:val="none"/>
          <w:shd w:val="clear" w:color="auto" w:fill="auto"/>
          <w:lang w:val="en-US" w:eastAsia="zh-CN"/>
        </w:rPr>
      </w:pPr>
      <w:bookmarkStart w:id="154" w:name="_Toc15067"/>
      <w:bookmarkStart w:id="155" w:name="_Toc11223"/>
      <w:r>
        <w:rPr>
          <w:rFonts w:hint="eastAsia" w:ascii="宋体" w:hAnsi="宋体" w:eastAsia="宋体" w:cs="宋体"/>
          <w:b/>
          <w:bCs/>
          <w:color w:val="000000"/>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3981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65DEB1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0A4BC1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48ECA2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E7A2C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371F0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643DF7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7996603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3DEC5E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3F55B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04A9AD3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078B92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7337E9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12870D1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787AA07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3668F7D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08BF628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BBE02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4BB80E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0AA7CA3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301215D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2E5364D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25AEBE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0E85A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32F24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48B8A0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0BB0B3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3E6ABA9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2A24169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5C65D3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0B4AA3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52BB73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192AA66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44E6F95F">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2EB57A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02CC32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3</w:t>
            </w:r>
          </w:p>
        </w:tc>
      </w:tr>
      <w:tr w14:paraId="174F2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254D44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527C420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299DBCD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6B74D0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53A4ACD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2F6279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92C041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3EB1C10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FF0950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081DE66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443517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77C94E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584C8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5</w:t>
            </w:r>
          </w:p>
        </w:tc>
      </w:tr>
      <w:tr w14:paraId="245EF1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71FCEA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5C4881D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7132105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383904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0403948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699888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CED58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25E7D16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AA9B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391BF9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0AB85B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FB02F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5</w:t>
            </w:r>
          </w:p>
        </w:tc>
      </w:tr>
      <w:tr w14:paraId="3E83F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DBA16D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23A543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0B09679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2540799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42383F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1DDA303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86074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464565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48AEDF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654204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71835D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B11AC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42AEB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2</w:t>
            </w:r>
          </w:p>
        </w:tc>
      </w:tr>
      <w:tr w14:paraId="0BDA5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6F6629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87139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2470A99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79FC79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3990F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033461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030F1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9E7C5D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3A65FD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921A8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3</w:t>
            </w:r>
          </w:p>
        </w:tc>
      </w:tr>
      <w:tr w14:paraId="2B35D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060752C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3F955C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1E91B4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7E8DA9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0563FC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0F7FF5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208C8F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3F73D33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21243D7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BB2A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14:paraId="70470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4D94DDC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6EC6548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3F11AE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397C9A8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23B8C1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D34A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552CB7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EDD4C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14:paraId="4F464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574010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BC9FB6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57699F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80EFC9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7CC3AE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57EF580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400D2D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95AF2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586069A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3A229A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07616A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77EC96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B08A7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14:paraId="18578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8B0AD2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622C1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06D9976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3DAE4C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3CECF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77236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3E4C2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779AA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3FC123D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38005B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E3675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14:paraId="6190F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139FBC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9550F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9A1C44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7403C6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2E1609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7CD897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4867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07E28E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4E8F32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1F5F514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2E6396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929A9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auto"/>
                <w:kern w:val="0"/>
                <w:sz w:val="20"/>
                <w:szCs w:val="20"/>
                <w:highlight w:val="none"/>
                <w:shd w:val="clear" w:color="auto" w:fill="auto"/>
                <w:lang w:val="en-US" w:eastAsia="zh-CN"/>
              </w:rPr>
              <w:t>4</w:t>
            </w:r>
          </w:p>
        </w:tc>
      </w:tr>
      <w:tr w14:paraId="21D50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55C8B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1AE3DC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277984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综合服务设施的修建总面积</w:t>
            </w:r>
          </w:p>
        </w:tc>
        <w:tc>
          <w:tcPr>
            <w:tcW w:w="2141" w:type="dxa"/>
            <w:shd w:val="clear" w:color="auto" w:fill="auto"/>
            <w:noWrap w:val="0"/>
            <w:vAlign w:val="center"/>
          </w:tcPr>
          <w:p w14:paraId="56DE2A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78CAD5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5495CF7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26DA82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09A22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E35E3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r>
      <w:tr w14:paraId="178CF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47110FD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71AEE8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5FEB5D6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lang w:val="en-US" w:eastAsia="zh-CN"/>
              </w:rPr>
              <w:t>项目验收合格率</w:t>
            </w:r>
          </w:p>
        </w:tc>
        <w:tc>
          <w:tcPr>
            <w:tcW w:w="2141" w:type="dxa"/>
            <w:shd w:val="clear" w:color="auto" w:fill="auto"/>
            <w:noWrap w:val="0"/>
            <w:vAlign w:val="center"/>
          </w:tcPr>
          <w:p w14:paraId="73A7F00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4EAEE0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1EEEB2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5AA2F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1EF8CC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r>
      <w:tr w14:paraId="54D62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53F51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6033D6D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571E1F0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lang w:val="en-US" w:eastAsia="zh-CN"/>
              </w:rPr>
              <w:t>项目设计变更率</w:t>
            </w:r>
          </w:p>
        </w:tc>
        <w:tc>
          <w:tcPr>
            <w:tcW w:w="2141" w:type="dxa"/>
            <w:shd w:val="clear" w:color="auto" w:fill="auto"/>
            <w:noWrap w:val="0"/>
            <w:vAlign w:val="center"/>
          </w:tcPr>
          <w:p w14:paraId="053D3F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65F5F3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150D68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D60FEA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758E81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r>
      <w:tr w14:paraId="4FD6B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8A9240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6161805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288ED9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工程按时完成率</w:t>
            </w:r>
          </w:p>
        </w:tc>
        <w:tc>
          <w:tcPr>
            <w:tcW w:w="2141" w:type="dxa"/>
            <w:shd w:val="clear" w:color="auto" w:fill="auto"/>
            <w:noWrap w:val="0"/>
            <w:vAlign w:val="center"/>
          </w:tcPr>
          <w:p w14:paraId="13B229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779C0D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705980A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21779A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BAD045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5</w:t>
            </w:r>
          </w:p>
        </w:tc>
      </w:tr>
      <w:tr w14:paraId="508AD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bottom w:val="nil"/>
            </w:tcBorders>
            <w:shd w:val="clear" w:color="auto" w:fill="auto"/>
            <w:noWrap w:val="0"/>
            <w:vAlign w:val="center"/>
          </w:tcPr>
          <w:p w14:paraId="73A4F34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2F1589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E5535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lang w:val="en-US" w:eastAsia="zh-CN"/>
              </w:rPr>
              <w:t>综合服务建设工程成本</w:t>
            </w:r>
          </w:p>
        </w:tc>
        <w:tc>
          <w:tcPr>
            <w:tcW w:w="2141" w:type="dxa"/>
            <w:shd w:val="clear" w:color="auto" w:fill="auto"/>
            <w:noWrap w:val="0"/>
            <w:vAlign w:val="center"/>
          </w:tcPr>
          <w:p w14:paraId="6558680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7FE287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059B92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480069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5A01F7F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111E27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36BEFB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r>
      <w:tr w14:paraId="07A9F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tcBorders>
              <w:top w:val="nil"/>
            </w:tcBorders>
            <w:shd w:val="clear" w:color="auto" w:fill="auto"/>
            <w:noWrap w:val="0"/>
            <w:vAlign w:val="center"/>
          </w:tcPr>
          <w:p w14:paraId="046B24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421BA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787FA3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r>
              <w:rPr>
                <w:rFonts w:hint="eastAsia" w:ascii="宋体" w:hAnsi="宋体" w:eastAsia="宋体" w:cs="宋体"/>
                <w:color w:val="000000"/>
                <w:kern w:val="0"/>
                <w:sz w:val="22"/>
                <w:szCs w:val="22"/>
                <w:lang w:val="en-US" w:eastAsia="zh-CN"/>
              </w:rPr>
              <w:t>项目监理设计成本</w:t>
            </w:r>
          </w:p>
        </w:tc>
        <w:tc>
          <w:tcPr>
            <w:tcW w:w="2141" w:type="dxa"/>
            <w:shd w:val="clear" w:color="auto" w:fill="auto"/>
            <w:noWrap w:val="0"/>
            <w:vAlign w:val="center"/>
          </w:tcPr>
          <w:p w14:paraId="687C1B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7821" w:type="dxa"/>
            <w:shd w:val="clear" w:color="auto" w:fill="auto"/>
            <w:noWrap w:val="0"/>
            <w:vAlign w:val="center"/>
          </w:tcPr>
          <w:p w14:paraId="57F7B7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p w14:paraId="5AB43C7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2CD58D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42C972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0CA05F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35D21D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r>
      <w:tr w14:paraId="34DAD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1B6F30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2205405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511FEA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highlight w:val="none"/>
                <w:lang w:val="en-US" w:eastAsia="zh-CN"/>
              </w:rPr>
              <w:t>为辖区党员、群众提供活动场地</w:t>
            </w:r>
          </w:p>
        </w:tc>
        <w:tc>
          <w:tcPr>
            <w:tcW w:w="2141" w:type="dxa"/>
            <w:shd w:val="clear" w:color="auto" w:fill="auto"/>
            <w:noWrap w:val="0"/>
            <w:vAlign w:val="center"/>
          </w:tcPr>
          <w:p w14:paraId="0336C1C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284080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27C7C9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7652B3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r>
      <w:tr w14:paraId="4E42AC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67CEEE3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4EADD3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036195D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yellow"/>
                <w:lang w:val="en-US" w:eastAsia="zh-CN"/>
              </w:rPr>
            </w:pPr>
            <w:r>
              <w:rPr>
                <w:rFonts w:hint="eastAsia" w:ascii="宋体" w:hAnsi="宋体" w:eastAsia="宋体" w:cs="宋体"/>
                <w:color w:val="000000"/>
                <w:kern w:val="0"/>
                <w:sz w:val="22"/>
                <w:szCs w:val="22"/>
                <w:lang w:val="en-US" w:eastAsia="zh-CN"/>
              </w:rPr>
              <w:t>满意度指标</w:t>
            </w:r>
          </w:p>
        </w:tc>
        <w:tc>
          <w:tcPr>
            <w:tcW w:w="2141" w:type="dxa"/>
            <w:shd w:val="clear" w:color="auto" w:fill="auto"/>
            <w:noWrap w:val="0"/>
            <w:vAlign w:val="center"/>
          </w:tcPr>
          <w:p w14:paraId="2A3B5AE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辖区人民满意度</w:t>
            </w:r>
          </w:p>
        </w:tc>
        <w:tc>
          <w:tcPr>
            <w:tcW w:w="7821" w:type="dxa"/>
            <w:shd w:val="clear" w:color="auto" w:fill="auto"/>
            <w:noWrap w:val="0"/>
            <w:vAlign w:val="center"/>
          </w:tcPr>
          <w:p w14:paraId="32F13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758AA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12D667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kern w:val="0"/>
                <w:sz w:val="22"/>
                <w:szCs w:val="22"/>
              </w:rPr>
            </w:pPr>
            <w:r>
              <w:rPr>
                <w:rFonts w:hint="eastAsia" w:cs="宋体"/>
                <w:color w:val="auto"/>
                <w:kern w:val="0"/>
                <w:sz w:val="20"/>
                <w:szCs w:val="20"/>
                <w:highlight w:val="none"/>
                <w:shd w:val="clear" w:color="auto" w:fill="auto"/>
                <w:lang w:val="en-US" w:eastAsia="zh-CN"/>
              </w:rPr>
              <w:t>10</w:t>
            </w:r>
          </w:p>
        </w:tc>
      </w:tr>
      <w:tr w14:paraId="76BD2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4381E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2F03F7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2933CD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2FEB9E5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r>
    </w:tbl>
    <w:p w14:paraId="5B930FA9">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0CEF8231">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333B1">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11E4B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3B11E4B0">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675A50"/>
    <w:rsid w:val="04D12EE4"/>
    <w:rsid w:val="04D63993"/>
    <w:rsid w:val="07890F4F"/>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2DB78DD"/>
    <w:rsid w:val="23031BEB"/>
    <w:rsid w:val="237D5147"/>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2355ACE"/>
    <w:rsid w:val="330957E0"/>
    <w:rsid w:val="33356F64"/>
    <w:rsid w:val="33944516"/>
    <w:rsid w:val="33E70ECC"/>
    <w:rsid w:val="34117602"/>
    <w:rsid w:val="34B62907"/>
    <w:rsid w:val="36BD137C"/>
    <w:rsid w:val="38053EDF"/>
    <w:rsid w:val="380812A4"/>
    <w:rsid w:val="385D37E7"/>
    <w:rsid w:val="38782EDD"/>
    <w:rsid w:val="3B42664A"/>
    <w:rsid w:val="3CAD1E92"/>
    <w:rsid w:val="3D836A4E"/>
    <w:rsid w:val="3EA37E97"/>
    <w:rsid w:val="3EAB41B0"/>
    <w:rsid w:val="3FBE0BC5"/>
    <w:rsid w:val="4048103A"/>
    <w:rsid w:val="40736643"/>
    <w:rsid w:val="40D24A7A"/>
    <w:rsid w:val="42621029"/>
    <w:rsid w:val="42967652"/>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0A6CD0"/>
    <w:rsid w:val="4F714FA1"/>
    <w:rsid w:val="501D2673"/>
    <w:rsid w:val="50C80BF1"/>
    <w:rsid w:val="51852833"/>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6A70FA"/>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69209F"/>
    <w:rsid w:val="7D851A94"/>
    <w:rsid w:val="7E797F74"/>
    <w:rsid w:val="7F924011"/>
    <w:rsid w:val="7FC52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8"/>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customStyle="1" w:styleId="18">
    <w:name w:val="标题 2 Char"/>
    <w:link w:val="3"/>
    <w:qFormat/>
    <w:uiPriority w:val="0"/>
    <w:rPr>
      <w:rFonts w:ascii="Arial" w:hAnsi="Arial" w:eastAsia="楷体"/>
      <w:b/>
      <w:sz w:val="32"/>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lang w:val="en-US" w:eastAsia="zh-CN" w:bidi="ar-SA"/>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12122</Words>
  <Characters>12795</Characters>
  <Lines>0</Lines>
  <Paragraphs>0</Paragraphs>
  <TotalTime>0</TotalTime>
  <ScaleCrop>false</ScaleCrop>
  <LinksUpToDate>false</LinksUpToDate>
  <CharactersWithSpaces>12820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2025-10-23T08:47:34Z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66FE514C5ABD490B891945A82A859E4F_13</vt:lpwstr>
  </property>
  <property fmtid="{D5CDD505-2E9C-101B-9397-08002B2CF9AE}" pid="4" name="KSOTemplateDocerSaveRecord">
    <vt:lpwstr>eyJoZGlkIjoiNTY3MmI4ODZmMjljZWZhNGFkN2U2N2Y4ODgwYjM5ZGIiLCJ1c2VySWQiOiIzNjI1MzY3NzcifQ==</vt:lpwstr>
  </property>
</Properties>
</file>