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5679"/>
      <w:bookmarkStart w:id="2" w:name="_Toc1949"/>
      <w:bookmarkStart w:id="3" w:name="_Toc25575"/>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基层人大补助经费项目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both"/>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项目名称：基层人大补助经费</w:t>
      </w:r>
    </w:p>
    <w:p w14:paraId="7CB8A243">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阜康市人民代表大会常务委员会</w:t>
      </w:r>
    </w:p>
    <w:p w14:paraId="1CD13478">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阜康市人民代表大会常务委员会</w:t>
      </w:r>
    </w:p>
    <w:p w14:paraId="065BEE39">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w:t>
      </w:r>
      <w:r>
        <w:rPr>
          <w:rFonts w:hint="eastAsia" w:ascii="黑体" w:hAnsi="Times New Roman" w:eastAsia="黑体"/>
          <w:b w:val="0"/>
          <w:bCs/>
          <w:color w:val="000000"/>
          <w:sz w:val="30"/>
          <w:szCs w:val="30"/>
          <w:lang w:val="en-US" w:eastAsia="zh-CN"/>
        </w:rPr>
        <w:t>责人：吕德健</w:t>
      </w:r>
    </w:p>
    <w:p w14:paraId="50706B4B">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val="en-US" w:eastAsia="zh-CN"/>
        </w:rPr>
        <w:t>填报时间：2025年3月31日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48C440DF">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25</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 w:cs="Times New Roman"/>
              <w:kern w:val="28"/>
              <w:lang w:val="en-US" w:eastAsia="zh-CN"/>
            </w:rPr>
            <w:t>（五）满意度指标完成情况分析</w:t>
          </w:r>
          <w:r>
            <w:tab/>
          </w:r>
          <w:r>
            <w:fldChar w:fldCharType="begin"/>
          </w:r>
          <w:r>
            <w:instrText xml:space="preserve"> PAGEREF _Toc19424 \h </w:instrText>
          </w:r>
          <w:r>
            <w:fldChar w:fldCharType="separate"/>
          </w:r>
          <w:r>
            <w:t>2</w:t>
          </w:r>
          <w:r>
            <w:rPr>
              <w:rFonts w:hint="eastAsia"/>
              <w:lang w:val="en-US" w:eastAsia="zh-CN"/>
            </w:rPr>
            <w:t>6</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1194"/>
      <w:bookmarkStart w:id="6" w:name="_Toc22946"/>
      <w:bookmarkStart w:id="7" w:name="_Toc20432"/>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自治区基层人大补助经费</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10645"/>
      <w:bookmarkStart w:id="11" w:name="_Toc29812"/>
      <w:bookmarkStart w:id="12" w:name="_Toc22346"/>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6C1C54EC">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14" w:name="_Toc27343"/>
      <w:bookmarkStart w:id="15" w:name="_Toc17880"/>
      <w:bookmarkStart w:id="16" w:name="_Toc10730"/>
      <w:bookmarkStart w:id="17" w:name="_Toc1630"/>
      <w:r>
        <w:rPr>
          <w:rFonts w:hint="eastAsia" w:ascii="仿宋_GB2312" w:hAnsi="仿宋_GB2312" w:eastAsia="仿宋_GB2312" w:cs="仿宋_GB2312"/>
          <w:sz w:val="32"/>
          <w:szCs w:val="32"/>
          <w:lang w:val="en-US" w:eastAsia="zh-CN"/>
        </w:rPr>
        <w:t>为贯彻落实中央人大工作会议精神和自治区党委实施意见，体现自治区党委对基层人大工作的重视和关心，通过自治区给予经费补助，弥补基层人大建设中经费不足，全面加强基层人大建设，保障基层人大建设代表“家室站”建设，开展立法监督等工作，改善办公条件，更好支持基层国家权力机关发挥作用。</w:t>
      </w:r>
    </w:p>
    <w:p w14:paraId="4F5AE66B">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eastAsia="zh-CN"/>
        </w:rPr>
      </w:pPr>
      <w:bookmarkStart w:id="18" w:name="_Toc21898"/>
      <w:bookmarkStart w:id="19" w:name="_Toc16592"/>
      <w:bookmarkStart w:id="20" w:name="_Toc27245"/>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根据自治区人大办公厅《关于2021 年度自治区基层人大补助经费拨付意见的函》和自治区财政厅《关于下达2024年度自治区基层人大补助经费的通知》要求，2024 年自治区基层人大补助经费9万元，主要用于基层人大常委会开展代表工作、改善办公条件，提高办公效率。</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12月18日经《关于提前下达2024年度自治区基层人大补助经费的通知》（昌州财行【2023】45号文件）批复，经阜康市人大常委会党组会议，确定了项目领导小组，明确了责任分工：组长为董英，副组长为甘卫国，项目负责人为吕德健,组员为邵缨越、谢志涛、魏本新、刘霞、刘丽、徐兆霞其中：邵缨越、谢志涛负责监管工作，魏本新、刘霞负责项目档案资料，刘丽、徐兆霞负责资金拨付工作。</w:t>
      </w:r>
    </w:p>
    <w:p w14:paraId="16D2F7A0">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SA"/>
        </w:rPr>
        <w:t>资金主要用于弥补基层人大建设中经费不足，保障内设5个部门的采购需求及日常办公运行，全年改善办公环境，其中：办公用品及耗材支出2.4万元、办公支出3.76万元、台式电脑1.83万元、购置家具1.01万元</w:t>
      </w:r>
      <w:r>
        <w:rPr>
          <w:rFonts w:hint="eastAsia" w:ascii="仿宋_GB2312" w:hAnsi="仿宋_GB2312" w:eastAsia="仿宋_GB2312" w:cs="仿宋_GB2312"/>
          <w:color w:val="FF0000"/>
          <w:sz w:val="32"/>
          <w:szCs w:val="32"/>
          <w:lang w:val="en-US" w:eastAsia="zh-CN"/>
        </w:rPr>
        <w:t>。</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2348"/>
      <w:bookmarkStart w:id="23" w:name="_Toc10240"/>
      <w:bookmarkStart w:id="24" w:name="_Toc1858"/>
      <w:bookmarkStart w:id="25" w:name="_Toc56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sz w:val="32"/>
          <w:szCs w:val="32"/>
          <w:highlight w:val="none"/>
          <w:lang w:val="en-US" w:eastAsia="zh-CN"/>
        </w:rPr>
        <w:t>该项目年初预算数9.00万元，全年预算数9.00万元（有年中追加资金，全年预算数=年初预算数+追加资金），该项目资金已全部落实到位，资金来源为财政拨款。（财政拨款或其他资金）</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2" w:name="_Toc3409"/>
      <w:bookmarkStart w:id="33" w:name="_Toc1166"/>
      <w:bookmarkStart w:id="34" w:name="_Toc28187"/>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sz w:val="32"/>
          <w:szCs w:val="32"/>
          <w:highlight w:val="none"/>
          <w:lang w:val="en-US" w:eastAsia="zh-CN"/>
        </w:rPr>
        <w:t>该项目年初预算数9.00万元，全年预算数9.00万元，（有年中追加资金，全年预算数=年初预算数+追加资金），截至2024年12月31日，全年执行数9.00万元，预算执行率为100%（预算执行率=全年执行数/全年预算数），主要用于：基层人大常委会开展代表工作、改善办公条件，提高办公效率。</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8528"/>
      <w:bookmarkStart w:id="41" w:name="_Toc14758"/>
      <w:bookmarkStart w:id="42" w:name="_Toc25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自治区基层人大补助项目绩效总体目标为：贯彻落实中央人大工作会议精神和自治区党委实施意见，体现自治区党委对基层人大工作的重视和关心，通过自治区给予经费补助，弥补基层人大建设中经费不足，全面加强基层人大建设，保障基层人大建设代表“家室站”建设，开展立法监督等工作，改善办公条件，更好支持基层国家权力机关发挥作用。2024年预计保障内设5个部门的采购需求，全年改善办公环境，购置办公用品及耗材预计不少于5批次，费用为9万元，项目的实施预计提高基层人大履职能力，改善基层人大办公环境。</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007"/>
      <w:bookmarkStart w:id="44" w:name="_Toc3255"/>
      <w:bookmarkStart w:id="45" w:name="_Toc4487"/>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“保障内设部门数量”指标，预期目标值为5个；</w:t>
      </w:r>
    </w:p>
    <w:p w14:paraId="6D199DC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“购置办公用品次数”指标，预期目标值为≥5批次；</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DA9105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项目完成率”指标，预期目标值为100%；</w:t>
      </w:r>
    </w:p>
    <w:p w14:paraId="25B568D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③时效指标</w:t>
      </w:r>
    </w:p>
    <w:p w14:paraId="11E54BC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“经费支出时间”指标，预期目标值为≤2024年12月20日；</w:t>
      </w:r>
    </w:p>
    <w:p w14:paraId="4061558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（2）成本指标</w:t>
      </w:r>
    </w:p>
    <w:p w14:paraId="0ED89BF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“办公用品及耗材”指标，预期目标值为≤2.4万元；</w:t>
      </w:r>
    </w:p>
    <w:p w14:paraId="7BA77C4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“办公支出”指标，预期目标值为≤3.76万元；</w:t>
      </w:r>
    </w:p>
    <w:p w14:paraId="7394FBB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“台式电脑”指标，预期目标值为≤1.83万元；</w:t>
      </w:r>
    </w:p>
    <w:p w14:paraId="7B9FEE2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“购置家具”指标，预期目标值为≤1.01万元；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（3）项目效益目标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提高基层人大履职能力”指标，预期目标值为有效提高；</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“改善基层人大办公环境”指标，预期目标值为有所改善；</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258"/>
      <w:bookmarkStart w:id="49" w:name="_Toc22922"/>
      <w:bookmarkStart w:id="50" w:name="_Toc12868"/>
      <w:bookmarkStart w:id="51" w:name="_Toc22169_WPSOffice_Level2"/>
      <w:bookmarkStart w:id="52" w:name="_Toc26632"/>
      <w:bookmarkStart w:id="53" w:name="_Toc5462343"/>
      <w:bookmarkStart w:id="54" w:name="_Toc21664"/>
      <w:bookmarkStart w:id="55" w:name="_Toc480473081"/>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）文件要求对2024年度我单位实施的基层人大补助经费项目</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该项目由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阜康市人民代表大会常务委员会</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负责实施，旨在</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简述项目目标或预期成果</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。项目预算涵盖从</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2024年1月1日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9</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自治区基层人大补助经费项目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4396"/>
      <w:bookmarkStart w:id="71" w:name="_Toc419984722"/>
      <w:bookmarkStart w:id="72" w:name="_Toc1913"/>
      <w:bookmarkStart w:id="73" w:name="_Toc26131"/>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我单位</w:t>
      </w:r>
      <w:r>
        <w:rPr>
          <w:rFonts w:hint="eastAsia" w:ascii="仿宋_GB2312" w:hAnsi="仿宋_GB2312" w:eastAsia="仿宋_GB2312" w:cs="仿宋_GB2312"/>
          <w:color w:val="000000"/>
          <w:spacing w:val="17"/>
          <w:sz w:val="32"/>
          <w:szCs w:val="32"/>
          <w:lang w:val="zh-TW" w:eastAsia="zh-TW"/>
        </w:rPr>
        <w:t>根据项目的</w:t>
      </w:r>
      <w:r>
        <w:rPr>
          <w:rFonts w:hint="eastAsia" w:ascii="仿宋_GB2312" w:hAnsi="仿宋_GB2312" w:eastAsia="仿宋_GB2312" w:cs="仿宋_GB2312"/>
          <w:color w:val="000000"/>
          <w:spacing w:val="17"/>
          <w:sz w:val="32"/>
          <w:szCs w:val="32"/>
          <w:lang w:val="en-US" w:eastAsia="zh-CN"/>
        </w:rPr>
        <w:t>实施</w:t>
      </w:r>
      <w:r>
        <w:rPr>
          <w:rFonts w:hint="eastAsia" w:ascii="仿宋_GB2312" w:hAnsi="仿宋_GB2312" w:eastAsia="仿宋_GB2312" w:cs="仿宋_GB2312"/>
          <w:color w:val="000000"/>
          <w:spacing w:val="17"/>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pacing w:val="17"/>
          <w:sz w:val="32"/>
          <w:szCs w:val="32"/>
          <w:lang w:val="zh-TW" w:eastAsia="zh-CN"/>
        </w:rPr>
        <w:t>，</w:t>
      </w:r>
      <w:r>
        <w:rPr>
          <w:rFonts w:hint="eastAsia" w:ascii="仿宋_GB2312" w:hAnsi="仿宋_GB2312" w:eastAsia="仿宋_GB2312" w:cs="仿宋_GB2312"/>
          <w:color w:val="000000"/>
          <w:spacing w:val="17"/>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w:t>
      </w:r>
      <w:r>
        <w:rPr>
          <w:rFonts w:hint="eastAsia" w:ascii="仿宋_GB2312" w:hAnsi="仿宋_GB2312" w:eastAsia="仿宋_GB2312" w:cs="仿宋_GB2312"/>
          <w:color w:val="000000"/>
          <w:spacing w:val="17"/>
          <w:sz w:val="32"/>
          <w:szCs w:val="32"/>
          <w:lang w:val="en-US" w:eastAsia="zh-CN"/>
        </w:rPr>
        <w:t>成本效益分析法、比较法等方式进行评判的方法对自治区基层人大补助经费进行评价。</w:t>
      </w:r>
    </w:p>
    <w:p w14:paraId="192B2D6E">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4440403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spacing w:val="17"/>
          <w:sz w:val="32"/>
          <w:szCs w:val="32"/>
          <w:highlight w:val="none"/>
          <w:lang w:val="en-US" w:eastAsia="zh-CN"/>
        </w:rPr>
        <w:t>计划</w:t>
      </w:r>
      <w:r>
        <w:rPr>
          <w:rFonts w:hint="default" w:ascii="Times New Roman" w:hAnsi="Times New Roman" w:eastAsia="仿宋_GB2312" w:cs="Times New Roman"/>
          <w:color w:val="000000"/>
          <w:spacing w:val="17"/>
          <w:sz w:val="32"/>
          <w:szCs w:val="32"/>
          <w:highlight w:val="none"/>
        </w:rPr>
        <w:t>标准</w:t>
      </w: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历史标准</w:t>
      </w:r>
      <w:r>
        <w:rPr>
          <w:rFonts w:hint="default" w:ascii="Times New Roman" w:hAnsi="Times New Roman" w:eastAsia="仿宋_GB2312" w:cs="Times New Roman"/>
          <w:color w:val="000000"/>
          <w:spacing w:val="17"/>
          <w:sz w:val="32"/>
          <w:szCs w:val="32"/>
          <w:highlight w:val="none"/>
        </w:rPr>
        <w:t>。</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42DB83E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200FF26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财政部门和预算部门确认或认可的其他标准。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自治区基层人大补助经费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自治区基层人大补助项目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阜康市人民代表大会常务委员会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sz w:val="32"/>
          <w:szCs w:val="32"/>
          <w:highlight w:val="none"/>
          <w:lang w:val="en-US" w:eastAsia="zh-CN"/>
        </w:rPr>
        <w:t>基层人大履职能力</w:t>
      </w:r>
      <w:r>
        <w:rPr>
          <w:rFonts w:hint="default" w:ascii="Times New Roman" w:hAnsi="Times New Roman" w:eastAsia="仿宋_GB2312" w:cs="Times New Roman"/>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自治区基层人大补助项目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采用的方法成本效益法、比较法，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000000"/>
          <w:spacing w:val="17"/>
          <w:sz w:val="32"/>
          <w:szCs w:val="32"/>
          <w:highlight w:val="none"/>
          <w:lang w:val="en-US" w:eastAsia="zh-CN"/>
        </w:rPr>
        <w:t>自治区基层人大补助项目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000000"/>
          <w:spacing w:val="17"/>
          <w:sz w:val="32"/>
          <w:szCs w:val="32"/>
          <w:highlight w:val="none"/>
          <w:lang w:val="en-US" w:eastAsia="zh-CN"/>
        </w:rPr>
        <w:t>19.2</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96</w:t>
      </w:r>
      <w:r>
        <w:rPr>
          <w:rFonts w:hint="default" w:ascii="Times New Roman" w:hAnsi="Times New Roman" w:eastAsia="仿宋_GB2312" w:cs="Times New Roman"/>
          <w:color w:val="000000"/>
          <w:spacing w:val="17"/>
          <w:sz w:val="32"/>
          <w:szCs w:val="32"/>
          <w:highlight w:val="none"/>
          <w:lang w:val="en-US" w:eastAsia="zh-CN"/>
        </w:rPr>
        <w:t>%。项目过程类指标权重为20分，得分为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%。项目产出类指标权重为40分，得分为</w:t>
      </w:r>
      <w:r>
        <w:rPr>
          <w:rFonts w:hint="eastAsia" w:ascii="Times New Roman" w:hAnsi="Times New Roman"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%。项目效益类指标权重为20分，得分为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自治区基层人大补助经费</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522" w:hRule="atLeast"/>
          <w:tblHeader/>
          <w:jc w:val="center"/>
        </w:trPr>
        <w:tc>
          <w:tcPr>
            <w:tcW w:w="1077" w:type="dxa"/>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restart"/>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tblHeader/>
          <w:jc w:val="center"/>
        </w:trPr>
        <w:tc>
          <w:tcPr>
            <w:tcW w:w="3285" w:type="dxa"/>
            <w:gridSpan w:val="3"/>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ind w:left="0" w:leftChars="0" w:firstLine="643" w:firstLineChars="200"/>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w:t>
      </w:r>
      <w:r>
        <w:rPr>
          <w:rFonts w:hint="eastAsia" w:ascii="仿宋_GB2312" w:hAnsi="仿宋_GB2312" w:eastAsia="仿宋_GB2312" w:cs="仿宋_GB2312"/>
          <w:sz w:val="32"/>
          <w:szCs w:val="32"/>
          <w:lang w:val="en-US" w:eastAsia="zh-CN"/>
        </w:rPr>
        <w:t>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中华人民共和国全国人民代表大会和地方各级人民代表大会代表法</w:t>
      </w:r>
      <w:r>
        <w:rPr>
          <w:rFonts w:hint="eastAsia" w:ascii="仿宋_GB2312" w:hAnsi="仿宋_GB2312" w:eastAsia="仿宋_GB2312" w:cs="仿宋_GB2312"/>
          <w:sz w:val="32"/>
          <w:szCs w:val="32"/>
          <w:highlight w:val="none"/>
          <w:lang w:val="en-US" w:eastAsia="zh-CN"/>
        </w:rPr>
        <w:t>》及《关于提前下达2024年度自治区基层人大补助经费的通知》（昌州财行【2023】45号文件）要求，</w:t>
      </w:r>
      <w:r>
        <w:rPr>
          <w:rFonts w:hint="eastAsia" w:ascii="仿宋_GB2312" w:hAnsi="仿宋_GB2312" w:eastAsia="仿宋_GB2312" w:cs="仿宋_GB2312"/>
          <w:sz w:val="32"/>
          <w:szCs w:val="32"/>
          <w:highlight w:val="none"/>
          <w:lang w:eastAsia="zh-CN"/>
        </w:rPr>
        <w:t>立项符合国家法</w:t>
      </w:r>
      <w:r>
        <w:rPr>
          <w:rFonts w:hint="eastAsia" w:ascii="仿宋_GB2312" w:hAnsi="仿宋_GB2312" w:eastAsia="仿宋_GB2312" w:cs="仿宋_GB2312"/>
          <w:sz w:val="32"/>
          <w:szCs w:val="32"/>
          <w:lang w:eastAsia="zh-CN"/>
        </w:rPr>
        <w:t>律法规、国民经济发展规划</w:t>
      </w:r>
      <w:r>
        <w:rPr>
          <w:rFonts w:hint="eastAsia" w:ascii="仿宋_GB2312" w:hAnsi="仿宋_GB2312" w:eastAsia="仿宋_GB2312" w:cs="仿宋_GB2312"/>
          <w:sz w:val="32"/>
          <w:szCs w:val="32"/>
          <w:lang w:val="en-US" w:eastAsia="zh-CN"/>
        </w:rPr>
        <w:t>和人大代表活动经费项目管理要求</w:t>
      </w:r>
      <w:r>
        <w:rPr>
          <w:rFonts w:hint="eastAsia" w:ascii="仿宋_GB2312" w:hAnsi="仿宋_GB2312" w:eastAsia="仿宋_GB2312" w:cs="仿宋_GB2312"/>
          <w:sz w:val="32"/>
          <w:szCs w:val="32"/>
          <w:lang w:eastAsia="zh-CN"/>
        </w:rPr>
        <w:t>；</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w:t>
      </w:r>
      <w:r>
        <w:rPr>
          <w:rFonts w:hint="eastAsia" w:ascii="仿宋_GB2312" w:hAnsi="仿宋_GB2312" w:eastAsia="仿宋_GB2312" w:cs="仿宋_GB2312"/>
          <w:sz w:val="32"/>
          <w:szCs w:val="32"/>
          <w:lang w:val="en-US" w:eastAsia="zh-CN"/>
        </w:rPr>
        <w:t>立项符合《人大章程》及人大代表在实际开展工作中的切实需要，项目进一步完善市级人大代表能力提升，符合行业发展规划；</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w:t>
      </w:r>
      <w:r>
        <w:rPr>
          <w:rFonts w:hint="eastAsia" w:ascii="仿宋_GB2312" w:hAnsi="仿宋_GB2312" w:eastAsia="仿宋_GB2312" w:cs="仿宋_GB2312"/>
          <w:sz w:val="32"/>
          <w:szCs w:val="32"/>
          <w:lang w:val="en-US" w:eastAsia="zh-CN"/>
        </w:rPr>
        <w:t>《阜康市人民代表大会常务委员会议事规则》、各工作委员会组织人大代表开展视察、调研、座谈、督查、检查、评议等工作职责相符，属于部门</w:t>
      </w:r>
      <w:r>
        <w:rPr>
          <w:rFonts w:hint="eastAsia" w:ascii="仿宋_GB2312" w:hAnsi="仿宋_GB2312" w:eastAsia="仿宋_GB2312" w:cs="仿宋_GB2312"/>
          <w:sz w:val="32"/>
          <w:szCs w:val="32"/>
          <w:lang w:eastAsia="zh-CN"/>
        </w:rPr>
        <w:t>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w:t>
      </w:r>
      <w:r>
        <w:rPr>
          <w:rFonts w:hint="eastAsia" w:ascii="仿宋_GB2312" w:hAnsi="仿宋_GB2312" w:eastAsia="仿宋_GB2312" w:cs="仿宋_GB2312"/>
          <w:sz w:val="32"/>
          <w:szCs w:val="32"/>
          <w:highlight w:val="none"/>
          <w:lang w:val="en-US" w:eastAsia="zh-CN"/>
        </w:rPr>
        <w:t>本项目经过</w:t>
      </w:r>
      <w:r>
        <w:rPr>
          <w:rFonts w:hint="eastAsia" w:ascii="仿宋_GB2312" w:hAnsi="仿宋_GB2312" w:eastAsia="仿宋_GB2312" w:cs="仿宋_GB2312"/>
          <w:sz w:val="32"/>
          <w:szCs w:val="32"/>
          <w:highlight w:val="none"/>
          <w:lang w:eastAsia="zh-CN"/>
        </w:rPr>
        <w:t>集体决策，事前</w:t>
      </w:r>
      <w:r>
        <w:rPr>
          <w:rFonts w:hint="eastAsia" w:ascii="仿宋_GB2312" w:hAnsi="仿宋_GB2312" w:eastAsia="仿宋_GB2312" w:cs="仿宋_GB2312"/>
          <w:sz w:val="32"/>
          <w:szCs w:val="32"/>
          <w:highlight w:val="none"/>
          <w:lang w:val="en-US" w:eastAsia="zh-CN"/>
        </w:rPr>
        <w:t>没有</w:t>
      </w:r>
      <w:r>
        <w:rPr>
          <w:rFonts w:hint="eastAsia" w:ascii="仿宋_GB2312" w:hAnsi="仿宋_GB2312" w:eastAsia="仿宋_GB2312" w:cs="仿宋_GB2312"/>
          <w:sz w:val="32"/>
          <w:szCs w:val="32"/>
          <w:highlight w:val="none"/>
          <w:lang w:eastAsia="zh-CN"/>
        </w:rPr>
        <w:t>经过必要的可行性研究、专家论证、风险评估、绩效评估，</w:t>
      </w:r>
      <w:r>
        <w:rPr>
          <w:rFonts w:hint="eastAsia" w:ascii="仿宋_GB2312" w:hAnsi="仿宋_GB2312" w:eastAsia="仿宋_GB2312" w:cs="仿宋_GB2312"/>
          <w:sz w:val="32"/>
          <w:szCs w:val="32"/>
          <w:highlight w:val="none"/>
          <w:lang w:val="en-US" w:eastAsia="zh-CN"/>
        </w:rPr>
        <w:t>扣0.8分</w:t>
      </w:r>
      <w:r>
        <w:rPr>
          <w:rFonts w:hint="eastAsia" w:ascii="仿宋_GB2312" w:hAnsi="仿宋_GB2312" w:eastAsia="仿宋_GB2312" w:cs="仿宋_GB2312"/>
          <w:sz w:val="32"/>
          <w:szCs w:val="32"/>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r>
        <w:rPr>
          <w:rFonts w:hint="eastAsia" w:ascii="仿宋_GB2312" w:hAnsi="仿宋_GB2312" w:eastAsia="仿宋_GB2312" w:cs="仿宋_GB2312"/>
          <w:sz w:val="32"/>
          <w:szCs w:val="32"/>
          <w:highlight w:val="none"/>
          <w:lang w:val="en-US" w:eastAsia="zh-CN"/>
        </w:rPr>
        <w:t>并上报阜康市财政局</w:t>
      </w:r>
      <w:r>
        <w:rPr>
          <w:rFonts w:hint="eastAsia" w:ascii="仿宋_GB2312" w:hAnsi="仿宋_GB2312" w:eastAsia="仿宋_GB2312" w:cs="仿宋_GB2312"/>
          <w:sz w:val="32"/>
          <w:szCs w:val="32"/>
          <w:highlight w:val="none"/>
          <w:lang w:eastAsia="zh-CN"/>
        </w:rPr>
        <w:t>。</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sz w:val="32"/>
          <w:szCs w:val="32"/>
          <w:lang w:val="en-US" w:eastAsia="zh-CN"/>
        </w:rPr>
        <w:t>弥补基层人大办公经费不足</w:t>
      </w:r>
      <w:r>
        <w:rPr>
          <w:rFonts w:hint="eastAsia" w:ascii="仿宋_GB2312" w:hAnsi="仿宋_GB2312" w:eastAsia="仿宋_GB2312" w:cs="仿宋_GB2312"/>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保障内设5个部门的采购需求，全年改善办公环境购置办公用品及耗材5批次，达到有效提高基层人大履职能力，改善了基层人大办公环境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其中三级指标共计10个</w:t>
      </w:r>
      <w:r>
        <w:rPr>
          <w:rFonts w:hint="eastAsia" w:ascii="仿宋_GB2312" w:hAnsi="仿宋_GB2312" w:eastAsia="仿宋_GB2312" w:cs="仿宋_GB2312"/>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sz w:val="32"/>
          <w:szCs w:val="32"/>
          <w:lang w:val="en-US" w:eastAsia="zh-CN"/>
        </w:rPr>
        <w:t>三级指标共计10个，其中量化指标7个，定性指标3个，量化率达到70%</w:t>
      </w:r>
      <w:r>
        <w:rPr>
          <w:rFonts w:hint="eastAsia" w:ascii="仿宋_GB2312" w:hAnsi="仿宋_GB2312" w:eastAsia="仿宋_GB2312" w:cs="仿宋_GB2312"/>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申请内容为弥补基层人大办公经费不足，项目实际内容为保障内设5个部门的采购需求，改善办公环境购置办公用品及耗材5批次，预算</w:t>
      </w:r>
      <w:r>
        <w:rPr>
          <w:rFonts w:hint="eastAsia" w:ascii="仿宋_GB2312" w:hAnsi="仿宋_GB2312" w:eastAsia="仿宋_GB2312" w:cs="仿宋_GB2312"/>
          <w:sz w:val="32"/>
          <w:szCs w:val="32"/>
          <w:lang w:eastAsia="zh-CN"/>
        </w:rPr>
        <w:t>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项目预算申请资金</w:t>
      </w:r>
      <w:r>
        <w:rPr>
          <w:rFonts w:hint="eastAsia" w:ascii="仿宋_GB2312" w:hAnsi="仿宋_GB2312" w:eastAsia="仿宋_GB2312" w:cs="仿宋_GB2312"/>
          <w:sz w:val="32"/>
          <w:szCs w:val="32"/>
          <w:lang w:val="en-US" w:eastAsia="zh-CN"/>
        </w:rPr>
        <w:t>9万元，我单位在预算申请中严格按照项目实施内容及测算标准进行核算，其中：采购办公用品及耗材费用2.4万元、办公经费费用3.76万元、购置台式电脑费用1.83万元、购置办公家具费用1.01万元</w:t>
      </w:r>
      <w:r>
        <w:rPr>
          <w:rFonts w:hint="eastAsia" w:ascii="仿宋_GB2312" w:hAnsi="仿宋_GB2312" w:eastAsia="仿宋_GB2312" w:cs="仿宋_GB2312"/>
          <w:sz w:val="32"/>
          <w:szCs w:val="32"/>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20556"/>
      <w:bookmarkStart w:id="120" w:name="_Toc697"/>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《关于提前下达2024年度自治区基层人大补助经费的通知》（昌州财行【2023】45号文件）为依据进行资金分配，预算资金分配依据充分</w:t>
      </w:r>
      <w:r>
        <w:rPr>
          <w:rFonts w:hint="eastAsia" w:ascii="仿宋_GB2312" w:hAnsi="仿宋_GB2312" w:eastAsia="仿宋_GB2312" w:cs="仿宋_GB2312"/>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②项目实际到位资金</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万元，资金分配额度合理，与项目单位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27E3CE0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项目预算资金为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万元，其中：财政安排资金</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万元，其他资金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万元。</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9万元</w:t>
      </w:r>
      <w:r>
        <w:rPr>
          <w:rFonts w:hint="eastAsia" w:ascii="仿宋_GB2312" w:hAnsi="仿宋_GB2312" w:eastAsia="仿宋_GB2312" w:cs="仿宋_GB2312"/>
          <w:sz w:val="32"/>
          <w:szCs w:val="32"/>
          <w:lang w:eastAsia="zh-CN"/>
        </w:rPr>
        <w:t>）×100%。</w:t>
      </w:r>
      <w:r>
        <w:rPr>
          <w:rFonts w:hint="eastAsia" w:ascii="仿宋_GB2312" w:hAnsi="仿宋_GB2312" w:eastAsia="仿宋_GB2312" w:cs="仿宋_GB2312"/>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9705"/>
      <w:bookmarkStart w:id="125" w:name="_Toc17709"/>
      <w:r>
        <w:rPr>
          <w:rFonts w:hint="eastAsia" w:ascii="仿宋_GB2312" w:hAnsi="仿宋_GB2312" w:eastAsia="仿宋_GB2312" w:cs="仿宋_GB2312"/>
          <w:b/>
          <w:bCs/>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截至2024年12月31日，项目实际支出9万元。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预算执行率=（9万元/9万元）×100%。=100%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8691"/>
      <w:bookmarkStart w:id="127" w:name="_Toc28875"/>
      <w:r>
        <w:rPr>
          <w:rFonts w:hint="eastAsia" w:ascii="仿宋_GB2312" w:hAnsi="仿宋_GB2312" w:eastAsia="仿宋_GB2312" w:cs="仿宋_GB2312"/>
          <w:b/>
          <w:bCs/>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①本项目资金支出符合国家财经法规、《政府会计制度》《阜康市</w:t>
      </w:r>
      <w:r>
        <w:rPr>
          <w:rFonts w:hint="eastAsia" w:ascii="仿宋_GB2312" w:hAnsi="仿宋_GB2312" w:eastAsia="仿宋_GB2312" w:cs="仿宋_GB2312"/>
          <w:sz w:val="32"/>
          <w:szCs w:val="32"/>
          <w:lang w:val="en-US" w:eastAsia="zh-CN"/>
        </w:rPr>
        <w:t>人大机关</w:t>
      </w:r>
      <w:r>
        <w:rPr>
          <w:rFonts w:hint="eastAsia" w:ascii="仿宋_GB2312" w:hAnsi="仿宋_GB2312" w:eastAsia="仿宋_GB2312" w:cs="仿宋_GB2312"/>
          <w:sz w:val="32"/>
          <w:szCs w:val="32"/>
          <w:lang w:eastAsia="zh-CN"/>
        </w:rPr>
        <w:t>财务管理制度》《</w:t>
      </w:r>
      <w:r>
        <w:rPr>
          <w:rFonts w:hint="eastAsia" w:ascii="仿宋_GB2312" w:hAnsi="仿宋_GB2312" w:eastAsia="仿宋_GB2312" w:cs="仿宋_GB2312"/>
          <w:sz w:val="32"/>
          <w:szCs w:val="32"/>
          <w:lang w:val="en-US" w:eastAsia="zh-CN"/>
        </w:rPr>
        <w:t>阜康市人大机关项目管理制度》《阜康市人大内部控制管理制度》</w:t>
      </w:r>
      <w:r>
        <w:rPr>
          <w:rFonts w:hint="eastAsia" w:ascii="仿宋_GB2312" w:hAnsi="仿宋_GB2312" w:eastAsia="仿宋_GB2312" w:cs="仿宋_GB2312"/>
          <w:sz w:val="32"/>
          <w:szCs w:val="32"/>
          <w:lang w:eastAsia="zh-CN"/>
        </w:rPr>
        <w:t>及有关专项资金管理办法的规定；</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w:t>
      </w:r>
      <w:r>
        <w:rPr>
          <w:rFonts w:hint="eastAsia" w:ascii="仿宋_GB2312" w:hAnsi="仿宋_GB2312" w:eastAsia="仿宋_GB2312" w:cs="仿宋_GB2312"/>
          <w:sz w:val="32"/>
          <w:szCs w:val="32"/>
          <w:lang w:eastAsia="zh-Hans"/>
        </w:rPr>
        <w:t>《关于提前下达2024年度自治区基层人大补助经费的通知》（昌州财行【2023】45号文件）</w:t>
      </w:r>
      <w:r>
        <w:rPr>
          <w:rFonts w:hint="eastAsia" w:ascii="仿宋_GB2312" w:hAnsi="仿宋_GB2312" w:eastAsia="仿宋_GB2312" w:cs="仿宋_GB2312"/>
          <w:sz w:val="32"/>
          <w:szCs w:val="32"/>
          <w:lang w:eastAsia="zh-CN"/>
        </w:rPr>
        <w:t>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我单位已制定《阜康市</w:t>
      </w:r>
      <w:r>
        <w:rPr>
          <w:rFonts w:hint="eastAsia" w:ascii="仿宋_GB2312" w:hAnsi="仿宋_GB2312" w:eastAsia="仿宋_GB2312" w:cs="仿宋_GB2312"/>
          <w:sz w:val="32"/>
          <w:szCs w:val="32"/>
          <w:lang w:val="en-US" w:eastAsia="zh-CN"/>
        </w:rPr>
        <w:t>人大机关</w:t>
      </w:r>
      <w:r>
        <w:rPr>
          <w:rFonts w:hint="eastAsia" w:ascii="仿宋_GB2312" w:hAnsi="仿宋_GB2312" w:eastAsia="仿宋_GB2312" w:cs="仿宋_GB2312"/>
          <w:sz w:val="32"/>
          <w:szCs w:val="32"/>
          <w:lang w:eastAsia="zh-CN"/>
        </w:rPr>
        <w:t>财务管理制度》《</w:t>
      </w:r>
      <w:r>
        <w:rPr>
          <w:rFonts w:hint="eastAsia" w:ascii="仿宋_GB2312" w:hAnsi="仿宋_GB2312" w:eastAsia="仿宋_GB2312" w:cs="仿宋_GB2312"/>
          <w:sz w:val="32"/>
          <w:szCs w:val="32"/>
          <w:lang w:val="en-US" w:eastAsia="zh-CN"/>
        </w:rPr>
        <w:t>阜康市人大机关项目管理制度》《阜康市人大内部控制管理制度》《阜康市人民代表大会常务委员会议事规则》等各项规章制度和工作程序，从制度和程序上严把资金使用、管理、绩效等各环节关口，堵塞漏洞、消除隐患，切实加强资金监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13984"/>
      <w:bookmarkStart w:id="129" w:name="_Toc31684"/>
      <w:r>
        <w:rPr>
          <w:rFonts w:hint="eastAsia" w:ascii="仿宋_GB2312" w:hAnsi="仿宋_GB2312" w:eastAsia="仿宋_GB2312" w:cs="仿宋_GB2312"/>
          <w:b/>
          <w:bCs/>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①项目的实施遵守相关法律法规</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lang w:eastAsia="zh-CN"/>
        </w:rPr>
        <w:t>相关管理规定，符合</w:t>
      </w:r>
      <w:r>
        <w:rPr>
          <w:rFonts w:hint="eastAsia" w:ascii="仿宋_GB2312" w:hAnsi="仿宋_GB2312" w:eastAsia="仿宋_GB2312" w:cs="仿宋_GB2312"/>
          <w:sz w:val="32"/>
          <w:szCs w:val="32"/>
          <w:lang w:eastAsia="zh-Hans"/>
        </w:rPr>
        <w:t>《关于提前下达2024年度自治区基层人大补助经费的通知》（昌州财行【2023】45号文件）</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阜康市</w:t>
      </w:r>
      <w:r>
        <w:rPr>
          <w:rFonts w:hint="eastAsia" w:ascii="仿宋_GB2312" w:hAnsi="仿宋_GB2312" w:eastAsia="仿宋_GB2312" w:cs="仿宋_GB2312"/>
          <w:sz w:val="32"/>
          <w:szCs w:val="32"/>
          <w:lang w:val="en-US" w:eastAsia="zh-CN"/>
        </w:rPr>
        <w:t>人大机关</w:t>
      </w:r>
      <w:r>
        <w:rPr>
          <w:rFonts w:hint="eastAsia" w:ascii="仿宋_GB2312" w:hAnsi="仿宋_GB2312" w:eastAsia="仿宋_GB2312" w:cs="仿宋_GB2312"/>
          <w:sz w:val="32"/>
          <w:szCs w:val="32"/>
          <w:lang w:eastAsia="zh-CN"/>
        </w:rPr>
        <w:t>财务管理制度执行等管理规定。</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lang w:val="en-US" w:eastAsia="zh-CN"/>
        </w:rPr>
        <w:t>自治区基层人大补助经费</w:t>
      </w:r>
      <w:r>
        <w:rPr>
          <w:rFonts w:hint="eastAsia" w:ascii="仿宋_GB2312" w:hAnsi="仿宋_GB2312" w:eastAsia="仿宋_GB2312" w:cs="仿宋_GB2312"/>
          <w:color w:val="auto"/>
          <w:sz w:val="32"/>
          <w:szCs w:val="32"/>
          <w:lang w:eastAsia="zh-CN"/>
        </w:rPr>
        <w:t>项目工作领导小组，由</w:t>
      </w:r>
      <w:r>
        <w:rPr>
          <w:rFonts w:hint="eastAsia" w:ascii="仿宋_GB2312" w:hAnsi="仿宋_GB2312" w:eastAsia="仿宋_GB2312" w:cs="仿宋_GB2312"/>
          <w:color w:val="auto"/>
          <w:sz w:val="32"/>
          <w:szCs w:val="32"/>
          <w:lang w:val="en-US" w:eastAsia="zh-CN"/>
        </w:rPr>
        <w:t>董英</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甘卫国</w:t>
      </w:r>
      <w:r>
        <w:rPr>
          <w:rFonts w:hint="eastAsia" w:ascii="仿宋_GB2312" w:hAnsi="仿宋_GB2312" w:eastAsia="仿宋_GB2312" w:cs="仿宋_GB2312"/>
          <w:color w:val="auto"/>
          <w:sz w:val="32"/>
          <w:szCs w:val="32"/>
          <w:lang w:eastAsia="zh-CN"/>
        </w:rPr>
        <w:t>任副组长，负责项目的实施工作；组员包括：吕德健、邵缨越、谢志涛、魏本新、刘霞、刘丽、徐兆霞，主要负责项目监督管理、验收以及资金核拨等工作。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eastAsia" w:ascii="Times New Roman" w:hAnsi="Times New Roman" w:eastAsia="仿宋_GB2312" w:cs="Times New Roman"/>
          <w:sz w:val="32"/>
          <w:szCs w:val="32"/>
          <w:lang w:val="en-US" w:eastAsia="zh-CN"/>
        </w:rPr>
        <w:t>共4</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zh-TW" w:eastAsia="zh-CN"/>
        </w:rPr>
        <w:t>二</w:t>
      </w:r>
      <w:r>
        <w:rPr>
          <w:rFonts w:hint="eastAsia" w:ascii="Times New Roman" w:hAnsi="Times New Roman" w:eastAsia="仿宋_GB2312" w:cs="Times New Roman"/>
          <w:sz w:val="32"/>
          <w:szCs w:val="32"/>
          <w:lang w:val="zh-TW" w:eastAsia="zh-TW"/>
        </w:rPr>
        <w:t>级指标和</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val="zh-TW" w:eastAsia="zh-TW"/>
        </w:rPr>
        <w:t>级指标构成，权重分</w:t>
      </w:r>
      <w:r>
        <w:rPr>
          <w:rFonts w:hint="eastAsia" w:ascii="Times New Roman" w:hAnsi="Times New Roman" w:eastAsia="仿宋_GB2312" w:cs="Times New Roman"/>
          <w:sz w:val="32"/>
          <w:szCs w:val="32"/>
          <w:lang w:val="en-US" w:eastAsia="zh-CN"/>
        </w:rPr>
        <w:t>40</w:t>
      </w:r>
      <w:r>
        <w:rPr>
          <w:rFonts w:hint="eastAsia" w:ascii="Times New Roman" w:hAnsi="Times New Roman" w:eastAsia="仿宋_GB2312" w:cs="Times New Roman"/>
          <w:sz w:val="32"/>
          <w:szCs w:val="32"/>
          <w:lang w:val="zh-TW" w:eastAsia="zh-TW"/>
        </w:rPr>
        <w:t>分，实际得分</w:t>
      </w:r>
      <w:r>
        <w:rPr>
          <w:rFonts w:hint="eastAsia" w:ascii="Times New Roman" w:hAnsi="Times New Roman" w:eastAsia="仿宋_GB2312" w:cs="Times New Roman"/>
          <w:sz w:val="32"/>
          <w:szCs w:val="32"/>
          <w:lang w:val="en-US" w:eastAsia="zh-CN"/>
        </w:rPr>
        <w:t>40</w:t>
      </w:r>
      <w:r>
        <w:rPr>
          <w:rFonts w:hint="eastAsia" w:ascii="Times New Roman" w:hAnsi="Times New Roman" w:eastAsia="仿宋_GB2312" w:cs="Times New Roman"/>
          <w:sz w:val="32"/>
          <w:szCs w:val="32"/>
          <w:lang w:val="zh-TW" w:eastAsia="zh-TW"/>
        </w:rPr>
        <w:t>分</w:t>
      </w:r>
      <w:r>
        <w:rPr>
          <w:rFonts w:hint="eastAsia" w:ascii="Times New Roman" w:hAnsi="Times New Roman" w:eastAsia="仿宋_GB2312" w:cs="Times New Roman"/>
          <w:sz w:val="32"/>
          <w:szCs w:val="32"/>
          <w:lang w:val="zh-TW" w:eastAsia="zh-CN"/>
        </w:rPr>
        <w:t>，</w:t>
      </w:r>
      <w:r>
        <w:rPr>
          <w:rFonts w:hint="eastAsia" w:ascii="Times New Roman" w:hAnsi="Times New Roman" w:eastAsia="仿宋_GB2312" w:cs="Times New Roman"/>
          <w:sz w:val="32"/>
          <w:szCs w:val="32"/>
          <w:lang w:val="zh-TW" w:eastAsia="zh-TW"/>
        </w:rPr>
        <w:t>各指标业绩值和绩效分值如表</w:t>
      </w:r>
      <w:r>
        <w:rPr>
          <w:rFonts w:hint="eastAsia" w:ascii="Times New Roman" w:hAnsi="Times New Roman" w:eastAsia="仿宋_GB2312" w:cs="Times New Roman"/>
          <w:sz w:val="32"/>
          <w:szCs w:val="32"/>
          <w:lang w:val="en-US" w:eastAsia="zh-CN"/>
        </w:rPr>
        <w:t>4-3</w:t>
      </w:r>
      <w:r>
        <w:rPr>
          <w:rFonts w:hint="eastAsia" w:ascii="Times New Roman" w:hAnsi="Times New Roman" w:eastAsia="仿宋_GB2312" w:cs="Times New Roman"/>
          <w:sz w:val="32"/>
          <w:szCs w:val="32"/>
          <w:lang w:val="zh-TW" w:eastAsia="zh-TW"/>
        </w:rPr>
        <w:t>所示</w:t>
      </w:r>
      <w:r>
        <w:rPr>
          <w:rFonts w:hint="eastAsia" w:ascii="Times New Roman" w:hAnsi="Times New Roman" w:eastAsia="仿宋_GB2312" w:cs="Times New Roman"/>
          <w:sz w:val="32"/>
          <w:szCs w:val="32"/>
          <w:lang w:val="zh-TW" w:eastAsia="zh-CN"/>
        </w:rPr>
        <w:t>（</w:t>
      </w:r>
      <w:r>
        <w:rPr>
          <w:rFonts w:hint="eastAsia" w:ascii="Times New Roman" w:hAnsi="Times New Roman" w:eastAsia="仿宋_GB2312" w:cs="Times New Roman"/>
          <w:sz w:val="32"/>
          <w:szCs w:val="32"/>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E91F7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FF0000"/>
          <w:kern w:val="0"/>
          <w:sz w:val="28"/>
          <w:szCs w:val="28"/>
          <w:highlight w:val="none"/>
          <w:shd w:val="clear" w:color="auto" w:fill="auto"/>
          <w:lang w:val="en-US" w:eastAsia="zh-CN"/>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保障内设部门数量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6674DE1">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8265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209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80A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购置办公用品次数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04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≥5批次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036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D6B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5批次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665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F1E6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经费支出时间</w:t>
            </w:r>
          </w:p>
        </w:tc>
        <w:tc>
          <w:tcPr>
            <w:tcW w:w="143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≤2024年12月20日</w:t>
            </w:r>
          </w:p>
        </w:tc>
        <w:tc>
          <w:tcPr>
            <w:tcW w:w="55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2024年1月-12月</w:t>
            </w:r>
          </w:p>
        </w:tc>
        <w:tc>
          <w:tcPr>
            <w:tcW w:w="63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F7E1551">
        <w:tblPrEx>
          <w:tblCellMar>
            <w:top w:w="0" w:type="dxa"/>
            <w:left w:w="0" w:type="dxa"/>
            <w:bottom w:w="0" w:type="dxa"/>
            <w:right w:w="0" w:type="dxa"/>
          </w:tblCellMar>
        </w:tblPrEx>
        <w:trPr>
          <w:trHeight w:val="361"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8063D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872C1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032EA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办公用品及耗材</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1FC2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≤2.4万元</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20B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3D81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2.4万</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2C4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9CD6606">
        <w:tblPrEx>
          <w:shd w:val="clear" w:color="auto" w:fill="auto"/>
          <w:tblCellMar>
            <w:top w:w="0" w:type="dxa"/>
            <w:left w:w="0" w:type="dxa"/>
            <w:bottom w:w="0" w:type="dxa"/>
            <w:right w:w="0" w:type="dxa"/>
          </w:tblCellMar>
        </w:tblPrEx>
        <w:trPr>
          <w:trHeight w:val="10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A767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201A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3FCB8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办公支出</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4825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3.76</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C42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F85D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3.76</w:t>
            </w:r>
            <w:r>
              <w:rPr>
                <w:rFonts w:hint="eastAsia" w:ascii="宋体" w:hAnsi="宋体" w:eastAsia="宋体" w:cs="宋体"/>
                <w:color w:val="auto"/>
                <w:kern w:val="0"/>
                <w:sz w:val="20"/>
                <w:szCs w:val="20"/>
                <w:highlight w:val="none"/>
                <w:shd w:val="clear" w:color="auto" w:fill="auto"/>
                <w:lang w:val="en-US" w:eastAsia="zh-CN"/>
              </w:rPr>
              <w:t>万</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53FF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E6F13DD">
        <w:tblPrEx>
          <w:shd w:val="clear" w:color="auto" w:fill="auto"/>
          <w:tblCellMar>
            <w:top w:w="0" w:type="dxa"/>
            <w:left w:w="0" w:type="dxa"/>
            <w:bottom w:w="0" w:type="dxa"/>
            <w:right w:w="0" w:type="dxa"/>
          </w:tblCellMar>
        </w:tblPrEx>
        <w:trPr>
          <w:trHeight w:val="10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2A5EB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8C9D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9346C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台式电脑</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541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1.83</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3B4C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B6B4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1.83</w:t>
            </w:r>
            <w:r>
              <w:rPr>
                <w:rFonts w:hint="eastAsia" w:ascii="宋体" w:hAnsi="宋体" w:eastAsia="宋体" w:cs="宋体"/>
                <w:color w:val="auto"/>
                <w:kern w:val="0"/>
                <w:sz w:val="20"/>
                <w:szCs w:val="20"/>
                <w:highlight w:val="none"/>
                <w:shd w:val="clear" w:color="auto" w:fill="auto"/>
                <w:lang w:val="en-US" w:eastAsia="zh-CN"/>
              </w:rPr>
              <w:t>万</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7EB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D2B19D6">
        <w:tblPrEx>
          <w:tblCellMar>
            <w:top w:w="0" w:type="dxa"/>
            <w:left w:w="0" w:type="dxa"/>
            <w:bottom w:w="0" w:type="dxa"/>
            <w:right w:w="0" w:type="dxa"/>
          </w:tblCellMar>
        </w:tblPrEx>
        <w:trPr>
          <w:trHeight w:val="90"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72B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708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264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5E0B9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购置家具</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1738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1.01</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2C3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638A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1.01</w:t>
            </w:r>
            <w:r>
              <w:rPr>
                <w:rFonts w:hint="eastAsia" w:ascii="宋体" w:hAnsi="宋体" w:eastAsia="宋体" w:cs="宋体"/>
                <w:color w:val="auto"/>
                <w:kern w:val="0"/>
                <w:sz w:val="20"/>
                <w:szCs w:val="20"/>
                <w:highlight w:val="none"/>
                <w:shd w:val="clear" w:color="auto" w:fill="auto"/>
                <w:lang w:val="en-US" w:eastAsia="zh-CN"/>
              </w:rPr>
              <w:t>万</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FB32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yellow"/>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保障内设部门数量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指标，预期目标值为5个，实际完成为5个。实际完成率=（5/5）×100%=100%。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购置办公用品次数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指标，预期目标值为≥5批次，实际完成为5批次。实际完成率=（5批次/5批次）×100%=100%。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综上，该项指标满分10</w:t>
      </w:r>
      <w:r>
        <w:rPr>
          <w:rFonts w:hint="eastAsia" w:ascii="仿宋_GB2312" w:hAnsi="仿宋_GB2312" w:eastAsia="仿宋_GB2312" w:cs="仿宋_GB2312"/>
          <w:b/>
          <w:bCs/>
          <w:color w:val="auto"/>
          <w:sz w:val="32"/>
          <w:szCs w:val="32"/>
          <w:highlight w:val="none"/>
          <w:lang w:val="en-US" w:eastAsia="zh-CN"/>
        </w:rPr>
        <w:t>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项目完成率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25F23090">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经费支出时间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highlight w:val="none"/>
          <w:lang w:val="en-US" w:eastAsia="zh-CN"/>
        </w:rPr>
        <w:t>2024年12月20日，实际完成为2024年1月-12月。实际完成率=（2024年1月-12月/2024年12月20日）×100%=100%。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办公用品及耗材指标，预期目标值为≤2.4万元，实际完成为2.4万元。实际完成率=（2.4万元/2.4万元）×100%=100%。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办公支出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指标，预期目标值为≤3.76万元，实际完成为3.76万元。实际完成率=（3.76万元/3.76万元）×100%=100%。</w:t>
      </w:r>
    </w:p>
    <w:p w14:paraId="53EFC73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购置台式电脑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指标，预期目标值为≤1.83万元，实际完成为1.83万元。实际完成率=（1.83万元/1.83万元）×100%=100%。</w:t>
      </w:r>
    </w:p>
    <w:p w14:paraId="579B442A">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购置家具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指标，预期目标值为≤1.01万元，实际完成为1.01万元。实际完成率=（1.01万元/1.01万元）×100%=100%。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w:t>
      </w:r>
      <w:r>
        <w:rPr>
          <w:rFonts w:hint="default" w:ascii="Times New Roman" w:hAnsi="Times New Roman" w:eastAsia="仿宋_GB2312" w:cs="Times New Roman"/>
          <w:color w:val="auto"/>
          <w:sz w:val="32"/>
          <w:szCs w:val="32"/>
          <w:highlight w:val="none"/>
          <w:lang w:val="en-US" w:eastAsia="zh-CN"/>
        </w:rPr>
        <w:t>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项目效益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提高基层人大履职能力</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有效提高</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4AC59B6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341C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54A29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E2523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改善基层人大办公环境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0BE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有所改善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485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7BD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有所改善</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732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基层人大工委对于补助经费使用情况的满意度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40" w:name="_Toc5170"/>
      <w:bookmarkStart w:id="141" w:name="_Toc8010"/>
      <w:r>
        <w:rPr>
          <w:rFonts w:hint="eastAsia" w:ascii="仿宋_GB2312" w:hAnsi="仿宋_GB2312" w:eastAsia="仿宋_GB2312" w:cs="仿宋_GB2312"/>
          <w:b/>
          <w:bCs/>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highlight w:val="none"/>
          <w:lang w:val="en-US" w:eastAsia="zh-CN"/>
        </w:rPr>
        <w:t>社会效益指标</w:t>
      </w:r>
      <w:bookmarkEnd w:id="142"/>
      <w:r>
        <w:rPr>
          <w:rFonts w:hint="eastAsia" w:ascii="仿宋_GB2312" w:hAnsi="仿宋_GB2312" w:eastAsia="仿宋_GB2312" w:cs="仿宋_GB2312"/>
          <w:b/>
          <w:bCs/>
          <w:sz w:val="32"/>
          <w:szCs w:val="32"/>
          <w:highlight w:val="none"/>
          <w:lang w:val="en-US" w:eastAsia="zh-CN"/>
        </w:rPr>
        <w:t>完成情况</w:t>
      </w:r>
      <w:bookmarkEnd w:id="143"/>
    </w:p>
    <w:p w14:paraId="7D7901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提高基层人大履职能力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指标，预期目标值为有效提高，实际完成为达到预期指标。</w:t>
      </w:r>
    </w:p>
    <w:p w14:paraId="42E2A0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通过项目的实施，有效提高基层人大履职能力。</w:t>
      </w:r>
    </w:p>
    <w:p w14:paraId="751855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改善基层人大办公环境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指标，预期目标值为有所改善，实际完成为达到预期指标。</w:t>
      </w:r>
    </w:p>
    <w:p w14:paraId="092957A1">
      <w:pPr>
        <w:pageBreakBefore w:val="0"/>
        <w:kinsoku/>
        <w:wordWrap/>
        <w:overflowPunct/>
        <w:topLinePunct w:val="0"/>
        <w:autoSpaceDE/>
        <w:autoSpaceDN/>
        <w:bidi w:val="0"/>
        <w:spacing w:line="560" w:lineRule="exact"/>
        <w:textAlignment w:val="auto"/>
        <w:rPr>
          <w:rFonts w:hint="default"/>
          <w:highlight w:val="none"/>
          <w:lang w:val="en-US" w:eastAsia="zh-CN"/>
        </w:rPr>
      </w:pPr>
      <w:r>
        <w:rPr>
          <w:rFonts w:hint="eastAsia" w:ascii="仿宋_GB2312" w:hAnsi="仿宋_GB2312" w:eastAsia="仿宋_GB2312" w:cs="仿宋_GB2312"/>
          <w:b w:val="0"/>
          <w:bCs w:val="0"/>
          <w:sz w:val="32"/>
          <w:szCs w:val="32"/>
          <w:highlight w:val="none"/>
          <w:lang w:val="en-US" w:eastAsia="zh-CN"/>
        </w:rPr>
        <w:t>通过项目的实施，有效改善了基层人大办公环境。</w:t>
      </w:r>
    </w:p>
    <w:p w14:paraId="3C34DC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综上，该项指标</w:t>
      </w:r>
      <w:r>
        <w:rPr>
          <w:rFonts w:hint="eastAsia" w:ascii="仿宋_GB2312" w:hAnsi="仿宋_GB2312" w:eastAsia="仿宋_GB2312" w:cs="仿宋_GB2312"/>
          <w:b/>
          <w:bCs/>
          <w:color w:val="auto"/>
          <w:sz w:val="32"/>
          <w:szCs w:val="32"/>
          <w:highlight w:val="none"/>
          <w:lang w:val="en-US" w:eastAsia="zh-CN"/>
        </w:rPr>
        <w:t>满分10分，得分10分。</w:t>
      </w:r>
    </w:p>
    <w:p w14:paraId="30539DD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（五）满意度指标完成情况分析</w:t>
      </w:r>
    </w:p>
    <w:p w14:paraId="2409CDF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基层人大工委对于补助经费使用情况的满意度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指标，预期目标值为≥90%，实际完成为100%。</w:t>
      </w:r>
    </w:p>
    <w:p w14:paraId="5AA685A1">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4"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因分析</w:t>
      </w:r>
      <w:bookmarkEnd w:id="144"/>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5" w:name="_Toc15449"/>
      <w:bookmarkStart w:id="146" w:name="_Toc1921"/>
      <w:bookmarkStart w:id="147" w:name="_Toc28290"/>
      <w:r>
        <w:rPr>
          <w:rFonts w:hint="eastAsia" w:ascii="Times New Roman" w:hAnsi="Times New Roman" w:eastAsia="楷体_GB2312" w:cs="Times New Roman"/>
          <w:b/>
          <w:bCs/>
          <w:kern w:val="28"/>
          <w:sz w:val="32"/>
          <w:highlight w:val="none"/>
          <w:lang w:val="en-US" w:eastAsia="zh-CN"/>
        </w:rPr>
        <w:t>（一）主要经验及做法</w:t>
      </w:r>
      <w:bookmarkEnd w:id="145"/>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自治区基层人大补助经费</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阜康市人民代表大会常务委员会</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阜康市人民代表大会常务委员会</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6"/>
    <w:bookmarkEnd w:id="147"/>
    <w:p w14:paraId="2C571FBF">
      <w:pPr>
        <w:pStyle w:val="14"/>
        <w:keepNext w:val="0"/>
        <w:keepLines w:val="0"/>
        <w:pageBreakBefore w:val="0"/>
        <w:widowControl w:val="0"/>
        <w:kinsoku/>
        <w:wordWrap/>
        <w:overflowPunct/>
        <w:topLinePunct w:val="0"/>
        <w:autoSpaceDE/>
        <w:autoSpaceDN/>
        <w:bidi w:val="0"/>
        <w:adjustRightInd/>
        <w:snapToGrid/>
        <w:spacing w:before="0" w:beforeLines="0" w:after="0" w:afterLines="0" w:afterAutospacing="0"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8"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8"/>
    </w:p>
    <w:p w14:paraId="74292258">
      <w:pPr>
        <w:pStyle w:val="3"/>
        <w:keepNext w:val="0"/>
        <w:keepLines w:val="0"/>
        <w:pageBreakBefore w:val="0"/>
        <w:widowControl w:val="0"/>
        <w:kinsoku/>
        <w:wordWrap/>
        <w:overflowPunct/>
        <w:topLinePunct w:val="0"/>
        <w:autoSpaceDE/>
        <w:autoSpaceDN/>
        <w:bidi w:val="0"/>
        <w:adjustRightInd/>
        <w:snapToGrid/>
        <w:spacing w:beforeLines="0" w:afterLines="0" w:afterAutospacing="0" w:line="560" w:lineRule="exact"/>
        <w:textAlignment w:val="auto"/>
        <w:rPr>
          <w:rFonts w:hint="default" w:ascii="仿宋_GB2312" w:hAnsi="仿宋_GB2312" w:eastAsia="仿宋_GB2312" w:cs="仿宋_GB2312"/>
          <w:kern w:val="2"/>
          <w:sz w:val="32"/>
          <w:szCs w:val="32"/>
          <w:highlight w:val="none"/>
          <w:lang w:val="en-US" w:eastAsia="zh-CN" w:bidi="ar-SA"/>
        </w:rPr>
      </w:pPr>
      <w:bookmarkStart w:id="149" w:name="_Toc3333"/>
      <w:r>
        <w:rPr>
          <w:rFonts w:hint="eastAsia" w:ascii="仿宋_GB2312" w:hAnsi="仿宋_GB2312" w:eastAsia="仿宋_GB2312" w:cs="仿宋_GB2312"/>
          <w:color w:val="auto"/>
          <w:kern w:val="2"/>
          <w:sz w:val="32"/>
          <w:szCs w:val="32"/>
          <w:highlight w:val="none"/>
          <w:lang w:val="en-US" w:eastAsia="zh-CN" w:bidi="ar-SA"/>
        </w:rPr>
        <w:t>1.我单位项目实施前，未经过必要的可行性研究、专家论证、风险评估、绩效评估，缺乏针对人大资金管理的专业人才，对资金支出的社会效益、评价深度不足，导致工作随意性较大。预算管控、资金使用、资金管理等环节缺乏有效性监管，在财务管理日常工作中存在一定问题缺乏约束和制度保障。</w:t>
      </w:r>
    </w:p>
    <w:p w14:paraId="4C52D37F">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textAlignment w:val="auto"/>
        <w:rPr>
          <w:rStyle w:val="18"/>
          <w:rFonts w:hint="default" w:ascii="Times New Roman" w:hAnsi="Times New Roman" w:eastAsia="黑体"/>
          <w:b w:val="0"/>
          <w:bCs w:val="0"/>
          <w:spacing w:val="-4"/>
          <w:sz w:val="32"/>
          <w:szCs w:val="32"/>
          <w:lang w:val="en-US" w:eastAsia="zh-CN"/>
        </w:rPr>
      </w:pPr>
      <w:r>
        <w:rPr>
          <w:rFonts w:hint="eastAsia" w:ascii="仿宋_GB2312" w:hAnsi="仿宋_GB2312" w:eastAsia="仿宋_GB2312" w:cs="仿宋_GB2312"/>
          <w:kern w:val="2"/>
          <w:sz w:val="32"/>
          <w:szCs w:val="32"/>
          <w:highlight w:val="none"/>
          <w:lang w:val="en-US" w:eastAsia="zh-CN" w:bidi="ar-SA"/>
        </w:rPr>
        <w:t>2.单位管理人员及工作人员</w:t>
      </w:r>
      <w:r>
        <w:rPr>
          <w:rFonts w:hint="eastAsia" w:ascii="仿宋_GB2312" w:hAnsi="仿宋_GB2312" w:eastAsia="仿宋_GB2312" w:cs="仿宋_GB2312"/>
          <w:kern w:val="2"/>
          <w:sz w:val="32"/>
          <w:szCs w:val="32"/>
          <w:lang w:val="en-US" w:eastAsia="zh-CN" w:bidi="ar-SA"/>
        </w:rPr>
        <w:t>思想意识不高，人大机关财务人员和项目管理人员对预算管理等专业知识掌握不足，难以科学编制预算。对于财务管理等方面的重视程度不够，工作人员对于专业知识学习不够全面，一知半解，在实际工作中操作存在隐患。</w:t>
      </w:r>
    </w:p>
    <w:p w14:paraId="5CD35B9B">
      <w:pPr>
        <w:pStyle w:val="3"/>
        <w:keepNext w:val="0"/>
        <w:keepLines w:val="0"/>
        <w:pageBreakBefore w:val="0"/>
        <w:widowControl w:val="0"/>
        <w:kinsoku/>
        <w:wordWrap/>
        <w:overflowPunct/>
        <w:topLinePunct w:val="0"/>
        <w:autoSpaceDE/>
        <w:autoSpaceDN/>
        <w:bidi w:val="0"/>
        <w:adjustRightInd/>
        <w:snapToGrid/>
        <w:spacing w:beforeLines="0" w:afterLines="0" w:afterAutospacing="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9"/>
    </w:p>
    <w:p w14:paraId="18AC6225">
      <w:pPr>
        <w:pStyle w:val="4"/>
        <w:pageBreakBefore w:val="0"/>
        <w:widowControl w:val="0"/>
        <w:kinsoku/>
        <w:wordWrap/>
        <w:overflowPunct/>
        <w:topLinePunct w:val="0"/>
        <w:autoSpaceDE/>
        <w:autoSpaceDN/>
        <w:bidi w:val="0"/>
        <w:adjustRightInd/>
        <w:snapToGrid/>
        <w:spacing w:beforeLines="0" w:beforeAutospacing="0" w:afterLines="0" w:afterAutospacing="0" w:line="560"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bookmarkStart w:id="150" w:name="_Toc14256"/>
      <w:r>
        <w:rPr>
          <w:rFonts w:hint="eastAsia" w:ascii="仿宋_GB2312" w:hAnsi="仿宋_GB2312" w:eastAsia="仿宋_GB2312" w:cs="仿宋_GB2312"/>
          <w:b w:val="0"/>
          <w:color w:val="auto"/>
          <w:kern w:val="2"/>
          <w:sz w:val="32"/>
          <w:szCs w:val="32"/>
          <w:lang w:val="en-US" w:eastAsia="zh-CN" w:bidi="ar-SA"/>
        </w:rPr>
        <w:t>（一）优化预算编制管理，完善资金管理工作机制；强化预算支出责任意识，增强节约理念；强化财政预算资金管理，完善结果应用机制，建立预算动态调整制度，根据政策变化等情况及时调整预算安排，提高预算编制的精准度和灵活性。</w:t>
      </w:r>
    </w:p>
    <w:p w14:paraId="5928290E">
      <w:pPr>
        <w:pageBreakBefore w:val="0"/>
        <w:widowControl w:val="0"/>
        <w:kinsoku/>
        <w:wordWrap/>
        <w:overflowPunct/>
        <w:topLinePunct w:val="0"/>
        <w:autoSpaceDE/>
        <w:autoSpaceDN/>
        <w:bidi w:val="0"/>
        <w:spacing w:afterAutospacing="0" w:line="560" w:lineRule="exact"/>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（二）加强对单位管理人员及工作人员的培训力度，定期组织人大机关财务人员、项目管理人员参加预算管理专题培训，提升专业能力和管理水平，加强理论和实际操作相结合，提供人才保障。</w:t>
      </w:r>
    </w:p>
    <w:p w14:paraId="5BDE53F2">
      <w:pPr>
        <w:pStyle w:val="3"/>
        <w:keepNext w:val="0"/>
        <w:keepLines w:val="0"/>
        <w:pageBreakBefore w:val="0"/>
        <w:widowControl w:val="0"/>
        <w:kinsoku/>
        <w:wordWrap/>
        <w:overflowPunct/>
        <w:topLinePunct w:val="0"/>
        <w:autoSpaceDE/>
        <w:autoSpaceDN/>
        <w:bidi w:val="0"/>
        <w:adjustRightInd/>
        <w:snapToGrid/>
        <w:spacing w:beforeLines="0" w:afterLines="0" w:afterAutospacing="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0"/>
    </w:p>
    <w:p w14:paraId="3D39D3EA">
      <w:pPr>
        <w:keepNext w:val="0"/>
        <w:keepLines w:val="0"/>
        <w:pageBreakBefore w:val="0"/>
        <w:widowControl w:val="0"/>
        <w:kinsoku/>
        <w:wordWrap/>
        <w:overflowPunct/>
        <w:topLinePunct w:val="0"/>
        <w:autoSpaceDE/>
        <w:autoSpaceDN/>
        <w:bidi w:val="0"/>
        <w:adjustRightInd/>
        <w:snapToGrid/>
        <w:spacing w:afterAutospacing="0"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widowControl w:val="0"/>
        <w:kinsoku/>
        <w:wordWrap/>
        <w:overflowPunct/>
        <w:topLinePunct w:val="0"/>
        <w:autoSpaceDE/>
        <w:autoSpaceDN/>
        <w:bidi w:val="0"/>
        <w:adjustRightInd/>
        <w:spacing w:afterAutospacing="0"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1" w:name="_Toc28971"/>
      <w:bookmarkStart w:id="152"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1"/>
      <w:bookmarkEnd w:id="15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5"/>
        <w:gridCol w:w="895"/>
        <w:gridCol w:w="895"/>
        <w:gridCol w:w="895"/>
        <w:gridCol w:w="1059"/>
        <w:gridCol w:w="1224"/>
        <w:gridCol w:w="1142"/>
        <w:gridCol w:w="1059"/>
        <w:gridCol w:w="1224"/>
        <w:gridCol w:w="895"/>
        <w:gridCol w:w="1059"/>
        <w:gridCol w:w="895"/>
        <w:gridCol w:w="895"/>
        <w:gridCol w:w="1142"/>
      </w:tblGrid>
      <w:tr w14:paraId="09A44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48A13F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033F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A709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DFD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4E66D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0"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8067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基层人大补助经费</w:t>
            </w:r>
          </w:p>
        </w:tc>
      </w:tr>
      <w:tr w14:paraId="6B4A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DC53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473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阜康市人民代表大会常务委员会</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DA6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000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阜康市人民代表大会常务委员会</w:t>
            </w:r>
          </w:p>
        </w:tc>
      </w:tr>
      <w:tr w14:paraId="4653B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3CA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8FF94">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19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F8C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65E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w:t>
            </w:r>
            <w:bookmarkStart w:id="155" w:name="_GoBack"/>
            <w:bookmarkEnd w:id="155"/>
            <w:r>
              <w:rPr>
                <w:rFonts w:hint="eastAsia" w:ascii="宋体" w:hAnsi="宋体" w:eastAsia="宋体" w:cs="宋体"/>
                <w:b/>
                <w:bCs/>
                <w:i w:val="0"/>
                <w:iCs w:val="0"/>
                <w:color w:val="000000"/>
                <w:kern w:val="0"/>
                <w:sz w:val="18"/>
                <w:szCs w:val="18"/>
                <w:u w:val="none"/>
                <w:lang w:val="en-US" w:eastAsia="zh-CN" w:bidi="ar"/>
              </w:rPr>
              <w:t>年执行数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8B8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C96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7C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942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78B48">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DA9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85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FA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77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2E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68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5E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8A8C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66555">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333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F3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B0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E6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AAA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5F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F7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D53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0DD2B">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05D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1E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31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114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D8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CB1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B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BF4E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5CE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78AC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4FDD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C0D1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6BC67">
            <w:pPr>
              <w:jc w:val="center"/>
              <w:rPr>
                <w:rFonts w:hint="eastAsia" w:ascii="宋体" w:hAnsi="宋体" w:eastAsia="宋体" w:cs="宋体"/>
                <w:b/>
                <w:bCs/>
                <w:i w:val="0"/>
                <w:iCs w:val="0"/>
                <w:color w:val="000000"/>
                <w:sz w:val="18"/>
                <w:szCs w:val="18"/>
                <w:u w:val="none"/>
              </w:rPr>
            </w:pP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7C2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贯彻落实中央人大工作会议精神和自治区党委实施意见，体现自治区党委对基层人大工作的重视和关心，通过自治区给予经费补助，弥补基层人大建设中经费不足，全面加强基层人大建设，保障基层人大建设代表“家室站”建设，开展立法监督等工作，改善办公条件，更好支持基层国家权力机关发挥作用。2024年预计保障内设5个部门的采购需求，全年改善办公环境，购置办公用品及耗材预计不少于5批次，费用为9.00万元，项目的实施预计提高基层人大履职能力，改善基层人大办公环境。</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55F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保障内设5个部门的采购需求，全年改善办公环境购置办公用品及耗材5批次，项目完成率达到100%，项目经费在2024年12月20日之前完成支付，弥补办公经费9.00万元,其中：办公用品及耗材支出2.40万元、办公支出3.76万元、台式电脑1.83万元、购置家具1.01万元。项目的实施有效提高基层人大履职能力，改善了基层人大办公环境。</w:t>
            </w:r>
          </w:p>
        </w:tc>
      </w:tr>
      <w:tr w14:paraId="142F2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4CBF4">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4FE9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C06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10B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6E4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C16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5C3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B3E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220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23D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68C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969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05F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1E59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0B3D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1E846">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9ADD6">
            <w:pPr>
              <w:jc w:val="center"/>
              <w:rPr>
                <w:rFonts w:hint="eastAsia" w:ascii="宋体" w:hAnsi="宋体" w:eastAsia="宋体" w:cs="宋体"/>
                <w:b/>
                <w:bCs/>
                <w:i w:val="0"/>
                <w:iCs w:val="0"/>
                <w:color w:val="000000"/>
                <w:sz w:val="18"/>
                <w:szCs w:val="18"/>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9EC6A">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A9231">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11F6A">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BEE8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7E529">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471F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24307">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C047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715DD">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68536">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081DC">
            <w:pPr>
              <w:jc w:val="center"/>
              <w:rPr>
                <w:rFonts w:hint="eastAsia" w:ascii="宋体" w:hAnsi="宋体" w:eastAsia="宋体" w:cs="宋体"/>
                <w:b/>
                <w:bCs/>
                <w:i w:val="0"/>
                <w:iCs w:val="0"/>
                <w:color w:val="000000"/>
                <w:sz w:val="18"/>
                <w:szCs w:val="18"/>
                <w:u w:val="none"/>
              </w:rPr>
            </w:pPr>
          </w:p>
        </w:tc>
        <w:tc>
          <w:tcPr>
            <w:tcW w:w="8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B4E9A">
            <w:pPr>
              <w:jc w:val="center"/>
              <w:rPr>
                <w:rFonts w:hint="eastAsia" w:ascii="宋体" w:hAnsi="宋体" w:eastAsia="宋体" w:cs="宋体"/>
                <w:b/>
                <w:bCs/>
                <w:i w:val="0"/>
                <w:iCs w:val="0"/>
                <w:color w:val="000000"/>
                <w:sz w:val="18"/>
                <w:szCs w:val="18"/>
                <w:u w:val="none"/>
              </w:rPr>
            </w:pPr>
          </w:p>
        </w:tc>
      </w:tr>
      <w:tr w14:paraId="007BA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662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03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19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C1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保障内设部门数量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0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07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51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156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1A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BA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64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A6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B9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3F83">
            <w:pPr>
              <w:jc w:val="center"/>
              <w:rPr>
                <w:rFonts w:hint="eastAsia" w:ascii="宋体" w:hAnsi="宋体" w:eastAsia="宋体" w:cs="宋体"/>
                <w:i w:val="0"/>
                <w:iCs w:val="0"/>
                <w:color w:val="000000"/>
                <w:sz w:val="18"/>
                <w:szCs w:val="18"/>
                <w:u w:val="none"/>
              </w:rPr>
            </w:pPr>
          </w:p>
        </w:tc>
      </w:tr>
      <w:tr w14:paraId="5C9B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36FD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9F637">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53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5D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购置办公用品次数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7D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C8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=5批次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71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=5批次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2BC8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90C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0C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F8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7F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7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7F8F8">
            <w:pPr>
              <w:jc w:val="center"/>
              <w:rPr>
                <w:rFonts w:hint="eastAsia" w:ascii="宋体" w:hAnsi="宋体" w:eastAsia="宋体" w:cs="宋体"/>
                <w:i w:val="0"/>
                <w:iCs w:val="0"/>
                <w:color w:val="000000"/>
                <w:sz w:val="18"/>
                <w:szCs w:val="18"/>
                <w:u w:val="none"/>
              </w:rPr>
            </w:pPr>
          </w:p>
        </w:tc>
      </w:tr>
      <w:tr w14:paraId="3E827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B7F1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BE49F">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C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7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A1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38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E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6F73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AA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82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B4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F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A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A9C5">
            <w:pPr>
              <w:jc w:val="center"/>
              <w:rPr>
                <w:rFonts w:hint="eastAsia" w:ascii="宋体" w:hAnsi="宋体" w:eastAsia="宋体" w:cs="宋体"/>
                <w:i w:val="0"/>
                <w:iCs w:val="0"/>
                <w:color w:val="000000"/>
                <w:sz w:val="18"/>
                <w:szCs w:val="18"/>
                <w:u w:val="none"/>
              </w:rPr>
            </w:pPr>
          </w:p>
        </w:tc>
      </w:tr>
      <w:tr w14:paraId="15234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A7B8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DA3CC">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20F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07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经费支出时间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72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84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2024年12月20日</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5F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=2024年12月20日</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F92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3B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91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D0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2023年1月-12月</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61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D2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4C70">
            <w:pPr>
              <w:jc w:val="center"/>
              <w:rPr>
                <w:rFonts w:hint="eastAsia" w:ascii="宋体" w:hAnsi="宋体" w:eastAsia="宋体" w:cs="宋体"/>
                <w:i w:val="0"/>
                <w:iCs w:val="0"/>
                <w:color w:val="000000"/>
                <w:sz w:val="18"/>
                <w:szCs w:val="18"/>
                <w:u w:val="none"/>
              </w:rPr>
            </w:pPr>
          </w:p>
        </w:tc>
      </w:tr>
      <w:tr w14:paraId="521FD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98948">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B9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8A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05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办公用品及耗材</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1F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A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&lt;=2.40万元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56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EB2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B9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C39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EDFDD">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54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1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897EF">
            <w:pPr>
              <w:jc w:val="center"/>
              <w:rPr>
                <w:rFonts w:hint="eastAsia" w:ascii="宋体" w:hAnsi="宋体" w:eastAsia="宋体" w:cs="宋体"/>
                <w:i w:val="0"/>
                <w:iCs w:val="0"/>
                <w:color w:val="000000"/>
                <w:sz w:val="18"/>
                <w:szCs w:val="18"/>
                <w:u w:val="none"/>
              </w:rPr>
            </w:pPr>
          </w:p>
        </w:tc>
      </w:tr>
      <w:tr w14:paraId="2E9B5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7A97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A485">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35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650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办公支出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D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7C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&lt;=3.76万元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18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AC0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A2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EC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FF38D">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47E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44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B8564">
            <w:pPr>
              <w:jc w:val="center"/>
              <w:rPr>
                <w:rFonts w:hint="eastAsia" w:ascii="宋体" w:hAnsi="宋体" w:eastAsia="宋体" w:cs="宋体"/>
                <w:i w:val="0"/>
                <w:iCs w:val="0"/>
                <w:color w:val="000000"/>
                <w:sz w:val="18"/>
                <w:szCs w:val="18"/>
                <w:u w:val="none"/>
              </w:rPr>
            </w:pPr>
          </w:p>
        </w:tc>
      </w:tr>
      <w:tr w14:paraId="1A710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1D6D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0A668">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15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8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购置台式电脑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1C4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A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&lt;=1.84万元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17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BAD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9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A5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A7CF9">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24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90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8C3E9">
            <w:pPr>
              <w:jc w:val="center"/>
              <w:rPr>
                <w:rFonts w:hint="eastAsia" w:ascii="宋体" w:hAnsi="宋体" w:eastAsia="宋体" w:cs="宋体"/>
                <w:i w:val="0"/>
                <w:iCs w:val="0"/>
                <w:color w:val="000000"/>
                <w:sz w:val="18"/>
                <w:szCs w:val="18"/>
                <w:u w:val="none"/>
              </w:rPr>
            </w:pPr>
          </w:p>
        </w:tc>
      </w:tr>
      <w:tr w14:paraId="048FA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6C08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BBB32">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9D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43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购置办公家具</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74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2C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&lt;=1.01万元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A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741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F9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FA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B85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8D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A2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19DB4">
            <w:pPr>
              <w:jc w:val="center"/>
              <w:rPr>
                <w:rFonts w:hint="eastAsia" w:ascii="宋体" w:hAnsi="宋体" w:eastAsia="宋体" w:cs="宋体"/>
                <w:i w:val="0"/>
                <w:iCs w:val="0"/>
                <w:color w:val="000000"/>
                <w:sz w:val="18"/>
                <w:szCs w:val="18"/>
                <w:u w:val="none"/>
              </w:rPr>
            </w:pPr>
          </w:p>
        </w:tc>
      </w:tr>
      <w:tr w14:paraId="2BEA2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0C12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5D91D">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7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964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30E12">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6228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11EB0">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05A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AF17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DD05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3D0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BB9FE">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93878">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E188">
            <w:pPr>
              <w:jc w:val="center"/>
              <w:rPr>
                <w:rFonts w:hint="eastAsia" w:ascii="宋体" w:hAnsi="宋体" w:eastAsia="宋体" w:cs="宋体"/>
                <w:i w:val="0"/>
                <w:iCs w:val="0"/>
                <w:color w:val="000000"/>
                <w:sz w:val="18"/>
                <w:szCs w:val="18"/>
                <w:u w:val="none"/>
              </w:rPr>
            </w:pPr>
          </w:p>
        </w:tc>
      </w:tr>
      <w:tr w14:paraId="0683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0FAF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2B196">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A6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13472">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6C9F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98F6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57DB9">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9FB7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1FD9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FABC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ED8F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5B5AE">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9E2CF">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DBAF">
            <w:pPr>
              <w:jc w:val="center"/>
              <w:rPr>
                <w:rFonts w:hint="eastAsia" w:ascii="宋体" w:hAnsi="宋体" w:eastAsia="宋体" w:cs="宋体"/>
                <w:i w:val="0"/>
                <w:iCs w:val="0"/>
                <w:color w:val="000000"/>
                <w:sz w:val="18"/>
                <w:szCs w:val="18"/>
                <w:u w:val="none"/>
              </w:rPr>
            </w:pPr>
          </w:p>
        </w:tc>
      </w:tr>
      <w:tr w14:paraId="77FB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4B18C">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5A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5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239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D9F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1C19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DB3C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0D3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DD1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733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08B7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A49EF">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56B0B">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842C">
            <w:pPr>
              <w:jc w:val="center"/>
              <w:rPr>
                <w:rFonts w:hint="eastAsia" w:ascii="宋体" w:hAnsi="宋体" w:eastAsia="宋体" w:cs="宋体"/>
                <w:i w:val="0"/>
                <w:iCs w:val="0"/>
                <w:color w:val="000000"/>
                <w:sz w:val="18"/>
                <w:szCs w:val="18"/>
                <w:u w:val="none"/>
              </w:rPr>
            </w:pPr>
          </w:p>
        </w:tc>
      </w:tr>
      <w:tr w14:paraId="357E6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AA1A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F86E1">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2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1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提高基层人大履职能力</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ED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07B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DF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AFB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E2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FF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D7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A3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CB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DDDDA">
            <w:pPr>
              <w:jc w:val="center"/>
              <w:rPr>
                <w:rFonts w:hint="eastAsia" w:ascii="宋体" w:hAnsi="宋体" w:eastAsia="宋体" w:cs="宋体"/>
                <w:i w:val="0"/>
                <w:iCs w:val="0"/>
                <w:color w:val="000000"/>
                <w:sz w:val="18"/>
                <w:szCs w:val="18"/>
                <w:u w:val="none"/>
              </w:rPr>
            </w:pPr>
          </w:p>
        </w:tc>
      </w:tr>
      <w:tr w14:paraId="02E39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F8CD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40BE5">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2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E27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改善基层人大办公环境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1D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8C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B3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343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E5F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959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97C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7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9A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82717">
            <w:pPr>
              <w:jc w:val="center"/>
              <w:rPr>
                <w:rFonts w:hint="eastAsia" w:ascii="宋体" w:hAnsi="宋体" w:eastAsia="宋体" w:cs="宋体"/>
                <w:i w:val="0"/>
                <w:iCs w:val="0"/>
                <w:color w:val="000000"/>
                <w:sz w:val="18"/>
                <w:szCs w:val="18"/>
                <w:u w:val="none"/>
              </w:rPr>
            </w:pPr>
          </w:p>
        </w:tc>
      </w:tr>
      <w:tr w14:paraId="0EDAF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635B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BADE1">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6C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4C92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C3B7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3A83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9A4FF">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1C1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6FC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FBDF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FCD5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C99F9">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814F7">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F5EBF">
            <w:pPr>
              <w:jc w:val="center"/>
              <w:rPr>
                <w:rFonts w:hint="eastAsia" w:ascii="宋体" w:hAnsi="宋体" w:eastAsia="宋体" w:cs="宋体"/>
                <w:i w:val="0"/>
                <w:iCs w:val="0"/>
                <w:color w:val="000000"/>
                <w:sz w:val="18"/>
                <w:szCs w:val="18"/>
                <w:u w:val="none"/>
              </w:rPr>
            </w:pPr>
          </w:p>
        </w:tc>
      </w:tr>
      <w:tr w14:paraId="01B1F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33113">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474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0A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77C5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427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EDC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70F2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0A21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CBC1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9538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C1B8D">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6B7DD">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F6098">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BB591">
            <w:pPr>
              <w:jc w:val="center"/>
              <w:rPr>
                <w:rFonts w:hint="eastAsia" w:ascii="宋体" w:hAnsi="宋体" w:eastAsia="宋体" w:cs="宋体"/>
                <w:i w:val="0"/>
                <w:iCs w:val="0"/>
                <w:color w:val="000000"/>
                <w:sz w:val="18"/>
                <w:szCs w:val="18"/>
                <w:u w:val="none"/>
              </w:rPr>
            </w:pPr>
          </w:p>
        </w:tc>
      </w:tr>
      <w:tr w14:paraId="7543C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60" w:type="pct"/>
            <w:gridSpan w:val="4"/>
            <w:tcBorders>
              <w:top w:val="single" w:color="000000" w:sz="4" w:space="0"/>
              <w:left w:val="single" w:color="000000" w:sz="4" w:space="0"/>
              <w:bottom w:val="single" w:color="000000" w:sz="4" w:space="0"/>
              <w:right w:val="nil"/>
            </w:tcBorders>
            <w:shd w:val="clear" w:color="auto" w:fill="auto"/>
            <w:vAlign w:val="center"/>
          </w:tcPr>
          <w:p w14:paraId="30F1FE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5C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20AFE733">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4D175">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46B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FB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D575C">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45DD">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52CCE">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2362C">
            <w:pP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D641">
            <w:pPr>
              <w:rPr>
                <w:rFonts w:hint="eastAsia" w:ascii="宋体" w:hAnsi="宋体" w:eastAsia="宋体" w:cs="宋体"/>
                <w:i w:val="0"/>
                <w:iCs w:val="0"/>
                <w:color w:val="000000"/>
                <w:sz w:val="18"/>
                <w:szCs w:val="18"/>
                <w:u w:val="none"/>
              </w:rPr>
            </w:pPr>
          </w:p>
        </w:tc>
      </w:tr>
    </w:tbl>
    <w:p w14:paraId="09457CC8">
      <w:pPr>
        <w:ind w:left="0" w:leftChars="0" w:firstLine="0" w:firstLineChars="0"/>
      </w:pPr>
      <w:r>
        <w:br w:type="page"/>
      </w:r>
    </w:p>
    <w:p w14:paraId="0D2C1648">
      <w:pPr>
        <w:ind w:left="0" w:leftChars="0" w:firstLine="0" w:firstLineChars="0"/>
      </w:pP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3" w:name="_Toc15067"/>
      <w:bookmarkStart w:id="154"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3"/>
      <w:bookmarkEnd w:id="154"/>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1459E8F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03409CF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14:paraId="540CABA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14:paraId="5580A356">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14:paraId="651215F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207DB30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D5EC876">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C82E777">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14:paraId="55EC0A0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567500F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12DF9F8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7FD360D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42F8511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2425AB1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0274879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893533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2A36836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401780A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1189F32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9A929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694FFE5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09A8CD0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0B2428E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13CD088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0F00A5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7FB55A8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67" w:hRule="atLeast"/>
          <w:jc w:val="center"/>
        </w:trPr>
        <w:tc>
          <w:tcPr>
            <w:tcW w:w="861" w:type="dxa"/>
            <w:vMerge w:val="continue"/>
            <w:shd w:val="clear" w:color="auto" w:fill="auto"/>
            <w:noWrap w:val="0"/>
            <w:vAlign w:val="center"/>
          </w:tcPr>
          <w:p w14:paraId="4A262D7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671EF0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2312247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1978BB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78414BC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C73F5A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62CBBBB">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0BA94E4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079887B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07" w:hRule="atLeast"/>
          <w:jc w:val="center"/>
        </w:trPr>
        <w:tc>
          <w:tcPr>
            <w:tcW w:w="861" w:type="dxa"/>
            <w:vMerge w:val="restart"/>
            <w:shd w:val="clear" w:color="auto" w:fill="auto"/>
            <w:noWrap w:val="0"/>
            <w:vAlign w:val="center"/>
          </w:tcPr>
          <w:p w14:paraId="71E5BB5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52F222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保障内设部门数量</w:t>
            </w:r>
          </w:p>
        </w:tc>
        <w:tc>
          <w:tcPr>
            <w:tcW w:w="2141" w:type="dxa"/>
            <w:vMerge w:val="restart"/>
            <w:shd w:val="clear" w:color="auto" w:fill="auto"/>
            <w:noWrap w:val="0"/>
            <w:vAlign w:val="center"/>
          </w:tcPr>
          <w:p w14:paraId="48E82B5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vMerge w:val="restart"/>
            <w:shd w:val="clear" w:color="auto" w:fill="auto"/>
            <w:noWrap w:val="0"/>
            <w:vAlign w:val="center"/>
          </w:tcPr>
          <w:p w14:paraId="7DE49C9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70302B77">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DD3697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2131F6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6403F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07" w:hRule="atLeast"/>
          <w:jc w:val="center"/>
        </w:trPr>
        <w:tc>
          <w:tcPr>
            <w:tcW w:w="861" w:type="dxa"/>
            <w:vMerge w:val="continue"/>
            <w:shd w:val="clear" w:color="auto" w:fill="auto"/>
            <w:noWrap w:val="0"/>
            <w:vAlign w:val="center"/>
          </w:tcPr>
          <w:p w14:paraId="317C65C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727" w:type="dxa"/>
            <w:vMerge w:val="continue"/>
            <w:shd w:val="clear" w:color="auto" w:fill="auto"/>
            <w:noWrap w:val="0"/>
            <w:vAlign w:val="center"/>
          </w:tcPr>
          <w:p w14:paraId="3E31130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820" w:type="dxa"/>
            <w:shd w:val="clear" w:color="auto" w:fill="auto"/>
            <w:noWrap w:val="0"/>
            <w:vAlign w:val="center"/>
          </w:tcPr>
          <w:p w14:paraId="3D6EC406">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购置办公用品次数</w:t>
            </w:r>
          </w:p>
        </w:tc>
        <w:tc>
          <w:tcPr>
            <w:tcW w:w="2141" w:type="dxa"/>
            <w:vMerge w:val="continue"/>
            <w:shd w:val="clear" w:color="auto" w:fill="auto"/>
            <w:noWrap w:val="0"/>
            <w:vAlign w:val="center"/>
          </w:tcPr>
          <w:p w14:paraId="1B62066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21" w:type="dxa"/>
            <w:vMerge w:val="continue"/>
            <w:shd w:val="clear" w:color="auto" w:fill="auto"/>
            <w:noWrap w:val="0"/>
            <w:vAlign w:val="center"/>
          </w:tcPr>
          <w:p w14:paraId="247FC2A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4FE15FF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E1CEAD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11C4755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46B8F36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项目完成率</w:t>
            </w:r>
          </w:p>
        </w:tc>
        <w:tc>
          <w:tcPr>
            <w:tcW w:w="2141" w:type="dxa"/>
            <w:shd w:val="clear" w:color="auto" w:fill="auto"/>
            <w:noWrap w:val="0"/>
            <w:vAlign w:val="center"/>
          </w:tcPr>
          <w:p w14:paraId="1F648E3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0EC4F1D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6B11F40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14:paraId="533D571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经费支出时间</w:t>
            </w:r>
          </w:p>
        </w:tc>
        <w:tc>
          <w:tcPr>
            <w:tcW w:w="2141" w:type="dxa"/>
            <w:shd w:val="clear" w:color="auto" w:fill="auto"/>
            <w:noWrap w:val="0"/>
            <w:vAlign w:val="center"/>
          </w:tcPr>
          <w:p w14:paraId="7F5B80B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62B8F14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D6DCD2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7" w:hRule="atLeast"/>
          <w:jc w:val="center"/>
        </w:trPr>
        <w:tc>
          <w:tcPr>
            <w:tcW w:w="861" w:type="dxa"/>
            <w:vMerge w:val="continue"/>
            <w:shd w:val="clear" w:color="auto" w:fill="FFFFFF"/>
            <w:noWrap w:val="0"/>
            <w:vAlign w:val="center"/>
          </w:tcPr>
          <w:p w14:paraId="177D41F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636F2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办公用品及耗材</w:t>
            </w:r>
          </w:p>
        </w:tc>
        <w:tc>
          <w:tcPr>
            <w:tcW w:w="2141" w:type="dxa"/>
            <w:vMerge w:val="restart"/>
            <w:shd w:val="clear" w:color="auto" w:fill="auto"/>
            <w:noWrap w:val="0"/>
            <w:vAlign w:val="center"/>
          </w:tcPr>
          <w:p w14:paraId="465D756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vMerge w:val="restart"/>
            <w:shd w:val="clear" w:color="auto" w:fill="auto"/>
            <w:noWrap w:val="0"/>
            <w:vAlign w:val="center"/>
          </w:tcPr>
          <w:p w14:paraId="689FB6B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p>
          <w:p w14:paraId="28E786C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5E824F1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57CABB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4C425BE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0099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7" w:hRule="atLeast"/>
          <w:jc w:val="center"/>
        </w:trPr>
        <w:tc>
          <w:tcPr>
            <w:tcW w:w="861" w:type="dxa"/>
            <w:vMerge w:val="continue"/>
            <w:shd w:val="clear" w:color="auto" w:fill="FFFFFF"/>
            <w:noWrap w:val="0"/>
            <w:vAlign w:val="center"/>
          </w:tcPr>
          <w:p w14:paraId="070CB2E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727" w:type="dxa"/>
            <w:vMerge w:val="continue"/>
            <w:shd w:val="clear" w:color="auto" w:fill="auto"/>
            <w:noWrap w:val="0"/>
            <w:vAlign w:val="center"/>
          </w:tcPr>
          <w:p w14:paraId="270DA9D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820" w:type="dxa"/>
            <w:shd w:val="clear" w:color="auto" w:fill="auto"/>
            <w:noWrap w:val="0"/>
            <w:vAlign w:val="center"/>
          </w:tcPr>
          <w:p w14:paraId="46DDB37F">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办公支出</w:t>
            </w:r>
          </w:p>
        </w:tc>
        <w:tc>
          <w:tcPr>
            <w:tcW w:w="2141" w:type="dxa"/>
            <w:vMerge w:val="continue"/>
            <w:shd w:val="clear" w:color="auto" w:fill="auto"/>
            <w:noWrap w:val="0"/>
            <w:vAlign w:val="center"/>
          </w:tcPr>
          <w:p w14:paraId="552F3DA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21" w:type="dxa"/>
            <w:vMerge w:val="continue"/>
            <w:shd w:val="clear" w:color="auto" w:fill="auto"/>
            <w:noWrap w:val="0"/>
            <w:vAlign w:val="center"/>
          </w:tcPr>
          <w:p w14:paraId="05E1961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21E05CCE">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436BD2F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F889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7" w:hRule="atLeast"/>
          <w:jc w:val="center"/>
        </w:trPr>
        <w:tc>
          <w:tcPr>
            <w:tcW w:w="861" w:type="dxa"/>
            <w:vMerge w:val="continue"/>
            <w:shd w:val="clear" w:color="auto" w:fill="FFFFFF"/>
            <w:noWrap w:val="0"/>
            <w:vAlign w:val="center"/>
          </w:tcPr>
          <w:p w14:paraId="5EA7765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176EBC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37BD28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台式电脑</w:t>
            </w:r>
          </w:p>
        </w:tc>
        <w:tc>
          <w:tcPr>
            <w:tcW w:w="2141" w:type="dxa"/>
            <w:vMerge w:val="continue"/>
            <w:shd w:val="clear" w:color="auto" w:fill="auto"/>
            <w:noWrap w:val="0"/>
            <w:vAlign w:val="center"/>
          </w:tcPr>
          <w:p w14:paraId="2B27F1F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21" w:type="dxa"/>
            <w:vMerge w:val="continue"/>
            <w:shd w:val="clear" w:color="auto" w:fill="auto"/>
            <w:noWrap w:val="0"/>
            <w:vAlign w:val="center"/>
          </w:tcPr>
          <w:p w14:paraId="27D1493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34513AC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3F72F9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6BB18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7" w:hRule="atLeast"/>
          <w:jc w:val="center"/>
        </w:trPr>
        <w:tc>
          <w:tcPr>
            <w:tcW w:w="861" w:type="dxa"/>
            <w:vMerge w:val="continue"/>
            <w:shd w:val="clear" w:color="auto" w:fill="FFFFFF"/>
            <w:noWrap w:val="0"/>
            <w:vAlign w:val="center"/>
          </w:tcPr>
          <w:p w14:paraId="7F0C7D39">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7E1C75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467F9DE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购置家具</w:t>
            </w:r>
          </w:p>
        </w:tc>
        <w:tc>
          <w:tcPr>
            <w:tcW w:w="2141" w:type="dxa"/>
            <w:vMerge w:val="continue"/>
            <w:shd w:val="clear" w:color="auto" w:fill="auto"/>
            <w:noWrap w:val="0"/>
            <w:vAlign w:val="center"/>
          </w:tcPr>
          <w:p w14:paraId="6C2D493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21" w:type="dxa"/>
            <w:vMerge w:val="continue"/>
            <w:shd w:val="clear" w:color="auto" w:fill="auto"/>
            <w:noWrap w:val="0"/>
            <w:vAlign w:val="center"/>
          </w:tcPr>
          <w:p w14:paraId="4B85181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5495151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3DB9D4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1" w:hRule="atLeast"/>
          <w:jc w:val="center"/>
        </w:trPr>
        <w:tc>
          <w:tcPr>
            <w:tcW w:w="861" w:type="dxa"/>
            <w:vMerge w:val="restart"/>
            <w:shd w:val="clear" w:color="auto" w:fill="auto"/>
            <w:noWrap w:val="0"/>
            <w:vAlign w:val="center"/>
          </w:tcPr>
          <w:p w14:paraId="75424F18">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7BC3F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提高基层人大履职能力</w:t>
            </w:r>
          </w:p>
        </w:tc>
        <w:tc>
          <w:tcPr>
            <w:tcW w:w="2141" w:type="dxa"/>
            <w:vMerge w:val="restart"/>
            <w:shd w:val="clear" w:color="auto" w:fill="auto"/>
            <w:noWrap w:val="0"/>
            <w:vAlign w:val="center"/>
          </w:tcPr>
          <w:p w14:paraId="1DBD20E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vMerge w:val="restart"/>
            <w:shd w:val="clear" w:color="auto" w:fill="auto"/>
            <w:noWrap w:val="0"/>
            <w:vAlign w:val="center"/>
          </w:tcPr>
          <w:p w14:paraId="7156944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7E037567">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52631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1" w:hRule="atLeast"/>
          <w:jc w:val="center"/>
        </w:trPr>
        <w:tc>
          <w:tcPr>
            <w:tcW w:w="861" w:type="dxa"/>
            <w:vMerge w:val="continue"/>
            <w:shd w:val="clear" w:color="auto" w:fill="auto"/>
            <w:noWrap w:val="0"/>
            <w:vAlign w:val="center"/>
          </w:tcPr>
          <w:p w14:paraId="3BE97B6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727" w:type="dxa"/>
            <w:vMerge w:val="continue"/>
            <w:shd w:val="clear" w:color="auto" w:fill="auto"/>
            <w:noWrap w:val="0"/>
            <w:vAlign w:val="center"/>
          </w:tcPr>
          <w:p w14:paraId="490162E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highlight w:val="none"/>
              </w:rPr>
            </w:pPr>
          </w:p>
        </w:tc>
        <w:tc>
          <w:tcPr>
            <w:tcW w:w="820" w:type="dxa"/>
            <w:shd w:val="clear" w:color="auto" w:fill="auto"/>
            <w:noWrap w:val="0"/>
            <w:vAlign w:val="center"/>
          </w:tcPr>
          <w:p w14:paraId="04A50B75">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改善基层人大办公环境</w:t>
            </w:r>
          </w:p>
        </w:tc>
        <w:tc>
          <w:tcPr>
            <w:tcW w:w="2141" w:type="dxa"/>
            <w:vMerge w:val="continue"/>
            <w:shd w:val="clear" w:color="auto" w:fill="auto"/>
            <w:noWrap w:val="0"/>
            <w:vAlign w:val="center"/>
          </w:tcPr>
          <w:p w14:paraId="768852B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21" w:type="dxa"/>
            <w:vMerge w:val="continue"/>
            <w:shd w:val="clear" w:color="auto" w:fill="auto"/>
            <w:noWrap w:val="0"/>
            <w:vAlign w:val="center"/>
          </w:tcPr>
          <w:p w14:paraId="6923E39A">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2B560261">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079AA4B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基层人大工委对于补助经费使用情况的满意度</w:t>
            </w:r>
          </w:p>
        </w:tc>
        <w:tc>
          <w:tcPr>
            <w:tcW w:w="2141" w:type="dxa"/>
            <w:shd w:val="clear" w:color="auto" w:fill="auto"/>
            <w:noWrap w:val="0"/>
            <w:vAlign w:val="center"/>
          </w:tcPr>
          <w:p w14:paraId="3BB5B0BB">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15A8964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1CB4A0E0">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4922E003">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37EC41E2">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6AFA488C">
            <w:pPr>
              <w:keepNext w:val="0"/>
              <w:keepLines w:val="0"/>
              <w:pageBreakBefore w:val="0"/>
              <w:widowControl/>
              <w:shd w:val="clear"/>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99.2</w:t>
            </w:r>
          </w:p>
        </w:tc>
      </w:tr>
    </w:tbl>
    <w:p w14:paraId="5161323A">
      <w:pPr>
        <w:pageBreakBefore w:val="0"/>
        <w:shd w:val="clear"/>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highlight w:val="none"/>
        </w:rPr>
      </w:pPr>
    </w:p>
    <w:p w14:paraId="336B3C9F">
      <w:pPr>
        <w:pageBreakBefore w:val="0"/>
        <w:shd w:val="clear"/>
        <w:kinsoku/>
        <w:wordWrap/>
        <w:overflowPunct/>
        <w:topLinePunct w:val="0"/>
        <w:autoSpaceDE/>
        <w:autoSpaceDN/>
        <w:bidi w:val="0"/>
        <w:spacing w:line="560" w:lineRule="exact"/>
        <w:textAlignment w:val="auto"/>
        <w:rPr>
          <w:rFonts w:hint="default"/>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00172A27"/>
    <w:rsid w:val="007D6A04"/>
    <w:rsid w:val="00E23C81"/>
    <w:rsid w:val="01253350"/>
    <w:rsid w:val="01282E62"/>
    <w:rsid w:val="014029CF"/>
    <w:rsid w:val="01470C4C"/>
    <w:rsid w:val="02200440"/>
    <w:rsid w:val="02284B43"/>
    <w:rsid w:val="029C1412"/>
    <w:rsid w:val="02B015E2"/>
    <w:rsid w:val="02DC08FA"/>
    <w:rsid w:val="033B569D"/>
    <w:rsid w:val="03791753"/>
    <w:rsid w:val="039C3BA0"/>
    <w:rsid w:val="03A845BB"/>
    <w:rsid w:val="03B45AD1"/>
    <w:rsid w:val="04D12EE4"/>
    <w:rsid w:val="04D63993"/>
    <w:rsid w:val="04E63A50"/>
    <w:rsid w:val="05022A1B"/>
    <w:rsid w:val="05C0366A"/>
    <w:rsid w:val="07890F4F"/>
    <w:rsid w:val="078936D2"/>
    <w:rsid w:val="07F41CF0"/>
    <w:rsid w:val="08892439"/>
    <w:rsid w:val="08EB30F3"/>
    <w:rsid w:val="09237408"/>
    <w:rsid w:val="09781BD6"/>
    <w:rsid w:val="09DE4A06"/>
    <w:rsid w:val="09F359DF"/>
    <w:rsid w:val="0A575E65"/>
    <w:rsid w:val="0ACA0AB6"/>
    <w:rsid w:val="0C032502"/>
    <w:rsid w:val="0C27698C"/>
    <w:rsid w:val="0D4452F3"/>
    <w:rsid w:val="0DAD3D4E"/>
    <w:rsid w:val="0E0C7BC1"/>
    <w:rsid w:val="0F5E5042"/>
    <w:rsid w:val="0F8055EC"/>
    <w:rsid w:val="0FE95707"/>
    <w:rsid w:val="10510571"/>
    <w:rsid w:val="10787A20"/>
    <w:rsid w:val="108672DE"/>
    <w:rsid w:val="10EC685A"/>
    <w:rsid w:val="11FA6155"/>
    <w:rsid w:val="122B4561"/>
    <w:rsid w:val="12CF0947"/>
    <w:rsid w:val="12F1313F"/>
    <w:rsid w:val="136C678E"/>
    <w:rsid w:val="137B0B3A"/>
    <w:rsid w:val="13EB2FF5"/>
    <w:rsid w:val="146F5DBC"/>
    <w:rsid w:val="14ED4CAC"/>
    <w:rsid w:val="15A46B04"/>
    <w:rsid w:val="165825BC"/>
    <w:rsid w:val="169721C5"/>
    <w:rsid w:val="16BC5D73"/>
    <w:rsid w:val="16CE195E"/>
    <w:rsid w:val="176F36D7"/>
    <w:rsid w:val="1795226D"/>
    <w:rsid w:val="183A3BB7"/>
    <w:rsid w:val="18456B1E"/>
    <w:rsid w:val="1A7840BB"/>
    <w:rsid w:val="1BEF4851"/>
    <w:rsid w:val="1C1171C5"/>
    <w:rsid w:val="1D265138"/>
    <w:rsid w:val="1D3F64BA"/>
    <w:rsid w:val="1D7B6BCA"/>
    <w:rsid w:val="1DA41A79"/>
    <w:rsid w:val="1DE61F5A"/>
    <w:rsid w:val="1DF53469"/>
    <w:rsid w:val="1E2F24F2"/>
    <w:rsid w:val="1E58492F"/>
    <w:rsid w:val="1E5B6757"/>
    <w:rsid w:val="1EAB0784"/>
    <w:rsid w:val="1ED10AC6"/>
    <w:rsid w:val="1F89225F"/>
    <w:rsid w:val="1F900A1F"/>
    <w:rsid w:val="1FC0575D"/>
    <w:rsid w:val="1FEF4E1F"/>
    <w:rsid w:val="206132C7"/>
    <w:rsid w:val="21B00C1D"/>
    <w:rsid w:val="23031BEB"/>
    <w:rsid w:val="23917691"/>
    <w:rsid w:val="244D65B8"/>
    <w:rsid w:val="245E1E24"/>
    <w:rsid w:val="25AD5E5D"/>
    <w:rsid w:val="26192BF6"/>
    <w:rsid w:val="270C1304"/>
    <w:rsid w:val="2732478D"/>
    <w:rsid w:val="27661469"/>
    <w:rsid w:val="27900EAD"/>
    <w:rsid w:val="279B538A"/>
    <w:rsid w:val="286F545C"/>
    <w:rsid w:val="289163B7"/>
    <w:rsid w:val="28B5101A"/>
    <w:rsid w:val="29314FBC"/>
    <w:rsid w:val="2A016166"/>
    <w:rsid w:val="2A2E5D19"/>
    <w:rsid w:val="2AA2081A"/>
    <w:rsid w:val="2C024B86"/>
    <w:rsid w:val="2C927671"/>
    <w:rsid w:val="2CC6306F"/>
    <w:rsid w:val="2D085999"/>
    <w:rsid w:val="2D7C5CD6"/>
    <w:rsid w:val="2E483E7E"/>
    <w:rsid w:val="2E690493"/>
    <w:rsid w:val="2E9854BD"/>
    <w:rsid w:val="2F0D407F"/>
    <w:rsid w:val="2F454B19"/>
    <w:rsid w:val="2FC31E25"/>
    <w:rsid w:val="310224D9"/>
    <w:rsid w:val="31280191"/>
    <w:rsid w:val="31B4621C"/>
    <w:rsid w:val="31E3230A"/>
    <w:rsid w:val="31F12C79"/>
    <w:rsid w:val="326A6587"/>
    <w:rsid w:val="32870EE7"/>
    <w:rsid w:val="330957E0"/>
    <w:rsid w:val="33356F64"/>
    <w:rsid w:val="33944516"/>
    <w:rsid w:val="34B62907"/>
    <w:rsid w:val="35847960"/>
    <w:rsid w:val="36BD137C"/>
    <w:rsid w:val="370F72D8"/>
    <w:rsid w:val="38053EDF"/>
    <w:rsid w:val="380812A4"/>
    <w:rsid w:val="381274A5"/>
    <w:rsid w:val="385C2E16"/>
    <w:rsid w:val="385D37E7"/>
    <w:rsid w:val="38782EDD"/>
    <w:rsid w:val="3B42664A"/>
    <w:rsid w:val="3CAD1E92"/>
    <w:rsid w:val="3CC30F19"/>
    <w:rsid w:val="3D836A4E"/>
    <w:rsid w:val="3E95439E"/>
    <w:rsid w:val="3EA37E97"/>
    <w:rsid w:val="3FBE0BC5"/>
    <w:rsid w:val="4048103A"/>
    <w:rsid w:val="40736643"/>
    <w:rsid w:val="40D24A7A"/>
    <w:rsid w:val="411415B8"/>
    <w:rsid w:val="41436921"/>
    <w:rsid w:val="42621029"/>
    <w:rsid w:val="42674891"/>
    <w:rsid w:val="435241E2"/>
    <w:rsid w:val="43975C51"/>
    <w:rsid w:val="439E3FA7"/>
    <w:rsid w:val="449D27EC"/>
    <w:rsid w:val="44B32266"/>
    <w:rsid w:val="44FC64F4"/>
    <w:rsid w:val="467F4585"/>
    <w:rsid w:val="470628CB"/>
    <w:rsid w:val="4729480B"/>
    <w:rsid w:val="47555BD4"/>
    <w:rsid w:val="47BC2DB1"/>
    <w:rsid w:val="47E96399"/>
    <w:rsid w:val="47F76025"/>
    <w:rsid w:val="486E33F5"/>
    <w:rsid w:val="48A405ED"/>
    <w:rsid w:val="48E12B50"/>
    <w:rsid w:val="499441BE"/>
    <w:rsid w:val="499A6C1C"/>
    <w:rsid w:val="499C7517"/>
    <w:rsid w:val="4A195607"/>
    <w:rsid w:val="4A2138F0"/>
    <w:rsid w:val="4A583887"/>
    <w:rsid w:val="4B9F6E02"/>
    <w:rsid w:val="4BA6467C"/>
    <w:rsid w:val="4C89637B"/>
    <w:rsid w:val="4E6E48A8"/>
    <w:rsid w:val="4EEC036B"/>
    <w:rsid w:val="4F6356C6"/>
    <w:rsid w:val="4F714FA1"/>
    <w:rsid w:val="4FFF1994"/>
    <w:rsid w:val="501D2673"/>
    <w:rsid w:val="50AF7B2F"/>
    <w:rsid w:val="50C80BF1"/>
    <w:rsid w:val="51852833"/>
    <w:rsid w:val="52F11AC8"/>
    <w:rsid w:val="534F49D9"/>
    <w:rsid w:val="53555F0F"/>
    <w:rsid w:val="535D23D5"/>
    <w:rsid w:val="557B259F"/>
    <w:rsid w:val="56F4341A"/>
    <w:rsid w:val="575A7321"/>
    <w:rsid w:val="580C3AB9"/>
    <w:rsid w:val="583C7AE0"/>
    <w:rsid w:val="586C1E9A"/>
    <w:rsid w:val="586E0800"/>
    <w:rsid w:val="59216F96"/>
    <w:rsid w:val="598C4145"/>
    <w:rsid w:val="59957D1B"/>
    <w:rsid w:val="59D4294E"/>
    <w:rsid w:val="5A0A5DD6"/>
    <w:rsid w:val="5B634312"/>
    <w:rsid w:val="5B9D2CCD"/>
    <w:rsid w:val="5B9E71EA"/>
    <w:rsid w:val="5DEA5D92"/>
    <w:rsid w:val="5E226FBC"/>
    <w:rsid w:val="5FE72BD2"/>
    <w:rsid w:val="60120613"/>
    <w:rsid w:val="618D5292"/>
    <w:rsid w:val="622E78FA"/>
    <w:rsid w:val="63343F70"/>
    <w:rsid w:val="64296E1C"/>
    <w:rsid w:val="64386FCC"/>
    <w:rsid w:val="649E64A2"/>
    <w:rsid w:val="65E5270A"/>
    <w:rsid w:val="65FF0B24"/>
    <w:rsid w:val="660D737A"/>
    <w:rsid w:val="663D3C54"/>
    <w:rsid w:val="667A6962"/>
    <w:rsid w:val="66862C89"/>
    <w:rsid w:val="66BB486D"/>
    <w:rsid w:val="67394C7D"/>
    <w:rsid w:val="67AC7E1E"/>
    <w:rsid w:val="68126B38"/>
    <w:rsid w:val="68291A1A"/>
    <w:rsid w:val="68352BB8"/>
    <w:rsid w:val="691327EB"/>
    <w:rsid w:val="691B1594"/>
    <w:rsid w:val="693A016B"/>
    <w:rsid w:val="69E76134"/>
    <w:rsid w:val="6A153852"/>
    <w:rsid w:val="6A17429C"/>
    <w:rsid w:val="6A567EA3"/>
    <w:rsid w:val="6B4B4368"/>
    <w:rsid w:val="6B79100E"/>
    <w:rsid w:val="6C844C00"/>
    <w:rsid w:val="6E10212C"/>
    <w:rsid w:val="6E43561A"/>
    <w:rsid w:val="6E557973"/>
    <w:rsid w:val="6E9568DB"/>
    <w:rsid w:val="6EAD163D"/>
    <w:rsid w:val="6F0D6C22"/>
    <w:rsid w:val="6F47657F"/>
    <w:rsid w:val="6F4B0F13"/>
    <w:rsid w:val="6FAF23D9"/>
    <w:rsid w:val="70635CF6"/>
    <w:rsid w:val="70670707"/>
    <w:rsid w:val="70EF59EB"/>
    <w:rsid w:val="716A5681"/>
    <w:rsid w:val="71E9594F"/>
    <w:rsid w:val="720E3691"/>
    <w:rsid w:val="7249173A"/>
    <w:rsid w:val="724E244C"/>
    <w:rsid w:val="72DA6946"/>
    <w:rsid w:val="732764B3"/>
    <w:rsid w:val="74026044"/>
    <w:rsid w:val="74325A77"/>
    <w:rsid w:val="74746410"/>
    <w:rsid w:val="753A79B9"/>
    <w:rsid w:val="75C8506C"/>
    <w:rsid w:val="75E5007C"/>
    <w:rsid w:val="77636B63"/>
    <w:rsid w:val="77813724"/>
    <w:rsid w:val="77861774"/>
    <w:rsid w:val="7836476D"/>
    <w:rsid w:val="78F31435"/>
    <w:rsid w:val="79300B45"/>
    <w:rsid w:val="794D3E18"/>
    <w:rsid w:val="79F3729A"/>
    <w:rsid w:val="7A880722"/>
    <w:rsid w:val="7ABE6120"/>
    <w:rsid w:val="7ACB0498"/>
    <w:rsid w:val="7ACB3179"/>
    <w:rsid w:val="7AED0B4D"/>
    <w:rsid w:val="7C1E4487"/>
    <w:rsid w:val="7C215E02"/>
    <w:rsid w:val="7CF23764"/>
    <w:rsid w:val="7D6531A0"/>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11114</Words>
  <Characters>11683</Characters>
  <Lines>0</Lines>
  <Paragraphs>0</Paragraphs>
  <TotalTime>4</TotalTime>
  <ScaleCrop>false</ScaleCrop>
  <LinksUpToDate>false</LinksUpToDate>
  <CharactersWithSpaces>11755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2025-10-23T08:38:58Z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