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5679"/>
      <w:bookmarkStart w:id="1" w:name="_Toc25575"/>
      <w:bookmarkStart w:id="2" w:name="_Toc29123"/>
      <w:bookmarkStart w:id="3" w:name="_Toc1949"/>
      <w:r>
        <w:rPr>
          <w:rFonts w:hint="eastAsia" w:ascii="宋体" w:hAnsi="宋体" w:eastAsia="宋体" w:cs="宋体"/>
          <w:b/>
          <w:bCs/>
          <w:color w:val="auto"/>
          <w:sz w:val="40"/>
          <w:szCs w:val="40"/>
          <w:highlight w:val="none"/>
          <w:shd w:val="clear" w:color="auto" w:fill="auto"/>
          <w:lang w:val="en-US" w:eastAsia="zh-CN"/>
        </w:rPr>
        <w:t>2024年农业经营主体能力提升项目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6AAADC36">
      <w:pPr>
        <w:spacing w:line="360" w:lineRule="auto"/>
        <w:ind w:firstLine="0" w:firstLineChars="0"/>
        <w:jc w:val="left"/>
        <w:rPr>
          <w:rFonts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项目名称：2024年农业经营主体能力提升项目</w:t>
      </w:r>
    </w:p>
    <w:p w14:paraId="2DB4C6FE">
      <w:pPr>
        <w:spacing w:line="360" w:lineRule="auto"/>
        <w:ind w:firstLine="0" w:firstLineChars="0"/>
        <w:jc w:val="left"/>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eastAsia="zh-CN"/>
        </w:rPr>
        <w:t>阜康市农村合作经济发展指导中心</w:t>
      </w:r>
    </w:p>
    <w:p w14:paraId="2EC45FE1">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rPr>
        <w:t>主管部门：阜康市农业农村局</w:t>
      </w:r>
    </w:p>
    <w:p w14:paraId="065BEE39">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lang w:eastAsia="zh-CN"/>
        </w:rPr>
        <w:t>项目负责人：白金星</w:t>
      </w:r>
    </w:p>
    <w:p w14:paraId="50706B4B">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172711C6">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7A85C49B">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2212584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3912E34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17B41E7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szCs w:val="28"/>
              <w:highlight w:val="none"/>
              <w:lang w:val="en-US" w:eastAsia="zh-CN"/>
            </w:rPr>
            <w:fldChar w:fldCharType="end"/>
          </w:r>
        </w:p>
        <w:p w14:paraId="37F756E6">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ED330E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7</w:t>
          </w:r>
          <w:r>
            <w:rPr>
              <w:color w:val="auto"/>
              <w:highlight w:val="none"/>
            </w:rPr>
            <w:fldChar w:fldCharType="end"/>
          </w:r>
          <w:r>
            <w:rPr>
              <w:rFonts w:hint="eastAsia"/>
              <w:color w:val="auto"/>
              <w:szCs w:val="28"/>
              <w:highlight w:val="none"/>
              <w:lang w:val="en-US" w:eastAsia="zh-CN"/>
            </w:rPr>
            <w:fldChar w:fldCharType="end"/>
          </w:r>
        </w:p>
        <w:p w14:paraId="4147760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11</w:t>
          </w:r>
          <w:r>
            <w:rPr>
              <w:color w:val="auto"/>
              <w:highlight w:val="none"/>
            </w:rPr>
            <w:fldChar w:fldCharType="end"/>
          </w:r>
          <w:r>
            <w:rPr>
              <w:rFonts w:hint="eastAsia"/>
              <w:color w:val="auto"/>
              <w:szCs w:val="28"/>
              <w:highlight w:val="none"/>
              <w:lang w:val="en-US" w:eastAsia="zh-CN"/>
            </w:rPr>
            <w:fldChar w:fldCharType="end"/>
          </w:r>
        </w:p>
        <w:p w14:paraId="556FEB0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14</w:t>
          </w:r>
          <w:r>
            <w:rPr>
              <w:color w:val="auto"/>
              <w:highlight w:val="none"/>
            </w:rPr>
            <w:fldChar w:fldCharType="end"/>
          </w:r>
          <w:r>
            <w:rPr>
              <w:rFonts w:hint="eastAsia"/>
              <w:color w:val="auto"/>
              <w:szCs w:val="28"/>
              <w:highlight w:val="none"/>
              <w:lang w:val="en-US" w:eastAsia="zh-CN"/>
            </w:rPr>
            <w:fldChar w:fldCharType="end"/>
          </w:r>
        </w:p>
        <w:p w14:paraId="3B81565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0A9E6E0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59A17E5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41287B2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4403B4F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5BC5DC5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21</w:t>
          </w:r>
          <w:r>
            <w:rPr>
              <w:color w:val="auto"/>
              <w:highlight w:val="none"/>
            </w:rPr>
            <w:fldChar w:fldCharType="end"/>
          </w:r>
          <w:r>
            <w:rPr>
              <w:rFonts w:hint="eastAsia"/>
              <w:color w:val="auto"/>
              <w:szCs w:val="28"/>
              <w:highlight w:val="none"/>
              <w:lang w:val="en-US" w:eastAsia="zh-CN"/>
            </w:rPr>
            <w:fldChar w:fldCharType="end"/>
          </w:r>
        </w:p>
        <w:p w14:paraId="639A1B4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285AC91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28EABBB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1E847F20">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F56B39E">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1991B23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szCs w:val="28"/>
              <w:highlight w:val="none"/>
              <w:lang w:val="en-US" w:eastAsia="zh-CN"/>
            </w:rPr>
            <w:fldChar w:fldCharType="end"/>
          </w:r>
        </w:p>
        <w:p w14:paraId="740F1495">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DBAE4F1">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57FE964F">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29</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92CC8F2">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34</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58C84BE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36"/>
          <w:szCs w:val="36"/>
          <w:highlight w:val="none"/>
          <w:shd w:val="clear" w:color="auto" w:fill="auto"/>
        </w:rPr>
      </w:pPr>
      <w:bookmarkStart w:id="4" w:name="_Toc20432"/>
      <w:bookmarkStart w:id="5" w:name="_Toc3663"/>
      <w:bookmarkStart w:id="6" w:name="_Toc1194"/>
      <w:bookmarkStart w:id="7" w:name="_Toc22946"/>
      <w:r>
        <w:rPr>
          <w:rFonts w:hint="eastAsia" w:ascii="宋体" w:hAnsi="宋体" w:eastAsia="宋体" w:cs="宋体"/>
          <w:b/>
          <w:bCs/>
          <w:color w:val="auto"/>
          <w:sz w:val="36"/>
          <w:szCs w:val="36"/>
          <w:highlight w:val="none"/>
          <w:shd w:val="clear" w:color="auto" w:fill="auto"/>
        </w:rPr>
        <w:t>2024年农业经营主体能力提升项目支出绩效</w:t>
      </w:r>
    </w:p>
    <w:p w14:paraId="7E69E1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r>
        <w:rPr>
          <w:rFonts w:hint="eastAsia" w:ascii="宋体" w:hAnsi="宋体" w:eastAsia="宋体" w:cs="宋体"/>
          <w:b/>
          <w:bCs/>
          <w:color w:val="auto"/>
          <w:sz w:val="36"/>
          <w:szCs w:val="36"/>
          <w:highlight w:val="none"/>
          <w:shd w:val="clear" w:color="auto" w:fill="auto"/>
        </w:rPr>
        <w:t>评价报告</w:t>
      </w:r>
      <w:bookmarkEnd w:id="4"/>
      <w:bookmarkEnd w:id="5"/>
      <w:bookmarkEnd w:id="6"/>
      <w:bookmarkEnd w:id="7"/>
    </w:p>
    <w:p w14:paraId="6F6F00AD">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57D21E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9" w:name="_Toc23184"/>
      <w:r>
        <w:rPr>
          <w:rFonts w:hint="eastAsia" w:ascii="Times New Roman" w:hAnsi="Times New Roman" w:eastAsia="楷体_GB2312" w:cs="Times New Roman"/>
          <w:color w:val="auto"/>
          <w:kern w:val="28"/>
          <w:sz w:val="32"/>
          <w:highlight w:val="none"/>
          <w:lang w:val="en-US" w:eastAsia="zh-CN"/>
        </w:rPr>
        <w:t>（一）项目概况</w:t>
      </w:r>
      <w:bookmarkEnd w:id="9"/>
    </w:p>
    <w:p w14:paraId="625E81A0">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29812"/>
      <w:bookmarkStart w:id="11" w:name="_Toc22346"/>
      <w:bookmarkStart w:id="12" w:name="_Toc10645"/>
      <w:bookmarkStart w:id="13" w:name="_Toc5043"/>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54A8DC2D">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根据《</w:t>
      </w:r>
      <w:r>
        <w:rPr>
          <w:rFonts w:hint="default" w:ascii="仿宋_GB2312" w:hAnsi="仿宋_GB2312" w:eastAsia="仿宋_GB2312" w:cs="仿宋_GB2312"/>
          <w:color w:val="auto"/>
          <w:sz w:val="32"/>
          <w:szCs w:val="32"/>
          <w:highlight w:val="none"/>
          <w:lang w:val="en-US" w:eastAsia="zh-CN"/>
        </w:rPr>
        <w:t>关于印发</w:t>
      </w:r>
      <w:r>
        <w:rPr>
          <w:rFonts w:hint="eastAsia" w:ascii="仿宋_GB2312" w:hAnsi="仿宋_GB2312" w:eastAsia="仿宋_GB2312" w:cs="仿宋_GB2312"/>
          <w:color w:val="auto"/>
          <w:sz w:val="32"/>
          <w:szCs w:val="32"/>
          <w:highlight w:val="none"/>
          <w:lang w:val="en-US" w:eastAsia="zh-CN"/>
        </w:rPr>
        <w:t>&lt;昌吉州</w:t>
      </w:r>
      <w:r>
        <w:rPr>
          <w:rFonts w:hint="default" w:ascii="仿宋_GB2312" w:hAnsi="仿宋_GB2312" w:eastAsia="仿宋_GB2312" w:cs="仿宋_GB2312"/>
          <w:color w:val="auto"/>
          <w:sz w:val="32"/>
          <w:szCs w:val="32"/>
          <w:highlight w:val="none"/>
          <w:lang w:val="en-US" w:eastAsia="zh-CN"/>
        </w:rPr>
        <w:t>202</w:t>
      </w:r>
      <w:r>
        <w:rPr>
          <w:rFonts w:hint="eastAsia" w:ascii="仿宋_GB2312" w:hAnsi="仿宋_GB2312" w:eastAsia="仿宋_GB2312" w:cs="仿宋_GB2312"/>
          <w:color w:val="auto"/>
          <w:sz w:val="32"/>
          <w:szCs w:val="32"/>
          <w:highlight w:val="none"/>
          <w:lang w:val="en-US" w:eastAsia="zh-CN"/>
        </w:rPr>
        <w:t>4</w:t>
      </w:r>
      <w:r>
        <w:rPr>
          <w:rFonts w:hint="default" w:ascii="仿宋_GB2312" w:hAnsi="仿宋_GB2312" w:eastAsia="仿宋_GB2312" w:cs="仿宋_GB2312"/>
          <w:color w:val="auto"/>
          <w:sz w:val="32"/>
          <w:szCs w:val="32"/>
          <w:highlight w:val="none"/>
          <w:lang w:val="en-US" w:eastAsia="zh-CN"/>
        </w:rPr>
        <w:t>年</w:t>
      </w:r>
      <w:r>
        <w:rPr>
          <w:rFonts w:hint="eastAsia" w:ascii="仿宋_GB2312" w:hAnsi="仿宋_GB2312" w:eastAsia="仿宋_GB2312" w:cs="仿宋_GB2312"/>
          <w:color w:val="auto"/>
          <w:sz w:val="32"/>
          <w:szCs w:val="32"/>
          <w:highlight w:val="none"/>
          <w:lang w:val="en-US" w:eastAsia="zh-CN"/>
        </w:rPr>
        <w:t>农业经营主体能力提升（农民合作社培育、家庭农场培育）</w:t>
      </w:r>
      <w:r>
        <w:rPr>
          <w:rFonts w:hint="default" w:ascii="仿宋_GB2312" w:hAnsi="仿宋_GB2312" w:eastAsia="仿宋_GB2312" w:cs="仿宋_GB2312"/>
          <w:color w:val="auto"/>
          <w:sz w:val="32"/>
          <w:szCs w:val="32"/>
          <w:highlight w:val="none"/>
          <w:lang w:val="en-US" w:eastAsia="zh-CN"/>
        </w:rPr>
        <w:t>项目实施方案</w:t>
      </w:r>
      <w:r>
        <w:rPr>
          <w:rFonts w:hint="eastAsia" w:ascii="仿宋_GB2312" w:hAnsi="仿宋_GB2312" w:eastAsia="仿宋_GB2312" w:cs="仿宋_GB2312"/>
          <w:color w:val="auto"/>
          <w:sz w:val="32"/>
          <w:szCs w:val="32"/>
          <w:highlight w:val="none"/>
          <w:lang w:val="en-US" w:eastAsia="zh-CN"/>
        </w:rPr>
        <w:t>&gt;的通知</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（昌州农字〔2024〕158号）《</w:t>
      </w:r>
      <w:r>
        <w:rPr>
          <w:rFonts w:hint="default" w:ascii="仿宋_GB2312" w:hAnsi="仿宋_GB2312" w:eastAsia="仿宋_GB2312" w:cs="仿宋_GB2312"/>
          <w:color w:val="auto"/>
          <w:sz w:val="32"/>
          <w:szCs w:val="32"/>
          <w:highlight w:val="none"/>
          <w:lang w:val="en-US" w:eastAsia="zh-CN"/>
        </w:rPr>
        <w:t>关于印发</w:t>
      </w:r>
      <w:r>
        <w:rPr>
          <w:rFonts w:hint="eastAsia" w:ascii="仿宋_GB2312" w:hAnsi="仿宋_GB2312" w:eastAsia="仿宋_GB2312" w:cs="仿宋_GB2312"/>
          <w:color w:val="auto"/>
          <w:sz w:val="32"/>
          <w:szCs w:val="32"/>
          <w:highlight w:val="none"/>
          <w:lang w:val="en-US" w:eastAsia="zh-CN"/>
        </w:rPr>
        <w:t>&lt;昌吉州</w:t>
      </w:r>
      <w:r>
        <w:rPr>
          <w:rFonts w:hint="default" w:ascii="仿宋_GB2312" w:hAnsi="仿宋_GB2312" w:eastAsia="仿宋_GB2312" w:cs="仿宋_GB2312"/>
          <w:color w:val="auto"/>
          <w:sz w:val="32"/>
          <w:szCs w:val="32"/>
          <w:highlight w:val="none"/>
          <w:lang w:val="en-US" w:eastAsia="zh-CN"/>
        </w:rPr>
        <w:t>202</w:t>
      </w:r>
      <w:r>
        <w:rPr>
          <w:rFonts w:hint="eastAsia" w:ascii="仿宋_GB2312" w:hAnsi="仿宋_GB2312" w:eastAsia="仿宋_GB2312" w:cs="仿宋_GB2312"/>
          <w:color w:val="auto"/>
          <w:sz w:val="32"/>
          <w:szCs w:val="32"/>
          <w:highlight w:val="none"/>
          <w:lang w:val="en-US" w:eastAsia="zh-CN"/>
        </w:rPr>
        <w:t>4</w:t>
      </w:r>
      <w:r>
        <w:rPr>
          <w:rFonts w:hint="default" w:ascii="仿宋_GB2312" w:hAnsi="仿宋_GB2312" w:eastAsia="仿宋_GB2312" w:cs="仿宋_GB2312"/>
          <w:color w:val="auto"/>
          <w:sz w:val="32"/>
          <w:szCs w:val="32"/>
          <w:highlight w:val="none"/>
          <w:lang w:val="en-US" w:eastAsia="zh-CN"/>
        </w:rPr>
        <w:t>年</w:t>
      </w:r>
      <w:r>
        <w:rPr>
          <w:rFonts w:hint="eastAsia" w:ascii="仿宋_GB2312" w:hAnsi="仿宋_GB2312" w:eastAsia="仿宋_GB2312" w:cs="仿宋_GB2312"/>
          <w:color w:val="auto"/>
          <w:sz w:val="32"/>
          <w:szCs w:val="32"/>
          <w:highlight w:val="none"/>
          <w:lang w:val="en-US" w:eastAsia="zh-CN"/>
        </w:rPr>
        <w:t>农业经营主体能力提升（农民合作社培育、家庭农场培育）</w:t>
      </w:r>
      <w:r>
        <w:rPr>
          <w:rFonts w:hint="default" w:ascii="仿宋_GB2312" w:hAnsi="仿宋_GB2312" w:eastAsia="仿宋_GB2312" w:cs="仿宋_GB2312"/>
          <w:color w:val="auto"/>
          <w:sz w:val="32"/>
          <w:szCs w:val="32"/>
          <w:highlight w:val="none"/>
          <w:lang w:val="en-US" w:eastAsia="zh-CN"/>
        </w:rPr>
        <w:t>项目实施方案</w:t>
      </w:r>
      <w:r>
        <w:rPr>
          <w:rFonts w:hint="eastAsia" w:ascii="仿宋_GB2312" w:hAnsi="仿宋_GB2312" w:eastAsia="仿宋_GB2312" w:cs="仿宋_GB2312"/>
          <w:color w:val="auto"/>
          <w:sz w:val="32"/>
          <w:szCs w:val="32"/>
          <w:highlight w:val="none"/>
          <w:lang w:val="en-US" w:eastAsia="zh-CN"/>
        </w:rPr>
        <w:t>&gt;的通知</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昌州农字〔2024〕159号）文件精神，阜康市为加快培育农业生产社会化服务组织，提升农业生产托管服务能力，引导小农户广泛接受各类农业社会化服务，推动发展服务带动型规模经营，实现小农户和现代农业发展有机衔接，健全农业社会化服务体系，提高农业生产的专业化、规模化、集约化水平；提升新型农业经营主体技术应用和生产经营能力，巩固拓展脱贫攻坚成果和乡村振兴有机衔接。根据《关于提前下达2024年中央新型农业经营主体能力提升项目资金预算的通知》（昌州财农〔2023〕52号）及《关于调整下达2024年中央新型农业经营主体能力提升项目资金预算的通知》（昌州财农〔2</w:t>
      </w:r>
      <w:r>
        <w:rPr>
          <w:rFonts w:hint="eastAsia" w:ascii="仿宋_GB2312" w:hAnsi="仿宋_GB2312" w:eastAsia="仿宋_GB2312" w:cs="仿宋_GB2312"/>
          <w:color w:val="auto"/>
          <w:sz w:val="32"/>
          <w:szCs w:val="32"/>
          <w:highlight w:val="none"/>
        </w:rPr>
        <w:t>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号）文件下达我市项目资金</w:t>
      </w:r>
      <w:r>
        <w:rPr>
          <w:rFonts w:hint="eastAsia" w:ascii="仿宋_GB2312" w:hAnsi="仿宋_GB2312" w:eastAsia="仿宋_GB2312" w:cs="仿宋_GB2312"/>
          <w:color w:val="auto"/>
          <w:sz w:val="32"/>
          <w:szCs w:val="32"/>
          <w:highlight w:val="none"/>
          <w:lang w:val="en-US" w:eastAsia="zh-CN"/>
        </w:rPr>
        <w:t>422</w:t>
      </w:r>
      <w:r>
        <w:rPr>
          <w:rFonts w:hint="eastAsia" w:ascii="仿宋_GB2312" w:hAnsi="仿宋_GB2312" w:eastAsia="仿宋_GB2312" w:cs="仿宋_GB2312"/>
          <w:color w:val="auto"/>
          <w:sz w:val="32"/>
          <w:szCs w:val="32"/>
          <w:highlight w:val="none"/>
        </w:rPr>
        <w:t>万元，资金主要用途为</w:t>
      </w:r>
      <w:r>
        <w:rPr>
          <w:rFonts w:hint="eastAsia" w:ascii="仿宋_GB2312" w:hAnsi="仿宋_GB2312" w:eastAsia="仿宋_GB2312" w:cs="仿宋_GB2312"/>
          <w:color w:val="auto"/>
          <w:sz w:val="32"/>
          <w:szCs w:val="32"/>
          <w:highlight w:val="none"/>
          <w:lang w:eastAsia="zh-CN"/>
        </w:rPr>
        <w:t>扶持服务型农民专业合作社完成粮食任务面积及扶持我市区级以上农民合作社4家、县级以上家庭农场7家，用于农业机械购买及圈舍改造。</w:t>
      </w:r>
    </w:p>
    <w:p w14:paraId="4F5AE66B">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4" w:name="_Toc10730"/>
      <w:bookmarkStart w:id="15" w:name="_Toc17880"/>
      <w:bookmarkStart w:id="16" w:name="_Toc27343"/>
      <w:bookmarkStart w:id="17" w:name="_Toc1630"/>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4"/>
      <w:bookmarkEnd w:id="15"/>
      <w:bookmarkEnd w:id="16"/>
      <w:bookmarkEnd w:id="17"/>
    </w:p>
    <w:p w14:paraId="69D307F4">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sz w:val="32"/>
          <w:szCs w:val="32"/>
          <w:highlight w:val="none"/>
          <w:shd w:val="clear" w:color="auto" w:fill="auto"/>
          <w:lang w:eastAsia="zh-CN"/>
        </w:rPr>
      </w:pPr>
      <w:bookmarkStart w:id="18" w:name="_Toc16592"/>
      <w:bookmarkStart w:id="19" w:name="_Toc27245"/>
      <w:bookmarkStart w:id="20" w:name="_Toc21898"/>
      <w:bookmarkStart w:id="21" w:name="_Toc27409"/>
      <w:r>
        <w:rPr>
          <w:rFonts w:hint="eastAsia" w:ascii="仿宋_GB2312" w:hAnsi="仿宋_GB2312" w:eastAsia="仿宋_GB2312" w:cs="仿宋_GB2312"/>
          <w:b w:val="0"/>
          <w:bCs w:val="0"/>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color w:val="auto"/>
          <w:sz w:val="32"/>
          <w:szCs w:val="32"/>
          <w:highlight w:val="none"/>
          <w:shd w:val="clear" w:color="auto" w:fill="auto"/>
          <w:lang w:eastAsia="zh-CN"/>
        </w:rPr>
        <w:t>2024年支持3家服务型农民专业合作社完成粮食（小麦、玉米）“耕”“种”“防”“收”全程托管农业生产社会化服务面积5.5万亩；扶持我市区级以上农民合作社4家，每家补助20万元；扶持县级以上家庭农场7家，每家补助6万元，共</w:t>
      </w:r>
      <w:r>
        <w:rPr>
          <w:rFonts w:hint="eastAsia" w:cs="仿宋_GB2312"/>
          <w:b w:val="0"/>
          <w:bCs w:val="0"/>
          <w:color w:val="auto"/>
          <w:sz w:val="32"/>
          <w:szCs w:val="32"/>
          <w:highlight w:val="none"/>
          <w:shd w:val="clear" w:color="auto" w:fill="auto"/>
          <w:lang w:val="en-US" w:eastAsia="zh-CN"/>
        </w:rPr>
        <w:t>421.99</w:t>
      </w:r>
      <w:r>
        <w:rPr>
          <w:rFonts w:hint="eastAsia" w:ascii="仿宋_GB2312" w:hAnsi="仿宋_GB2312" w:eastAsia="仿宋_GB2312" w:cs="仿宋_GB2312"/>
          <w:b w:val="0"/>
          <w:bCs w:val="0"/>
          <w:color w:val="auto"/>
          <w:sz w:val="32"/>
          <w:szCs w:val="32"/>
          <w:highlight w:val="none"/>
          <w:shd w:val="clear" w:color="auto" w:fill="auto"/>
          <w:lang w:eastAsia="zh-CN"/>
        </w:rPr>
        <w:t>万元，用于农业机械购买及圈舍改造。</w:t>
      </w:r>
    </w:p>
    <w:p w14:paraId="1A1A286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2024年10月18日上报项目方案，经市农村合作经济发展指导中心会议，确定了项目领导小组，明确了责任分工：组长为白金星，副组长为马磊，项目负责人为白金星,组员为努尔江、王玲，其中：努尔江负责监管工作、项目档案资料，王玲负责资金拨付工作。</w:t>
      </w:r>
    </w:p>
    <w:p w14:paraId="75064B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FF0000"/>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截至2024年12月31日，本项目共计完成</w:t>
      </w:r>
      <w:r>
        <w:rPr>
          <w:rFonts w:hint="eastAsia" w:ascii="仿宋_GB2312" w:hAnsi="仿宋_GB2312" w:eastAsia="仿宋_GB2312" w:cs="仿宋_GB2312"/>
          <w:b w:val="0"/>
          <w:bCs w:val="0"/>
          <w:color w:val="auto"/>
          <w:sz w:val="32"/>
          <w:szCs w:val="32"/>
          <w:highlight w:val="none"/>
          <w:shd w:val="clear" w:color="auto" w:fill="auto"/>
          <w:lang w:eastAsia="zh-CN"/>
        </w:rPr>
        <w:t>粮食（小麦、玉米）“耕”“种”“防”“收”全程托管农业生产社会化服务面积5.5万亩，扶持我市区级以上农民合作社4家、县级以上家庭农场7家。</w:t>
      </w:r>
    </w:p>
    <w:p w14:paraId="6DB630F1">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569"/>
      <w:bookmarkStart w:id="23" w:name="_Toc1858"/>
      <w:bookmarkStart w:id="24" w:name="_Toc10240"/>
      <w:bookmarkStart w:id="25" w:name="_Toc12348"/>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26369"/>
      <w:bookmarkStart w:id="27" w:name="_Toc694"/>
      <w:bookmarkStart w:id="28" w:name="_Toc23509"/>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023D0DCE">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9464"/>
      <w:bookmarkStart w:id="30" w:name="_Toc29190"/>
      <w:bookmarkStart w:id="31" w:name="_Toc5573"/>
      <w:r>
        <w:rPr>
          <w:rFonts w:hint="eastAsia" w:ascii="仿宋_GB2312" w:hAnsi="仿宋_GB2312" w:eastAsia="仿宋_GB2312" w:cs="仿宋_GB2312"/>
          <w:color w:val="auto"/>
          <w:sz w:val="32"/>
          <w:szCs w:val="32"/>
          <w:highlight w:val="none"/>
          <w:lang w:val="en-US" w:eastAsia="zh-CN"/>
        </w:rPr>
        <w:t>该项目年初预算数421.99万元，全年预算数421.99万元，该项目资金已全部落实到位，资金来源为财政拨款</w:t>
      </w:r>
      <w:bookmarkEnd w:id="29"/>
      <w:bookmarkEnd w:id="30"/>
      <w:bookmarkEnd w:id="31"/>
      <w:bookmarkStart w:id="32" w:name="_Toc3409"/>
      <w:bookmarkStart w:id="33" w:name="_Toc28187"/>
      <w:bookmarkStart w:id="34" w:name="_Toc1166"/>
      <w:r>
        <w:rPr>
          <w:rFonts w:hint="eastAsia" w:ascii="仿宋_GB2312" w:hAnsi="仿宋_GB2312" w:eastAsia="仿宋_GB2312" w:cs="仿宋_GB2312"/>
          <w:color w:val="auto"/>
          <w:sz w:val="32"/>
          <w:szCs w:val="32"/>
          <w:highlight w:val="none"/>
          <w:lang w:val="en-US" w:eastAsia="zh-CN"/>
        </w:rPr>
        <w:t>。</w:t>
      </w:r>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color w:val="auto"/>
          <w:sz w:val="32"/>
          <w:szCs w:val="32"/>
          <w:highlight w:val="none"/>
          <w:lang w:val="en-US" w:eastAsia="zh-CN"/>
        </w:rPr>
      </w:pPr>
      <w:bookmarkStart w:id="35" w:name="_Toc1430"/>
      <w:bookmarkStart w:id="36" w:name="_Toc11647"/>
      <w:bookmarkStart w:id="37" w:name="_Toc29121"/>
      <w:r>
        <w:rPr>
          <w:rFonts w:hint="eastAsia" w:ascii="仿宋_GB2312" w:hAnsi="仿宋_GB2312" w:eastAsia="仿宋_GB2312" w:cs="仿宋_GB2312"/>
          <w:color w:val="auto"/>
          <w:sz w:val="32"/>
          <w:szCs w:val="32"/>
          <w:highlight w:val="none"/>
          <w:lang w:val="en-US" w:eastAsia="zh-CN"/>
        </w:rPr>
        <w:t>该项目年初预算数421.99万元，全年预算数421.99万元，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421.99万元，预算执行率为100%，主要用于：支持服务型农民专业合作社，实际完成了粮食（小麦、玉米）“耕”“种”“防”“收”全程托管农业生产社会化服务面积5.5万亩，补助资金299.99万元，扶持4家农民合作社和7家家庭农场，补助资金122万元</w:t>
      </w:r>
      <w:bookmarkEnd w:id="35"/>
      <w:bookmarkEnd w:id="36"/>
      <w:bookmarkEnd w:id="37"/>
      <w:r>
        <w:rPr>
          <w:rFonts w:hint="eastAsia" w:ascii="仿宋_GB2312" w:hAnsi="仿宋_GB2312" w:eastAsia="仿宋_GB2312" w:cs="仿宋_GB2312"/>
          <w:color w:val="auto"/>
          <w:sz w:val="32"/>
          <w:szCs w:val="32"/>
          <w:highlight w:val="none"/>
          <w:lang w:val="en-US" w:eastAsia="zh-CN"/>
        </w:rPr>
        <w:t>，共421.99万元。</w:t>
      </w:r>
    </w:p>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8" w:name="_Toc9109"/>
      <w:r>
        <w:rPr>
          <w:rFonts w:hint="eastAsia" w:ascii="Times New Roman" w:hAnsi="Times New Roman" w:eastAsia="楷体_GB2312" w:cs="Times New Roman"/>
          <w:color w:val="auto"/>
          <w:kern w:val="28"/>
          <w:sz w:val="32"/>
          <w:highlight w:val="none"/>
          <w:lang w:val="en-US" w:eastAsia="zh-CN"/>
        </w:rPr>
        <w:t>（二）项目绩效目标</w:t>
      </w:r>
      <w:bookmarkEnd w:id="38"/>
    </w:p>
    <w:p w14:paraId="799BBCD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9" w:name="_Toc14758"/>
      <w:bookmarkStart w:id="40" w:name="_Toc2547"/>
      <w:bookmarkStart w:id="41" w:name="_Toc10047"/>
      <w:bookmarkStart w:id="42" w:name="_Toc8528"/>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6B8735D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2024年农业经营主体能力提升项目绩效总体目标为：2024年计划支持服务型农民专业合作社完成粮食（小麦、玉米）“耕”“种”“防”“收”全程托管农业生产社会化服务面积5.5万亩；扶持我市区级以上农民合作社4家，每家补助20万元；扶持县级以上家庭农场7家，每家补助6万元，共122万元，</w:t>
      </w:r>
      <w:r>
        <w:rPr>
          <w:rFonts w:hint="eastAsia" w:ascii="仿宋_GB2312" w:hAnsi="仿宋_GB2312" w:eastAsia="仿宋_GB2312" w:cs="仿宋_GB2312"/>
          <w:color w:val="auto"/>
          <w:sz w:val="32"/>
          <w:szCs w:val="32"/>
          <w:highlight w:val="none"/>
          <w:lang w:val="en-US" w:eastAsia="zh-CN"/>
        </w:rPr>
        <w:t>共421.99万元，</w:t>
      </w:r>
      <w:r>
        <w:rPr>
          <w:rFonts w:hint="eastAsia" w:ascii="仿宋_GB2312" w:hAnsi="仿宋_GB2312" w:eastAsia="仿宋_GB2312" w:cs="仿宋_GB2312"/>
          <w:color w:val="auto"/>
          <w:sz w:val="32"/>
          <w:szCs w:val="32"/>
          <w:highlight w:val="none"/>
          <w:shd w:val="clear" w:color="auto" w:fill="auto"/>
          <w:lang w:val="en-US" w:eastAsia="zh-CN"/>
        </w:rPr>
        <w:t>用于农业机械购买及圈舍改造。通过项目实施，将增强农民合作社示范社和示范家庭农场发展水平和带动能力。</w:t>
      </w:r>
    </w:p>
    <w:p w14:paraId="37B7522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3" w:name="_Toc8990"/>
      <w:bookmarkStart w:id="44" w:name="_Toc4487"/>
      <w:bookmarkStart w:id="45" w:name="_Toc3255"/>
      <w:bookmarkStart w:id="46" w:name="_Toc4007"/>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6472F4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1E9ABF2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4BFA75D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“支持的农民合作社数量”指标，预期目标值为≥4个；</w:t>
      </w:r>
    </w:p>
    <w:p w14:paraId="2D28EA1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“支持的家庭农场数量”指标，预期目标值为≥7个；</w:t>
      </w:r>
    </w:p>
    <w:p w14:paraId="46249D1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“农业生产托管服务面积”指标，预期目标为≥5.5万亩。</w:t>
      </w:r>
    </w:p>
    <w:p w14:paraId="4C2C7C8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5E0550B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“农业生产社会化服务对象提高单产水平”指标，预期目标值为＝100%；</w:t>
      </w:r>
    </w:p>
    <w:p w14:paraId="328699D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2F65F9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“项目完成时间”指标，预期目标值为2024年11月5日；</w:t>
      </w:r>
    </w:p>
    <w:p w14:paraId="2C0015F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color w:val="auto"/>
          <w:highlight w:val="none"/>
          <w:lang w:val="en-US" w:eastAsia="zh-CN"/>
        </w:rPr>
      </w:pPr>
      <w:r>
        <w:rPr>
          <w:rFonts w:hint="eastAsia" w:ascii="宋体" w:hAnsi="宋体" w:eastAsia="宋体" w:cs="宋体"/>
          <w:color w:val="auto"/>
          <w:kern w:val="2"/>
          <w:sz w:val="28"/>
          <w:szCs w:val="28"/>
          <w:highlight w:val="none"/>
          <w:lang w:val="en-US" w:eastAsia="zh-CN" w:bidi="ar-SA"/>
        </w:rPr>
        <w:t>（2）</w:t>
      </w:r>
      <w:r>
        <w:rPr>
          <w:rFonts w:hint="eastAsia" w:ascii="仿宋_GB2312" w:hAnsi="仿宋_GB2312" w:eastAsia="仿宋_GB2312" w:cs="仿宋_GB2312"/>
          <w:color w:val="auto"/>
          <w:sz w:val="32"/>
          <w:szCs w:val="32"/>
          <w:highlight w:val="none"/>
          <w:shd w:val="clear" w:color="auto" w:fill="auto"/>
          <w:lang w:val="en-US" w:eastAsia="zh-CN"/>
        </w:rPr>
        <w:t>成本指标</w:t>
      </w:r>
    </w:p>
    <w:p w14:paraId="239284D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本项目不涉及经济效益指标。</w:t>
      </w:r>
    </w:p>
    <w:p w14:paraId="719C506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6297A60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523F10D0">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本项目不涉及经济效益指标。</w:t>
      </w:r>
    </w:p>
    <w:p w14:paraId="37722A1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39288B5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“农民合作社示范社和示范家庭农场发展水平和带动能力”指标，预期目标值为增强；</w:t>
      </w:r>
    </w:p>
    <w:p w14:paraId="4A8B104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③生态效益指标</w:t>
      </w:r>
    </w:p>
    <w:p w14:paraId="016D7B3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本项目不涉及生态效益指标。</w:t>
      </w:r>
    </w:p>
    <w:p w14:paraId="1356B49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④可持续影响指标</w:t>
      </w:r>
    </w:p>
    <w:p w14:paraId="414A859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本项目不涉及可持续影响指标。</w:t>
      </w:r>
    </w:p>
    <w:p w14:paraId="338C94B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⑤满意度指标</w:t>
      </w:r>
    </w:p>
    <w:p w14:paraId="61D423F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接受社会化服务的小农户满意度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指标，预期目标值为≥98%。</w:t>
      </w:r>
    </w:p>
    <w:p w14:paraId="123E4843">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7" w:name="_Toc26567"/>
      <w:r>
        <w:rPr>
          <w:rFonts w:hint="eastAsia" w:ascii="宋体" w:hAnsi="宋体" w:eastAsia="宋体" w:cs="宋体"/>
          <w:b/>
          <w:bCs/>
          <w:color w:val="auto"/>
          <w:highlight w:val="none"/>
          <w:shd w:val="clear" w:color="auto" w:fill="auto"/>
        </w:rPr>
        <w:t>二、绩效评价工作开展情况</w:t>
      </w:r>
      <w:bookmarkEnd w:id="47"/>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8" w:name="_Toc5462343"/>
      <w:bookmarkStart w:id="49" w:name="_Toc12868"/>
      <w:bookmarkStart w:id="50" w:name="_Toc22169_WPSOffice_Level2"/>
      <w:bookmarkStart w:id="51" w:name="_Toc21664"/>
      <w:bookmarkStart w:id="52" w:name="_Toc480473081"/>
      <w:bookmarkStart w:id="53" w:name="_Toc5258"/>
      <w:bookmarkStart w:id="54" w:name="_Toc26632"/>
      <w:bookmarkStart w:id="55" w:name="_Toc22922"/>
      <w:bookmarkStart w:id="56" w:name="_Toc22839"/>
      <w:r>
        <w:rPr>
          <w:rFonts w:hint="eastAsia" w:ascii="Times New Roman" w:hAnsi="Times New Roman" w:eastAsia="楷体_GB2312" w:cs="Times New Roman"/>
          <w:color w:val="auto"/>
          <w:kern w:val="28"/>
          <w:sz w:val="32"/>
          <w:highlight w:val="none"/>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highlight w:val="none"/>
          <w:lang w:val="en-US" w:eastAsia="zh-CN"/>
        </w:rPr>
        <w:t>、对象和范围</w:t>
      </w:r>
      <w:bookmarkEnd w:id="56"/>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w:t>
      </w:r>
    </w:p>
    <w:p w14:paraId="30060005">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417"/>
      <w:bookmarkStart w:id="59" w:name="_Toc21770"/>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通过对项目预算执行情况及各项绩效目标达成程度的系统性分析，全面、客观地评估项目在预定周期内的实施效果，包括社会效益等维度指标，为项目后续的改进与优化提供科学依据。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1" w:name="_Toc31970"/>
      <w:bookmarkStart w:id="62" w:name="_Toc16346"/>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0"/>
      <w:bookmarkEnd w:id="61"/>
      <w:bookmarkEnd w:id="62"/>
    </w:p>
    <w:p w14:paraId="0871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文件要求对2024年度我单位实施的2024年农业经营主体能力提升项目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该项目由阜康市农村合作经济发展指导中心负责实施，旨在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健全农业社会化服务体系，提高农业生产的专业化、规模化、集约化水平，提升新型农业经营主体技术应用和生产经营能力</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421.99</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3F83EA6E">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val="0"/>
          <w:bCs w:val="0"/>
          <w:color w:val="auto"/>
          <w:sz w:val="32"/>
          <w:szCs w:val="32"/>
          <w:highlight w:val="none"/>
        </w:rPr>
      </w:pPr>
      <w:bookmarkStart w:id="63" w:name="_Toc11666"/>
      <w:bookmarkStart w:id="64" w:name="_Toc21311"/>
      <w:r>
        <w:rPr>
          <w:rFonts w:hint="default" w:cs="仿宋_GB2312"/>
          <w:color w:val="auto"/>
          <w:sz w:val="32"/>
          <w:szCs w:val="32"/>
          <w:highlight w:val="none"/>
          <w:shd w:val="clear" w:color="auto" w:fill="auto"/>
          <w:lang w:val="en-US" w:eastAsia="zh-CN"/>
        </w:rPr>
        <w:t>4.绩效评价的范围</w:t>
      </w:r>
      <w:bookmarkEnd w:id="63"/>
      <w:bookmarkEnd w:id="64"/>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w:t>
      </w:r>
    </w:p>
    <w:p w14:paraId="267E8AEF">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1E59BB3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社会影响：考察项目</w:t>
      </w:r>
      <w:r>
        <w:rPr>
          <w:rFonts w:hint="eastAsia" w:ascii="仿宋_GB2312" w:hAnsi="仿宋_GB2312" w:eastAsia="仿宋_GB2312" w:cs="仿宋_GB2312"/>
          <w:b w:val="0"/>
          <w:bCs w:val="0"/>
          <w:color w:val="auto"/>
          <w:sz w:val="32"/>
          <w:szCs w:val="32"/>
          <w:highlight w:val="none"/>
          <w:lang w:eastAsia="zh-CN"/>
        </w:rPr>
        <w:t>对社会方面</w:t>
      </w:r>
      <w:r>
        <w:rPr>
          <w:rFonts w:hint="eastAsia" w:ascii="仿宋_GB2312" w:hAnsi="仿宋_GB2312" w:eastAsia="仿宋_GB2312" w:cs="仿宋_GB2312"/>
          <w:b w:val="0"/>
          <w:bCs w:val="0"/>
          <w:color w:val="auto"/>
          <w:sz w:val="32"/>
          <w:szCs w:val="32"/>
          <w:highlight w:val="none"/>
        </w:rPr>
        <w:t>的影响。</w:t>
      </w:r>
    </w:p>
    <w:p w14:paraId="01C5BF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5" w:name="_Toc29785"/>
      <w:bookmarkStart w:id="66" w:name="_Toc1286"/>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5"/>
      <w:bookmarkEnd w:id="66"/>
    </w:p>
    <w:p w14:paraId="6DBEF5B2">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7" w:name="_Toc13694"/>
      <w:bookmarkStart w:id="68" w:name="_Toc5354"/>
      <w:bookmarkStart w:id="69" w:name="_Toc24506"/>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7"/>
      <w:bookmarkEnd w:id="68"/>
      <w:bookmarkEnd w:id="69"/>
    </w:p>
    <w:p w14:paraId="15623C5B">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2024年农业经营主体能力提升项目实际开展情况，运用定量和定性分析相结合的方法，总结经验做法，反思项目实施和管理中的问题，以切实提升财政资金管理的科学化、规范化和精细化水平。</w:t>
      </w:r>
    </w:p>
    <w:p w14:paraId="7860D5DF">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0" w:name="_Toc428278230"/>
      <w:bookmarkStart w:id="71" w:name="_Toc24396"/>
      <w:bookmarkStart w:id="72" w:name="_Toc419984722"/>
      <w:bookmarkStart w:id="73" w:name="_Toc1913"/>
      <w:bookmarkStart w:id="74" w:name="_Toc26131"/>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5"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2FEBA0E2">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30114"/>
      <w:bookmarkStart w:id="77" w:name="_Toc5690"/>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044ECC2B">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024CFA70">
      <w:pPr>
        <w:numPr>
          <w:ilvl w:val="0"/>
          <w:numId w:val="2"/>
        </w:numPr>
        <w:spacing w:line="560" w:lineRule="exact"/>
        <w:ind w:firstLine="708" w:firstLineChars="200"/>
        <w:rPr>
          <w:rFonts w:hint="eastAsia"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r>
        <w:rPr>
          <w:rFonts w:hint="eastAsia" w:ascii="Times New Roman" w:hAnsi="Times New Roman" w:eastAsia="仿宋_GB2312" w:cs="Times New Roman"/>
          <w:color w:val="auto"/>
          <w:spacing w:val="17"/>
          <w:sz w:val="32"/>
          <w:szCs w:val="32"/>
          <w:highlight w:val="none"/>
          <w:lang w:eastAsia="zh-CN"/>
        </w:rPr>
        <w:t>本项目以提升农民合作社示范社和示范家庭农场发展水平和带动能力为目标，成本效益分析能直接评估资金是否转化为实际效益。</w:t>
      </w:r>
    </w:p>
    <w:p w14:paraId="60584C02">
      <w:pPr>
        <w:numPr>
          <w:ilvl w:val="0"/>
          <w:numId w:val="0"/>
        </w:numPr>
        <w:spacing w:line="560" w:lineRule="exact"/>
        <w:ind w:firstLine="708" w:firstLineChars="200"/>
        <w:rPr>
          <w:rFonts w:hint="default" w:ascii="Times New Roman" w:hAnsi="Times New Roman" w:eastAsia="仿宋_GB2312" w:cs="Times New Roman"/>
          <w:color w:val="auto"/>
          <w:spacing w:val="17"/>
          <w:sz w:val="32"/>
          <w:szCs w:val="32"/>
          <w:highlight w:val="none"/>
          <w:lang w:val="en-US"/>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r>
        <w:rPr>
          <w:rFonts w:hint="eastAsia" w:ascii="Times New Roman" w:hAnsi="Times New Roman" w:eastAsia="仿宋_GB2312" w:cs="Times New Roman"/>
          <w:color w:val="auto"/>
          <w:spacing w:val="17"/>
          <w:sz w:val="32"/>
          <w:szCs w:val="32"/>
          <w:highlight w:val="none"/>
          <w:lang w:eastAsia="zh-CN"/>
        </w:rPr>
        <w:t>本项目需贴合基层实际，使接受社会化服务的小农户满意。</w:t>
      </w:r>
    </w:p>
    <w:p w14:paraId="1BCF9B2D">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9" w:name="_Toc6081"/>
      <w:bookmarkStart w:id="80" w:name="_Toc25651"/>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33275686">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auto"/>
          <w:spacing w:val="17"/>
          <w:sz w:val="32"/>
          <w:szCs w:val="32"/>
          <w:highlight w:val="none"/>
          <w:lang w:eastAsia="zh-CN"/>
        </w:rPr>
        <w:t>计划</w:t>
      </w:r>
      <w:r>
        <w:rPr>
          <w:rFonts w:hint="default" w:ascii="Times New Roman" w:hAnsi="Times New Roman" w:eastAsia="仿宋_GB2312" w:cs="Times New Roman"/>
          <w:color w:val="auto"/>
          <w:spacing w:val="17"/>
          <w:sz w:val="32"/>
          <w:szCs w:val="32"/>
          <w:highlight w:val="none"/>
        </w:rPr>
        <w:t>标准</w:t>
      </w:r>
      <w:r>
        <w:rPr>
          <w:rFonts w:hint="eastAsia" w:ascii="Times New Roman" w:hAnsi="Times New Roman" w:eastAsia="仿宋_GB2312" w:cs="Times New Roman"/>
          <w:color w:val="auto"/>
          <w:spacing w:val="17"/>
          <w:sz w:val="32"/>
          <w:szCs w:val="32"/>
          <w:highlight w:val="none"/>
          <w:lang w:val="en-US" w:eastAsia="zh-CN"/>
        </w:rPr>
        <w:t>和</w:t>
      </w:r>
      <w:r>
        <w:rPr>
          <w:rFonts w:hint="default" w:ascii="Times New Roman" w:hAnsi="Times New Roman" w:eastAsia="仿宋_GB2312" w:cs="Times New Roman"/>
          <w:color w:val="auto"/>
          <w:spacing w:val="17"/>
          <w:sz w:val="32"/>
          <w:szCs w:val="32"/>
          <w:highlight w:val="none"/>
        </w:rPr>
        <w:t>行业标准。</w:t>
      </w:r>
    </w:p>
    <w:p w14:paraId="6732266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715EC985">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行业标准。指参照国家公布的行业指标数据制定的评价标准。</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1" w:name="_Toc21435"/>
      <w:r>
        <w:rPr>
          <w:rFonts w:hint="eastAsia" w:ascii="Times New Roman" w:hAnsi="Times New Roman" w:eastAsia="楷体_GB2312" w:cs="Times New Roman"/>
          <w:color w:val="auto"/>
          <w:kern w:val="28"/>
          <w:sz w:val="32"/>
          <w:highlight w:val="none"/>
          <w:lang w:val="en-US" w:eastAsia="zh-CN"/>
        </w:rPr>
        <w:t>（三）绩效评价工作过程</w:t>
      </w:r>
      <w:bookmarkEnd w:id="81"/>
    </w:p>
    <w:p w14:paraId="20DA0768">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2"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2"/>
    </w:p>
    <w:p w14:paraId="793607D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3"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3"/>
    </w:p>
    <w:p w14:paraId="621EA8E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2024年农业经营主体能力提升项目实施内容、目标信息、预算信息以及其他的一些项目基本信息，有了初步了解，为制定绩效评价工作方案做好准备。</w:t>
      </w:r>
      <w:bookmarkEnd w:id="84"/>
    </w:p>
    <w:p w14:paraId="3DD54E1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6C3C670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3E7367A">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7"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7"/>
    </w:p>
    <w:p w14:paraId="6048500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8"/>
    </w:p>
    <w:p w14:paraId="5AEB6FC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2967327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6B9C66C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57EE145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2"/>
    </w:p>
    <w:p w14:paraId="1827BE1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6550E0F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61B742B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5"/>
    </w:p>
    <w:p w14:paraId="4F57C6E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6"/>
    </w:p>
    <w:p w14:paraId="6C9CEE8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8"/>
    </w:p>
    <w:p w14:paraId="5E4DF13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9"/>
    </w:p>
    <w:p w14:paraId="13CACCD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6CD1F84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45EACF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2"/>
    </w:p>
    <w:p w14:paraId="27760CB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4"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4"/>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5"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5"/>
    </w:p>
    <w:p w14:paraId="71000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本项目的综合评价基于对项目各方面绩效的深入分析与评估。从项目目标的达成情况来看，2024年农业经营主体能力提升</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5D343ED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eastAsia="zh-CN"/>
        </w:rPr>
        <w:t>阜康市农村合作经济发展指导中心</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从项目效益的角度来看，本项目实现了预期的社会效益。具体而言，</w:t>
      </w:r>
      <w:r>
        <w:rPr>
          <w:rFonts w:hint="eastAsia" w:ascii="Times New Roman" w:hAnsi="Times New Roman" w:eastAsia="仿宋_GB2312" w:cs="Times New Roman"/>
          <w:color w:val="auto"/>
          <w:sz w:val="32"/>
          <w:szCs w:val="32"/>
          <w:highlight w:val="none"/>
          <w:lang w:val="en-US" w:eastAsia="zh-CN"/>
        </w:rPr>
        <w:t>农民合作社示范社和示范家庭农场发展水平和带动能力</w:t>
      </w:r>
      <w:r>
        <w:rPr>
          <w:rFonts w:hint="default" w:ascii="Times New Roman" w:hAnsi="Times New Roman" w:eastAsia="仿宋_GB2312" w:cs="Times New Roman"/>
          <w:color w:val="auto"/>
          <w:sz w:val="32"/>
          <w:szCs w:val="32"/>
          <w:highlight w:val="none"/>
        </w:rPr>
        <w:t>的提升，为项目的利益相关者带来了实实在在的利益。</w:t>
      </w:r>
    </w:p>
    <w:p w14:paraId="658712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综上所述，2024年农业经营主体能力提升</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6" w:name="_Toc11863"/>
      <w:r>
        <w:rPr>
          <w:rFonts w:hint="eastAsia" w:ascii="Times New Roman" w:hAnsi="Times New Roman" w:eastAsia="楷体_GB2312" w:cs="Times New Roman"/>
          <w:color w:val="auto"/>
          <w:kern w:val="28"/>
          <w:sz w:val="32"/>
          <w:highlight w:val="none"/>
          <w:lang w:val="en-US" w:eastAsia="zh-CN"/>
        </w:rPr>
        <w:t>（二）相关评分表</w:t>
      </w:r>
      <w:bookmarkEnd w:id="106"/>
    </w:p>
    <w:p w14:paraId="4DD2BB49">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default" w:ascii="Times New Roman" w:hAnsi="Times New Roman" w:eastAsia="仿宋_GB2312" w:cs="Times New Roman"/>
          <w:color w:val="auto"/>
          <w:sz w:val="32"/>
          <w:szCs w:val="32"/>
          <w:highlight w:val="none"/>
        </w:rPr>
        <w:t>2024年农业经营主体能力提升</w:t>
      </w:r>
      <w:r>
        <w:rPr>
          <w:rFonts w:hint="eastAsia" w:ascii="Times New Roman" w:hAnsi="Times New Roman" w:eastAsia="仿宋_GB2312" w:cs="Times New Roman"/>
          <w:color w:val="auto"/>
          <w:spacing w:val="17"/>
          <w:sz w:val="32"/>
          <w:szCs w:val="32"/>
          <w:highlight w:val="none"/>
          <w:lang w:val="en-US" w:eastAsia="zh-CN"/>
        </w:rPr>
        <w:t>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表3-1：2024年农业经营主体能力提升项目得分表</w:t>
            </w:r>
          </w:p>
        </w:tc>
      </w:tr>
      <w:tr w14:paraId="324D323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23E39D81">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A0D520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14:paraId="6DB5027B">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8" w:name="_Toc6759"/>
      <w:r>
        <w:rPr>
          <w:rFonts w:hint="eastAsia" w:ascii="Times New Roman" w:hAnsi="Times New Roman" w:eastAsia="楷体_GB2312" w:cs="Times New Roman"/>
          <w:color w:val="auto"/>
          <w:kern w:val="28"/>
          <w:sz w:val="32"/>
          <w:highlight w:val="none"/>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9" w:name="_Toc13522"/>
      <w:bookmarkStart w:id="110" w:name="_Toc28069"/>
      <w:r>
        <w:rPr>
          <w:rFonts w:hint="eastAsia" w:ascii="仿宋_GB2312" w:hAnsi="仿宋_GB2312" w:eastAsia="仿宋_GB2312" w:cs="仿宋_GB2312"/>
          <w:b/>
          <w:bCs/>
          <w:color w:val="auto"/>
          <w:sz w:val="32"/>
          <w:szCs w:val="32"/>
          <w:highlight w:val="none"/>
          <w:lang w:val="en-US" w:eastAsia="zh-CN"/>
        </w:rPr>
        <w:t>1.立项依据充分性</w:t>
      </w:r>
      <w:bookmarkEnd w:id="109"/>
      <w:bookmarkEnd w:id="110"/>
    </w:p>
    <w:p w14:paraId="61FBEA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中华人民共和国农民专业合作社法》第六十四条“国家支持发展农业和农村经济的建设项目，可以委托和安排有条件的农民专业合作社实施”；第六十五条“中央和地方财政应当分别安排资金，支持农民专业合作社开展信息、培训、农产品标准与认证、农业生产基础设施建设、市场营销和技术推广等服务”；</w:t>
      </w:r>
    </w:p>
    <w:p w14:paraId="1070BE7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w:t>
      </w:r>
      <w:r>
        <w:rPr>
          <w:rFonts w:hint="eastAsia" w:ascii="仿宋_GB2312" w:hAnsi="仿宋_GB2312" w:eastAsia="仿宋_GB2312" w:cs="仿宋_GB2312"/>
          <w:color w:val="auto"/>
          <w:sz w:val="32"/>
          <w:szCs w:val="32"/>
          <w:highlight w:val="none"/>
        </w:rPr>
        <w:t>《昌吉州农业农村局202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年重点工作要点》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《关于</w:t>
      </w:r>
      <w:r>
        <w:rPr>
          <w:rFonts w:hint="eastAsia" w:ascii="仿宋_GB2312" w:hAnsi="仿宋_GB2312" w:eastAsia="仿宋_GB2312" w:cs="仿宋_GB2312"/>
          <w:color w:val="auto"/>
          <w:sz w:val="32"/>
          <w:szCs w:val="32"/>
          <w:highlight w:val="none"/>
          <w:lang w:eastAsia="zh-CN"/>
        </w:rPr>
        <w:t>提前</w:t>
      </w:r>
      <w:r>
        <w:rPr>
          <w:rFonts w:hint="eastAsia" w:ascii="仿宋_GB2312" w:hAnsi="仿宋_GB2312" w:eastAsia="仿宋_GB2312" w:cs="仿宋_GB2312"/>
          <w:color w:val="auto"/>
          <w:sz w:val="32"/>
          <w:szCs w:val="32"/>
          <w:highlight w:val="none"/>
        </w:rPr>
        <w:t>下达202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中央新型农业经营主体能力提升项目</w:t>
      </w:r>
      <w:r>
        <w:rPr>
          <w:rFonts w:hint="eastAsia" w:ascii="仿宋_GB2312" w:hAnsi="仿宋_GB2312" w:eastAsia="仿宋_GB2312" w:cs="仿宋_GB2312"/>
          <w:color w:val="auto"/>
          <w:sz w:val="32"/>
          <w:szCs w:val="32"/>
          <w:highlight w:val="none"/>
        </w:rPr>
        <w:t>资金预算的通知》（昌州财农〔2023〕</w:t>
      </w:r>
      <w:r>
        <w:rPr>
          <w:rFonts w:hint="eastAsia" w:ascii="仿宋_GB2312" w:hAnsi="仿宋_GB2312" w:eastAsia="仿宋_GB2312" w:cs="仿宋_GB2312"/>
          <w:color w:val="auto"/>
          <w:sz w:val="32"/>
          <w:szCs w:val="32"/>
          <w:highlight w:val="none"/>
          <w:lang w:val="en-US" w:eastAsia="zh-CN"/>
        </w:rPr>
        <w:t>52</w:t>
      </w:r>
      <w:r>
        <w:rPr>
          <w:rFonts w:hint="eastAsia" w:ascii="仿宋_GB2312" w:hAnsi="仿宋_GB2312" w:eastAsia="仿宋_GB2312" w:cs="仿宋_GB2312"/>
          <w:color w:val="auto"/>
          <w:sz w:val="32"/>
          <w:szCs w:val="32"/>
          <w:highlight w:val="none"/>
        </w:rPr>
        <w:t>号）</w:t>
      </w:r>
      <w:r>
        <w:rPr>
          <w:rFonts w:hint="eastAsia" w:ascii="仿宋_GB2312" w:hAnsi="仿宋_GB2312" w:eastAsia="仿宋_GB2312" w:cs="仿宋_GB2312"/>
          <w:color w:val="auto"/>
          <w:sz w:val="32"/>
          <w:szCs w:val="32"/>
          <w:highlight w:val="none"/>
          <w:lang w:eastAsia="zh-CN"/>
        </w:rPr>
        <w:t>及</w:t>
      </w:r>
      <w:r>
        <w:rPr>
          <w:rFonts w:hint="eastAsia" w:ascii="仿宋_GB2312" w:hAnsi="仿宋_GB2312" w:eastAsia="仿宋_GB2312" w:cs="仿宋_GB2312"/>
          <w:color w:val="auto"/>
          <w:sz w:val="32"/>
          <w:szCs w:val="32"/>
          <w:highlight w:val="none"/>
        </w:rPr>
        <w:t>《关于</w:t>
      </w:r>
      <w:r>
        <w:rPr>
          <w:rFonts w:hint="eastAsia" w:ascii="仿宋_GB2312" w:hAnsi="仿宋_GB2312" w:eastAsia="仿宋_GB2312" w:cs="仿宋_GB2312"/>
          <w:color w:val="auto"/>
          <w:sz w:val="32"/>
          <w:szCs w:val="32"/>
          <w:highlight w:val="none"/>
          <w:lang w:eastAsia="zh-CN"/>
        </w:rPr>
        <w:t>调整</w:t>
      </w:r>
      <w:r>
        <w:rPr>
          <w:rFonts w:hint="eastAsia" w:ascii="仿宋_GB2312" w:hAnsi="仿宋_GB2312" w:eastAsia="仿宋_GB2312" w:cs="仿宋_GB2312"/>
          <w:color w:val="auto"/>
          <w:sz w:val="32"/>
          <w:szCs w:val="32"/>
          <w:highlight w:val="none"/>
        </w:rPr>
        <w:t>下达202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中央新型农业经营主体能力提升项目</w:t>
      </w:r>
      <w:r>
        <w:rPr>
          <w:rFonts w:hint="eastAsia" w:ascii="仿宋_GB2312" w:hAnsi="仿宋_GB2312" w:eastAsia="仿宋_GB2312" w:cs="仿宋_GB2312"/>
          <w:color w:val="auto"/>
          <w:sz w:val="32"/>
          <w:szCs w:val="32"/>
          <w:highlight w:val="none"/>
        </w:rPr>
        <w:t>资金预算的通知》（昌州财农〔202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号）</w:t>
      </w:r>
      <w:r>
        <w:rPr>
          <w:rFonts w:hint="eastAsia" w:ascii="仿宋_GB2312" w:hAnsi="仿宋_GB2312" w:eastAsia="仿宋_GB2312" w:cs="仿宋_GB2312"/>
          <w:color w:val="auto"/>
          <w:sz w:val="32"/>
          <w:szCs w:val="32"/>
          <w:highlight w:val="none"/>
          <w:lang w:val="en-US" w:eastAsia="zh-CN"/>
        </w:rPr>
        <w:t>文件要求</w:t>
      </w:r>
      <w:r>
        <w:rPr>
          <w:rFonts w:hint="eastAsia" w:ascii="仿宋_GB2312" w:hAnsi="仿宋_GB2312" w:eastAsia="仿宋_GB2312" w:cs="仿宋_GB2312"/>
          <w:color w:val="auto"/>
          <w:sz w:val="32"/>
          <w:szCs w:val="32"/>
          <w:highlight w:val="none"/>
          <w:lang w:eastAsia="zh-CN"/>
        </w:rPr>
        <w:t>；</w:t>
      </w:r>
    </w:p>
    <w:p w14:paraId="5596734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③项目立项与阜康市农村合作经济发展指导中心负责新型农业经营主体项目管理和绩效评价工作的部门职责范围相符，属于部门履职所需；</w:t>
      </w:r>
    </w:p>
    <w:p w14:paraId="1D0AF5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78F82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21976"/>
      <w:bookmarkStart w:id="112" w:name="_Toc23240"/>
      <w:r>
        <w:rPr>
          <w:rFonts w:hint="eastAsia" w:ascii="仿宋_GB2312" w:hAnsi="仿宋_GB2312" w:eastAsia="仿宋_GB2312" w:cs="仿宋_GB2312"/>
          <w:b/>
          <w:bCs/>
          <w:color w:val="auto"/>
          <w:sz w:val="32"/>
          <w:szCs w:val="32"/>
          <w:highlight w:val="none"/>
          <w:lang w:val="en-US" w:eastAsia="zh-CN"/>
        </w:rPr>
        <w:t>2.立项程序规范性</w:t>
      </w:r>
      <w:bookmarkEnd w:id="111"/>
      <w:bookmarkEnd w:id="112"/>
    </w:p>
    <w:p w14:paraId="4437F2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767B16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54F2D6F2">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③事前没有进行可行性研究、专家论证、风险评估，扣</w:t>
      </w:r>
      <w:r>
        <w:rPr>
          <w:rFonts w:hint="eastAsia" w:ascii="仿宋_GB2312" w:hAnsi="仿宋_GB2312" w:eastAsia="仿宋_GB2312" w:cs="仿宋_GB2312"/>
          <w:color w:val="auto"/>
          <w:sz w:val="32"/>
          <w:szCs w:val="32"/>
          <w:highlight w:val="none"/>
          <w:lang w:val="en-US" w:eastAsia="zh-CN"/>
        </w:rPr>
        <w:t>1分。</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15382"/>
      <w:bookmarkStart w:id="114" w:name="_Toc23542"/>
      <w:r>
        <w:rPr>
          <w:rFonts w:hint="eastAsia" w:ascii="仿宋_GB2312" w:hAnsi="仿宋_GB2312" w:eastAsia="仿宋_GB2312" w:cs="仿宋_GB2312"/>
          <w:b/>
          <w:bCs/>
          <w:color w:val="auto"/>
          <w:sz w:val="32"/>
          <w:szCs w:val="32"/>
          <w:highlight w:val="none"/>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支持3家服务型农民专业合作社完成粮食（小麦、玉米）“耕”“种”“防”“收”全程托管农业生产社会化服务面积5.5万亩；扶持我市区级以上农民合作社4家、县级以上家庭农场7家，用于农业机械购买及圈舍改造。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满意度指标，完成了农业生产社会化服务面积5.5万亩，达到增强农民合作社示范社和示范家庭农场发展水平和带动能力效益，预期产出效益和效果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421.99</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18198"/>
      <w:bookmarkStart w:id="116" w:name="_Toc10650"/>
      <w:r>
        <w:rPr>
          <w:rFonts w:hint="eastAsia" w:ascii="仿宋_GB2312" w:hAnsi="仿宋_GB2312" w:eastAsia="仿宋_GB2312" w:cs="仿宋_GB2312"/>
          <w:b/>
          <w:bCs/>
          <w:color w:val="auto"/>
          <w:sz w:val="32"/>
          <w:szCs w:val="32"/>
          <w:highlight w:val="none"/>
          <w:lang w:val="en-US" w:eastAsia="zh-CN"/>
        </w:rPr>
        <w:t>4.绩效指标明确性</w:t>
      </w:r>
      <w:bookmarkEnd w:id="115"/>
      <w:bookmarkEnd w:id="116"/>
    </w:p>
    <w:p w14:paraId="262887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其中三级指标共计7个</w:t>
      </w:r>
      <w:r>
        <w:rPr>
          <w:rFonts w:hint="eastAsia" w:ascii="仿宋_GB2312" w:hAnsi="仿宋_GB2312" w:eastAsia="仿宋_GB2312" w:cs="仿宋_GB2312"/>
          <w:color w:val="auto"/>
          <w:sz w:val="32"/>
          <w:szCs w:val="32"/>
          <w:highlight w:val="none"/>
          <w:lang w:eastAsia="zh-CN"/>
        </w:rPr>
        <w:t>；</w:t>
      </w:r>
    </w:p>
    <w:p w14:paraId="6E34D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量化率达到85.71%</w:t>
      </w:r>
      <w:r>
        <w:rPr>
          <w:rFonts w:hint="eastAsia" w:ascii="仿宋_GB2312" w:hAnsi="仿宋_GB2312" w:eastAsia="仿宋_GB2312" w:cs="仿宋_GB2312"/>
          <w:color w:val="auto"/>
          <w:sz w:val="32"/>
          <w:szCs w:val="32"/>
          <w:highlight w:val="none"/>
          <w:lang w:eastAsia="zh-CN"/>
        </w:rPr>
        <w:t>；</w:t>
      </w:r>
    </w:p>
    <w:p w14:paraId="63658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1CD74B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19401"/>
      <w:bookmarkStart w:id="118" w:name="_Toc8296"/>
      <w:r>
        <w:rPr>
          <w:rFonts w:hint="eastAsia" w:ascii="仿宋_GB2312" w:hAnsi="仿宋_GB2312" w:eastAsia="仿宋_GB2312" w:cs="仿宋_GB2312"/>
          <w:b/>
          <w:bCs/>
          <w:color w:val="auto"/>
          <w:sz w:val="32"/>
          <w:szCs w:val="32"/>
          <w:highlight w:val="none"/>
          <w:lang w:val="en-US" w:eastAsia="zh-CN"/>
        </w:rPr>
        <w:t>5.预算编制科学性</w:t>
      </w:r>
      <w:bookmarkEnd w:id="117"/>
      <w:bookmarkEnd w:id="118"/>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40C945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支持服务型农民专业合作社完成粮食（小麦、玉米）“耕”“种”“防”“收”全程托管农业生产社会化服务面积5.5万亩；扶持我市区级以上农民合作社4家、县级以上家庭农场7家，项目实际内容为支持</w:t>
      </w:r>
      <w:r>
        <w:rPr>
          <w:rFonts w:hint="eastAsia" w:ascii="仿宋_GB2312" w:hAnsi="仿宋_GB2312" w:eastAsia="仿宋_GB2312" w:cs="仿宋_GB2312"/>
          <w:color w:val="auto"/>
          <w:sz w:val="32"/>
          <w:szCs w:val="32"/>
          <w:highlight w:val="none"/>
          <w:lang w:val="en-US" w:eastAsia="zh-CN"/>
        </w:rPr>
        <w:t>3家</w:t>
      </w:r>
      <w:r>
        <w:rPr>
          <w:rFonts w:hint="eastAsia" w:ascii="仿宋_GB2312" w:hAnsi="仿宋_GB2312" w:eastAsia="仿宋_GB2312" w:cs="仿宋_GB2312"/>
          <w:color w:val="auto"/>
          <w:sz w:val="32"/>
          <w:szCs w:val="32"/>
          <w:highlight w:val="none"/>
          <w:lang w:eastAsia="zh-CN"/>
        </w:rPr>
        <w:t>服务型农民专业合作社完成粮食（小麦、玉米）“耕”“种”“防”“收”全程托管农业生产社会化服务面积5.5万亩；扶持我市区级以上农民合作社4家、县级以上家庭农场7家，预算申请与项目内容匹配；</w:t>
      </w:r>
    </w:p>
    <w:p w14:paraId="6352541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421.99万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元，我单位在预算申请中严格按照项目实施内容及测算标准进行核算，其中：农业生产社会化服务费用</w:t>
      </w:r>
      <w:r>
        <w:rPr>
          <w:rFonts w:hint="eastAsia" w:ascii="仿宋_GB2312" w:hAnsi="仿宋_GB2312" w:eastAsia="仿宋_GB2312" w:cs="仿宋_GB2312"/>
          <w:color w:val="auto"/>
          <w:sz w:val="32"/>
          <w:szCs w:val="32"/>
          <w:highlight w:val="none"/>
          <w:lang w:val="en-US" w:eastAsia="zh-CN"/>
        </w:rPr>
        <w:t>299.99</w:t>
      </w:r>
      <w:r>
        <w:rPr>
          <w:rFonts w:hint="eastAsia" w:ascii="仿宋_GB2312" w:hAnsi="仿宋_GB2312" w:eastAsia="仿宋_GB2312" w:cs="仿宋_GB2312"/>
          <w:color w:val="auto"/>
          <w:sz w:val="32"/>
          <w:szCs w:val="32"/>
          <w:highlight w:val="none"/>
          <w:lang w:eastAsia="zh-CN"/>
        </w:rPr>
        <w:t>万元、扶持我市区级以上农民合作社4家、县级以上家庭农场7家费用</w:t>
      </w:r>
      <w:r>
        <w:rPr>
          <w:rFonts w:hint="eastAsia" w:ascii="仿宋_GB2312" w:hAnsi="仿宋_GB2312" w:eastAsia="仿宋_GB2312" w:cs="仿宋_GB2312"/>
          <w:color w:val="auto"/>
          <w:sz w:val="32"/>
          <w:szCs w:val="32"/>
          <w:highlight w:val="none"/>
          <w:lang w:val="en-US" w:eastAsia="zh-CN"/>
        </w:rPr>
        <w:t>122</w:t>
      </w:r>
      <w:r>
        <w:rPr>
          <w:rFonts w:hint="eastAsia" w:ascii="仿宋_GB2312" w:hAnsi="仿宋_GB2312" w:eastAsia="仿宋_GB2312" w:cs="仿宋_GB2312"/>
          <w:color w:val="auto"/>
          <w:sz w:val="32"/>
          <w:szCs w:val="32"/>
          <w:highlight w:val="none"/>
          <w:lang w:eastAsia="zh-CN"/>
        </w:rPr>
        <w:t>万元。</w:t>
      </w:r>
    </w:p>
    <w:p w14:paraId="0F6CB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20556"/>
      <w:bookmarkStart w:id="120" w:name="_Toc697"/>
      <w:r>
        <w:rPr>
          <w:rFonts w:hint="eastAsia" w:ascii="仿宋_GB2312" w:hAnsi="仿宋_GB2312" w:eastAsia="仿宋_GB2312" w:cs="仿宋_GB2312"/>
          <w:b/>
          <w:bCs/>
          <w:color w:val="auto"/>
          <w:sz w:val="32"/>
          <w:szCs w:val="32"/>
          <w:highlight w:val="none"/>
          <w:lang w:val="en-US" w:eastAsia="zh-CN"/>
        </w:rPr>
        <w:t>6.资金分配合理性</w:t>
      </w:r>
      <w:bookmarkEnd w:id="119"/>
      <w:bookmarkEnd w:id="120"/>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①项目实际分配资金以小农户实际接受社会化服务粮食作物面积及新型农业经营主体类型</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18C386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421.99</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683C57FD">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1"/>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3886"/>
      <w:bookmarkStart w:id="123" w:name="_Toc20449"/>
      <w:r>
        <w:rPr>
          <w:rFonts w:hint="eastAsia" w:ascii="仿宋_GB2312" w:hAnsi="仿宋_GB2312" w:eastAsia="仿宋_GB2312" w:cs="仿宋_GB2312"/>
          <w:b/>
          <w:bCs/>
          <w:color w:val="auto"/>
          <w:sz w:val="32"/>
          <w:szCs w:val="32"/>
          <w:highlight w:val="none"/>
          <w:lang w:val="en-US" w:eastAsia="zh-CN"/>
        </w:rPr>
        <w:t>1.资金到位率</w:t>
      </w:r>
      <w:bookmarkEnd w:id="122"/>
      <w:bookmarkEnd w:id="123"/>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421.99</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421.99</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6FCBA2A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color w:val="auto"/>
          <w:sz w:val="32"/>
          <w:szCs w:val="32"/>
          <w:highlight w:val="none"/>
          <w:lang w:val="en-US" w:eastAsia="zh-CN"/>
        </w:rPr>
        <w:t>421.99</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421.99</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eastAsia="zh-CN"/>
        </w:rPr>
        <w:t>×100%</w:t>
      </w:r>
      <w:r>
        <w:rPr>
          <w:rFonts w:hint="eastAsia" w:ascii="仿宋_GB2312" w:hAnsi="仿宋_GB2312" w:eastAsia="仿宋_GB2312" w:cs="仿宋_GB2312"/>
          <w:b w:val="0"/>
          <w:bCs w:val="0"/>
          <w:color w:val="auto"/>
          <w:sz w:val="32"/>
          <w:szCs w:val="32"/>
          <w:highlight w:val="none"/>
          <w:lang w:val="en-US"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17709"/>
      <w:bookmarkStart w:id="125" w:name="_Toc9705"/>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421.99</w:t>
      </w:r>
      <w:r>
        <w:rPr>
          <w:rFonts w:hint="eastAsia" w:ascii="仿宋_GB2312" w:hAnsi="仿宋_GB2312" w:eastAsia="仿宋_GB2312" w:cs="仿宋_GB2312"/>
          <w:color w:val="auto"/>
          <w:sz w:val="32"/>
          <w:szCs w:val="32"/>
          <w:highlight w:val="none"/>
          <w:lang w:val="en-US" w:eastAsia="zh-CN"/>
        </w:rPr>
        <w:t>万元。</w:t>
      </w:r>
    </w:p>
    <w:p w14:paraId="7233E9B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421.99</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421.99</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=100%</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28875"/>
      <w:bookmarkStart w:id="127" w:name="_Toc18691"/>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4CDEE3C8">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w:t>
      </w:r>
      <w:r>
        <w:rPr>
          <w:rFonts w:hint="eastAsia" w:ascii="仿宋_GB2312" w:hAnsi="仿宋_GB2312" w:eastAsia="仿宋_GB2312" w:cs="仿宋_GB2312"/>
          <w:color w:val="auto"/>
          <w:sz w:val="32"/>
          <w:szCs w:val="32"/>
          <w:highlight w:val="none"/>
          <w:lang w:val="en-US" w:eastAsia="zh-CN"/>
        </w:rPr>
        <w:t>阜康市农业农村局</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阜康市农业农村局</w:t>
      </w:r>
      <w:r>
        <w:rPr>
          <w:rFonts w:hint="eastAsia" w:ascii="仿宋_GB2312" w:hAnsi="仿宋_GB2312" w:eastAsia="仿宋_GB2312" w:cs="仿宋_GB2312"/>
          <w:color w:val="auto"/>
          <w:sz w:val="32"/>
          <w:szCs w:val="32"/>
          <w:highlight w:val="none"/>
          <w:lang w:eastAsia="zh-CN"/>
        </w:rPr>
        <w:t>专项资金管理办法》；</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仿宋_GB2312" w:hAnsi="仿宋_GB2312" w:eastAsia="仿宋_GB2312" w:cs="仿宋_GB2312"/>
          <w:color w:val="auto"/>
          <w:sz w:val="32"/>
          <w:szCs w:val="32"/>
          <w:highlight w:val="none"/>
          <w:lang w:val="en-US" w:eastAsia="zh-CN"/>
        </w:rPr>
        <w:t>阜康市农业农村局</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阜康市农业农村局</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color w:val="auto"/>
          <w:sz w:val="32"/>
          <w:szCs w:val="32"/>
          <w:highlight w:val="none"/>
          <w:lang w:val="en-US" w:eastAsia="zh-CN"/>
        </w:rPr>
        <w:t>阜康市农业农村局</w:t>
      </w:r>
      <w:r>
        <w:rPr>
          <w:rFonts w:hint="eastAsia" w:ascii="仿宋_GB2312" w:hAnsi="仿宋_GB2312" w:eastAsia="仿宋_GB2312" w:cs="仿宋_GB2312"/>
          <w:color w:val="auto"/>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阜康市农业农村局</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31684"/>
      <w:bookmarkStart w:id="129" w:name="_Toc13984"/>
      <w:r>
        <w:rPr>
          <w:rFonts w:hint="eastAsia" w:ascii="仿宋_GB2312" w:hAnsi="仿宋_GB2312" w:eastAsia="仿宋_GB2312" w:cs="仿宋_GB2312"/>
          <w:b/>
          <w:bCs/>
          <w:color w:val="auto"/>
          <w:sz w:val="32"/>
          <w:szCs w:val="32"/>
          <w:highlight w:val="none"/>
          <w:lang w:val="en-US" w:eastAsia="zh-CN"/>
        </w:rPr>
        <w:t>5.制度执行有效性</w:t>
      </w:r>
      <w:bookmarkEnd w:id="128"/>
      <w:bookmarkEnd w:id="129"/>
    </w:p>
    <w:p w14:paraId="7A8246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eastAsia="zh-CN"/>
        </w:rPr>
        <w:t>《政府会计制度》《</w:t>
      </w:r>
      <w:r>
        <w:rPr>
          <w:rFonts w:hint="eastAsia" w:ascii="仿宋_GB2312" w:hAnsi="仿宋_GB2312" w:eastAsia="仿宋_GB2312" w:cs="仿宋_GB2312"/>
          <w:color w:val="auto"/>
          <w:sz w:val="32"/>
          <w:szCs w:val="32"/>
          <w:highlight w:val="none"/>
          <w:lang w:val="en-US" w:eastAsia="zh-CN"/>
        </w:rPr>
        <w:t>阜康市农业农村局</w:t>
      </w:r>
      <w:r>
        <w:rPr>
          <w:rFonts w:hint="eastAsia" w:ascii="仿宋_GB2312" w:hAnsi="仿宋_GB2312" w:eastAsia="仿宋_GB2312" w:cs="仿宋_GB2312"/>
          <w:color w:val="auto"/>
          <w:sz w:val="32"/>
          <w:szCs w:val="32"/>
          <w:highlight w:val="none"/>
          <w:lang w:eastAsia="zh-CN"/>
        </w:rPr>
        <w:t>单位资金管理办法》《</w:t>
      </w:r>
      <w:r>
        <w:rPr>
          <w:rFonts w:hint="eastAsia" w:ascii="仿宋_GB2312" w:hAnsi="仿宋_GB2312" w:eastAsia="仿宋_GB2312" w:cs="仿宋_GB2312"/>
          <w:color w:val="auto"/>
          <w:sz w:val="32"/>
          <w:szCs w:val="32"/>
          <w:highlight w:val="none"/>
          <w:lang w:val="en-US" w:eastAsia="zh-CN"/>
        </w:rPr>
        <w:t>阜康市农业农村局</w:t>
      </w:r>
      <w:r>
        <w:rPr>
          <w:rFonts w:hint="eastAsia" w:ascii="仿宋_GB2312" w:hAnsi="仿宋_GB2312" w:eastAsia="仿宋_GB2312" w:cs="仿宋_GB2312"/>
          <w:color w:val="auto"/>
          <w:sz w:val="32"/>
          <w:szCs w:val="32"/>
          <w:highlight w:val="none"/>
          <w:lang w:eastAsia="zh-CN"/>
        </w:rPr>
        <w:t>专项资金管理办法》</w:t>
      </w:r>
      <w:r>
        <w:rPr>
          <w:rFonts w:hint="eastAsia" w:ascii="仿宋_GB2312" w:hAnsi="仿宋_GB2312" w:eastAsia="仿宋_GB2312" w:cs="仿宋_GB2312"/>
          <w:color w:val="auto"/>
          <w:sz w:val="32"/>
          <w:szCs w:val="32"/>
          <w:highlight w:val="none"/>
        </w:rPr>
        <w:t>等管理规定</w:t>
      </w:r>
      <w:r>
        <w:rPr>
          <w:rFonts w:hint="eastAsia" w:ascii="仿宋_GB2312" w:hAnsi="仿宋_GB2312" w:eastAsia="仿宋_GB2312" w:cs="仿宋_GB2312"/>
          <w:color w:val="auto"/>
          <w:sz w:val="32"/>
          <w:szCs w:val="32"/>
          <w:highlight w:val="none"/>
          <w:lang w:eastAsia="zh-CN"/>
        </w:rPr>
        <w:t>；</w:t>
      </w:r>
    </w:p>
    <w:p w14:paraId="523440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该项目实施过程中不存在调整事项</w:t>
      </w:r>
      <w:r>
        <w:rPr>
          <w:rFonts w:hint="eastAsia" w:ascii="仿宋_GB2312" w:hAnsi="仿宋_GB2312" w:eastAsia="仿宋_GB2312" w:cs="仿宋_GB2312"/>
          <w:color w:val="auto"/>
          <w:sz w:val="32"/>
          <w:szCs w:val="32"/>
          <w:highlight w:val="none"/>
          <w:lang w:eastAsia="zh-CN"/>
        </w:rPr>
        <w:t>。</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2F3D9844">
      <w:pPr>
        <w:pStyle w:val="7"/>
        <w:keepNext w:val="0"/>
        <w:keepLines w:val="0"/>
        <w:pageBreakBefore w:val="0"/>
        <w:widowControl w:val="0"/>
        <w:numPr>
          <w:ilvl w:val="0"/>
          <w:numId w:val="0"/>
        </w:numPr>
        <w:tabs>
          <w:tab w:val="right" w:leader="dot" w:pos="8296"/>
        </w:tabs>
        <w:kinsoku/>
        <w:wordWrap/>
        <w:overflowPunct w:val="0"/>
        <w:topLinePunct/>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经农村合作经济发展指导中心会议及农业农村局会议，</w:t>
      </w:r>
      <w:r>
        <w:rPr>
          <w:rFonts w:hint="eastAsia" w:ascii="仿宋_GB2312" w:hAnsi="仿宋_GB2312" w:eastAsia="仿宋_GB2312" w:cs="仿宋_GB2312"/>
          <w:color w:val="auto"/>
          <w:sz w:val="32"/>
          <w:szCs w:val="32"/>
          <w:highlight w:val="none"/>
          <w:shd w:val="clear" w:color="auto" w:fill="auto"/>
          <w:lang w:val="en-US" w:eastAsia="zh-CN"/>
        </w:rPr>
        <w:t>确定了项目领导小组，明确了责任分工：组长为白金星，副组长为马磊，项目负责人为白金星,组员为努尔江、王玲，其中：努尔江负责监管工作、项目档案资料，王玲负责资金拨付工作。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0" w:name="_Toc2441"/>
      <w:r>
        <w:rPr>
          <w:rFonts w:hint="eastAsia" w:ascii="Times New Roman" w:hAnsi="Times New Roman" w:eastAsia="楷体_GB2312" w:cs="Times New Roman"/>
          <w:color w:val="auto"/>
          <w:kern w:val="28"/>
          <w:sz w:val="32"/>
          <w:highlight w:val="none"/>
          <w:lang w:val="en-US" w:eastAsia="zh-CN"/>
        </w:rPr>
        <w:t>（三）项目产出情况</w:t>
      </w:r>
      <w:bookmarkEnd w:id="130"/>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6</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1635B5B3">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支持的农民合作社数量（个）</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89261">
            <w:pPr>
              <w:keepNext w:val="0"/>
              <w:keepLines w:val="0"/>
              <w:widowControl/>
              <w:suppressLineNumbers w:val="0"/>
              <w:ind w:firstLine="400" w:firstLineChars="20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cs="宋体"/>
                <w:color w:val="auto"/>
                <w:kern w:val="0"/>
                <w:sz w:val="20"/>
                <w:szCs w:val="20"/>
                <w:highlight w:val="none"/>
                <w:shd w:val="clear" w:color="auto" w:fill="auto"/>
                <w:lang w:val="en-US" w:eastAsia="zh-CN"/>
              </w:rPr>
              <w:t>≥</w:t>
            </w:r>
            <w:r>
              <w:rPr>
                <w:rFonts w:hint="eastAsia" w:ascii="宋体" w:hAnsi="宋体" w:eastAsia="宋体" w:cs="宋体"/>
                <w:i w:val="0"/>
                <w:iCs w:val="0"/>
                <w:color w:val="auto"/>
                <w:kern w:val="0"/>
                <w:sz w:val="20"/>
                <w:szCs w:val="20"/>
                <w:highlight w:val="none"/>
                <w:u w:val="none"/>
                <w:lang w:val="en-US" w:eastAsia="zh-CN" w:bidi="ar"/>
              </w:rPr>
              <w:t>4个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409FAF60">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8A8266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C6457E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7F12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支持的家庭农场数量（个）</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47FB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05B2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3E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0647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97F4D26">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CCAA48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A8BA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05C1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农业生产托管服务面积（万亩）</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C966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≥5.5万亩</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521C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4717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5.5万亩</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FABB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84F9CA2">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5A29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C1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农业生产社会化服务对象</w:t>
            </w:r>
            <w:r>
              <w:rPr>
                <w:rFonts w:hint="eastAsia" w:cs="宋体"/>
                <w:color w:val="auto"/>
                <w:kern w:val="0"/>
                <w:sz w:val="20"/>
                <w:szCs w:val="20"/>
                <w:highlight w:val="none"/>
                <w:shd w:val="clear" w:color="auto" w:fill="auto"/>
                <w:lang w:val="en-US" w:eastAsia="zh-CN"/>
              </w:rPr>
              <w:t>提高</w:t>
            </w:r>
            <w:r>
              <w:rPr>
                <w:rFonts w:hint="eastAsia" w:ascii="宋体" w:hAnsi="宋体" w:eastAsia="宋体" w:cs="宋体"/>
                <w:color w:val="auto"/>
                <w:kern w:val="0"/>
                <w:sz w:val="20"/>
                <w:szCs w:val="20"/>
                <w:highlight w:val="none"/>
                <w:shd w:val="clear" w:color="auto" w:fill="auto"/>
                <w:lang w:val="en-US" w:eastAsia="zh-CN"/>
              </w:rPr>
              <w:t>单产水平</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3EA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7099D8E">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项目</w:t>
            </w:r>
            <w:r>
              <w:rPr>
                <w:rFonts w:hint="eastAsia" w:ascii="宋体" w:hAnsi="宋体" w:eastAsia="宋体" w:cs="宋体"/>
                <w:color w:val="auto"/>
                <w:kern w:val="0"/>
                <w:sz w:val="20"/>
                <w:szCs w:val="20"/>
                <w:highlight w:val="none"/>
                <w:shd w:val="clear" w:color="auto" w:fill="auto"/>
                <w:lang w:val="en-US" w:eastAsia="zh-CN"/>
              </w:rPr>
              <w:t>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AFF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2024年11月5日</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A4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2024年11月5日</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3AEEFAD2">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057E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w:t>
            </w:r>
            <w:r>
              <w:rPr>
                <w:rFonts w:hint="eastAsia" w:cs="宋体"/>
                <w:color w:val="auto"/>
                <w:kern w:val="0"/>
                <w:sz w:val="20"/>
                <w:szCs w:val="20"/>
                <w:highlight w:val="none"/>
                <w:shd w:val="clear" w:color="auto" w:fill="auto"/>
                <w:lang w:val="en-US" w:eastAsia="zh-CN"/>
              </w:rPr>
              <w:t>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23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w:t>
            </w:r>
            <w:r>
              <w:rPr>
                <w:rFonts w:hint="eastAsia" w:cs="宋体"/>
                <w:color w:val="auto"/>
                <w:kern w:val="0"/>
                <w:sz w:val="20"/>
                <w:szCs w:val="20"/>
                <w:highlight w:val="none"/>
                <w:shd w:val="clear" w:color="auto" w:fill="auto"/>
                <w:lang w:val="en-US" w:eastAsia="zh-CN"/>
              </w:rPr>
              <w:t>控制率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931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B6A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0DC7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p w14:paraId="5C1A859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p w14:paraId="73C050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EE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567D2314">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5AABB41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1" w:name="_Toc11067"/>
      <w:bookmarkStart w:id="132" w:name="_Toc26689"/>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p>
    <w:p w14:paraId="1E14769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）“支持的农民合作社数量”</w:t>
      </w:r>
      <w:r>
        <w:rPr>
          <w:rFonts w:hint="eastAsia" w:ascii="仿宋_GB2312" w:hAnsi="仿宋_GB2312" w:eastAsia="仿宋_GB2312" w:cs="仿宋_GB2312"/>
          <w:color w:val="auto"/>
          <w:sz w:val="32"/>
          <w:szCs w:val="32"/>
          <w:highlight w:val="none"/>
          <w:lang w:val="en-US" w:eastAsia="zh-CN"/>
        </w:rPr>
        <w:t>指标，预期目标值为4个，实际完成为4个。实际完成率=（4个/4个）×100%=100%。</w:t>
      </w:r>
    </w:p>
    <w:p w14:paraId="20C346A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）“支持的家庭农场数量”</w:t>
      </w:r>
      <w:r>
        <w:rPr>
          <w:rFonts w:hint="eastAsia" w:ascii="仿宋_GB2312" w:hAnsi="仿宋_GB2312" w:eastAsia="仿宋_GB2312" w:cs="仿宋_GB2312"/>
          <w:color w:val="auto"/>
          <w:sz w:val="32"/>
          <w:szCs w:val="32"/>
          <w:highlight w:val="none"/>
          <w:lang w:val="en-US" w:eastAsia="zh-CN"/>
        </w:rPr>
        <w:t>指标，预期目标值为7个，实际完成为7个。实际完成率=（7个/7个）×100%=100%。</w:t>
      </w:r>
    </w:p>
    <w:p w14:paraId="3474202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）“农业生产托管服务面积（万亩）”</w:t>
      </w:r>
      <w:r>
        <w:rPr>
          <w:rFonts w:hint="eastAsia" w:ascii="仿宋_GB2312" w:hAnsi="仿宋_GB2312" w:eastAsia="仿宋_GB2312" w:cs="仿宋_GB2312"/>
          <w:color w:val="auto"/>
          <w:sz w:val="32"/>
          <w:szCs w:val="32"/>
          <w:highlight w:val="none"/>
          <w:lang w:val="en-US" w:eastAsia="zh-CN"/>
        </w:rPr>
        <w:t>指标，预期目标值为≥5.5万亩，实际完成为5.5万亩。实际完成率=（5.5万亩/5.5万亩）×100%=100%。</w:t>
      </w:r>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综上，该项指标满分20分，得分20分。</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3" w:name="_Toc31739"/>
      <w:bookmarkStart w:id="134" w:name="_Toc14255"/>
      <w:r>
        <w:rPr>
          <w:rFonts w:hint="eastAsia" w:ascii="仿宋_GB2312" w:hAnsi="仿宋_GB2312" w:eastAsia="仿宋_GB2312" w:cs="仿宋_GB2312"/>
          <w:b/>
          <w:bCs/>
          <w:color w:val="auto"/>
          <w:sz w:val="32"/>
          <w:szCs w:val="32"/>
          <w:highlight w:val="none"/>
          <w:lang w:val="en-US" w:eastAsia="zh-CN"/>
        </w:rPr>
        <w:t>2.</w:t>
      </w:r>
      <w:bookmarkEnd w:id="133"/>
      <w:r>
        <w:rPr>
          <w:rFonts w:hint="eastAsia" w:ascii="仿宋_GB2312" w:hAnsi="仿宋_GB2312" w:eastAsia="仿宋_GB2312" w:cs="仿宋_GB2312"/>
          <w:b/>
          <w:bCs/>
          <w:color w:val="auto"/>
          <w:sz w:val="32"/>
          <w:szCs w:val="32"/>
          <w:highlight w:val="none"/>
          <w:lang w:val="en-US" w:eastAsia="zh-CN"/>
        </w:rPr>
        <w:t>质量指标完成情况</w:t>
      </w:r>
      <w:bookmarkEnd w:id="134"/>
    </w:p>
    <w:p w14:paraId="3298ABF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“农业生产社会化服务对象</w:t>
      </w:r>
      <w:r>
        <w:rPr>
          <w:rFonts w:hint="eastAsia" w:ascii="仿宋_GB2312" w:hAnsi="仿宋_GB2312" w:eastAsia="仿宋_GB2312" w:cs="仿宋_GB2312"/>
          <w:color w:val="auto"/>
          <w:sz w:val="32"/>
          <w:szCs w:val="32"/>
          <w:highlight w:val="none"/>
          <w:lang w:val="en-US" w:eastAsia="zh-CN"/>
        </w:rPr>
        <w:t>提高</w:t>
      </w:r>
      <w:r>
        <w:rPr>
          <w:rFonts w:hint="eastAsia" w:ascii="仿宋_GB2312" w:hAnsi="仿宋_GB2312" w:eastAsia="仿宋_GB2312" w:cs="仿宋_GB2312"/>
          <w:color w:val="auto"/>
          <w:sz w:val="32"/>
          <w:szCs w:val="32"/>
          <w:highlight w:val="none"/>
          <w:lang w:eastAsia="zh-CN"/>
        </w:rPr>
        <w:t>单产水平”</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06BFBA6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“项目完成时间”</w:t>
      </w:r>
      <w:r>
        <w:rPr>
          <w:rFonts w:hint="eastAsia" w:ascii="仿宋_GB2312" w:hAnsi="仿宋_GB2312" w:eastAsia="仿宋_GB2312" w:cs="仿宋_GB2312"/>
          <w:color w:val="auto"/>
          <w:sz w:val="32"/>
          <w:szCs w:val="32"/>
          <w:highlight w:val="none"/>
          <w:lang w:val="en-US" w:eastAsia="zh-CN"/>
        </w:rPr>
        <w:t>指标，预期目标值为2024年11月5日，实际完成为2024年11月5日。实际完成率100%。</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综上，该项指标满分7分，得分7分。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7" w:name="_Toc32765"/>
      <w:bookmarkStart w:id="138" w:name="_Toc20607"/>
      <w:r>
        <w:rPr>
          <w:rFonts w:hint="eastAsia" w:ascii="仿宋_GB2312" w:hAnsi="仿宋_GB2312" w:eastAsia="仿宋_GB2312" w:cs="仿宋_GB2312"/>
          <w:b/>
          <w:bCs/>
          <w:color w:val="auto"/>
          <w:sz w:val="32"/>
          <w:szCs w:val="32"/>
          <w:highlight w:val="none"/>
          <w:lang w:val="en-US" w:eastAsia="zh-CN"/>
        </w:rPr>
        <w:t>4.项目</w:t>
      </w:r>
      <w:bookmarkEnd w:id="137"/>
      <w:r>
        <w:rPr>
          <w:rFonts w:hint="eastAsia" w:ascii="仿宋_GB2312" w:hAnsi="仿宋_GB2312" w:eastAsia="仿宋_GB2312" w:cs="仿宋_GB2312"/>
          <w:b/>
          <w:bCs/>
          <w:color w:val="auto"/>
          <w:sz w:val="32"/>
          <w:szCs w:val="32"/>
          <w:highlight w:val="none"/>
          <w:lang w:val="en-US" w:eastAsia="zh-CN"/>
        </w:rPr>
        <w:t>成本情况</w:t>
      </w:r>
      <w:bookmarkEnd w:id="138"/>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3E8209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“成本控制率”</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1C8D60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综上，该项指标满分8分，得分8分。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9" w:name="_Toc19424"/>
      <w:r>
        <w:rPr>
          <w:rFonts w:hint="eastAsia" w:ascii="Times New Roman" w:hAnsi="Times New Roman" w:eastAsia="楷体_GB2312" w:cs="Times New Roman"/>
          <w:color w:val="auto"/>
          <w:kern w:val="28"/>
          <w:sz w:val="32"/>
          <w:highlight w:val="none"/>
          <w:lang w:val="en-US" w:eastAsia="zh-CN"/>
        </w:rPr>
        <w:t>（四）项目效益情况</w:t>
      </w:r>
      <w:bookmarkEnd w:id="139"/>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p w14:paraId="25CBBF4B">
      <w:pPr>
        <w:pageBreakBefore w:val="0"/>
        <w:widowControl w:val="0"/>
        <w:kinsoku/>
        <w:wordWrap/>
        <w:overflowPunct/>
        <w:topLinePunct w:val="0"/>
        <w:autoSpaceDE/>
        <w:autoSpaceDN/>
        <w:bidi w:val="0"/>
        <w:adjustRightInd/>
        <w:spacing w:line="560" w:lineRule="exact"/>
        <w:ind w:firstLine="560"/>
        <w:jc w:val="center"/>
        <w:textAlignment w:val="auto"/>
        <w:outlineLvl w:val="2"/>
        <w:rPr>
          <w:rFonts w:hint="eastAsia" w:cs="宋体"/>
          <w:b/>
          <w:bCs/>
          <w:color w:val="auto"/>
          <w:kern w:val="0"/>
          <w:sz w:val="28"/>
          <w:szCs w:val="28"/>
          <w:highlight w:val="none"/>
          <w:shd w:val="clear" w:color="auto" w:fill="auto"/>
          <w:lang w:val="en-US" w:eastAsia="zh-CN"/>
        </w:rPr>
      </w:pPr>
      <w:bookmarkStart w:id="140" w:name="_Toc6032"/>
      <w:bookmarkStart w:id="141" w:name="_Toc4947"/>
      <w:r>
        <w:rPr>
          <w:rFonts w:hint="eastAsia" w:cs="宋体"/>
          <w:b/>
          <w:bCs/>
          <w:color w:val="auto"/>
          <w:kern w:val="0"/>
          <w:sz w:val="28"/>
          <w:szCs w:val="28"/>
          <w:highlight w:val="none"/>
          <w:shd w:val="clear" w:color="auto" w:fill="auto"/>
          <w:lang w:val="en-US" w:eastAsia="zh-CN"/>
        </w:rPr>
        <w:t>（三级指标与自评表的三级指标一致，完成后删除标注）</w:t>
      </w:r>
      <w:bookmarkEnd w:id="140"/>
      <w:bookmarkEnd w:id="141"/>
    </w:p>
    <w:p w14:paraId="0EA94B7F">
      <w:pPr>
        <w:pageBreakBefore w:val="0"/>
        <w:widowControl w:val="0"/>
        <w:kinsoku/>
        <w:wordWrap/>
        <w:overflowPunct/>
        <w:topLinePunct w:val="0"/>
        <w:autoSpaceDE/>
        <w:autoSpaceDN/>
        <w:bidi w:val="0"/>
        <w:adjustRightInd/>
        <w:spacing w:line="560" w:lineRule="exact"/>
        <w:ind w:firstLine="560"/>
        <w:jc w:val="center"/>
        <w:textAlignment w:val="auto"/>
        <w:rPr>
          <w:rFonts w:hint="default" w:ascii="宋体" w:hAnsi="宋体" w:eastAsia="宋体" w:cs="宋体"/>
          <w:color w:val="auto"/>
          <w:kern w:val="2"/>
          <w:highlight w:val="none"/>
          <w:u w:color="000000"/>
          <w:shd w:val="clear" w:color="auto" w:fill="auto"/>
          <w:lang w:val="en-US" w:eastAsia="zh-TW"/>
        </w:rPr>
      </w:pPr>
      <w:r>
        <w:rPr>
          <w:rFonts w:hint="eastAsia" w:cs="宋体"/>
          <w:b/>
          <w:bCs/>
          <w:color w:val="auto"/>
          <w:kern w:val="0"/>
          <w:sz w:val="28"/>
          <w:szCs w:val="28"/>
          <w:highlight w:val="none"/>
          <w:shd w:val="clear" w:color="auto" w:fill="auto"/>
          <w:lang w:val="en-US" w:eastAsia="zh-CN"/>
        </w:rPr>
        <w:t>（项目不涉及经济指标和生态指标请删除）</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88F769C">
        <w:tblPrEx>
          <w:shd w:val="clear" w:color="auto" w:fill="auto"/>
          <w:tblCellMar>
            <w:top w:w="0" w:type="dxa"/>
            <w:left w:w="0" w:type="dxa"/>
            <w:bottom w:w="0" w:type="dxa"/>
            <w:right w:w="0" w:type="dxa"/>
          </w:tblCellMar>
        </w:tblPrEx>
        <w:trPr>
          <w:trHeight w:val="436" w:hRule="atLeast"/>
          <w:jc w:val="center"/>
        </w:trPr>
        <w:tc>
          <w:tcPr>
            <w:tcW w:w="685" w:type="dxa"/>
            <w:tcBorders>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农民合作社示范社和示范家庭农场发展水平和带动能力</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增强</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713C7FC4">
        <w:tblPrEx>
          <w:tblCellMar>
            <w:top w:w="0" w:type="dxa"/>
            <w:left w:w="0" w:type="dxa"/>
            <w:bottom w:w="0" w:type="dxa"/>
            <w:right w:w="0" w:type="dxa"/>
          </w:tblCellMar>
        </w:tblPrEx>
        <w:trPr>
          <w:trHeight w:val="436" w:hRule="atLeast"/>
          <w:jc w:val="center"/>
        </w:trPr>
        <w:tc>
          <w:tcPr>
            <w:tcW w:w="685" w:type="dxa"/>
            <w:tcBorders>
              <w:left w:val="single" w:color="auto" w:sz="4" w:space="0"/>
              <w:right w:val="single" w:color="000000" w:sz="4" w:space="0"/>
            </w:tcBorders>
            <w:shd w:val="clear" w:color="auto" w:fill="auto"/>
            <w:tcMar>
              <w:top w:w="15" w:type="dxa"/>
              <w:left w:w="15" w:type="dxa"/>
              <w:right w:w="15" w:type="dxa"/>
            </w:tcMar>
            <w:vAlign w:val="center"/>
          </w:tcPr>
          <w:p w14:paraId="68C91FF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45A372B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8BBEB6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接受社会化服务的小农户满意度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654A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≥98%</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E430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4184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98%</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937C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3CF51F4">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8F43E0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2" w:name="_Toc27006"/>
      <w:bookmarkStart w:id="143" w:name="_Toc29606"/>
      <w:r>
        <w:rPr>
          <w:rFonts w:hint="eastAsia" w:ascii="仿宋_GB2312" w:hAnsi="仿宋_GB2312" w:eastAsia="仿宋_GB2312" w:cs="仿宋_GB2312"/>
          <w:b/>
          <w:bCs/>
          <w:color w:val="auto"/>
          <w:sz w:val="32"/>
          <w:szCs w:val="32"/>
          <w:highlight w:val="none"/>
          <w:lang w:val="en-US" w:eastAsia="zh-CN"/>
        </w:rPr>
        <w:t>1.社会效益指标</w:t>
      </w:r>
      <w:bookmarkEnd w:id="142"/>
      <w:r>
        <w:rPr>
          <w:rFonts w:hint="eastAsia" w:ascii="仿宋_GB2312" w:hAnsi="仿宋_GB2312" w:eastAsia="仿宋_GB2312" w:cs="仿宋_GB2312"/>
          <w:b/>
          <w:bCs/>
          <w:color w:val="auto"/>
          <w:sz w:val="32"/>
          <w:szCs w:val="32"/>
          <w:highlight w:val="none"/>
          <w:lang w:val="en-US" w:eastAsia="zh-CN"/>
        </w:rPr>
        <w:t>完成情况</w:t>
      </w:r>
      <w:bookmarkEnd w:id="143"/>
    </w:p>
    <w:p w14:paraId="3DFED18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“农民合作社示范社和示范家庭农场发展水平和带动能力”</w:t>
      </w:r>
      <w:r>
        <w:rPr>
          <w:rFonts w:hint="eastAsia" w:ascii="仿宋_GB2312" w:hAnsi="仿宋_GB2312" w:eastAsia="仿宋_GB2312" w:cs="仿宋_GB2312"/>
          <w:color w:val="auto"/>
          <w:sz w:val="32"/>
          <w:szCs w:val="32"/>
          <w:highlight w:val="none"/>
          <w:lang w:val="en-US" w:eastAsia="zh-CN"/>
        </w:rPr>
        <w:t>指标，预期目标值为增强，实际完成为达到预期指标。</w:t>
      </w:r>
    </w:p>
    <w:p w14:paraId="3EA347E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通过项目的实施，达到增强农民合作社示范社和示范家庭农场发展水平和带动能力的社会效益。</w:t>
      </w:r>
    </w:p>
    <w:p w14:paraId="5A9C001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415259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4"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4"/>
    </w:p>
    <w:p w14:paraId="3DB44E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接受社会化服务的小农户满意度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指标，预期目标值为≥98%，实际完成为98%。</w:t>
      </w:r>
    </w:p>
    <w:p w14:paraId="3F742A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215C57F">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5"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5"/>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6" w:name="_Toc15449"/>
      <w:bookmarkStart w:id="147" w:name="_Toc28290"/>
      <w:bookmarkStart w:id="148" w:name="_Toc1921"/>
      <w:r>
        <w:rPr>
          <w:rFonts w:hint="eastAsia" w:ascii="Times New Roman" w:hAnsi="Times New Roman" w:eastAsia="楷体_GB2312" w:cs="Times New Roman"/>
          <w:b/>
          <w:bCs/>
          <w:color w:val="auto"/>
          <w:kern w:val="28"/>
          <w:sz w:val="32"/>
          <w:highlight w:val="none"/>
          <w:lang w:val="en-US" w:eastAsia="zh-CN"/>
        </w:rPr>
        <w:t>（一）主要经验及做法</w:t>
      </w:r>
      <w:bookmarkEnd w:id="146"/>
    </w:p>
    <w:p w14:paraId="604C55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2024年农业经营主体能力提升项目20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421.99</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421.99</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453DF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阜康市农村合作经济发展指导中心</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阜康市农村合作经济发展指导中心</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7"/>
    <w:bookmarkEnd w:id="148"/>
    <w:p w14:paraId="2C571FB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9"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49"/>
    </w:p>
    <w:p w14:paraId="7DD74CD3">
      <w:pPr>
        <w:pageBreakBefore w:val="0"/>
        <w:kinsoku/>
        <w:wordWrap/>
        <w:overflowPunct/>
        <w:topLinePunct w:val="0"/>
        <w:autoSpaceDE/>
        <w:autoSpaceDN/>
        <w:bidi w:val="0"/>
        <w:spacing w:line="560" w:lineRule="exact"/>
        <w:textAlignment w:val="auto"/>
        <w:rPr>
          <w:rFonts w:hint="eastAsia"/>
          <w:b/>
          <w:bCs/>
          <w:color w:val="auto"/>
          <w:highlight w:val="none"/>
          <w:shd w:val="clear" w:color="auto" w:fill="auto"/>
          <w:lang w:val="en-US" w:eastAsia="zh-CN"/>
        </w:rPr>
      </w:pPr>
      <w:r>
        <w:rPr>
          <w:rFonts w:hint="eastAsia" w:ascii="仿宋_GB2312" w:hAnsi="仿宋_GB2312" w:eastAsia="仿宋_GB2312" w:cs="仿宋_GB2312"/>
          <w:color w:val="auto"/>
          <w:sz w:val="32"/>
          <w:szCs w:val="32"/>
          <w:highlight w:val="none"/>
          <w:lang w:val="en-US" w:eastAsia="zh-CN"/>
        </w:rPr>
        <w:t>1.服务链条不完整，服务对象需求对接不精准，服务环节主要集中于“耕种防收”产中阶段，对产前及产后环节的服务欠缺。主要原因在于服务型合作社服务能力不足，提供的服务主要集中于种植养殖过程中的产中环节，服务能力单一，对产前的市场信息、品种选择、农资采购以及产后的加工、储存、销售等环节服务欠缺。</w:t>
      </w:r>
    </w:p>
    <w:p w14:paraId="6D22A50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预算不足，对示范社和示范家庭农场的补助标准与建设需求脱节，仅能购置1-2台小型农机具，难以支撑仓储冷链等关键设施建设，提升农民专业合作社和家庭农场形成持续发展能力的作用有限。主要原因在于财政投入总量不足，现行补助标准未考虑今年物价上涨因素，补助机制设计不够科学。</w:t>
      </w:r>
    </w:p>
    <w:p w14:paraId="5CD35B9B">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50" w:name="_Toc3333"/>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50"/>
    </w:p>
    <w:p w14:paraId="309EA0F9">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bookmarkStart w:id="151" w:name="_Toc20454"/>
      <w:bookmarkStart w:id="152" w:name="_Toc3948"/>
      <w:r>
        <w:rPr>
          <w:rFonts w:hint="eastAsia" w:ascii="仿宋_GB2312" w:hAnsi="仿宋_GB2312" w:eastAsia="仿宋_GB2312" w:cs="仿宋_GB2312"/>
          <w:color w:val="auto"/>
          <w:sz w:val="32"/>
          <w:szCs w:val="32"/>
          <w:highlight w:val="none"/>
          <w:lang w:val="en-US" w:eastAsia="zh-CN"/>
        </w:rPr>
        <w:t>1.强化服务设施装备支撑，鼓励服务型农民专业合作社开展装备升级，推动完善专业化服务队伍，加快培育专业人才，推动成立区域性综合服务中心，提升服务能力，促进小农户和现代农业发展有机衔接。</w:t>
      </w:r>
    </w:p>
    <w:p w14:paraId="7E6A2B1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2.建立差异化</w:t>
      </w:r>
      <w:bookmarkEnd w:id="151"/>
      <w:bookmarkEnd w:id="152"/>
      <w:r>
        <w:rPr>
          <w:rFonts w:hint="eastAsia" w:ascii="仿宋_GB2312" w:hAnsi="仿宋_GB2312" w:eastAsia="仿宋_GB2312" w:cs="仿宋_GB2312"/>
          <w:color w:val="auto"/>
          <w:sz w:val="32"/>
          <w:szCs w:val="32"/>
          <w:highlight w:val="none"/>
          <w:lang w:val="en-US" w:eastAsia="zh-CN"/>
        </w:rPr>
        <w:t>的补助标准，优化财政资金配置，分类分级制定支持方案。建议政府加强对农民合作社、家庭农场发展重视程度，加强本级财政对扶持农民合作社、家庭农场工作的预算。</w:t>
      </w:r>
    </w:p>
    <w:p w14:paraId="5BDE53F2">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53" w:name="_Toc14256"/>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53"/>
    </w:p>
    <w:p w14:paraId="3D39D3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20AFB57E">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28B20EF5">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54" w:name="_Toc28971"/>
      <w:bookmarkStart w:id="155" w:name="_Toc11349"/>
      <w:r>
        <w:rPr>
          <w:rFonts w:hint="eastAsia" w:ascii="宋体" w:hAnsi="宋体" w:eastAsia="宋体" w:cs="宋体"/>
          <w:b/>
          <w:bCs/>
          <w:color w:val="auto"/>
          <w:highlight w:val="none"/>
          <w:shd w:val="clear" w:color="auto" w:fill="auto"/>
          <w:lang w:val="en-US" w:eastAsia="zh-CN"/>
        </w:rPr>
        <w:t>附件一、项目支出绩效自评表</w:t>
      </w:r>
      <w:bookmarkEnd w:id="154"/>
      <w:bookmarkEnd w:id="155"/>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4"/>
        <w:gridCol w:w="895"/>
        <w:gridCol w:w="895"/>
        <w:gridCol w:w="895"/>
        <w:gridCol w:w="1224"/>
        <w:gridCol w:w="1224"/>
        <w:gridCol w:w="1142"/>
        <w:gridCol w:w="1059"/>
        <w:gridCol w:w="1224"/>
        <w:gridCol w:w="895"/>
        <w:gridCol w:w="895"/>
        <w:gridCol w:w="895"/>
        <w:gridCol w:w="895"/>
        <w:gridCol w:w="1142"/>
      </w:tblGrid>
      <w:tr w14:paraId="577C8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6CB42F40">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34197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03FB4E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08A1F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1"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620AB86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8"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451AA8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2024年农业经营主体能力提升项目</w:t>
            </w:r>
          </w:p>
        </w:tc>
      </w:tr>
      <w:tr w14:paraId="48BB9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18B86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1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733B5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阜康市农业农村局</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A124E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1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2F8A6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阜康市农村合作经济发展指导中心</w:t>
            </w:r>
          </w:p>
        </w:tc>
      </w:tr>
      <w:tr w14:paraId="507CA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717D7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BCE4AD">
            <w:pPr>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4F2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8298F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D7B84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2466B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6088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63B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19302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433045">
            <w:pPr>
              <w:jc w:val="center"/>
              <w:rPr>
                <w:rFonts w:hint="eastAsia" w:ascii="宋体" w:hAnsi="宋体" w:eastAsia="宋体" w:cs="宋体"/>
                <w:b/>
                <w:bCs/>
                <w:i w:val="0"/>
                <w:iCs w:val="0"/>
                <w:color w:val="000000"/>
                <w:sz w:val="18"/>
                <w:szCs w:val="18"/>
                <w:u w:val="none"/>
              </w:rPr>
            </w:pP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0FFA6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9C4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421.99</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5CBF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421.99</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F250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421.99</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C648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0171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60C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460C9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5DC0C">
            <w:pPr>
              <w:jc w:val="center"/>
              <w:rPr>
                <w:rFonts w:hint="eastAsia" w:ascii="宋体" w:hAnsi="宋体" w:eastAsia="宋体" w:cs="宋体"/>
                <w:b/>
                <w:bCs/>
                <w:i w:val="0"/>
                <w:iCs w:val="0"/>
                <w:color w:val="000000"/>
                <w:sz w:val="18"/>
                <w:szCs w:val="18"/>
                <w:u w:val="none"/>
              </w:rPr>
            </w:pP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AB6E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BB6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421.99</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42C7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421.99</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2CC8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421.99</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B348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FB6A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272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8392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505E0">
            <w:pPr>
              <w:jc w:val="center"/>
              <w:rPr>
                <w:rFonts w:hint="eastAsia" w:ascii="宋体" w:hAnsi="宋体" w:eastAsia="宋体" w:cs="宋体"/>
                <w:b/>
                <w:bCs/>
                <w:i w:val="0"/>
                <w:iCs w:val="0"/>
                <w:color w:val="000000"/>
                <w:sz w:val="18"/>
                <w:szCs w:val="18"/>
                <w:u w:val="none"/>
              </w:rPr>
            </w:pP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325C5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73B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2DE6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1006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485F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BBC0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EF3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69027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BEE07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2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383D0D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7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D1C4C8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2D901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846160">
            <w:pPr>
              <w:jc w:val="center"/>
              <w:rPr>
                <w:rFonts w:hint="eastAsia" w:ascii="宋体" w:hAnsi="宋体" w:eastAsia="宋体" w:cs="宋体"/>
                <w:b/>
                <w:bCs/>
                <w:i w:val="0"/>
                <w:iCs w:val="0"/>
                <w:color w:val="000000"/>
                <w:sz w:val="18"/>
                <w:szCs w:val="18"/>
                <w:u w:val="none"/>
              </w:rPr>
            </w:pPr>
          </w:p>
        </w:tc>
        <w:tc>
          <w:tcPr>
            <w:tcW w:w="192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77564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计划支持3家服务型农民专业合作社完成粮食（小麦、玉米）“耕”“种”“防”“收”全程托管农业生产社会化服务面积5.5万亩；扶持我市区级以上农民合作社4家，每家补助20万元；扶持县级以上家庭农场7家，每家补助6.00万元，共121.99万元，用于农业机械购买及圈舍改造。通过项目实施，预计能够增强农民合作社示范社和示范家庭农场发展水平和带动能力。</w:t>
            </w:r>
          </w:p>
        </w:tc>
        <w:tc>
          <w:tcPr>
            <w:tcW w:w="287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E2445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通过支持服务型农民专业合作社，实际完成了粮食（小麦、玉米）“耕”“种”“防”“收”全程托管农业生产社会化服务面积5.5万亩，补助资金300.00万元，扶持4家农民合作社和7家家庭农场，补助资金121.99万元，达到增强农民合作社示范社和示范家庭农场发展水平和带动能力的社会效益，接受社会化服务的小农户满意度达98%。</w:t>
            </w:r>
          </w:p>
        </w:tc>
      </w:tr>
      <w:tr w14:paraId="4B5AA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727D71">
            <w:pPr>
              <w:jc w:val="center"/>
              <w:rPr>
                <w:rFonts w:hint="eastAsia" w:ascii="宋体" w:hAnsi="宋体" w:eastAsia="宋体" w:cs="宋体"/>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C34AE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ED3BD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56FDE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409B4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FBA72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EA9B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65902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41DB4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E525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88A2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C8B4C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59398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A2D13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53226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8535C">
            <w:pPr>
              <w:jc w:val="center"/>
              <w:rPr>
                <w:rFonts w:hint="eastAsia" w:ascii="宋体" w:hAnsi="宋体" w:eastAsia="宋体" w:cs="宋体"/>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1BEE94">
            <w:pPr>
              <w:jc w:val="center"/>
              <w:rPr>
                <w:rFonts w:hint="eastAsia" w:ascii="宋体" w:hAnsi="宋体" w:eastAsia="宋体" w:cs="宋体"/>
                <w:b/>
                <w:bCs/>
                <w:i w:val="0"/>
                <w:iCs w:val="0"/>
                <w:color w:val="000000"/>
                <w:sz w:val="18"/>
                <w:szCs w:val="18"/>
                <w:u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395AD">
            <w:pPr>
              <w:jc w:val="center"/>
              <w:rPr>
                <w:rFonts w:hint="eastAsia" w:ascii="宋体" w:hAnsi="宋体" w:eastAsia="宋体" w:cs="宋体"/>
                <w:b/>
                <w:bCs/>
                <w:i w:val="0"/>
                <w:iCs w:val="0"/>
                <w:color w:val="000000"/>
                <w:sz w:val="18"/>
                <w:szCs w:val="18"/>
                <w:u w:val="none"/>
              </w:rPr>
            </w:pP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7AD547">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A1DA1D">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1E02FB">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1F3868">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7E49F">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AACD4">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4A994">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B82D2">
            <w:pPr>
              <w:jc w:val="center"/>
              <w:rPr>
                <w:rFonts w:hint="eastAsia" w:ascii="宋体" w:hAnsi="宋体" w:eastAsia="宋体" w:cs="宋体"/>
                <w:b/>
                <w:bCs/>
                <w:i w:val="0"/>
                <w:iCs w:val="0"/>
                <w:color w:val="000000"/>
                <w:sz w:val="18"/>
                <w:szCs w:val="18"/>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1C6E3">
            <w:pPr>
              <w:jc w:val="center"/>
              <w:rPr>
                <w:rFonts w:hint="eastAsia" w:ascii="宋体" w:hAnsi="宋体" w:eastAsia="宋体" w:cs="宋体"/>
                <w:b/>
                <w:bCs/>
                <w:i w:val="0"/>
                <w:iCs w:val="0"/>
                <w:color w:val="000000"/>
                <w:sz w:val="18"/>
                <w:szCs w:val="18"/>
                <w:u w:val="none"/>
              </w:rPr>
            </w:pPr>
          </w:p>
        </w:tc>
        <w:tc>
          <w:tcPr>
            <w:tcW w:w="3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63301">
            <w:pPr>
              <w:jc w:val="center"/>
              <w:rPr>
                <w:rFonts w:hint="eastAsia" w:ascii="宋体" w:hAnsi="宋体" w:eastAsia="宋体" w:cs="宋体"/>
                <w:b/>
                <w:bCs/>
                <w:i w:val="0"/>
                <w:iCs w:val="0"/>
                <w:color w:val="000000"/>
                <w:sz w:val="18"/>
                <w:szCs w:val="18"/>
                <w:u w:val="none"/>
              </w:rPr>
            </w:pPr>
          </w:p>
        </w:tc>
        <w:tc>
          <w:tcPr>
            <w:tcW w:w="8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68DD9">
            <w:pPr>
              <w:jc w:val="center"/>
              <w:rPr>
                <w:rFonts w:hint="eastAsia" w:ascii="宋体" w:hAnsi="宋体" w:eastAsia="宋体" w:cs="宋体"/>
                <w:b/>
                <w:bCs/>
                <w:i w:val="0"/>
                <w:iCs w:val="0"/>
                <w:color w:val="000000"/>
                <w:sz w:val="18"/>
                <w:szCs w:val="18"/>
                <w:u w:val="none"/>
              </w:rPr>
            </w:pPr>
          </w:p>
        </w:tc>
      </w:tr>
      <w:tr w14:paraId="33E51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D181B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bookmarkStart w:id="158" w:name="_GoBack" w:colFirst="7" w:colLast="7"/>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85D6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3BD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37B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支持的农民合作社数量（个）</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CA7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4A4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&gt;=4个</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A44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=4个</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84F1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75C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74A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794F0">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8B3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454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8C877">
            <w:pPr>
              <w:jc w:val="center"/>
              <w:rPr>
                <w:rFonts w:hint="eastAsia" w:ascii="宋体" w:hAnsi="宋体" w:eastAsia="宋体" w:cs="宋体"/>
                <w:i w:val="0"/>
                <w:iCs w:val="0"/>
                <w:color w:val="000000"/>
                <w:sz w:val="18"/>
                <w:szCs w:val="18"/>
                <w:u w:val="none"/>
              </w:rPr>
            </w:pPr>
          </w:p>
        </w:tc>
      </w:tr>
      <w:tr w14:paraId="2A8FF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D7CDC">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CFA45">
            <w:pPr>
              <w:jc w:val="center"/>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318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365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支持的家庭农场数量（个）</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0E4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195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&gt;=7个</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6BC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=7个</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6EE2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A39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B15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A416A">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B67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C1C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F6B0F">
            <w:pPr>
              <w:jc w:val="center"/>
              <w:rPr>
                <w:rFonts w:hint="eastAsia" w:ascii="宋体" w:hAnsi="宋体" w:eastAsia="宋体" w:cs="宋体"/>
                <w:i w:val="0"/>
                <w:iCs w:val="0"/>
                <w:color w:val="000000"/>
                <w:sz w:val="18"/>
                <w:szCs w:val="18"/>
                <w:u w:val="none"/>
              </w:rPr>
            </w:pPr>
          </w:p>
        </w:tc>
      </w:tr>
      <w:tr w14:paraId="188D1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BAC35">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519A4">
            <w:pPr>
              <w:jc w:val="center"/>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D53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AC7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农业生产托管服务面积（万亩）</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C01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C30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&gt;=5.50万亩</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79D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=5.5万亩</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FB60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58D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917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2E496">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B00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3B8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7807C">
            <w:pPr>
              <w:jc w:val="center"/>
              <w:rPr>
                <w:rFonts w:hint="eastAsia" w:ascii="宋体" w:hAnsi="宋体" w:eastAsia="宋体" w:cs="宋体"/>
                <w:i w:val="0"/>
                <w:iCs w:val="0"/>
                <w:color w:val="000000"/>
                <w:sz w:val="18"/>
                <w:szCs w:val="18"/>
                <w:u w:val="none"/>
              </w:rPr>
            </w:pPr>
          </w:p>
        </w:tc>
      </w:tr>
      <w:tr w14:paraId="3DFC6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DDD85">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951FD">
            <w:pPr>
              <w:jc w:val="center"/>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D63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A7D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农业生产社会化服务对象单产水平</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1FA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B81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F40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C99B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23A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FA2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4C17D">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32E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296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35E93">
            <w:pPr>
              <w:jc w:val="center"/>
              <w:rPr>
                <w:rFonts w:hint="eastAsia" w:ascii="宋体" w:hAnsi="宋体" w:eastAsia="宋体" w:cs="宋体"/>
                <w:i w:val="0"/>
                <w:iCs w:val="0"/>
                <w:color w:val="000000"/>
                <w:sz w:val="18"/>
                <w:szCs w:val="18"/>
                <w:u w:val="none"/>
              </w:rPr>
            </w:pPr>
          </w:p>
        </w:tc>
      </w:tr>
      <w:tr w14:paraId="68945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C70028">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3EC814">
            <w:pPr>
              <w:jc w:val="center"/>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8F9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84F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当年资金完成支付时间</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403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F8A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2024年11月5日</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35E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=2024年11月5日</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9303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F66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F3C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84AC8">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54B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6FC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4D35B">
            <w:pPr>
              <w:jc w:val="center"/>
              <w:rPr>
                <w:rFonts w:hint="eastAsia" w:ascii="宋体" w:hAnsi="宋体" w:eastAsia="宋体" w:cs="宋体"/>
                <w:i w:val="0"/>
                <w:iCs w:val="0"/>
                <w:color w:val="000000"/>
                <w:sz w:val="18"/>
                <w:szCs w:val="18"/>
                <w:u w:val="none"/>
              </w:rPr>
            </w:pPr>
          </w:p>
        </w:tc>
      </w:tr>
      <w:tr w14:paraId="6135B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4B70B">
            <w:pPr>
              <w:jc w:val="center"/>
              <w:rPr>
                <w:rFonts w:hint="eastAsia" w:ascii="宋体" w:hAnsi="宋体" w:eastAsia="宋体" w:cs="宋体"/>
                <w:b/>
                <w:bCs/>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3ADA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522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4D9C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2EE0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B177F">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E4BBF">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8E2D3">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312DF">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D9024">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175BE">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2A063">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F8E03">
            <w:pPr>
              <w:jc w:val="center"/>
              <w:rPr>
                <w:rFonts w:hint="eastAsia" w:ascii="宋体" w:hAnsi="宋体" w:eastAsia="宋体" w:cs="宋体"/>
                <w:i w:val="0"/>
                <w:iCs w:val="0"/>
                <w:color w:val="000000"/>
                <w:sz w:val="18"/>
                <w:szCs w:val="18"/>
                <w:u w:val="none"/>
              </w:rPr>
            </w:pP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77719">
            <w:pPr>
              <w:jc w:val="center"/>
              <w:rPr>
                <w:rFonts w:hint="eastAsia" w:ascii="宋体" w:hAnsi="宋体" w:eastAsia="宋体" w:cs="宋体"/>
                <w:i w:val="0"/>
                <w:iCs w:val="0"/>
                <w:color w:val="000000"/>
                <w:sz w:val="18"/>
                <w:szCs w:val="18"/>
                <w:u w:val="none"/>
              </w:rPr>
            </w:pPr>
          </w:p>
        </w:tc>
      </w:tr>
      <w:tr w14:paraId="2CC4E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22E92">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FE757">
            <w:pPr>
              <w:jc w:val="center"/>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5CA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4EEBF">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9A91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D8C18">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A0B12">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EF64F">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19EB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5DAC0">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0363F">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B0739">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4629D">
            <w:pPr>
              <w:jc w:val="center"/>
              <w:rPr>
                <w:rFonts w:hint="eastAsia" w:ascii="宋体" w:hAnsi="宋体" w:eastAsia="宋体" w:cs="宋体"/>
                <w:i w:val="0"/>
                <w:iCs w:val="0"/>
                <w:color w:val="000000"/>
                <w:sz w:val="18"/>
                <w:szCs w:val="18"/>
                <w:u w:val="none"/>
              </w:rPr>
            </w:pP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64894">
            <w:pPr>
              <w:jc w:val="center"/>
              <w:rPr>
                <w:rFonts w:hint="eastAsia" w:ascii="宋体" w:hAnsi="宋体" w:eastAsia="宋体" w:cs="宋体"/>
                <w:i w:val="0"/>
                <w:iCs w:val="0"/>
                <w:color w:val="000000"/>
                <w:sz w:val="18"/>
                <w:szCs w:val="18"/>
                <w:u w:val="none"/>
              </w:rPr>
            </w:pPr>
          </w:p>
        </w:tc>
      </w:tr>
      <w:tr w14:paraId="4A15D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88062">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38A493">
            <w:pPr>
              <w:jc w:val="center"/>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5EE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5E78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22D20">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C0DAA">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161F6">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1C6D6">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0773D">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43037">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06E82">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C5C22">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F2305">
            <w:pPr>
              <w:jc w:val="center"/>
              <w:rPr>
                <w:rFonts w:hint="eastAsia" w:ascii="宋体" w:hAnsi="宋体" w:eastAsia="宋体" w:cs="宋体"/>
                <w:i w:val="0"/>
                <w:iCs w:val="0"/>
                <w:color w:val="000000"/>
                <w:sz w:val="18"/>
                <w:szCs w:val="18"/>
                <w:u w:val="none"/>
              </w:rPr>
            </w:pP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EF345">
            <w:pPr>
              <w:jc w:val="center"/>
              <w:rPr>
                <w:rFonts w:hint="eastAsia" w:ascii="宋体" w:hAnsi="宋体" w:eastAsia="宋体" w:cs="宋体"/>
                <w:i w:val="0"/>
                <w:iCs w:val="0"/>
                <w:color w:val="000000"/>
                <w:sz w:val="18"/>
                <w:szCs w:val="18"/>
                <w:u w:val="none"/>
              </w:rPr>
            </w:pPr>
          </w:p>
        </w:tc>
      </w:tr>
      <w:tr w14:paraId="4976E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38B159">
            <w:pPr>
              <w:jc w:val="center"/>
              <w:rPr>
                <w:rFonts w:hint="eastAsia" w:ascii="宋体" w:hAnsi="宋体" w:eastAsia="宋体" w:cs="宋体"/>
                <w:b/>
                <w:bCs/>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EF0F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2AD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84D5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C07D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A95FF">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B9A2F">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16EAF">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1E01F">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F0345">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38857">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87A6B">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A7BEA">
            <w:pPr>
              <w:jc w:val="center"/>
              <w:rPr>
                <w:rFonts w:hint="eastAsia" w:ascii="宋体" w:hAnsi="宋体" w:eastAsia="宋体" w:cs="宋体"/>
                <w:i w:val="0"/>
                <w:iCs w:val="0"/>
                <w:color w:val="000000"/>
                <w:sz w:val="18"/>
                <w:szCs w:val="18"/>
                <w:u w:val="none"/>
              </w:rPr>
            </w:pP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1374E">
            <w:pPr>
              <w:jc w:val="center"/>
              <w:rPr>
                <w:rFonts w:hint="eastAsia" w:ascii="宋体" w:hAnsi="宋体" w:eastAsia="宋体" w:cs="宋体"/>
                <w:i w:val="0"/>
                <w:iCs w:val="0"/>
                <w:color w:val="000000"/>
                <w:sz w:val="18"/>
                <w:szCs w:val="18"/>
                <w:u w:val="none"/>
              </w:rPr>
            </w:pPr>
          </w:p>
        </w:tc>
      </w:tr>
      <w:tr w14:paraId="5D771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8C66F">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679139">
            <w:pPr>
              <w:jc w:val="center"/>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0F7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FB7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农民合作社示范社和示范家庭农场发展水平和带动能力</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FF8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8F0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增强</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DCB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81BB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514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29C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E3E36">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D3C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C7F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14A89">
            <w:pPr>
              <w:jc w:val="center"/>
              <w:rPr>
                <w:rFonts w:hint="eastAsia" w:ascii="宋体" w:hAnsi="宋体" w:eastAsia="宋体" w:cs="宋体"/>
                <w:i w:val="0"/>
                <w:iCs w:val="0"/>
                <w:color w:val="000000"/>
                <w:sz w:val="18"/>
                <w:szCs w:val="18"/>
                <w:u w:val="none"/>
              </w:rPr>
            </w:pPr>
          </w:p>
        </w:tc>
      </w:tr>
      <w:tr w14:paraId="56D57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F9B97">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A4D423">
            <w:pPr>
              <w:jc w:val="center"/>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3ED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D9EDF">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999E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496B0">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5FFA0">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96CFF">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2223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6A359">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B836D">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0AE0C">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F902B">
            <w:pPr>
              <w:jc w:val="center"/>
              <w:rPr>
                <w:rFonts w:hint="eastAsia" w:ascii="宋体" w:hAnsi="宋体" w:eastAsia="宋体" w:cs="宋体"/>
                <w:i w:val="0"/>
                <w:iCs w:val="0"/>
                <w:color w:val="000000"/>
                <w:sz w:val="18"/>
                <w:szCs w:val="18"/>
                <w:u w:val="none"/>
              </w:rPr>
            </w:pP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76352">
            <w:pPr>
              <w:jc w:val="center"/>
              <w:rPr>
                <w:rFonts w:hint="eastAsia" w:ascii="宋体" w:hAnsi="宋体" w:eastAsia="宋体" w:cs="宋体"/>
                <w:i w:val="0"/>
                <w:iCs w:val="0"/>
                <w:color w:val="000000"/>
                <w:sz w:val="18"/>
                <w:szCs w:val="18"/>
                <w:u w:val="none"/>
              </w:rPr>
            </w:pPr>
          </w:p>
        </w:tc>
      </w:tr>
      <w:tr w14:paraId="02AD6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FF9722">
            <w:pPr>
              <w:jc w:val="center"/>
              <w:rPr>
                <w:rFonts w:hint="eastAsia" w:ascii="宋体" w:hAnsi="宋体" w:eastAsia="宋体" w:cs="宋体"/>
                <w:b/>
                <w:bCs/>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33C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B6D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D56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接受社会化服务的小农户满意度（%）</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BBA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98A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&gt;=98%</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F1E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820F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181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A2D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CDE0C">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534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710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BDC58">
            <w:pPr>
              <w:jc w:val="center"/>
              <w:rPr>
                <w:rFonts w:hint="eastAsia" w:ascii="宋体" w:hAnsi="宋体" w:eastAsia="宋体" w:cs="宋体"/>
                <w:i w:val="0"/>
                <w:iCs w:val="0"/>
                <w:color w:val="000000"/>
                <w:sz w:val="18"/>
                <w:szCs w:val="18"/>
                <w:u w:val="none"/>
              </w:rPr>
            </w:pPr>
          </w:p>
        </w:tc>
      </w:tr>
      <w:bookmarkEnd w:id="158"/>
      <w:tr w14:paraId="6DF69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46" w:type="pct"/>
            <w:gridSpan w:val="4"/>
            <w:tcBorders>
              <w:top w:val="single" w:color="000000" w:sz="4" w:space="0"/>
              <w:left w:val="single" w:color="000000" w:sz="4" w:space="0"/>
              <w:bottom w:val="single" w:color="000000" w:sz="4" w:space="0"/>
              <w:right w:val="nil"/>
            </w:tcBorders>
            <w:shd w:val="clear" w:color="auto" w:fill="auto"/>
            <w:vAlign w:val="center"/>
          </w:tcPr>
          <w:p w14:paraId="31D56C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4F2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nil"/>
              <w:bottom w:val="single" w:color="000000" w:sz="4" w:space="0"/>
              <w:right w:val="single" w:color="000000" w:sz="4" w:space="0"/>
            </w:tcBorders>
            <w:shd w:val="clear" w:color="auto" w:fill="auto"/>
            <w:vAlign w:val="center"/>
          </w:tcPr>
          <w:p w14:paraId="437F820D">
            <w:pPr>
              <w:rPr>
                <w:rFonts w:hint="eastAsia" w:ascii="宋体" w:hAnsi="宋体" w:eastAsia="宋体" w:cs="宋体"/>
                <w:b/>
                <w:bCs/>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9602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1D1F7">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3B8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F841B">
            <w:pP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2B337">
            <w:pP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61E89">
            <w:pP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5BEA5">
            <w:pPr>
              <w:rPr>
                <w:rFonts w:hint="eastAsia" w:ascii="宋体" w:hAnsi="宋体" w:eastAsia="宋体" w:cs="宋体"/>
                <w:i w:val="0"/>
                <w:iCs w:val="0"/>
                <w:color w:val="000000"/>
                <w:sz w:val="18"/>
                <w:szCs w:val="18"/>
                <w:u w:val="none"/>
              </w:rPr>
            </w:pP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45EE7">
            <w:pPr>
              <w:rPr>
                <w:rFonts w:hint="eastAsia" w:ascii="宋体" w:hAnsi="宋体" w:eastAsia="宋体" w:cs="宋体"/>
                <w:i w:val="0"/>
                <w:iCs w:val="0"/>
                <w:color w:val="000000"/>
                <w:sz w:val="18"/>
                <w:szCs w:val="18"/>
                <w:u w:val="none"/>
              </w:rPr>
            </w:pPr>
          </w:p>
        </w:tc>
      </w:tr>
    </w:tbl>
    <w:p w14:paraId="0D2C1648">
      <w:pPr>
        <w:ind w:left="0" w:leftChars="0" w:firstLine="0" w:firstLineChars="0"/>
        <w:rPr>
          <w:color w:val="auto"/>
          <w:highlight w:val="none"/>
        </w:rPr>
      </w:pPr>
      <w:r>
        <w:rPr>
          <w:color w:val="auto"/>
          <w:highlight w:val="none"/>
        </w:rPr>
        <w:br w:type="page"/>
      </w:r>
    </w:p>
    <w:p w14:paraId="351BC9DD">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156" w:name="_Toc11223"/>
      <w:bookmarkStart w:id="157" w:name="_Toc15067"/>
      <w:r>
        <w:rPr>
          <w:rFonts w:hint="eastAsia" w:ascii="宋体" w:hAnsi="宋体" w:eastAsia="宋体" w:cs="宋体"/>
          <w:b/>
          <w:bCs/>
          <w:color w:val="auto"/>
          <w:highlight w:val="none"/>
          <w:shd w:val="clear" w:color="auto" w:fill="auto"/>
          <w:lang w:val="en-US" w:eastAsia="zh-CN"/>
        </w:rPr>
        <w:t>附件二、项目支出绩效评价指标体系打分表</w:t>
      </w:r>
      <w:bookmarkEnd w:id="156"/>
      <w:bookmarkEnd w:id="157"/>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950"/>
        <w:gridCol w:w="2011"/>
        <w:gridCol w:w="7821"/>
        <w:gridCol w:w="785"/>
        <w:gridCol w:w="769"/>
      </w:tblGrid>
      <w:tr w14:paraId="015BDF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4F7EB17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644C180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950" w:type="dxa"/>
            <w:shd w:val="clear" w:color="auto" w:fill="auto"/>
            <w:noWrap w:val="0"/>
            <w:vAlign w:val="center"/>
          </w:tcPr>
          <w:p w14:paraId="759DED7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011" w:type="dxa"/>
            <w:shd w:val="clear" w:color="auto" w:fill="auto"/>
            <w:noWrap w:val="0"/>
            <w:vAlign w:val="center"/>
          </w:tcPr>
          <w:p w14:paraId="235A5B9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5A102CB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5096599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0CC7754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1742F8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90" w:hRule="atLeast"/>
          <w:jc w:val="center"/>
        </w:trPr>
        <w:tc>
          <w:tcPr>
            <w:tcW w:w="861" w:type="dxa"/>
            <w:vMerge w:val="restart"/>
            <w:shd w:val="clear" w:color="auto" w:fill="auto"/>
            <w:noWrap w:val="0"/>
            <w:vAlign w:val="center"/>
          </w:tcPr>
          <w:p w14:paraId="02258D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19917D8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540D15E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515493C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950" w:type="dxa"/>
            <w:shd w:val="clear" w:color="auto" w:fill="auto"/>
            <w:noWrap w:val="0"/>
            <w:vAlign w:val="center"/>
          </w:tcPr>
          <w:p w14:paraId="124B116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立项依据充分性</w:t>
            </w:r>
          </w:p>
        </w:tc>
        <w:tc>
          <w:tcPr>
            <w:tcW w:w="2011" w:type="dxa"/>
            <w:shd w:val="clear" w:color="auto" w:fill="auto"/>
            <w:noWrap w:val="0"/>
            <w:vAlign w:val="center"/>
          </w:tcPr>
          <w:p w14:paraId="1DAD3FB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2AD2B23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DD6F3F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12C8608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56B546A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0FC55EC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4C69C785">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7EA88D4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rPr>
              <w:t>2</w:t>
            </w:r>
          </w:p>
        </w:tc>
        <w:tc>
          <w:tcPr>
            <w:tcW w:w="769" w:type="dxa"/>
            <w:shd w:val="clear" w:color="auto" w:fill="auto"/>
            <w:noWrap w:val="0"/>
            <w:vAlign w:val="center"/>
          </w:tcPr>
          <w:p w14:paraId="55DA9F5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2</w:t>
            </w:r>
          </w:p>
        </w:tc>
      </w:tr>
      <w:tr w14:paraId="456109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1E72A98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0BE9661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950" w:type="dxa"/>
            <w:shd w:val="clear" w:color="auto" w:fill="auto"/>
            <w:noWrap w:val="0"/>
            <w:vAlign w:val="center"/>
          </w:tcPr>
          <w:p w14:paraId="7EE609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立项程序规范性</w:t>
            </w:r>
          </w:p>
        </w:tc>
        <w:tc>
          <w:tcPr>
            <w:tcW w:w="2011" w:type="dxa"/>
            <w:shd w:val="clear" w:color="auto" w:fill="auto"/>
            <w:noWrap w:val="0"/>
            <w:vAlign w:val="center"/>
          </w:tcPr>
          <w:p w14:paraId="33FBF90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65FD560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A1453A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398B5BA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295A8E23">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64A9934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rPr>
              <w:t>3</w:t>
            </w:r>
          </w:p>
        </w:tc>
        <w:tc>
          <w:tcPr>
            <w:tcW w:w="769" w:type="dxa"/>
            <w:shd w:val="clear" w:color="auto" w:fill="auto"/>
            <w:noWrap w:val="0"/>
            <w:vAlign w:val="center"/>
          </w:tcPr>
          <w:p w14:paraId="6816FB1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2</w:t>
            </w:r>
          </w:p>
        </w:tc>
      </w:tr>
      <w:tr w14:paraId="57F587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21B666C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612DFE3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950" w:type="dxa"/>
            <w:shd w:val="clear" w:color="auto" w:fill="auto"/>
            <w:noWrap w:val="0"/>
            <w:vAlign w:val="center"/>
          </w:tcPr>
          <w:p w14:paraId="6E54B52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绩效目标合理性</w:t>
            </w:r>
          </w:p>
        </w:tc>
        <w:tc>
          <w:tcPr>
            <w:tcW w:w="2011" w:type="dxa"/>
            <w:shd w:val="clear" w:color="auto" w:fill="auto"/>
            <w:noWrap w:val="0"/>
            <w:vAlign w:val="center"/>
          </w:tcPr>
          <w:p w14:paraId="4E75D22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1283453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A811A9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2FE6756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4616CB3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1F28E0E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2BC4A238">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2E3F350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rPr>
              <w:t>5</w:t>
            </w:r>
          </w:p>
        </w:tc>
        <w:tc>
          <w:tcPr>
            <w:tcW w:w="769" w:type="dxa"/>
            <w:shd w:val="clear" w:color="auto" w:fill="auto"/>
            <w:noWrap w:val="0"/>
            <w:vAlign w:val="center"/>
          </w:tcPr>
          <w:p w14:paraId="7DE687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shd w:val="clear" w:color="auto" w:fill="auto"/>
                <w:lang w:val="en-US" w:eastAsia="zh-CN"/>
              </w:rPr>
              <w:t>5</w:t>
            </w:r>
          </w:p>
        </w:tc>
      </w:tr>
      <w:tr w14:paraId="0096D8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5622787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5A323C1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950" w:type="dxa"/>
            <w:shd w:val="clear" w:color="auto" w:fill="auto"/>
            <w:noWrap w:val="0"/>
            <w:vAlign w:val="center"/>
          </w:tcPr>
          <w:p w14:paraId="723B221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绩效指标明确性</w:t>
            </w:r>
          </w:p>
        </w:tc>
        <w:tc>
          <w:tcPr>
            <w:tcW w:w="2011" w:type="dxa"/>
            <w:shd w:val="clear" w:color="auto" w:fill="auto"/>
            <w:noWrap w:val="0"/>
            <w:vAlign w:val="center"/>
          </w:tcPr>
          <w:p w14:paraId="33C477F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7E7B55A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E9503A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756E1C2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5183E07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0F55089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2A4A985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5</w:t>
            </w:r>
          </w:p>
        </w:tc>
        <w:tc>
          <w:tcPr>
            <w:tcW w:w="769" w:type="dxa"/>
            <w:shd w:val="clear" w:color="auto" w:fill="auto"/>
            <w:noWrap w:val="0"/>
            <w:vAlign w:val="center"/>
          </w:tcPr>
          <w:p w14:paraId="32E5CAB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5</w:t>
            </w:r>
          </w:p>
        </w:tc>
      </w:tr>
      <w:tr w14:paraId="35358B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30E87E3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0828D2C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0EB25A7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950" w:type="dxa"/>
            <w:shd w:val="clear" w:color="auto" w:fill="auto"/>
            <w:noWrap w:val="0"/>
            <w:vAlign w:val="center"/>
          </w:tcPr>
          <w:p w14:paraId="433806C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预算编制科学性</w:t>
            </w:r>
          </w:p>
        </w:tc>
        <w:tc>
          <w:tcPr>
            <w:tcW w:w="2011" w:type="dxa"/>
            <w:shd w:val="clear" w:color="auto" w:fill="auto"/>
            <w:noWrap w:val="0"/>
            <w:vAlign w:val="center"/>
          </w:tcPr>
          <w:p w14:paraId="675CC1D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D9BFB7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0D650E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677A766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69A3E2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602EF35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411C54F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2</w:t>
            </w:r>
          </w:p>
        </w:tc>
        <w:tc>
          <w:tcPr>
            <w:tcW w:w="769" w:type="dxa"/>
            <w:shd w:val="clear" w:color="auto" w:fill="auto"/>
            <w:noWrap w:val="0"/>
            <w:vAlign w:val="center"/>
          </w:tcPr>
          <w:p w14:paraId="5B00E1D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2</w:t>
            </w:r>
          </w:p>
        </w:tc>
      </w:tr>
      <w:tr w14:paraId="07C644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949" w:hRule="atLeast"/>
          <w:jc w:val="center"/>
        </w:trPr>
        <w:tc>
          <w:tcPr>
            <w:tcW w:w="861" w:type="dxa"/>
            <w:vMerge w:val="continue"/>
            <w:shd w:val="clear" w:color="auto" w:fill="auto"/>
            <w:noWrap w:val="0"/>
            <w:vAlign w:val="center"/>
          </w:tcPr>
          <w:p w14:paraId="31BB7F4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442123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950" w:type="dxa"/>
            <w:shd w:val="clear" w:color="auto" w:fill="auto"/>
            <w:noWrap w:val="0"/>
            <w:vAlign w:val="center"/>
          </w:tcPr>
          <w:p w14:paraId="534757F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资金分配合理性</w:t>
            </w:r>
          </w:p>
        </w:tc>
        <w:tc>
          <w:tcPr>
            <w:tcW w:w="2011" w:type="dxa"/>
            <w:shd w:val="clear" w:color="auto" w:fill="auto"/>
            <w:noWrap w:val="0"/>
            <w:vAlign w:val="center"/>
          </w:tcPr>
          <w:p w14:paraId="745A8E9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7464298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0675D4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699340E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73D5F20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3</w:t>
            </w:r>
          </w:p>
        </w:tc>
        <w:tc>
          <w:tcPr>
            <w:tcW w:w="769" w:type="dxa"/>
            <w:shd w:val="clear" w:color="auto" w:fill="auto"/>
            <w:noWrap w:val="0"/>
            <w:vAlign w:val="center"/>
          </w:tcPr>
          <w:p w14:paraId="027B1B3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3</w:t>
            </w:r>
          </w:p>
        </w:tc>
      </w:tr>
      <w:tr w14:paraId="719641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03" w:hRule="atLeast"/>
          <w:jc w:val="center"/>
        </w:trPr>
        <w:tc>
          <w:tcPr>
            <w:tcW w:w="861" w:type="dxa"/>
            <w:vMerge w:val="restart"/>
            <w:shd w:val="clear" w:color="auto" w:fill="auto"/>
            <w:noWrap w:val="0"/>
            <w:vAlign w:val="center"/>
          </w:tcPr>
          <w:p w14:paraId="3DA19D78">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4E5E67E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950" w:type="dxa"/>
            <w:shd w:val="clear" w:color="auto" w:fill="auto"/>
            <w:noWrap w:val="0"/>
            <w:vAlign w:val="center"/>
          </w:tcPr>
          <w:p w14:paraId="3CC8D99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011" w:type="dxa"/>
            <w:shd w:val="clear" w:color="auto" w:fill="auto"/>
            <w:noWrap w:val="0"/>
            <w:vAlign w:val="center"/>
          </w:tcPr>
          <w:p w14:paraId="0CD3BAA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3A6261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4CA73FC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6798970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61643E6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085EF1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4</w:t>
            </w:r>
          </w:p>
        </w:tc>
        <w:tc>
          <w:tcPr>
            <w:tcW w:w="769" w:type="dxa"/>
            <w:shd w:val="clear" w:color="auto" w:fill="auto"/>
            <w:noWrap w:val="0"/>
            <w:vAlign w:val="center"/>
          </w:tcPr>
          <w:p w14:paraId="25FDB8B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4</w:t>
            </w:r>
          </w:p>
        </w:tc>
      </w:tr>
      <w:tr w14:paraId="1B514A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61" w:type="dxa"/>
            <w:vMerge w:val="continue"/>
            <w:shd w:val="clear" w:color="auto" w:fill="auto"/>
            <w:noWrap w:val="0"/>
            <w:vAlign w:val="center"/>
          </w:tcPr>
          <w:p w14:paraId="7F52EAD7">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147D6A1">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950" w:type="dxa"/>
            <w:shd w:val="clear" w:color="auto" w:fill="auto"/>
            <w:noWrap w:val="0"/>
            <w:vAlign w:val="center"/>
          </w:tcPr>
          <w:p w14:paraId="0F48200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011" w:type="dxa"/>
            <w:shd w:val="clear" w:color="auto" w:fill="auto"/>
            <w:noWrap w:val="0"/>
            <w:vAlign w:val="center"/>
          </w:tcPr>
          <w:p w14:paraId="2EB0572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581C0D8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5579FD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0510BBA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4</w:t>
            </w:r>
          </w:p>
        </w:tc>
        <w:tc>
          <w:tcPr>
            <w:tcW w:w="769" w:type="dxa"/>
            <w:shd w:val="clear" w:color="auto" w:fill="auto"/>
            <w:noWrap w:val="0"/>
            <w:vAlign w:val="center"/>
          </w:tcPr>
          <w:p w14:paraId="4E0FF79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4</w:t>
            </w:r>
          </w:p>
        </w:tc>
      </w:tr>
      <w:tr w14:paraId="7DF2CE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1E34216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730F6081">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099134C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950" w:type="dxa"/>
            <w:shd w:val="clear" w:color="auto" w:fill="auto"/>
            <w:noWrap w:val="0"/>
            <w:vAlign w:val="center"/>
          </w:tcPr>
          <w:p w14:paraId="1AB334B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资金使用合规性</w:t>
            </w:r>
          </w:p>
        </w:tc>
        <w:tc>
          <w:tcPr>
            <w:tcW w:w="2011" w:type="dxa"/>
            <w:shd w:val="clear" w:color="auto" w:fill="auto"/>
            <w:noWrap w:val="0"/>
            <w:vAlign w:val="center"/>
          </w:tcPr>
          <w:p w14:paraId="569EE60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05567B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C8C632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13AA4D7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5DB520B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669061C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77A66BB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4</w:t>
            </w:r>
          </w:p>
        </w:tc>
        <w:tc>
          <w:tcPr>
            <w:tcW w:w="769" w:type="dxa"/>
            <w:shd w:val="clear" w:color="auto" w:fill="auto"/>
            <w:noWrap w:val="0"/>
            <w:vAlign w:val="center"/>
          </w:tcPr>
          <w:p w14:paraId="3D8CD8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4</w:t>
            </w:r>
          </w:p>
        </w:tc>
      </w:tr>
      <w:tr w14:paraId="2FB80B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61" w:type="dxa"/>
            <w:vMerge w:val="continue"/>
            <w:shd w:val="clear" w:color="auto" w:fill="auto"/>
            <w:noWrap w:val="0"/>
            <w:vAlign w:val="center"/>
          </w:tcPr>
          <w:p w14:paraId="5E108BB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1D9955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3A35C25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950" w:type="dxa"/>
            <w:shd w:val="clear" w:color="auto" w:fill="auto"/>
            <w:noWrap w:val="0"/>
            <w:vAlign w:val="center"/>
          </w:tcPr>
          <w:p w14:paraId="79F172F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管理制度健全性</w:t>
            </w:r>
          </w:p>
        </w:tc>
        <w:tc>
          <w:tcPr>
            <w:tcW w:w="2011" w:type="dxa"/>
            <w:shd w:val="clear" w:color="auto" w:fill="auto"/>
            <w:noWrap w:val="0"/>
            <w:vAlign w:val="center"/>
          </w:tcPr>
          <w:p w14:paraId="14A0798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0294756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DC2C41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3C9EF33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211BBC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4</w:t>
            </w:r>
          </w:p>
        </w:tc>
        <w:tc>
          <w:tcPr>
            <w:tcW w:w="769" w:type="dxa"/>
            <w:shd w:val="clear" w:color="auto" w:fill="auto"/>
            <w:noWrap w:val="0"/>
            <w:vAlign w:val="center"/>
          </w:tcPr>
          <w:p w14:paraId="709EC37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rPr>
            </w:pPr>
            <w:r>
              <w:rPr>
                <w:rFonts w:hint="eastAsia" w:ascii="宋体" w:hAnsi="宋体" w:eastAsia="宋体" w:cs="宋体"/>
                <w:color w:val="auto"/>
                <w:kern w:val="0"/>
                <w:sz w:val="22"/>
                <w:szCs w:val="22"/>
                <w:highlight w:val="none"/>
                <w:shd w:val="clear" w:color="auto" w:fill="auto"/>
                <w:lang w:val="en-US" w:eastAsia="zh-CN"/>
              </w:rPr>
              <w:t>4</w:t>
            </w:r>
          </w:p>
        </w:tc>
      </w:tr>
      <w:tr w14:paraId="2DAFA3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90" w:hRule="atLeast"/>
          <w:jc w:val="center"/>
        </w:trPr>
        <w:tc>
          <w:tcPr>
            <w:tcW w:w="861" w:type="dxa"/>
            <w:vMerge w:val="continue"/>
            <w:shd w:val="clear" w:color="auto" w:fill="auto"/>
            <w:noWrap w:val="0"/>
            <w:vAlign w:val="center"/>
          </w:tcPr>
          <w:p w14:paraId="3523BCB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24EF2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950" w:type="dxa"/>
            <w:shd w:val="clear" w:color="auto" w:fill="auto"/>
            <w:noWrap w:val="0"/>
            <w:vAlign w:val="center"/>
          </w:tcPr>
          <w:p w14:paraId="5185EB3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制度执行有效性</w:t>
            </w:r>
          </w:p>
        </w:tc>
        <w:tc>
          <w:tcPr>
            <w:tcW w:w="2011" w:type="dxa"/>
            <w:shd w:val="clear" w:color="auto" w:fill="auto"/>
            <w:noWrap w:val="0"/>
            <w:vAlign w:val="center"/>
          </w:tcPr>
          <w:p w14:paraId="204789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0048AA0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674206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4D4178E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2840760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2E1EE14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42DBE25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rPr>
              <w:t>4</w:t>
            </w:r>
          </w:p>
        </w:tc>
        <w:tc>
          <w:tcPr>
            <w:tcW w:w="769" w:type="dxa"/>
            <w:shd w:val="clear" w:color="auto" w:fill="auto"/>
            <w:noWrap w:val="0"/>
            <w:vAlign w:val="center"/>
          </w:tcPr>
          <w:p w14:paraId="229EFD3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7CE539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34" w:hRule="atLeast"/>
          <w:jc w:val="center"/>
        </w:trPr>
        <w:tc>
          <w:tcPr>
            <w:tcW w:w="861" w:type="dxa"/>
            <w:vMerge w:val="restart"/>
            <w:shd w:val="clear" w:color="auto" w:fill="auto"/>
            <w:noWrap w:val="0"/>
            <w:vAlign w:val="center"/>
          </w:tcPr>
          <w:p w14:paraId="0CB3226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63C0EF5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950" w:type="dxa"/>
            <w:shd w:val="clear" w:color="auto" w:fill="auto"/>
            <w:noWrap w:val="0"/>
            <w:vAlign w:val="center"/>
          </w:tcPr>
          <w:p w14:paraId="6C94E6C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支持的农民合作社数量（个）</w:t>
            </w:r>
          </w:p>
        </w:tc>
        <w:tc>
          <w:tcPr>
            <w:tcW w:w="2011" w:type="dxa"/>
            <w:shd w:val="clear" w:color="auto" w:fill="auto"/>
            <w:noWrap w:val="0"/>
            <w:vAlign w:val="center"/>
          </w:tcPr>
          <w:p w14:paraId="54E4CA4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301A80C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03AF044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6B4562A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3D5A68D3">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260B7556">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5C531A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14" w:hRule="atLeast"/>
          <w:jc w:val="center"/>
        </w:trPr>
        <w:tc>
          <w:tcPr>
            <w:tcW w:w="861" w:type="dxa"/>
            <w:vMerge w:val="continue"/>
            <w:shd w:val="clear" w:color="auto" w:fill="auto"/>
            <w:noWrap w:val="0"/>
            <w:vAlign w:val="center"/>
          </w:tcPr>
          <w:p w14:paraId="346B7BC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shd w:val="clear" w:color="auto" w:fill="auto"/>
            <w:noWrap w:val="0"/>
            <w:vAlign w:val="center"/>
          </w:tcPr>
          <w:p w14:paraId="3529BD2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cs="宋体"/>
                <w:color w:val="auto"/>
                <w:kern w:val="0"/>
                <w:sz w:val="22"/>
                <w:szCs w:val="22"/>
                <w:highlight w:val="none"/>
                <w:lang w:eastAsia="zh-CN"/>
              </w:rPr>
              <w:t>产出数量</w:t>
            </w:r>
          </w:p>
        </w:tc>
        <w:tc>
          <w:tcPr>
            <w:tcW w:w="950" w:type="dxa"/>
            <w:shd w:val="clear" w:color="auto" w:fill="auto"/>
            <w:noWrap w:val="0"/>
            <w:vAlign w:val="center"/>
          </w:tcPr>
          <w:p w14:paraId="4E2C2C2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支持的家庭农场数量（个）</w:t>
            </w:r>
          </w:p>
        </w:tc>
        <w:tc>
          <w:tcPr>
            <w:tcW w:w="2011" w:type="dxa"/>
            <w:shd w:val="clear" w:color="auto" w:fill="auto"/>
            <w:noWrap w:val="0"/>
            <w:vAlign w:val="center"/>
          </w:tcPr>
          <w:p w14:paraId="04926C1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75C363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2DD28E4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2A4E653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62A819B4">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77CA661">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551138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90" w:hRule="atLeast"/>
          <w:jc w:val="center"/>
        </w:trPr>
        <w:tc>
          <w:tcPr>
            <w:tcW w:w="861" w:type="dxa"/>
            <w:vMerge w:val="continue"/>
            <w:shd w:val="clear" w:color="auto" w:fill="auto"/>
            <w:noWrap w:val="0"/>
            <w:vAlign w:val="center"/>
          </w:tcPr>
          <w:p w14:paraId="63DE622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shd w:val="clear" w:color="auto" w:fill="auto"/>
            <w:noWrap w:val="0"/>
            <w:vAlign w:val="center"/>
          </w:tcPr>
          <w:p w14:paraId="20FBE82C">
            <w:pPr>
              <w:pageBreakBefore w:val="0"/>
              <w:widowControl/>
              <w:kinsoku/>
              <w:wordWrap/>
              <w:overflowPunct/>
              <w:topLinePunct w:val="0"/>
              <w:autoSpaceDE/>
              <w:autoSpaceDN/>
              <w:bidi w:val="0"/>
              <w:spacing w:line="240" w:lineRule="auto"/>
              <w:ind w:firstLine="0" w:firstLineChars="0"/>
              <w:jc w:val="center"/>
              <w:textAlignment w:val="auto"/>
              <w:rPr>
                <w:rFonts w:hint="eastAsia" w:cs="宋体"/>
                <w:color w:val="auto"/>
                <w:kern w:val="0"/>
                <w:sz w:val="22"/>
                <w:szCs w:val="22"/>
                <w:highlight w:val="none"/>
                <w:lang w:eastAsia="zh-CN"/>
              </w:rPr>
            </w:pPr>
            <w:r>
              <w:rPr>
                <w:rFonts w:hint="eastAsia" w:cs="宋体"/>
                <w:color w:val="auto"/>
                <w:kern w:val="0"/>
                <w:sz w:val="22"/>
                <w:szCs w:val="22"/>
                <w:highlight w:val="none"/>
                <w:lang w:eastAsia="zh-CN"/>
              </w:rPr>
              <w:t>产出数量</w:t>
            </w:r>
          </w:p>
        </w:tc>
        <w:tc>
          <w:tcPr>
            <w:tcW w:w="950" w:type="dxa"/>
            <w:shd w:val="clear" w:color="auto" w:fill="auto"/>
            <w:noWrap w:val="0"/>
            <w:vAlign w:val="center"/>
          </w:tcPr>
          <w:p w14:paraId="0959855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农业生产托管服务面积（万亩）</w:t>
            </w:r>
          </w:p>
        </w:tc>
        <w:tc>
          <w:tcPr>
            <w:tcW w:w="2011" w:type="dxa"/>
            <w:shd w:val="clear" w:color="auto" w:fill="auto"/>
            <w:noWrap w:val="0"/>
            <w:vAlign w:val="center"/>
          </w:tcPr>
          <w:p w14:paraId="17048C3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47B208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01861E1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33CF790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5F92BD7">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FBC7F1B">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1DC15D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412D38D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1533634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950" w:type="dxa"/>
            <w:shd w:val="clear" w:color="auto" w:fill="auto"/>
            <w:noWrap w:val="0"/>
            <w:vAlign w:val="center"/>
          </w:tcPr>
          <w:p w14:paraId="44D196F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农业生产社会化服务对象</w:t>
            </w:r>
            <w:r>
              <w:rPr>
                <w:rFonts w:hint="eastAsia" w:cs="宋体"/>
                <w:color w:val="auto"/>
                <w:kern w:val="0"/>
                <w:sz w:val="22"/>
                <w:szCs w:val="22"/>
                <w:highlight w:val="none"/>
                <w:lang w:eastAsia="zh-CN"/>
              </w:rPr>
              <w:t>提高</w:t>
            </w:r>
            <w:r>
              <w:rPr>
                <w:rFonts w:hint="eastAsia" w:ascii="宋体" w:hAnsi="宋体" w:eastAsia="宋体" w:cs="宋体"/>
                <w:color w:val="auto"/>
                <w:kern w:val="0"/>
                <w:sz w:val="22"/>
                <w:szCs w:val="22"/>
                <w:highlight w:val="none"/>
              </w:rPr>
              <w:t>单产水平</w:t>
            </w:r>
          </w:p>
        </w:tc>
        <w:tc>
          <w:tcPr>
            <w:tcW w:w="2011" w:type="dxa"/>
            <w:shd w:val="clear" w:color="auto" w:fill="auto"/>
            <w:noWrap w:val="0"/>
            <w:vAlign w:val="center"/>
          </w:tcPr>
          <w:p w14:paraId="68061C8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416C0A5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1596561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01C968F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35E3A74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66664B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086CF7C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685627C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950" w:type="dxa"/>
            <w:shd w:val="clear" w:color="auto" w:fill="auto"/>
            <w:noWrap w:val="0"/>
            <w:vAlign w:val="center"/>
          </w:tcPr>
          <w:p w14:paraId="509C135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cs="宋体"/>
                <w:color w:val="auto"/>
                <w:kern w:val="0"/>
                <w:sz w:val="22"/>
                <w:szCs w:val="22"/>
                <w:highlight w:val="none"/>
                <w:lang w:eastAsia="zh-CN"/>
              </w:rPr>
              <w:t>项目完成时间</w:t>
            </w:r>
          </w:p>
        </w:tc>
        <w:tc>
          <w:tcPr>
            <w:tcW w:w="2011" w:type="dxa"/>
            <w:shd w:val="clear" w:color="auto" w:fill="auto"/>
            <w:noWrap w:val="0"/>
            <w:vAlign w:val="center"/>
          </w:tcPr>
          <w:p w14:paraId="0669CC2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03D8DE6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2D937D3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38D995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5955DB7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r>
      <w:tr w14:paraId="02D55C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21" w:hRule="atLeast"/>
          <w:jc w:val="center"/>
        </w:trPr>
        <w:tc>
          <w:tcPr>
            <w:tcW w:w="861" w:type="dxa"/>
            <w:vMerge w:val="continue"/>
            <w:shd w:val="clear" w:color="auto" w:fill="auto"/>
            <w:noWrap w:val="0"/>
            <w:vAlign w:val="center"/>
          </w:tcPr>
          <w:p w14:paraId="7A1E1A2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1D1A8D5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950" w:type="dxa"/>
            <w:shd w:val="clear" w:color="auto" w:fill="auto"/>
            <w:noWrap w:val="0"/>
            <w:vAlign w:val="center"/>
          </w:tcPr>
          <w:p w14:paraId="43C32C8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成本</w:t>
            </w:r>
            <w:r>
              <w:rPr>
                <w:rFonts w:hint="eastAsia" w:cs="宋体"/>
                <w:color w:val="auto"/>
                <w:kern w:val="0"/>
                <w:sz w:val="22"/>
                <w:szCs w:val="22"/>
                <w:highlight w:val="none"/>
                <w:lang w:eastAsia="zh-CN"/>
              </w:rPr>
              <w:t>控制</w:t>
            </w:r>
            <w:r>
              <w:rPr>
                <w:rFonts w:hint="eastAsia" w:ascii="宋体" w:hAnsi="宋体" w:eastAsia="宋体" w:cs="宋体"/>
                <w:color w:val="auto"/>
                <w:kern w:val="0"/>
                <w:sz w:val="22"/>
                <w:szCs w:val="22"/>
                <w:highlight w:val="none"/>
              </w:rPr>
              <w:t>率</w:t>
            </w:r>
          </w:p>
        </w:tc>
        <w:tc>
          <w:tcPr>
            <w:tcW w:w="2011" w:type="dxa"/>
            <w:shd w:val="clear" w:color="auto" w:fill="auto"/>
            <w:noWrap w:val="0"/>
            <w:vAlign w:val="center"/>
          </w:tcPr>
          <w:p w14:paraId="411CF5C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0858EC1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218C76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7E7EAB5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4F73D69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7CE0924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1ADCBEB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3C8BF7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772" w:hRule="atLeast"/>
          <w:jc w:val="center"/>
        </w:trPr>
        <w:tc>
          <w:tcPr>
            <w:tcW w:w="861" w:type="dxa"/>
            <w:vMerge w:val="restart"/>
            <w:shd w:val="clear" w:color="auto" w:fill="auto"/>
            <w:noWrap w:val="0"/>
            <w:vAlign w:val="center"/>
          </w:tcPr>
          <w:p w14:paraId="2AA80A6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559E824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950" w:type="dxa"/>
            <w:shd w:val="clear" w:color="auto" w:fill="auto"/>
            <w:noWrap w:val="0"/>
            <w:vAlign w:val="center"/>
          </w:tcPr>
          <w:p w14:paraId="0C420B9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农民合作社示范社和示范家庭农场发展水平和带动能力</w:t>
            </w:r>
          </w:p>
        </w:tc>
        <w:tc>
          <w:tcPr>
            <w:tcW w:w="2011" w:type="dxa"/>
            <w:shd w:val="clear" w:color="auto" w:fill="auto"/>
            <w:noWrap w:val="0"/>
            <w:vAlign w:val="center"/>
          </w:tcPr>
          <w:p w14:paraId="50D9D19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1B21DDA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16315E68">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7D7B71B5">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375E2A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 w:hRule="atLeast"/>
          <w:jc w:val="center"/>
        </w:trPr>
        <w:tc>
          <w:tcPr>
            <w:tcW w:w="861" w:type="dxa"/>
            <w:vMerge w:val="continue"/>
            <w:shd w:val="clear" w:color="auto" w:fill="auto"/>
            <w:noWrap w:val="0"/>
            <w:vAlign w:val="center"/>
          </w:tcPr>
          <w:p w14:paraId="05769D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861A63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950" w:type="dxa"/>
            <w:shd w:val="clear" w:color="auto" w:fill="auto"/>
            <w:noWrap w:val="0"/>
            <w:vAlign w:val="center"/>
          </w:tcPr>
          <w:p w14:paraId="3F036B5F">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接受社会化服务的小农户满意度</w:t>
            </w:r>
          </w:p>
        </w:tc>
        <w:tc>
          <w:tcPr>
            <w:tcW w:w="2011" w:type="dxa"/>
            <w:shd w:val="clear" w:color="auto" w:fill="auto"/>
            <w:noWrap w:val="0"/>
            <w:vAlign w:val="center"/>
          </w:tcPr>
          <w:p w14:paraId="2142698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4E768F3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31BB7C34">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3879D073">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58B4D2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5B262A5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3931EF2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6A57C651">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3F438FFF">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w:t>
            </w:r>
          </w:p>
        </w:tc>
      </w:tr>
    </w:tbl>
    <w:p w14:paraId="0A2585EC">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color w:val="auto"/>
          <w:sz w:val="30"/>
          <w:szCs w:val="24"/>
          <w:highlight w:val="none"/>
        </w:rPr>
      </w:pPr>
    </w:p>
    <w:p w14:paraId="336B3C9F">
      <w:pPr>
        <w:pageBreakBefore w:val="0"/>
        <w:kinsoku/>
        <w:wordWrap/>
        <w:overflowPunct/>
        <w:topLinePunct w:val="0"/>
        <w:autoSpaceDE/>
        <w:autoSpaceDN/>
        <w:bidi w:val="0"/>
        <w:spacing w:line="560" w:lineRule="exact"/>
        <w:textAlignment w:val="auto"/>
        <w:rPr>
          <w:rFonts w:hint="default"/>
          <w:color w:val="auto"/>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720CC970"/>
    <w:multiLevelType w:val="singleLevel"/>
    <w:tmpl w:val="720CC970"/>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146C3E"/>
    <w:rsid w:val="007D6A04"/>
    <w:rsid w:val="00E23C81"/>
    <w:rsid w:val="01253350"/>
    <w:rsid w:val="01282E62"/>
    <w:rsid w:val="014029CF"/>
    <w:rsid w:val="01470C4C"/>
    <w:rsid w:val="02200440"/>
    <w:rsid w:val="02284B43"/>
    <w:rsid w:val="02B015E2"/>
    <w:rsid w:val="02DC08FA"/>
    <w:rsid w:val="033B569D"/>
    <w:rsid w:val="039C3BA0"/>
    <w:rsid w:val="03A845BB"/>
    <w:rsid w:val="03B45AD1"/>
    <w:rsid w:val="04BB5274"/>
    <w:rsid w:val="04D12EE4"/>
    <w:rsid w:val="04D63993"/>
    <w:rsid w:val="07890F4F"/>
    <w:rsid w:val="08892439"/>
    <w:rsid w:val="08EB30F3"/>
    <w:rsid w:val="09237408"/>
    <w:rsid w:val="09781BD6"/>
    <w:rsid w:val="09F359DF"/>
    <w:rsid w:val="0A575E65"/>
    <w:rsid w:val="0ACA0AB6"/>
    <w:rsid w:val="0C032502"/>
    <w:rsid w:val="0C27698C"/>
    <w:rsid w:val="0D4452F3"/>
    <w:rsid w:val="0D6E1F7E"/>
    <w:rsid w:val="0F5E5042"/>
    <w:rsid w:val="0FE95707"/>
    <w:rsid w:val="10510571"/>
    <w:rsid w:val="10724CC1"/>
    <w:rsid w:val="10787A20"/>
    <w:rsid w:val="108672DE"/>
    <w:rsid w:val="10EC685A"/>
    <w:rsid w:val="11B03A6A"/>
    <w:rsid w:val="11FA6155"/>
    <w:rsid w:val="12CF0947"/>
    <w:rsid w:val="12F1313F"/>
    <w:rsid w:val="136C678E"/>
    <w:rsid w:val="13EB2FF5"/>
    <w:rsid w:val="143B01A2"/>
    <w:rsid w:val="14ED4CAC"/>
    <w:rsid w:val="15283CD3"/>
    <w:rsid w:val="15A46B04"/>
    <w:rsid w:val="165825BC"/>
    <w:rsid w:val="16BC5D73"/>
    <w:rsid w:val="174D65A7"/>
    <w:rsid w:val="176F36D7"/>
    <w:rsid w:val="1795226D"/>
    <w:rsid w:val="18456B1E"/>
    <w:rsid w:val="1C1171C5"/>
    <w:rsid w:val="1D265138"/>
    <w:rsid w:val="1D7B6BCA"/>
    <w:rsid w:val="1DA41A79"/>
    <w:rsid w:val="1DF53469"/>
    <w:rsid w:val="1E2F24F2"/>
    <w:rsid w:val="1E58492F"/>
    <w:rsid w:val="1E5B6757"/>
    <w:rsid w:val="1EB661F5"/>
    <w:rsid w:val="1ED10AC6"/>
    <w:rsid w:val="1F89225F"/>
    <w:rsid w:val="1F900A1F"/>
    <w:rsid w:val="1FC0575D"/>
    <w:rsid w:val="206132C7"/>
    <w:rsid w:val="21B00C1D"/>
    <w:rsid w:val="23031BEB"/>
    <w:rsid w:val="23917691"/>
    <w:rsid w:val="241F3FA3"/>
    <w:rsid w:val="244D65B8"/>
    <w:rsid w:val="245E1E24"/>
    <w:rsid w:val="25AD5E5D"/>
    <w:rsid w:val="26F544E0"/>
    <w:rsid w:val="27090EBD"/>
    <w:rsid w:val="2732478D"/>
    <w:rsid w:val="27661469"/>
    <w:rsid w:val="27900EAD"/>
    <w:rsid w:val="279B538A"/>
    <w:rsid w:val="286F545C"/>
    <w:rsid w:val="29314FBC"/>
    <w:rsid w:val="2AA2081A"/>
    <w:rsid w:val="2AEB6930"/>
    <w:rsid w:val="2C024B86"/>
    <w:rsid w:val="2C927671"/>
    <w:rsid w:val="2CC6306F"/>
    <w:rsid w:val="2D7C5CD6"/>
    <w:rsid w:val="2E483E7E"/>
    <w:rsid w:val="2E690493"/>
    <w:rsid w:val="2E9854BD"/>
    <w:rsid w:val="2F0D407F"/>
    <w:rsid w:val="2F454B19"/>
    <w:rsid w:val="310224D9"/>
    <w:rsid w:val="31B4621C"/>
    <w:rsid w:val="31E3230A"/>
    <w:rsid w:val="32D774C2"/>
    <w:rsid w:val="330957E0"/>
    <w:rsid w:val="33356F64"/>
    <w:rsid w:val="33944516"/>
    <w:rsid w:val="34B62907"/>
    <w:rsid w:val="36BD137C"/>
    <w:rsid w:val="36EF3B06"/>
    <w:rsid w:val="38053EDF"/>
    <w:rsid w:val="380812A4"/>
    <w:rsid w:val="385D37E7"/>
    <w:rsid w:val="38782EDD"/>
    <w:rsid w:val="3B080AB1"/>
    <w:rsid w:val="3B42664A"/>
    <w:rsid w:val="3CAD1E92"/>
    <w:rsid w:val="3D836A4E"/>
    <w:rsid w:val="3EA37E97"/>
    <w:rsid w:val="3FBE0BC5"/>
    <w:rsid w:val="4048103A"/>
    <w:rsid w:val="40736643"/>
    <w:rsid w:val="40D24A7A"/>
    <w:rsid w:val="42621029"/>
    <w:rsid w:val="435241E2"/>
    <w:rsid w:val="43975C51"/>
    <w:rsid w:val="439E3FA7"/>
    <w:rsid w:val="44B32266"/>
    <w:rsid w:val="44FC64F4"/>
    <w:rsid w:val="467F4585"/>
    <w:rsid w:val="470628CB"/>
    <w:rsid w:val="4729480B"/>
    <w:rsid w:val="47555BD4"/>
    <w:rsid w:val="47BC2DB1"/>
    <w:rsid w:val="47E96399"/>
    <w:rsid w:val="47F76025"/>
    <w:rsid w:val="486E33F5"/>
    <w:rsid w:val="48E12B50"/>
    <w:rsid w:val="499441BE"/>
    <w:rsid w:val="499A6C1C"/>
    <w:rsid w:val="4A195607"/>
    <w:rsid w:val="4A2138F0"/>
    <w:rsid w:val="4A583887"/>
    <w:rsid w:val="4B9F6E02"/>
    <w:rsid w:val="4C89637B"/>
    <w:rsid w:val="4E0F0CE0"/>
    <w:rsid w:val="4E6E48A8"/>
    <w:rsid w:val="4EEC036B"/>
    <w:rsid w:val="4F714FA1"/>
    <w:rsid w:val="501D2673"/>
    <w:rsid w:val="50C80BF1"/>
    <w:rsid w:val="51852833"/>
    <w:rsid w:val="52F11AC8"/>
    <w:rsid w:val="52F308B9"/>
    <w:rsid w:val="52F81343"/>
    <w:rsid w:val="534F49D9"/>
    <w:rsid w:val="53555F0F"/>
    <w:rsid w:val="535D23D5"/>
    <w:rsid w:val="56597031"/>
    <w:rsid w:val="56F4341A"/>
    <w:rsid w:val="575A7321"/>
    <w:rsid w:val="580C3AB9"/>
    <w:rsid w:val="583C7AE0"/>
    <w:rsid w:val="586C1E9A"/>
    <w:rsid w:val="586E0800"/>
    <w:rsid w:val="590434A0"/>
    <w:rsid w:val="59216F96"/>
    <w:rsid w:val="598C4145"/>
    <w:rsid w:val="59957D1B"/>
    <w:rsid w:val="59D4294E"/>
    <w:rsid w:val="5B634312"/>
    <w:rsid w:val="5B9D2CCD"/>
    <w:rsid w:val="5B9E71EA"/>
    <w:rsid w:val="5D8B20F8"/>
    <w:rsid w:val="5E226FBC"/>
    <w:rsid w:val="5FE72BD2"/>
    <w:rsid w:val="60120613"/>
    <w:rsid w:val="603B2232"/>
    <w:rsid w:val="618D5292"/>
    <w:rsid w:val="622E78FA"/>
    <w:rsid w:val="63343F70"/>
    <w:rsid w:val="64296E1C"/>
    <w:rsid w:val="64386FCC"/>
    <w:rsid w:val="649E64A2"/>
    <w:rsid w:val="65E5270A"/>
    <w:rsid w:val="663D3C54"/>
    <w:rsid w:val="667A6962"/>
    <w:rsid w:val="66862C89"/>
    <w:rsid w:val="66BB486D"/>
    <w:rsid w:val="67394C7D"/>
    <w:rsid w:val="68126B38"/>
    <w:rsid w:val="68291A1A"/>
    <w:rsid w:val="68352BB8"/>
    <w:rsid w:val="691327EB"/>
    <w:rsid w:val="691B1594"/>
    <w:rsid w:val="693A016B"/>
    <w:rsid w:val="69AE00C2"/>
    <w:rsid w:val="6A17429C"/>
    <w:rsid w:val="6A567EA3"/>
    <w:rsid w:val="6B4B4368"/>
    <w:rsid w:val="6B79100E"/>
    <w:rsid w:val="6C844C00"/>
    <w:rsid w:val="6E10212C"/>
    <w:rsid w:val="6E43561A"/>
    <w:rsid w:val="6E557973"/>
    <w:rsid w:val="6E9568DB"/>
    <w:rsid w:val="6F0D6C22"/>
    <w:rsid w:val="6F47657F"/>
    <w:rsid w:val="6FAF23D9"/>
    <w:rsid w:val="70635CF6"/>
    <w:rsid w:val="70670707"/>
    <w:rsid w:val="720E3691"/>
    <w:rsid w:val="7249173A"/>
    <w:rsid w:val="724E244C"/>
    <w:rsid w:val="72DA6946"/>
    <w:rsid w:val="732764B3"/>
    <w:rsid w:val="74026044"/>
    <w:rsid w:val="74325A77"/>
    <w:rsid w:val="744148F7"/>
    <w:rsid w:val="74746410"/>
    <w:rsid w:val="75C8506C"/>
    <w:rsid w:val="75E5007C"/>
    <w:rsid w:val="76592168"/>
    <w:rsid w:val="77636B63"/>
    <w:rsid w:val="77813724"/>
    <w:rsid w:val="77861774"/>
    <w:rsid w:val="78F31435"/>
    <w:rsid w:val="79300B45"/>
    <w:rsid w:val="794D3E18"/>
    <w:rsid w:val="79F3729A"/>
    <w:rsid w:val="7A880722"/>
    <w:rsid w:val="7ABE6120"/>
    <w:rsid w:val="7ACB0498"/>
    <w:rsid w:val="7AED0B4D"/>
    <w:rsid w:val="7C1E4487"/>
    <w:rsid w:val="7C215E02"/>
    <w:rsid w:val="7CF23764"/>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19"/>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paragraph" w:customStyle="1" w:styleId="18">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3"/>
    <w:autoRedefine/>
    <w:qFormat/>
    <w:uiPriority w:val="0"/>
    <w:rPr>
      <w:rFonts w:ascii="Arial" w:hAnsi="Arial" w:eastAsia="楷体"/>
      <w:b/>
      <w:sz w:val="32"/>
    </w:rPr>
  </w:style>
  <w:style w:type="paragraph" w:customStyle="1" w:styleId="20">
    <w:name w:val="WPSOffice手动目录 1"/>
    <w:autoRedefine/>
    <w:qFormat/>
    <w:uiPriority w:val="0"/>
    <w:pPr>
      <w:ind w:leftChars="0"/>
    </w:pPr>
    <w:rPr>
      <w:rFonts w:ascii="Times New Roman" w:hAnsi="Times New Roman" w:eastAsia="宋体" w:cs="Times New Roman"/>
      <w:sz w:val="20"/>
      <w:szCs w:val="20"/>
    </w:rPr>
  </w:style>
  <w:style w:type="paragraph" w:customStyle="1" w:styleId="21">
    <w:name w:val="WPSOffice手动目录 2"/>
    <w:autoRedefine/>
    <w:qFormat/>
    <w:uiPriority w:val="0"/>
    <w:pPr>
      <w:ind w:leftChars="200"/>
    </w:pPr>
    <w:rPr>
      <w:rFonts w:ascii="Times New Roman" w:hAnsi="Times New Roman" w:eastAsia="宋体" w:cs="Times New Roman"/>
      <w:sz w:val="20"/>
      <w:szCs w:val="20"/>
    </w:rPr>
  </w:style>
  <w:style w:type="paragraph" w:customStyle="1" w:styleId="22">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11264</Words>
  <Characters>11867</Characters>
  <Lines>0</Lines>
  <Paragraphs>0</Paragraphs>
  <TotalTime>10</TotalTime>
  <ScaleCrop>false</ScaleCrop>
  <LinksUpToDate>false</LinksUpToDate>
  <CharactersWithSpaces>11937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cp:lastPrinted>2025-04-29T02:07:00Z</cp:lastPrinted>
  <dcterms:modified xsi:type="dcterms:W3CDTF">2025-10-23T08:11:52Z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B41FFA188C5045B8AE210F697C622BDE_13</vt:lpwstr>
  </property>
  <property fmtid="{D5CDD505-2E9C-101B-9397-08002B2CF9AE}" pid="4" name="KSOTemplateDocerSaveRecord">
    <vt:lpwstr>eyJoZGlkIjoiNTY3MmI4ODZmMjljZWZhNGFkN2U2N2Y4ODgwYjM5ZGIiLCJ1c2VySWQiOiIzNjI1MzY3NzcifQ==</vt:lpwstr>
  </property>
</Properties>
</file>