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7165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3B1CC0D">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F7C1360">
      <w:pPr>
        <w:pageBreakBefore w:val="0"/>
        <w:kinsoku/>
        <w:wordWrap/>
        <w:overflowPunct/>
        <w:topLinePunct w:val="0"/>
        <w:autoSpaceDE/>
        <w:autoSpaceDN/>
        <w:bidi w:val="0"/>
        <w:adjustRightInd/>
        <w:spacing w:line="560" w:lineRule="exact"/>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4B21F7F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5679"/>
      <w:bookmarkStart w:id="1" w:name="_Toc29123"/>
      <w:bookmarkStart w:id="2" w:name="_Toc1949"/>
      <w:bookmarkStart w:id="3" w:name="_Toc25575"/>
      <w:r>
        <w:rPr>
          <w:rFonts w:hint="eastAsia" w:cs="宋体"/>
          <w:b/>
          <w:bCs/>
          <w:color w:val="000000" w:themeColor="text1"/>
          <w:sz w:val="40"/>
          <w:szCs w:val="40"/>
          <w:highlight w:val="none"/>
          <w:shd w:val="clear" w:color="auto" w:fill="auto"/>
          <w:lang w:val="en-US" w:eastAsia="zh-CN"/>
          <w14:textFill>
            <w14:solidFill>
              <w14:schemeClr w14:val="tx1"/>
            </w14:solidFill>
          </w14:textFill>
        </w:rPr>
        <w:t>6月债务化解</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57CCF438">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6ED0F4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2DB772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76B27C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2BD984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7422511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0A25C3F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center"/>
        <w:textAlignment w:val="auto"/>
        <w:rPr>
          <w:rFonts w:hint="eastAsia" w:ascii="仿宋_GB2312" w:hAnsi="仿宋_GB2312" w:eastAsia="仿宋_GB2312" w:cs="仿宋_GB2312"/>
          <w:b/>
          <w:bCs/>
          <w:color w:val="000000" w:themeColor="text1"/>
          <w:sz w:val="32"/>
          <w:szCs w:val="32"/>
          <w:highlight w:val="none"/>
          <w:shd w:val="clear" w:color="auto" w:fill="auto"/>
          <w14:textFill>
            <w14:solidFill>
              <w14:schemeClr w14:val="tx1"/>
            </w14:solidFill>
          </w14:textFill>
        </w:rPr>
      </w:pPr>
    </w:p>
    <w:p w14:paraId="0D8E1ECF">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eastAsia="zh-CN"/>
        </w:rPr>
        <w:t>6月债务化解</w:t>
      </w:r>
    </w:p>
    <w:p w14:paraId="5A1C1294">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阜康市疾病预防控制中心</w:t>
      </w:r>
    </w:p>
    <w:p w14:paraId="31E4305E">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阜康市卫生健康委员会</w:t>
      </w:r>
    </w:p>
    <w:p w14:paraId="05EA7AA3">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项目负责人：陈飞</w:t>
      </w:r>
    </w:p>
    <w:p w14:paraId="03F1C834">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60E15D94">
      <w:pPr>
        <w:pStyle w:val="14"/>
        <w:pageBreakBefore w:val="0"/>
        <w:kinsoku/>
        <w:wordWrap/>
        <w:overflowPunct/>
        <w:topLinePunct w:val="0"/>
        <w:autoSpaceDE/>
        <w:autoSpaceDN/>
        <w:bidi w:val="0"/>
        <w:spacing w:line="560" w:lineRule="exact"/>
        <w:textAlignment w:val="auto"/>
        <w:outlineLvl w:val="9"/>
        <w:rPr>
          <w:rFonts w:hint="eastAsia" w:ascii="仿宋_GB2312" w:hAnsi="仿宋_GB2312" w:eastAsia="仿宋_GB2312" w:cs="仿宋_GB2312"/>
          <w:b/>
          <w:color w:val="000000" w:themeColor="text1"/>
          <w:kern w:val="2"/>
          <w:sz w:val="32"/>
          <w:szCs w:val="32"/>
          <w:highlight w:val="none"/>
          <w:shd w:val="clear" w:color="auto" w:fill="auto"/>
          <w:lang w:val="en-US" w:eastAsia="zh-CN"/>
          <w14:textFill>
            <w14:solidFill>
              <w14:schemeClr w14:val="tx1"/>
            </w14:solidFill>
          </w14:textFill>
        </w:rPr>
      </w:pPr>
    </w:p>
    <w:p w14:paraId="685D4E4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7169D8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highlight w:val="none"/>
          <w:lang w:val="en-US" w:eastAsia="zh-CN"/>
        </w:rPr>
      </w:pPr>
    </w:p>
    <w:sdt>
      <w:sdtPr>
        <w:rPr>
          <w:rFonts w:hint="eastAsia" w:ascii="仿宋_GB2312" w:hAnsi="仿宋_GB2312" w:eastAsia="仿宋_GB2312" w:cs="仿宋_GB2312"/>
          <w:b/>
          <w:bCs/>
          <w:kern w:val="2"/>
          <w:sz w:val="32"/>
          <w:szCs w:val="32"/>
          <w:highlight w:val="none"/>
          <w:lang w:val="en-US" w:eastAsia="zh-CN" w:bidi="ar-SA"/>
        </w:rPr>
        <w:id w:val="147474046"/>
        <w15:color w:val="DBDBDB"/>
        <w:docPartObj>
          <w:docPartGallery w:val="Table of Contents"/>
          <w:docPartUnique/>
        </w:docPartObj>
      </w:sdtPr>
      <w:sdtEndPr>
        <w:rPr>
          <w:rFonts w:hint="eastAsia" w:ascii="仿宋_GB2312" w:hAnsi="仿宋_GB2312" w:eastAsia="仿宋_GB2312" w:cs="仿宋_GB2312"/>
          <w:b/>
          <w:bCs/>
          <w:kern w:val="2"/>
          <w:sz w:val="32"/>
          <w:szCs w:val="32"/>
          <w:highlight w:val="none"/>
          <w:lang w:val="en-US" w:eastAsia="zh-CN" w:bidi="ar-SA"/>
        </w:rPr>
      </w:sdtEndPr>
      <w:sdtContent>
        <w:sdt>
          <w:sdtPr>
            <w:rPr>
              <w:rFonts w:ascii="宋体" w:hAnsi="宋体" w:eastAsia="宋体" w:cs="宋体"/>
              <w:b/>
              <w:bCs/>
              <w:kern w:val="2"/>
              <w:sz w:val="28"/>
              <w:szCs w:val="40"/>
              <w:lang w:val="en-US" w:eastAsia="zh-CN" w:bidi="ar-SA"/>
            </w:rPr>
            <w:id w:val="147467358"/>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0F2C9E8A">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3442E9D4">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43DAF62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2901CA6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D385DF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6</w:t>
              </w:r>
              <w:r>
                <w:fldChar w:fldCharType="end"/>
              </w:r>
              <w:r>
                <w:rPr>
                  <w:rFonts w:hint="eastAsia"/>
                  <w:szCs w:val="28"/>
                  <w:lang w:val="en-US" w:eastAsia="zh-CN"/>
                </w:rPr>
                <w:fldChar w:fldCharType="end"/>
              </w:r>
            </w:p>
            <w:p w14:paraId="10A1BAC8">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685E87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0C774C2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65A0655A">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15</w:t>
              </w:r>
              <w:r>
                <w:fldChar w:fldCharType="end"/>
              </w:r>
              <w:r>
                <w:rPr>
                  <w:rFonts w:hint="eastAsia"/>
                  <w:szCs w:val="28"/>
                  <w:lang w:val="en-US" w:eastAsia="zh-CN"/>
                </w:rPr>
                <w:fldChar w:fldCharType="end"/>
              </w:r>
            </w:p>
            <w:p w14:paraId="7FA0455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17</w:t>
              </w:r>
              <w:r>
                <w:fldChar w:fldCharType="end"/>
              </w:r>
              <w:r>
                <w:rPr>
                  <w:rFonts w:hint="eastAsia"/>
                  <w:szCs w:val="28"/>
                  <w:lang w:val="en-US" w:eastAsia="zh-CN"/>
                </w:rPr>
                <w:fldChar w:fldCharType="end"/>
              </w:r>
            </w:p>
            <w:p w14:paraId="350C20A0">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17</w:t>
              </w:r>
              <w:r>
                <w:fldChar w:fldCharType="end"/>
              </w:r>
              <w:r>
                <w:rPr>
                  <w:rFonts w:hint="eastAsia"/>
                  <w:szCs w:val="28"/>
                  <w:lang w:val="en-US" w:eastAsia="zh-CN"/>
                </w:rPr>
                <w:fldChar w:fldCharType="end"/>
              </w:r>
            </w:p>
            <w:p w14:paraId="59D93D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18</w:t>
              </w:r>
              <w:r>
                <w:fldChar w:fldCharType="end"/>
              </w:r>
              <w:r>
                <w:rPr>
                  <w:rFonts w:hint="eastAsia"/>
                  <w:szCs w:val="28"/>
                  <w:lang w:val="en-US" w:eastAsia="zh-CN"/>
                </w:rPr>
                <w:fldChar w:fldCharType="end"/>
              </w:r>
            </w:p>
            <w:p w14:paraId="47F2BC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18</w:t>
              </w:r>
              <w:r>
                <w:fldChar w:fldCharType="end"/>
              </w:r>
              <w:r>
                <w:rPr>
                  <w:rFonts w:hint="eastAsia"/>
                  <w:szCs w:val="28"/>
                  <w:lang w:val="en-US" w:eastAsia="zh-CN"/>
                </w:rPr>
                <w:fldChar w:fldCharType="end"/>
              </w:r>
            </w:p>
            <w:p w14:paraId="336F8B9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rPr>
                  <w:rFonts w:hint="eastAsia"/>
                  <w:szCs w:val="28"/>
                  <w:lang w:val="en-US" w:eastAsia="zh-CN"/>
                </w:rPr>
                <w:fldChar w:fldCharType="end"/>
              </w:r>
            </w:p>
            <w:p w14:paraId="0FB8E69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22</w:t>
              </w:r>
              <w:r>
                <w:fldChar w:fldCharType="end"/>
              </w:r>
              <w:r>
                <w:rPr>
                  <w:rFonts w:hint="eastAsia"/>
                  <w:szCs w:val="28"/>
                  <w:lang w:val="en-US" w:eastAsia="zh-CN"/>
                </w:rPr>
                <w:fldChar w:fldCharType="end"/>
              </w:r>
            </w:p>
            <w:p w14:paraId="7CAA5FF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24</w:t>
              </w:r>
              <w:r>
                <w:fldChar w:fldCharType="end"/>
              </w:r>
              <w:r>
                <w:rPr>
                  <w:rFonts w:hint="eastAsia"/>
                  <w:szCs w:val="28"/>
                  <w:lang w:val="en-US" w:eastAsia="zh-CN"/>
                </w:rPr>
                <w:fldChar w:fldCharType="end"/>
              </w:r>
            </w:p>
            <w:p w14:paraId="1525F591">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_Toc19424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rPr>
                  <w:highlight w:val="none"/>
                </w:rPr>
                <w:tab/>
              </w:r>
              <w:r>
                <w:rPr>
                  <w:highlight w:val="none"/>
                </w:rPr>
                <w:fldChar w:fldCharType="begin"/>
              </w:r>
              <w:r>
                <w:rPr>
                  <w:highlight w:val="none"/>
                </w:rPr>
                <w:instrText xml:space="preserve"> PAGEREF _Toc19424 \h </w:instrText>
              </w:r>
              <w:r>
                <w:rPr>
                  <w:highlight w:val="none"/>
                </w:rPr>
                <w:fldChar w:fldCharType="separate"/>
              </w:r>
              <w:r>
                <w:rPr>
                  <w:highlight w:val="none"/>
                </w:rPr>
                <w:t>26</w:t>
              </w:r>
              <w:r>
                <w:rPr>
                  <w:highlight w:val="none"/>
                </w:rPr>
                <w:fldChar w:fldCharType="end"/>
              </w:r>
              <w:r>
                <w:rPr>
                  <w:rFonts w:hint="eastAsia"/>
                  <w:szCs w:val="28"/>
                  <w:highlight w:val="none"/>
                  <w:lang w:val="en-US" w:eastAsia="zh-CN"/>
                </w:rPr>
                <w:fldChar w:fldCharType="end"/>
              </w:r>
            </w:p>
            <w:p w14:paraId="58CE1E85">
              <w:pPr>
                <w:pStyle w:val="10"/>
                <w:tabs>
                  <w:tab w:val="right" w:leader="dot" w:pos="8844"/>
                </w:tabs>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27</w:t>
              </w:r>
              <w:r>
                <w:rPr>
                  <w:highlight w:val="none"/>
                </w:rPr>
                <w:fldChar w:fldCharType="end"/>
              </w:r>
              <w:r>
                <w:rPr>
                  <w:rFonts w:hint="eastAsia"/>
                  <w:szCs w:val="28"/>
                  <w:highlight w:val="none"/>
                  <w:lang w:val="en-US" w:eastAsia="zh-CN"/>
                </w:rPr>
                <w:fldChar w:fldCharType="end"/>
              </w:r>
            </w:p>
            <w:p w14:paraId="5B59B2D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3038DA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27</w:t>
              </w:r>
              <w:r>
                <w:fldChar w:fldCharType="end"/>
              </w:r>
              <w:r>
                <w:rPr>
                  <w:rFonts w:hint="eastAsia"/>
                  <w:szCs w:val="28"/>
                  <w:lang w:val="en-US" w:eastAsia="zh-CN"/>
                </w:rPr>
                <w:fldChar w:fldCharType="end"/>
              </w:r>
            </w:p>
            <w:p w14:paraId="0068C71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14:paraId="3936C4C4">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4D9C13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3FC81149">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16F1178">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90BE24E">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bCs/>
                  <w:kern w:val="2"/>
                  <w:sz w:val="28"/>
                  <w:szCs w:val="28"/>
                  <w:lang w:val="en-US" w:eastAsia="zh-CN" w:bidi="ar-SA"/>
                </w:rPr>
              </w:pPr>
              <w:r>
                <w:rPr>
                  <w:rFonts w:hint="eastAsia"/>
                  <w:szCs w:val="28"/>
                  <w:lang w:val="en-US" w:eastAsia="zh-CN"/>
                </w:rPr>
                <w:fldChar w:fldCharType="end"/>
              </w:r>
            </w:p>
          </w:sdtContent>
        </w:sdt>
        <w:p w14:paraId="7A9E9AF3">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sectPr>
              <w:pgSz w:w="11906" w:h="16838"/>
              <w:pgMar w:top="1928" w:right="1531" w:bottom="1701" w:left="1531" w:header="737" w:footer="851" w:gutter="0"/>
              <w:cols w:space="720" w:num="1"/>
              <w:docGrid w:type="lines" w:linePitch="408" w:charSpace="0"/>
            </w:sectPr>
          </w:pPr>
        </w:p>
      </w:sdtContent>
    </w:sdt>
    <w:p w14:paraId="4F15C7F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20432"/>
      <w:bookmarkStart w:id="5" w:name="_Toc22946"/>
      <w:bookmarkStart w:id="6" w:name="_Toc3663"/>
      <w:bookmarkStart w:id="7" w:name="_Toc1194"/>
      <w:r>
        <w:rPr>
          <w:rFonts w:hint="eastAsia" w:cs="宋体"/>
          <w:b/>
          <w:bCs/>
          <w:color w:val="auto"/>
          <w:sz w:val="36"/>
          <w:szCs w:val="36"/>
          <w:highlight w:val="none"/>
          <w:shd w:val="clear" w:color="auto" w:fill="auto"/>
          <w:lang w:val="en-US" w:eastAsia="zh-CN"/>
        </w:rPr>
        <w:t>6月债务化解</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0A6A9148">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rPr>
      </w:pPr>
      <w:bookmarkStart w:id="8" w:name="_Toc18485"/>
      <w:r>
        <w:rPr>
          <w:rFonts w:hint="eastAsia" w:ascii="黑体" w:hAnsi="黑体" w:eastAsia="黑体" w:cs="黑体"/>
          <w:b w:val="0"/>
          <w:bCs w:val="0"/>
          <w:color w:val="auto"/>
          <w:sz w:val="32"/>
          <w:szCs w:val="32"/>
          <w:highlight w:val="none"/>
          <w:shd w:val="clear" w:color="auto" w:fill="auto"/>
        </w:rPr>
        <w:t>一、基本情况</w:t>
      </w:r>
      <w:bookmarkEnd w:id="8"/>
    </w:p>
    <w:p w14:paraId="0242F87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9" w:name="_Toc23184"/>
      <w:r>
        <w:rPr>
          <w:rFonts w:hint="eastAsia" w:ascii="楷体_GB2312" w:hAnsi="楷体_GB2312" w:eastAsia="楷体_GB2312" w:cs="楷体_GB2312"/>
          <w:color w:val="auto"/>
          <w:kern w:val="28"/>
          <w:sz w:val="32"/>
          <w:szCs w:val="32"/>
          <w:highlight w:val="none"/>
          <w:lang w:val="en-US" w:eastAsia="zh-CN"/>
        </w:rPr>
        <w:t>（一）项目概况</w:t>
      </w:r>
      <w:bookmarkEnd w:id="9"/>
    </w:p>
    <w:p w14:paraId="47E4BE4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5043"/>
      <w:bookmarkStart w:id="11" w:name="_Toc22346"/>
      <w:bookmarkStart w:id="12" w:name="_Toc29812"/>
      <w:bookmarkStart w:id="13"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r>
        <w:rPr>
          <w:rFonts w:hint="eastAsia" w:ascii="仿宋_GB2312" w:hAnsi="仿宋_GB2312" w:eastAsia="仿宋_GB2312" w:cs="仿宋_GB2312"/>
          <w:color w:val="auto"/>
          <w:sz w:val="32"/>
          <w:szCs w:val="32"/>
          <w:highlight w:val="none"/>
          <w:shd w:val="clear" w:color="auto" w:fill="auto"/>
          <w:lang w:val="en-US" w:eastAsia="zh-CN"/>
        </w:rPr>
        <w:t xml:space="preserve"> </w:t>
      </w:r>
    </w:p>
    <w:p w14:paraId="16E3D35B">
      <w:pPr>
        <w:spacing w:line="360" w:lineRule="auto"/>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为积极响应国家关于防范化解地方债务风险的战略部署，严格遵循《中华人民共和国预算法》《事业单位财务规则》等法律法规，以及诸如《关于防范化解地方政府隐性债务风险的意见》等政策文件要求，地方政府及事业单位需强化债务管理，积极化解存量债务，以切实维护经济金融秩序稳定，推动事业单位健康可持续发展。</w:t>
      </w:r>
    </w:p>
    <w:p w14:paraId="1D9DA8F0">
      <w:pPr>
        <w:spacing w:line="360" w:lineRule="auto"/>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建设项目的提出符合国家、新疆改善人居环境发展政策。通过阜康市城关镇2016年改善农村人居环境建设项目，加快阜康市城关镇基础设施的建设步伐，从而促进阜康市城关镇的经济快速发展，切实改善各族人民群众生产生活条件，维护社会稳定团结。</w:t>
      </w:r>
    </w:p>
    <w:p w14:paraId="70D1717D">
      <w:pPr>
        <w:spacing w:line="360" w:lineRule="auto"/>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进一步加强食品、生活饮用水等方面的检测能力和检测范围，提升疾控中心实验室检验检测能力建设，用于购买检测设备。由于项目建设周期长、资金需求量大，疾控中心通过举债来满足建设资金需求，从而形成债务。</w:t>
      </w:r>
    </w:p>
    <w:p w14:paraId="711F9C21">
      <w:pPr>
        <w:spacing w:line="360" w:lineRule="auto"/>
        <w:ind w:firstLine="640" w:firstLineChars="200"/>
        <w:rPr>
          <w:rFonts w:hint="eastAsia" w:ascii="仿宋_GB2312" w:hAnsi="仿宋_GB2312" w:eastAsia="仿宋_GB2312" w:cs="仿宋_GB2312"/>
          <w:color w:val="auto"/>
          <w:sz w:val="32"/>
          <w:szCs w:val="32"/>
          <w:highlight w:val="none"/>
        </w:rPr>
        <w:sectPr>
          <w:pgSz w:w="11906" w:h="16838"/>
          <w:pgMar w:top="1440" w:right="1797" w:bottom="1440" w:left="1797" w:header="851" w:footer="992" w:gutter="0"/>
          <w:cols w:space="720" w:num="1"/>
          <w:docGrid w:type="lines" w:linePitch="312" w:charSpace="0"/>
        </w:sectPr>
      </w:pPr>
    </w:p>
    <w:p w14:paraId="52139531">
      <w:pPr>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val="en-US" w:eastAsia="zh-CN"/>
        </w:rPr>
      </w:pPr>
    </w:p>
    <w:p w14:paraId="52653DBD">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0730"/>
      <w:bookmarkStart w:id="15" w:name="_Toc27343"/>
      <w:bookmarkStart w:id="16" w:name="_Toc17880"/>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6D7565A2">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8" w:name="_Toc534507616"/>
      <w:bookmarkStart w:id="19" w:name="_Toc112467366"/>
      <w:bookmarkStart w:id="20" w:name="_Toc534484157"/>
      <w:bookmarkStart w:id="21" w:name="_Toc99258098"/>
      <w:r>
        <w:rPr>
          <w:rFonts w:hint="eastAsia" w:ascii="仿宋_GB2312" w:hAnsi="仿宋_GB2312" w:eastAsia="仿宋_GB2312" w:cs="仿宋_GB2312"/>
          <w:color w:val="auto"/>
          <w:sz w:val="32"/>
          <w:szCs w:val="32"/>
          <w:highlight w:val="none"/>
          <w:shd w:val="clear" w:color="auto" w:fill="auto"/>
          <w:lang w:val="en-US" w:eastAsia="zh-CN"/>
        </w:rPr>
        <w:t>项目主要内容：</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为进一步加强食品、生活饮用水等方面的检测能力和检测范围，提升疾控中心实验室检验检测能力建设，用于购买检测设备。本项目完成偿还往年项目1个，偿还购买检测设备企业3个，成本50.32万元，其中昌吉柯文债务成本13.2万元、中环时代债务成本25.84万元、世纪迈创债务成本11.28万元。</w:t>
      </w:r>
      <w:bookmarkEnd w:id="18"/>
      <w:bookmarkEnd w:id="19"/>
      <w:bookmarkEnd w:id="20"/>
      <w:bookmarkEnd w:id="21"/>
    </w:p>
    <w:p w14:paraId="0B8F1C57">
      <w:pPr>
        <w:pageBreakBefore w:val="0"/>
        <w:shd w:val="clear"/>
        <w:kinsoku/>
        <w:wordWrap/>
        <w:overflowPunct/>
        <w:topLinePunct w:val="0"/>
        <w:autoSpaceDE/>
        <w:autoSpaceDN/>
        <w:bidi w:val="0"/>
        <w:adjustRightInd/>
        <w:snapToGrid/>
        <w:spacing w:line="560" w:lineRule="exact"/>
        <w:ind w:firstLine="643"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本项目自2016年7月29日根据</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w:t>
      </w:r>
      <w:r>
        <w:rPr>
          <w:rFonts w:hint="eastAsia" w:ascii="仿宋_GB2312" w:hAnsi="仿宋_GB2312" w:eastAsia="仿宋_GB2312" w:cs="仿宋_GB2312"/>
          <w:color w:val="auto"/>
          <w:sz w:val="32"/>
          <w:szCs w:val="32"/>
          <w:highlight w:val="none"/>
          <w:lang w:val="en-US" w:eastAsia="zh-CN"/>
        </w:rPr>
        <w:t>康市城关镇2016年改善农村人居环境建设项目》可行性报告，经中心领导小组会议，确定了项目领导小组，明确了责任分工：组长为张跃天，副组长为严新萍，项目负责人为何舒,组员为李晓琴、魏玉慧，其中：李晓琴负责监管工作，魏玉慧负责项目档案资料，方红负责资金拨付工作。</w:t>
      </w:r>
    </w:p>
    <w:p w14:paraId="3B4B46B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2" w:name="_Toc12348"/>
      <w:bookmarkStart w:id="23" w:name="_Toc10240"/>
      <w:bookmarkStart w:id="24" w:name="_Toc1858"/>
      <w:bookmarkStart w:id="25" w:name="_Toc569"/>
      <w:r>
        <w:rPr>
          <w:rFonts w:hint="eastAsia" w:ascii="仿宋_GB2312" w:hAnsi="仿宋_GB2312" w:eastAsia="仿宋_GB2312" w:cs="仿宋_GB2312"/>
          <w:color w:val="auto"/>
          <w:sz w:val="32"/>
          <w:szCs w:val="32"/>
          <w:highlight w:val="none"/>
          <w:lang w:val="en-US" w:eastAsia="zh-CN"/>
        </w:rPr>
        <w:t xml:space="preserve"> 本项目完成偿还往年项目1个，偿还购买检测设备企业3个，成本50.32万元。</w:t>
      </w:r>
    </w:p>
    <w:p w14:paraId="4721F44E">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3.资金投入和使用情况</w:t>
      </w:r>
      <w:bookmarkEnd w:id="22"/>
      <w:bookmarkEnd w:id="23"/>
      <w:bookmarkEnd w:id="24"/>
      <w:bookmarkEnd w:id="25"/>
    </w:p>
    <w:p w14:paraId="2A6A05D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694"/>
      <w:bookmarkStart w:id="27" w:name="_Toc26369"/>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1B41122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5573"/>
      <w:bookmarkStart w:id="31" w:name="_Toc9464"/>
      <w:r>
        <w:rPr>
          <w:rFonts w:hint="eastAsia" w:ascii="仿宋_GB2312" w:hAnsi="仿宋_GB2312" w:eastAsia="仿宋_GB2312" w:cs="仿宋_GB2312"/>
          <w:color w:val="auto"/>
          <w:sz w:val="32"/>
          <w:szCs w:val="32"/>
          <w:highlight w:val="none"/>
          <w:lang w:val="en-US" w:eastAsia="zh-CN"/>
        </w:rPr>
        <w:t>该项目年初预算数50.32万元，全年预算数50.32万元，该项目资金已全部落实到位，资金来源为财政拨款</w:t>
      </w:r>
      <w:bookmarkEnd w:id="29"/>
      <w:bookmarkEnd w:id="30"/>
      <w:bookmarkEnd w:id="31"/>
      <w:r>
        <w:rPr>
          <w:rFonts w:hint="eastAsia" w:ascii="仿宋_GB2312" w:hAnsi="仿宋_GB2312" w:eastAsia="仿宋_GB2312" w:cs="仿宋_GB2312"/>
          <w:color w:val="auto"/>
          <w:sz w:val="32"/>
          <w:szCs w:val="32"/>
          <w:highlight w:val="none"/>
          <w:lang w:val="en-US" w:eastAsia="zh-CN"/>
        </w:rPr>
        <w:t>。</w:t>
      </w:r>
    </w:p>
    <w:p w14:paraId="3C5353D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28187"/>
      <w:bookmarkStart w:id="33" w:name="_Toc1166"/>
      <w:bookmarkStart w:id="34" w:name="_Toc3409"/>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3F9EDCB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29121"/>
      <w:bookmarkStart w:id="37" w:name="_Toc11647"/>
      <w:r>
        <w:rPr>
          <w:rFonts w:hint="eastAsia" w:ascii="仿宋_GB2312" w:hAnsi="仿宋_GB2312" w:eastAsia="仿宋_GB2312" w:cs="仿宋_GB2312"/>
          <w:color w:val="auto"/>
          <w:sz w:val="32"/>
          <w:szCs w:val="32"/>
          <w:highlight w:val="none"/>
          <w:lang w:val="en-US" w:eastAsia="zh-CN"/>
        </w:rPr>
        <w:t>该项目年初预算数50.32万元，全年预算数50.32，</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全年执行数49.52万元，预算执行率为98.41%，主要用于：支付</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阜康市城关镇2016年改善农村人居环境建设项目</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项目欠款。</w:t>
      </w:r>
      <w:bookmarkEnd w:id="35"/>
      <w:bookmarkEnd w:id="36"/>
      <w:bookmarkEnd w:id="37"/>
    </w:p>
    <w:p w14:paraId="00D192F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color w:val="auto"/>
          <w:kern w:val="28"/>
          <w:sz w:val="32"/>
          <w:szCs w:val="32"/>
          <w:highlight w:val="none"/>
          <w:lang w:val="en-US" w:eastAsia="zh-CN"/>
        </w:rPr>
      </w:pPr>
      <w:bookmarkStart w:id="38" w:name="_Toc9109"/>
      <w:r>
        <w:rPr>
          <w:rFonts w:hint="eastAsia" w:ascii="仿宋_GB2312" w:hAnsi="仿宋_GB2312" w:eastAsia="仿宋_GB2312" w:cs="仿宋_GB2312"/>
          <w:color w:val="auto"/>
          <w:kern w:val="28"/>
          <w:sz w:val="32"/>
          <w:szCs w:val="32"/>
          <w:highlight w:val="none"/>
          <w:lang w:val="en-US" w:eastAsia="zh-CN"/>
        </w:rPr>
        <w:t>（二）项目绩效目标</w:t>
      </w:r>
      <w:bookmarkEnd w:id="38"/>
    </w:p>
    <w:p w14:paraId="4E7001C1">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0047"/>
      <w:bookmarkStart w:id="40" w:name="_Toc8528"/>
      <w:bookmarkStart w:id="41" w:name="_Toc2547"/>
      <w:bookmarkStart w:id="42" w:name="_Toc1475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159022B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6月债务化解项目绩效总体目标为：为了促进我市经济发展和保持社会稳定，2024年项目计划完成1个化解债务项目，化债项目涉及企业3个，资金使用合规率及资金支付及时率预计达到100%，计划在2024年7月完成债务化解，通过项目的实施，预期达到化解单位债务，提升单位和政府形象，完善政府债务化解机制的效益。</w:t>
      </w:r>
    </w:p>
    <w:p w14:paraId="4A7F5D6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487"/>
      <w:bookmarkStart w:id="44" w:name="_Toc4007"/>
      <w:bookmarkStart w:id="45" w:name="_Toc8990"/>
      <w:bookmarkStart w:id="46" w:name="_Toc3255"/>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AA20B7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51FDEC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en-US" w:eastAsia="zh-CN" w:bidi="ar-SA"/>
        </w:rPr>
        <w:t xml:space="preserve"> </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611CF74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①数量指标</w:t>
      </w:r>
    </w:p>
    <w:p w14:paraId="18C0B24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化解债务项目数量</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指标，预期目标值为≤1个；</w:t>
      </w:r>
    </w:p>
    <w:p w14:paraId="0DCD8D8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“化解项目涉及企业数量”指标，预期目标值为≤3个；</w:t>
      </w:r>
    </w:p>
    <w:p w14:paraId="5B88489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②质量指标</w:t>
      </w:r>
    </w:p>
    <w:p w14:paraId="707ABC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设备质量合格率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 =100%；</w:t>
      </w:r>
    </w:p>
    <w:p w14:paraId="0CF1E3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6035B8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项目完成时限</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指标，预期目标值为≦2024年7月；</w:t>
      </w:r>
    </w:p>
    <w:p w14:paraId="7E456BC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7068B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6D0D05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昌吉柯文债务成本</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指标，预期目标值为≦13.2万元；</w:t>
      </w:r>
    </w:p>
    <w:p w14:paraId="097C76A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中环时代债务成本</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指标，预期目标值为≦25.84万元；</w:t>
      </w:r>
    </w:p>
    <w:p w14:paraId="778DB20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世纪迈创债务成本</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指标，预期目标值为≦11.28万元；</w:t>
      </w:r>
    </w:p>
    <w:p w14:paraId="74D98EA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19759C4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①社会效益指标</w:t>
      </w:r>
    </w:p>
    <w:p w14:paraId="00E0D346">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“化解单位债务，提升单位和政府形象”指标，预期目标值为 =100%；</w:t>
      </w:r>
    </w:p>
    <w:p w14:paraId="5F418A4B">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“完善政府债务化解机制”指标，预期目标值为100%；</w:t>
      </w:r>
    </w:p>
    <w:p w14:paraId="0CAC13F0">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sz w:val="32"/>
          <w:szCs w:val="32"/>
          <w:highlight w:val="none"/>
          <w:shd w:val="clear" w:color="auto" w:fill="auto"/>
          <w:lang w:val="en-US" w:eastAsia="zh-CN"/>
        </w:rPr>
      </w:pPr>
      <w:bookmarkStart w:id="47" w:name="_Toc26567"/>
      <w:r>
        <w:rPr>
          <w:rFonts w:hint="eastAsia" w:ascii="宋体" w:hAnsi="宋体" w:eastAsia="宋体" w:cs="宋体"/>
          <w:b/>
          <w:bCs/>
          <w:color w:val="auto"/>
          <w:sz w:val="32"/>
          <w:szCs w:val="32"/>
          <w:highlight w:val="none"/>
          <w:shd w:val="clear" w:color="auto" w:fill="auto"/>
          <w:lang w:val="en-US" w:eastAsia="zh-CN"/>
        </w:rPr>
        <w:t xml:space="preserve"> </w:t>
      </w:r>
      <w:r>
        <w:rPr>
          <w:rFonts w:hint="eastAsia" w:ascii="宋体" w:hAnsi="宋体" w:eastAsia="宋体" w:cs="宋体"/>
          <w:b/>
          <w:bCs/>
          <w:color w:val="auto"/>
          <w:sz w:val="32"/>
          <w:szCs w:val="32"/>
          <w:highlight w:val="none"/>
          <w:shd w:val="clear" w:color="auto" w:fill="auto"/>
        </w:rPr>
        <w:t>二、绩效评价工作开展情况</w:t>
      </w:r>
      <w:bookmarkEnd w:id="47"/>
    </w:p>
    <w:p w14:paraId="38D54E1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48" w:name="_Toc5462343"/>
      <w:bookmarkStart w:id="49" w:name="_Toc22922"/>
      <w:bookmarkStart w:id="50" w:name="_Toc5258"/>
      <w:bookmarkStart w:id="51" w:name="_Toc22169_WPSOffice_Level2"/>
      <w:bookmarkStart w:id="52" w:name="_Toc21664"/>
      <w:bookmarkStart w:id="53" w:name="_Toc12868"/>
      <w:bookmarkStart w:id="54" w:name="_Toc26632"/>
      <w:bookmarkStart w:id="55" w:name="_Toc480473081"/>
      <w:bookmarkStart w:id="56" w:name="_Toc22839"/>
      <w:r>
        <w:rPr>
          <w:rFonts w:hint="eastAsia" w:ascii="楷体_GB2312" w:hAnsi="楷体_GB2312" w:eastAsia="楷体_GB2312" w:cs="楷体_GB2312"/>
          <w:color w:val="auto"/>
          <w:kern w:val="28"/>
          <w:sz w:val="32"/>
          <w:szCs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楷体_GB2312" w:hAnsi="楷体_GB2312" w:eastAsia="楷体_GB2312" w:cs="楷体_GB2312"/>
          <w:color w:val="auto"/>
          <w:kern w:val="28"/>
          <w:sz w:val="32"/>
          <w:szCs w:val="32"/>
          <w:highlight w:val="none"/>
          <w:lang w:val="en-US" w:eastAsia="zh-CN"/>
        </w:rPr>
        <w:t>、对象和范围</w:t>
      </w:r>
      <w:bookmarkEnd w:id="56"/>
    </w:p>
    <w:p w14:paraId="541EF63E">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52A1C784">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AB1A2A9">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41550093">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513965D">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D736F9C">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EF98DDD">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4F45731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23B94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bookmarkStart w:id="60" w:name="_Toc30609"/>
      <w:r>
        <w:rPr>
          <w:rFonts w:hint="eastAsia" w:ascii="仿宋_GB2312" w:hAnsi="仿宋_GB2312" w:eastAsia="仿宋_GB2312" w:cs="仿宋_GB2312"/>
          <w:color w:val="auto"/>
          <w:sz w:val="32"/>
          <w:szCs w:val="32"/>
          <w:highlight w:val="none"/>
        </w:rPr>
        <w:t>（1）评估项目实施效果</w:t>
      </w:r>
    </w:p>
    <w:p w14:paraId="21906E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3A66DE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（2）提升资源利用效率</w:t>
      </w:r>
    </w:p>
    <w:p w14:paraId="7F5A23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0C425A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（3）强化项目管理责任</w:t>
      </w:r>
    </w:p>
    <w:p w14:paraId="4A5DFA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E15D2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（4）为决策提供支持</w:t>
      </w:r>
    </w:p>
    <w:p w14:paraId="6F74A6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D837B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（5）促进项目持续改进</w:t>
      </w:r>
    </w:p>
    <w:p w14:paraId="4AC102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8BA58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FCD7985">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ascii="仿宋_GB2312" w:hAnsi="仿宋_GB2312" w:eastAsia="仿宋_GB2312" w:cs="仿宋_GB2312"/>
          <w:color w:val="auto"/>
          <w:sz w:val="32"/>
          <w:szCs w:val="32"/>
          <w:highlight w:val="none"/>
          <w:shd w:val="clear" w:color="auto" w:fill="auto"/>
          <w:lang w:val="en-US" w:eastAsia="zh-CN"/>
        </w:rPr>
        <w:t>3.绩效评价的对象</w:t>
      </w:r>
      <w:bookmarkEnd w:id="60"/>
      <w:bookmarkEnd w:id="61"/>
      <w:bookmarkEnd w:id="62"/>
    </w:p>
    <w:p w14:paraId="26A9351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文件要求对2024年度我单位实施的6月债务化解项目</w:t>
      </w:r>
      <w:r>
        <w:rPr>
          <w:rFonts w:hint="eastAsia"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553A74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该项目由阜康市疾病预防控制中心负责实施，针对此项目阜康市疾病的预防控制偿还2106年农发行项目欠款，为了促进我市经济发展和保持社会稳定，2024年项目计划完成1个化解债务项目，化债项目涉及企业3个，资金使用合规率及资金支付及时率预计达到100%，计划在2024年7月完成债务化解，通过项目的实施，预期达到化解单位债务，提升单位和政府形象，完善政府债务化解机制的效益。项目预算涵盖从2024年1月1日至2024年12月31日的全部资金投入与支出，涉及资金总额为50.32万元。</w:t>
      </w:r>
    </w:p>
    <w:p w14:paraId="6C043B5B">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3" w:name="_Toc11666"/>
      <w:bookmarkStart w:id="64" w:name="_Toc21311"/>
      <w:r>
        <w:rPr>
          <w:rFonts w:hint="eastAsia" w:ascii="仿宋_GB2312" w:hAnsi="仿宋_GB2312" w:eastAsia="仿宋_GB2312" w:cs="仿宋_GB2312"/>
          <w:color w:val="auto"/>
          <w:sz w:val="32"/>
          <w:szCs w:val="32"/>
          <w:highlight w:val="none"/>
          <w:shd w:val="clear" w:color="auto" w:fill="auto"/>
          <w:lang w:val="en-US" w:eastAsia="zh-CN"/>
        </w:rPr>
        <w:t>4.绩效评价的范围</w:t>
      </w:r>
      <w:bookmarkEnd w:id="63"/>
      <w:bookmarkEnd w:id="64"/>
    </w:p>
    <w:p w14:paraId="20982B26">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B0E59D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1EF9221E">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2838E8A3">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7C00E92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社会影响：考察项目对社会化解单位债务，提升单位和政府形象</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完善政府债务化解机制等方面的综合影响</w:t>
      </w:r>
      <w:r>
        <w:rPr>
          <w:rFonts w:hint="eastAsia" w:ascii="仿宋_GB2312" w:hAnsi="仿宋_GB2312" w:eastAsia="仿宋_GB2312" w:cs="仿宋_GB2312"/>
          <w:b w:val="0"/>
          <w:bCs w:val="0"/>
          <w:color w:val="auto"/>
          <w:sz w:val="32"/>
          <w:szCs w:val="32"/>
          <w:highlight w:val="none"/>
          <w:lang w:eastAsia="zh-CN"/>
        </w:rPr>
        <w:t>。</w:t>
      </w:r>
    </w:p>
    <w:p w14:paraId="32D7C81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65" w:name="_Toc1286"/>
      <w:bookmarkStart w:id="66" w:name="_Toc29785"/>
      <w:r>
        <w:rPr>
          <w:rFonts w:hint="eastAsia" w:ascii="楷体_GB2312" w:hAnsi="楷体_GB2312" w:eastAsia="楷体_GB2312" w:cs="楷体_GB2312"/>
          <w:color w:val="auto"/>
          <w:kern w:val="28"/>
          <w:sz w:val="32"/>
          <w:szCs w:val="32"/>
          <w:highlight w:val="none"/>
          <w:lang w:val="en-US" w:eastAsia="zh-CN"/>
        </w:rPr>
        <w:t>（二）绩效评价原则、评价指标体系（详情见附件二）、评价方法、评价标准</w:t>
      </w:r>
      <w:bookmarkEnd w:id="65"/>
      <w:bookmarkEnd w:id="66"/>
    </w:p>
    <w:p w14:paraId="7445454D">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auto"/>
          <w:kern w:val="2"/>
          <w:sz w:val="32"/>
          <w:szCs w:val="32"/>
          <w:highlight w:val="none"/>
          <w:lang w:val="en-US" w:eastAsia="zh-CN" w:bidi="ar-SA"/>
        </w:rPr>
      </w:pPr>
      <w:bookmarkStart w:id="67" w:name="_Toc24506"/>
      <w:bookmarkStart w:id="68" w:name="_Toc13694"/>
      <w:bookmarkStart w:id="69" w:name="_Toc5354"/>
      <w:r>
        <w:rPr>
          <w:rFonts w:hint="eastAsia" w:ascii="仿宋_GB2312" w:hAnsi="仿宋_GB2312" w:eastAsia="仿宋_GB2312" w:cs="仿宋_GB2312"/>
          <w:b/>
          <w:bCs/>
          <w:color w:val="auto"/>
          <w:kern w:val="2"/>
          <w:sz w:val="32"/>
          <w:szCs w:val="32"/>
          <w:highlight w:val="none"/>
          <w:lang w:val="en-US" w:eastAsia="zh-CN" w:bidi="ar-SA"/>
        </w:rPr>
        <w:t>1.绩效评价原则</w:t>
      </w:r>
      <w:bookmarkEnd w:id="67"/>
      <w:bookmarkEnd w:id="68"/>
      <w:bookmarkEnd w:id="69"/>
    </w:p>
    <w:p w14:paraId="5CA72CF5">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依据《财政支出绩效评价管理暂行办法》（财预〔20</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6月债务化解</w:t>
      </w:r>
      <w:r>
        <w:rPr>
          <w:rFonts w:hint="eastAsia" w:ascii="仿宋_GB2312" w:hAnsi="仿宋_GB2312" w:eastAsia="仿宋_GB2312" w:cs="仿宋_GB2312"/>
          <w:color w:val="auto"/>
          <w:sz w:val="32"/>
          <w:szCs w:val="32"/>
          <w:highlight w:val="none"/>
          <w:lang w:eastAsia="zh-CN"/>
        </w:rPr>
        <w:t>项目实际开展情况，运用定量和定性分析相结合的方法，总结经验做法，反思项目实施和管理中的问题，以切实提升财政资金管理的科学化、规范化和精细化水平。</w:t>
      </w:r>
    </w:p>
    <w:p w14:paraId="1D02A438">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根据以上原则，绩效评价应遵循如下要求：</w:t>
      </w:r>
    </w:p>
    <w:p w14:paraId="2DEBAC8C">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）科学公正。绩效评价应当运用科学合理的方法，按照规范的程序，对项目绩效进行客观、公正的反映。</w:t>
      </w:r>
    </w:p>
    <w:p w14:paraId="5E8D339B">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）统筹兼顾。单位自评、部门评价和财政评价应职责明确，各有侧重，相互衔接。单位自评应由项目单位自主实施，即“谁支出、谁自评”。</w:t>
      </w:r>
    </w:p>
    <w:p w14:paraId="339A37EB">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A84343B">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）公开透明。绩效评价结果应依法依规公开，并自觉接受社会监督。</w:t>
      </w:r>
    </w:p>
    <w:p w14:paraId="385D277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24396"/>
      <w:bookmarkStart w:id="71" w:name="_Toc26131"/>
      <w:bookmarkStart w:id="72" w:name="_Toc428278230"/>
      <w:bookmarkStart w:id="73" w:name="_Toc419984722"/>
      <w:bookmarkStart w:id="74"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1B023CA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BA8A254">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548CCD8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DBEA2A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7158594A">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1005CD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5EA698A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1C55859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59EAFE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65DB2CE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6BF19725">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3C8B3F5F">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63486AC">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w:t>
      </w:r>
      <w:r>
        <w:rPr>
          <w:rFonts w:hint="eastAsia" w:ascii="仿宋_GB2312" w:hAnsi="仿宋_GB2312" w:eastAsia="仿宋_GB2312" w:cs="仿宋_GB2312"/>
          <w:color w:val="auto"/>
          <w:spacing w:val="17"/>
          <w:sz w:val="32"/>
          <w:szCs w:val="32"/>
          <w:highlight w:val="none"/>
          <w:lang w:val="en-US" w:eastAsia="zh-CN"/>
        </w:rPr>
        <w:t>1</w:t>
      </w:r>
      <w:r>
        <w:rPr>
          <w:rFonts w:hint="eastAsia" w:ascii="仿宋_GB2312" w:hAnsi="仿宋_GB2312" w:eastAsia="仿宋_GB2312" w:cs="仿宋_GB2312"/>
          <w:color w:val="auto"/>
          <w:spacing w:val="17"/>
          <w:sz w:val="32"/>
          <w:szCs w:val="32"/>
          <w:highlight w:val="none"/>
        </w:rPr>
        <w:t>）比较法。是指将实施情况与绩效目标、历史情况、不同部门和地区同类支出情况进行比较的方法。</w:t>
      </w:r>
    </w:p>
    <w:p w14:paraId="7DA1D154">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b w:val="0"/>
          <w:color w:val="auto"/>
          <w:spacing w:val="17"/>
          <w:kern w:val="2"/>
          <w:sz w:val="32"/>
          <w:szCs w:val="32"/>
          <w:highlight w:val="none"/>
          <w:lang w:val="en-US" w:eastAsia="zh-CN" w:bidi="ar-SA"/>
        </w:rPr>
        <w:t>原因：通过将化债项目的实际效果与预定目标、历史数据或同类项目进行对比，能直观地反映出项目的绩效情况。例如，将化债后的事业单位债务负担率与化债目标中的指标进行对比，可清晰看出是否达到了降低债务风险的预期。同时，与同类事业单位化债项目对比，能了解本项目在同类项目中的水平，发现自身的优势与不足，为今后改进提供参考。</w:t>
      </w:r>
    </w:p>
    <w:p w14:paraId="5FEBAA9A">
      <w:pPr>
        <w:spacing w:line="560" w:lineRule="exact"/>
        <w:ind w:firstLine="708" w:firstLineChars="200"/>
        <w:rPr>
          <w:rFonts w:hint="eastAsia" w:ascii="仿宋_GB2312" w:hAnsi="仿宋_GB2312" w:eastAsia="仿宋_GB2312" w:cs="仿宋_GB2312"/>
          <w:color w:val="auto"/>
          <w:spacing w:val="17"/>
          <w:sz w:val="32"/>
          <w:szCs w:val="32"/>
          <w:highlight w:val="none"/>
        </w:rPr>
      </w:pPr>
      <w:bookmarkStart w:id="79" w:name="_Toc25651"/>
      <w:bookmarkStart w:id="80" w:name="_Toc6081"/>
      <w:r>
        <w:rPr>
          <w:rFonts w:hint="eastAsia" w:ascii="仿宋_GB2312" w:hAnsi="仿宋_GB2312" w:eastAsia="仿宋_GB2312" w:cs="仿宋_GB2312"/>
          <w:color w:val="auto"/>
          <w:spacing w:val="17"/>
          <w:sz w:val="32"/>
          <w:szCs w:val="32"/>
          <w:highlight w:val="none"/>
        </w:rPr>
        <w:t>（</w:t>
      </w:r>
      <w:r>
        <w:rPr>
          <w:rFonts w:hint="eastAsia" w:ascii="仿宋_GB2312" w:hAnsi="仿宋_GB2312" w:eastAsia="仿宋_GB2312" w:cs="仿宋_GB2312"/>
          <w:color w:val="auto"/>
          <w:spacing w:val="17"/>
          <w:sz w:val="32"/>
          <w:szCs w:val="32"/>
          <w:highlight w:val="none"/>
          <w:lang w:val="en-US" w:eastAsia="zh-CN"/>
        </w:rPr>
        <w:t>2</w:t>
      </w:r>
      <w:r>
        <w:rPr>
          <w:rFonts w:hint="eastAsia" w:ascii="仿宋_GB2312" w:hAnsi="仿宋_GB2312" w:eastAsia="仿宋_GB2312" w:cs="仿宋_GB2312"/>
          <w:color w:val="auto"/>
          <w:spacing w:val="17"/>
          <w:sz w:val="32"/>
          <w:szCs w:val="32"/>
          <w:highlight w:val="none"/>
        </w:rPr>
        <w:t>）因素分析法。是指综合分析影响绩效目标实现、实施效果的内外部因素的方法。</w:t>
      </w:r>
    </w:p>
    <w:p w14:paraId="7752C0CB">
      <w:pPr>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color w:val="auto"/>
          <w:spacing w:val="17"/>
          <w:kern w:val="2"/>
          <w:sz w:val="32"/>
          <w:szCs w:val="32"/>
          <w:highlight w:val="none"/>
          <w:lang w:val="en-US" w:eastAsia="zh-CN" w:bidi="ar-SA"/>
        </w:rPr>
        <w:t>原因：化债项目涉及多个影响因素，如化债资金的使用效率、化债方案的合理性、政策环境的变化等。因素分析法可以将这些因素进行分解和分析，确定每个因素对项目绩效的影响程度。通过这种方法，能够找出影响化债项目绩效的关键因素，以便有针对性地采取措施加以改进，提高项目的绩效水平。</w:t>
      </w:r>
    </w:p>
    <w:p w14:paraId="76F17720">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w:t>
      </w:r>
      <w:r>
        <w:rPr>
          <w:rFonts w:hint="eastAsia" w:ascii="仿宋_GB2312" w:hAnsi="仿宋_GB2312" w:eastAsia="仿宋_GB2312" w:cs="仿宋_GB2312"/>
          <w:color w:val="auto"/>
          <w:spacing w:val="17"/>
          <w:sz w:val="32"/>
          <w:szCs w:val="32"/>
          <w:highlight w:val="none"/>
          <w:lang w:val="en-US" w:eastAsia="zh-CN"/>
        </w:rPr>
        <w:t>3</w:t>
      </w:r>
      <w:r>
        <w:rPr>
          <w:rFonts w:hint="eastAsia" w:ascii="仿宋_GB2312" w:hAnsi="仿宋_GB2312" w:eastAsia="仿宋_GB2312" w:cs="仿宋_GB2312"/>
          <w:color w:val="auto"/>
          <w:spacing w:val="17"/>
          <w:sz w:val="32"/>
          <w:szCs w:val="32"/>
          <w:highlight w:val="none"/>
        </w:rPr>
        <w:t>）公众评判法。是指通过专家评估、公众问卷及抽样调查等方式进行评判的方法。</w:t>
      </w:r>
    </w:p>
    <w:p w14:paraId="1B14A326">
      <w:pPr>
        <w:spacing w:line="560" w:lineRule="exact"/>
        <w:ind w:firstLine="708" w:firstLineChars="200"/>
        <w:rPr>
          <w:rFonts w:hint="eastAsia" w:ascii="仿宋_GB2312" w:hAnsi="仿宋_GB2312" w:eastAsia="仿宋_GB2312" w:cs="仿宋_GB2312"/>
          <w:b w:val="0"/>
          <w:color w:val="auto"/>
          <w:spacing w:val="17"/>
          <w:kern w:val="2"/>
          <w:sz w:val="32"/>
          <w:szCs w:val="32"/>
          <w:highlight w:val="none"/>
          <w:lang w:val="en-US" w:eastAsia="zh-CN" w:bidi="ar-SA"/>
        </w:rPr>
      </w:pPr>
      <w:r>
        <w:rPr>
          <w:rFonts w:hint="eastAsia" w:ascii="仿宋_GB2312" w:hAnsi="仿宋_GB2312" w:eastAsia="仿宋_GB2312" w:cs="仿宋_GB2312"/>
          <w:b w:val="0"/>
          <w:color w:val="auto"/>
          <w:spacing w:val="17"/>
          <w:kern w:val="2"/>
          <w:sz w:val="32"/>
          <w:szCs w:val="32"/>
          <w:highlight w:val="none"/>
          <w:lang w:val="en-US" w:eastAsia="zh-CN" w:bidi="ar-SA"/>
        </w:rPr>
        <w:t>原因：事业单位的服务对象等相关公众对化债项目的实施效果有直接或间接的感受。公众评判法可以充分听取他们的意见和建议，从不同角度评价化债项目的绩效。比如，服务对象可以从事业单位化债后服务质量是否提升的角度进行评价，员工可以从单位运营状况和自身工作环境是否改善等方面进行反馈，使绩效评价更具全面性和客观性，也能增强评价结果的可信度和社会认可度。</w:t>
      </w:r>
    </w:p>
    <w:p w14:paraId="504F2C68">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487F11C1">
      <w:pPr>
        <w:spacing w:line="560" w:lineRule="exact"/>
        <w:ind w:firstLine="708" w:firstLineChars="200"/>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绩效评价标准通常包括计划标准、行业标准、历史标准等，用于对绩效指标完成情况进行比较、分析、评价。本次评价主要采用了计划标准。</w:t>
      </w:r>
    </w:p>
    <w:p w14:paraId="55F47F2E">
      <w:pPr>
        <w:numPr>
          <w:ilvl w:val="0"/>
          <w:numId w:val="2"/>
        </w:num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计划标准。指以预先制定的目标、计划、预算、定额等作为评价标准。</w:t>
      </w:r>
    </w:p>
    <w:p w14:paraId="101E1511">
      <w:pPr>
        <w:spacing w:line="560" w:lineRule="exact"/>
        <w:ind w:firstLine="708" w:firstLineChars="200"/>
        <w:rPr>
          <w:rFonts w:hint="eastAsia" w:ascii="仿宋_GB2312" w:hAnsi="仿宋_GB2312" w:eastAsia="仿宋_GB2312" w:cs="仿宋_GB2312"/>
          <w:color w:val="auto"/>
          <w:spacing w:val="17"/>
          <w:sz w:val="32"/>
          <w:szCs w:val="32"/>
          <w:highlight w:val="yellow"/>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25D986D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711"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81" w:name="_Toc21435"/>
      <w:r>
        <w:rPr>
          <w:rFonts w:hint="eastAsia" w:ascii="楷体_GB2312" w:hAnsi="楷体_GB2312" w:eastAsia="楷体_GB2312" w:cs="楷体_GB2312"/>
          <w:color w:val="auto"/>
          <w:spacing w:val="17"/>
          <w:sz w:val="32"/>
          <w:szCs w:val="32"/>
          <w:highlight w:val="none"/>
          <w:lang w:val="en-US" w:eastAsia="zh-CN"/>
        </w:rPr>
        <w:t xml:space="preserve"> </w:t>
      </w:r>
      <w:r>
        <w:rPr>
          <w:rFonts w:hint="eastAsia" w:ascii="楷体_GB2312" w:hAnsi="楷体_GB2312" w:eastAsia="楷体_GB2312" w:cs="楷体_GB2312"/>
          <w:color w:val="auto"/>
          <w:kern w:val="28"/>
          <w:sz w:val="32"/>
          <w:szCs w:val="32"/>
          <w:highlight w:val="none"/>
          <w:lang w:val="en-US" w:eastAsia="zh-CN"/>
        </w:rPr>
        <w:t>（三）绩效评价工作过程</w:t>
      </w:r>
      <w:bookmarkEnd w:id="81"/>
    </w:p>
    <w:p w14:paraId="66D29A02">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177E0AF4">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（1）成立绩效评价项目小组</w:t>
      </w:r>
    </w:p>
    <w:p w14:paraId="03546BDF">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EA32184">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3" w:name="_Toc31571"/>
      <w:r>
        <w:rPr>
          <w:rFonts w:hint="eastAsia" w:ascii="仿宋_GB2312" w:hAnsi="仿宋_GB2312" w:eastAsia="仿宋_GB2312" w:cs="仿宋_GB2312"/>
          <w:color w:val="auto"/>
          <w:spacing w:val="17"/>
          <w:sz w:val="32"/>
          <w:szCs w:val="32"/>
          <w:highlight w:val="none"/>
          <w:lang w:val="en-US" w:eastAsia="zh-CN"/>
        </w:rPr>
        <w:t>（2）开展前期调研</w:t>
      </w:r>
      <w:bookmarkEnd w:id="83"/>
    </w:p>
    <w:p w14:paraId="0EC80241">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4" w:name="_Toc21240"/>
      <w:r>
        <w:rPr>
          <w:rFonts w:hint="eastAsia" w:ascii="仿宋_GB2312" w:hAnsi="仿宋_GB2312" w:eastAsia="仿宋_GB2312" w:cs="仿宋_GB2312"/>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6月债务化解</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pacing w:val="17"/>
          <w:sz w:val="32"/>
          <w:szCs w:val="32"/>
          <w:highlight w:val="none"/>
          <w:lang w:val="en-US" w:eastAsia="zh-CN"/>
        </w:rPr>
        <w:t>实施内容、目标信息、预算信息以及其他的一些项目基本信息，有了初步了解，为制定绩效评价工作方案做好准备。</w:t>
      </w:r>
      <w:bookmarkEnd w:id="84"/>
    </w:p>
    <w:p w14:paraId="56F29CDE">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5" w:name="_Toc27977"/>
      <w:r>
        <w:rPr>
          <w:rFonts w:hint="eastAsia" w:ascii="仿宋_GB2312" w:hAnsi="仿宋_GB2312" w:eastAsia="仿宋_GB2312" w:cs="仿宋_GB2312"/>
          <w:color w:val="auto"/>
          <w:spacing w:val="17"/>
          <w:sz w:val="32"/>
          <w:szCs w:val="32"/>
          <w:highlight w:val="none"/>
          <w:lang w:val="en-US" w:eastAsia="zh-CN"/>
        </w:rPr>
        <w:t>（3）制订绩效评价工作方案</w:t>
      </w:r>
      <w:bookmarkEnd w:id="85"/>
    </w:p>
    <w:p w14:paraId="34F325E9">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6" w:name="_Toc19659"/>
      <w:r>
        <w:rPr>
          <w:rFonts w:hint="eastAsia" w:ascii="仿宋_GB2312" w:hAnsi="仿宋_GB2312" w:eastAsia="仿宋_GB2312" w:cs="仿宋_GB2312"/>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7ED1EE27">
      <w:pPr>
        <w:spacing w:line="560" w:lineRule="exact"/>
        <w:ind w:firstLine="711" w:firstLineChars="200"/>
        <w:rPr>
          <w:rFonts w:hint="eastAsia" w:ascii="仿宋_GB2312" w:hAnsi="仿宋_GB2312" w:eastAsia="仿宋_GB2312" w:cs="仿宋_GB2312"/>
          <w:b/>
          <w:bCs/>
          <w:color w:val="auto"/>
          <w:spacing w:val="17"/>
          <w:sz w:val="32"/>
          <w:szCs w:val="32"/>
          <w:highlight w:val="none"/>
          <w:lang w:val="en-US" w:eastAsia="zh-CN"/>
        </w:rPr>
      </w:pPr>
      <w:bookmarkStart w:id="87" w:name="_Toc11353"/>
      <w:r>
        <w:rPr>
          <w:rFonts w:hint="eastAsia" w:ascii="仿宋_GB2312" w:hAnsi="仿宋_GB2312" w:eastAsia="仿宋_GB2312" w:cs="仿宋_GB2312"/>
          <w:b/>
          <w:bCs/>
          <w:color w:val="auto"/>
          <w:spacing w:val="17"/>
          <w:sz w:val="32"/>
          <w:szCs w:val="32"/>
          <w:highlight w:val="none"/>
          <w:lang w:val="en-US" w:eastAsia="zh-CN"/>
        </w:rPr>
        <w:t>2.具体实施</w:t>
      </w:r>
      <w:bookmarkEnd w:id="87"/>
    </w:p>
    <w:p w14:paraId="5E747E80">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8" w:name="_Toc14111"/>
      <w:r>
        <w:rPr>
          <w:rFonts w:hint="eastAsia" w:ascii="仿宋_GB2312" w:hAnsi="仿宋_GB2312" w:eastAsia="仿宋_GB2312" w:cs="仿宋_GB2312"/>
          <w:color w:val="auto"/>
          <w:spacing w:val="17"/>
          <w:sz w:val="32"/>
          <w:szCs w:val="32"/>
          <w:highlight w:val="none"/>
          <w:lang w:val="en-US" w:eastAsia="zh-CN"/>
        </w:rPr>
        <w:t>（1）收集基础资料</w:t>
      </w:r>
      <w:bookmarkEnd w:id="88"/>
    </w:p>
    <w:p w14:paraId="73EF6430">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89" w:name="_Toc28524"/>
      <w:r>
        <w:rPr>
          <w:rFonts w:hint="eastAsia" w:ascii="仿宋_GB2312" w:hAnsi="仿宋_GB2312" w:eastAsia="仿宋_GB2312" w:cs="仿宋_GB2312"/>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72BB31CF">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0" w:name="_Toc32216"/>
      <w:r>
        <w:rPr>
          <w:rFonts w:hint="eastAsia" w:ascii="仿宋_GB2312" w:hAnsi="仿宋_GB2312" w:eastAsia="仿宋_GB2312" w:cs="仿宋_GB2312"/>
          <w:color w:val="auto"/>
          <w:spacing w:val="17"/>
          <w:sz w:val="32"/>
          <w:szCs w:val="32"/>
          <w:highlight w:val="none"/>
          <w:lang w:val="en-US" w:eastAsia="zh-CN"/>
        </w:rPr>
        <w:t>①被评价单位基本概况，如单位职能、事业发展规划、预决算情况、项目立项依据等；</w:t>
      </w:r>
      <w:bookmarkEnd w:id="90"/>
    </w:p>
    <w:p w14:paraId="07D66422">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1" w:name="_Toc10505"/>
      <w:r>
        <w:rPr>
          <w:rFonts w:hint="eastAsia" w:ascii="仿宋_GB2312" w:hAnsi="仿宋_GB2312" w:eastAsia="仿宋_GB2312" w:cs="仿宋_GB2312"/>
          <w:color w:val="auto"/>
          <w:spacing w:val="17"/>
          <w:sz w:val="32"/>
          <w:szCs w:val="32"/>
          <w:highlight w:val="none"/>
          <w:lang w:val="en-US" w:eastAsia="zh-CN"/>
        </w:rPr>
        <w:t>②绩效目标及其设立依据和调整情况；</w:t>
      </w:r>
      <w:bookmarkEnd w:id="91"/>
    </w:p>
    <w:p w14:paraId="6AB7EA2C">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2" w:name="_Toc28365"/>
      <w:r>
        <w:rPr>
          <w:rFonts w:hint="eastAsia" w:ascii="仿宋_GB2312" w:hAnsi="仿宋_GB2312" w:eastAsia="仿宋_GB2312" w:cs="仿宋_GB2312"/>
          <w:color w:val="auto"/>
          <w:spacing w:val="17"/>
          <w:sz w:val="32"/>
          <w:szCs w:val="32"/>
          <w:highlight w:val="none"/>
          <w:lang w:val="en-US" w:eastAsia="zh-CN"/>
        </w:rPr>
        <w:t>③管理措施及组织实施情况；</w:t>
      </w:r>
      <w:bookmarkEnd w:id="92"/>
    </w:p>
    <w:p w14:paraId="6CCD959E">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3" w:name="_Toc10091"/>
      <w:r>
        <w:rPr>
          <w:rFonts w:hint="eastAsia" w:ascii="仿宋_GB2312" w:hAnsi="仿宋_GB2312" w:eastAsia="仿宋_GB2312" w:cs="仿宋_GB2312"/>
          <w:color w:val="auto"/>
          <w:spacing w:val="17"/>
          <w:sz w:val="32"/>
          <w:szCs w:val="32"/>
          <w:highlight w:val="none"/>
          <w:lang w:val="en-US" w:eastAsia="zh-CN"/>
        </w:rPr>
        <w:t>④被评价单位总结分析的绩效目标完成情况及绩效报告；</w:t>
      </w:r>
      <w:bookmarkEnd w:id="93"/>
    </w:p>
    <w:p w14:paraId="246B7552">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4" w:name="_Toc1"/>
      <w:r>
        <w:rPr>
          <w:rFonts w:hint="eastAsia" w:ascii="仿宋_GB2312" w:hAnsi="仿宋_GB2312" w:eastAsia="仿宋_GB2312" w:cs="仿宋_GB2312"/>
          <w:color w:val="auto"/>
          <w:spacing w:val="17"/>
          <w:sz w:val="32"/>
          <w:szCs w:val="32"/>
          <w:highlight w:val="none"/>
          <w:lang w:val="en-US" w:eastAsia="zh-CN"/>
        </w:rPr>
        <w:t>⑤与绩效评价相关的计划标准、行业标准、历史标准等；</w:t>
      </w:r>
      <w:bookmarkEnd w:id="94"/>
    </w:p>
    <w:p w14:paraId="7AF30DFC">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5" w:name="_Toc20059"/>
      <w:r>
        <w:rPr>
          <w:rFonts w:hint="eastAsia" w:ascii="仿宋_GB2312" w:hAnsi="仿宋_GB2312" w:eastAsia="仿宋_GB2312" w:cs="仿宋_GB2312"/>
          <w:color w:val="auto"/>
          <w:spacing w:val="17"/>
          <w:sz w:val="32"/>
          <w:szCs w:val="32"/>
          <w:highlight w:val="none"/>
          <w:lang w:val="en-US" w:eastAsia="zh-CN"/>
        </w:rPr>
        <w:t>⑥其他必要的相关资料等。</w:t>
      </w:r>
      <w:bookmarkEnd w:id="95"/>
    </w:p>
    <w:p w14:paraId="7603066E">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6" w:name="_Toc31911"/>
      <w:r>
        <w:rPr>
          <w:rFonts w:hint="eastAsia" w:ascii="仿宋_GB2312" w:hAnsi="仿宋_GB2312" w:eastAsia="仿宋_GB2312" w:cs="仿宋_GB2312"/>
          <w:color w:val="auto"/>
          <w:spacing w:val="17"/>
          <w:sz w:val="32"/>
          <w:szCs w:val="32"/>
          <w:highlight w:val="none"/>
          <w:lang w:val="en-US" w:eastAsia="zh-CN"/>
        </w:rPr>
        <w:t>（2）整理、研读基础资料</w:t>
      </w:r>
      <w:bookmarkEnd w:id="96"/>
    </w:p>
    <w:p w14:paraId="492FB186">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7" w:name="_Toc167"/>
      <w:r>
        <w:rPr>
          <w:rFonts w:hint="eastAsia" w:ascii="仿宋_GB2312" w:hAnsi="仿宋_GB2312" w:eastAsia="仿宋_GB2312" w:cs="仿宋_GB2312"/>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15BC4BFC">
      <w:pPr>
        <w:spacing w:line="560" w:lineRule="exact"/>
        <w:ind w:firstLine="711" w:firstLineChars="200"/>
        <w:rPr>
          <w:rFonts w:hint="eastAsia" w:ascii="仿宋_GB2312" w:hAnsi="仿宋_GB2312" w:eastAsia="仿宋_GB2312" w:cs="仿宋_GB2312"/>
          <w:b/>
          <w:bCs/>
          <w:color w:val="auto"/>
          <w:spacing w:val="17"/>
          <w:sz w:val="32"/>
          <w:szCs w:val="32"/>
          <w:highlight w:val="none"/>
          <w:lang w:val="en-US" w:eastAsia="zh-CN"/>
        </w:rPr>
      </w:pPr>
      <w:bookmarkStart w:id="98" w:name="_Toc30513"/>
      <w:r>
        <w:rPr>
          <w:rFonts w:hint="eastAsia" w:ascii="仿宋_GB2312" w:hAnsi="仿宋_GB2312" w:eastAsia="仿宋_GB2312" w:cs="仿宋_GB2312"/>
          <w:b/>
          <w:bCs/>
          <w:color w:val="auto"/>
          <w:spacing w:val="17"/>
          <w:sz w:val="32"/>
          <w:szCs w:val="32"/>
          <w:highlight w:val="none"/>
          <w:lang w:val="en-US" w:eastAsia="zh-CN"/>
        </w:rPr>
        <w:t>3.分析评价和撰写报告</w:t>
      </w:r>
      <w:bookmarkEnd w:id="98"/>
    </w:p>
    <w:p w14:paraId="650ADCF1">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99" w:name="_Toc15974"/>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lang w:val="en-US" w:eastAsia="zh-CN"/>
        </w:rPr>
        <w:t>1）综合分析评价</w:t>
      </w:r>
      <w:bookmarkEnd w:id="99"/>
    </w:p>
    <w:p w14:paraId="2F88021A">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100" w:name="_Toc4352"/>
      <w:r>
        <w:rPr>
          <w:rFonts w:hint="eastAsia" w:ascii="仿宋_GB2312" w:hAnsi="仿宋_GB2312" w:eastAsia="仿宋_GB2312" w:cs="仿宋_GB2312"/>
          <w:color w:val="auto"/>
          <w:spacing w:val="17"/>
          <w:sz w:val="32"/>
          <w:szCs w:val="32"/>
          <w:highlight w:val="none"/>
          <w:lang w:val="en-US" w:eastAsia="zh-CN"/>
        </w:rPr>
        <w:t>①根据所收集的基础资料，结合现场核查的有关情况，整理出绩效评价所需的项目材料和基础数据。</w:t>
      </w:r>
      <w:bookmarkEnd w:id="100"/>
    </w:p>
    <w:p w14:paraId="77E30ECD">
      <w:pPr>
        <w:spacing w:line="560" w:lineRule="exact"/>
        <w:ind w:firstLine="708" w:firstLineChars="200"/>
        <w:rPr>
          <w:rFonts w:hint="eastAsia" w:ascii="仿宋_GB2312" w:hAnsi="仿宋_GB2312" w:eastAsia="仿宋_GB2312" w:cs="仿宋_GB2312"/>
          <w:color w:val="auto"/>
          <w:spacing w:val="17"/>
          <w:sz w:val="32"/>
          <w:szCs w:val="32"/>
          <w:highlight w:val="none"/>
          <w:lang w:val="en-US" w:eastAsia="zh-CN"/>
        </w:rPr>
      </w:pPr>
      <w:bookmarkStart w:id="101" w:name="_Toc26231"/>
      <w:r>
        <w:rPr>
          <w:rFonts w:hint="eastAsia" w:ascii="仿宋_GB2312" w:hAnsi="仿宋_GB2312" w:eastAsia="仿宋_GB2312" w:cs="仿宋_GB2312"/>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6FA87A1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bookmarkStart w:id="103" w:name="_Toc19261"/>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3CFC91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4"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4"/>
    </w:p>
    <w:p w14:paraId="3380250F">
      <w:pPr>
        <w:pStyle w:val="2"/>
        <w:pageBreakBefore w:val="0"/>
        <w:kinsoku/>
        <w:wordWrap/>
        <w:overflowPunct/>
        <w:topLinePunct w:val="0"/>
        <w:autoSpaceDE/>
        <w:autoSpaceDN/>
        <w:bidi w:val="0"/>
        <w:adjustRightInd/>
        <w:spacing w:beforeLines="0" w:afterLines="0" w:line="560" w:lineRule="exact"/>
        <w:ind w:left="0" w:leftChars="0" w:firstLine="640" w:firstLineChars="200"/>
        <w:textAlignment w:val="auto"/>
        <w:rPr>
          <w:rFonts w:hint="eastAsia" w:ascii="黑体" w:hAnsi="黑体" w:eastAsia="黑体" w:cs="黑体"/>
          <w:b w:val="0"/>
          <w:bCs w:val="0"/>
          <w:color w:val="auto"/>
          <w:sz w:val="32"/>
          <w:szCs w:val="32"/>
          <w:highlight w:val="none"/>
          <w:shd w:val="clear" w:color="auto" w:fill="auto"/>
        </w:rPr>
      </w:pPr>
      <w:r>
        <w:rPr>
          <w:rFonts w:hint="eastAsia" w:ascii="黑体" w:hAnsi="黑体" w:eastAsia="黑体" w:cs="黑体"/>
          <w:b w:val="0"/>
          <w:bCs w:val="0"/>
          <w:color w:val="auto"/>
          <w:sz w:val="32"/>
          <w:szCs w:val="32"/>
          <w:highlight w:val="none"/>
          <w:shd w:val="clear" w:color="auto" w:fill="auto"/>
          <w:lang w:val="en-US" w:eastAsia="zh-CN"/>
        </w:rPr>
        <w:t>三、</w:t>
      </w:r>
      <w:r>
        <w:rPr>
          <w:rFonts w:hint="eastAsia" w:ascii="黑体" w:hAnsi="黑体" w:eastAsia="黑体" w:cs="黑体"/>
          <w:b w:val="0"/>
          <w:bCs w:val="0"/>
          <w:color w:val="auto"/>
          <w:sz w:val="32"/>
          <w:szCs w:val="32"/>
          <w:highlight w:val="none"/>
          <w:shd w:val="clear" w:color="auto" w:fill="auto"/>
        </w:rPr>
        <w:t>综合评价情况及评价结论</w:t>
      </w:r>
      <w:bookmarkEnd w:id="103"/>
    </w:p>
    <w:p w14:paraId="2FB423C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105" w:name="_Toc23319"/>
      <w:r>
        <w:rPr>
          <w:rFonts w:hint="eastAsia" w:ascii="楷体_GB2312" w:hAnsi="楷体_GB2312" w:eastAsia="楷体_GB2312" w:cs="楷体_GB2312"/>
          <w:color w:val="auto"/>
          <w:kern w:val="28"/>
          <w:sz w:val="32"/>
          <w:szCs w:val="32"/>
          <w:highlight w:val="none"/>
          <w:lang w:val="en-US" w:eastAsia="zh-CN"/>
        </w:rPr>
        <w:t>（一）综合评价情况及评价结论</w:t>
      </w:r>
      <w:bookmarkEnd w:id="105"/>
    </w:p>
    <w:p w14:paraId="3CC0B07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6月债务化解</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项目产出方面完成较好</w:t>
      </w:r>
      <w:r>
        <w:rPr>
          <w:rFonts w:hint="eastAsia" w:ascii="仿宋_GB2312" w:hAnsi="仿宋_GB2312" w:eastAsia="仿宋_GB2312" w:cs="仿宋_GB2312"/>
          <w:color w:val="auto"/>
          <w:sz w:val="32"/>
          <w:szCs w:val="32"/>
          <w:highlight w:val="none"/>
        </w:rPr>
        <w:t>，达到了预期的标准与要求。</w:t>
      </w:r>
    </w:p>
    <w:p w14:paraId="00C04A5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在项目管理方面，</w:t>
      </w:r>
      <w:r>
        <w:rPr>
          <w:rFonts w:hint="eastAsia" w:ascii="仿宋_GB2312" w:hAnsi="仿宋_GB2312" w:eastAsia="仿宋_GB2312" w:cs="仿宋_GB2312"/>
          <w:color w:val="auto"/>
          <w:sz w:val="32"/>
          <w:szCs w:val="32"/>
          <w:highlight w:val="none"/>
          <w:lang w:val="en-US" w:eastAsia="zh-CN"/>
        </w:rPr>
        <w:t>阜康市疾病预防控制中心</w:t>
      </w:r>
      <w:r>
        <w:rPr>
          <w:rFonts w:hint="eastAsia" w:ascii="仿宋_GB2312" w:hAnsi="仿宋_GB2312" w:eastAsia="仿宋_GB2312" w:cs="仿宋_GB2312"/>
          <w:color w:val="auto"/>
          <w:sz w:val="32"/>
          <w:szCs w:val="32"/>
          <w:highlight w:val="none"/>
        </w:rPr>
        <w:t>通过有效的规划、组织与协调，项目得以顺利实施，并在预算与时间上保持了良好的控制。</w:t>
      </w:r>
    </w:p>
    <w:p w14:paraId="742E1E5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从项目效益的角度来看，本项目不仅实现了预期的社会效益等方面产生了积极的影响。具体而言，</w:t>
      </w:r>
      <w:r>
        <w:rPr>
          <w:rFonts w:hint="eastAsia" w:ascii="仿宋_GB2312" w:hAnsi="仿宋_GB2312" w:eastAsia="仿宋_GB2312" w:cs="仿宋_GB2312"/>
          <w:color w:val="auto"/>
          <w:sz w:val="32"/>
          <w:szCs w:val="32"/>
          <w:highlight w:val="none"/>
          <w:lang w:val="en-US" w:eastAsia="zh-CN"/>
        </w:rPr>
        <w:t>化解单位债务，单位和政府形象、完善政府债务化解机制</w:t>
      </w:r>
      <w:r>
        <w:rPr>
          <w:rFonts w:hint="eastAsia" w:ascii="仿宋_GB2312" w:hAnsi="仿宋_GB2312" w:eastAsia="仿宋_GB2312" w:cs="仿宋_GB2312"/>
          <w:color w:val="auto"/>
          <w:sz w:val="32"/>
          <w:szCs w:val="32"/>
          <w:highlight w:val="none"/>
        </w:rPr>
        <w:t>等方面的提升，为项目的利益相关者带来了实实在在的利益。</w:t>
      </w:r>
    </w:p>
    <w:p w14:paraId="10F4217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综上所述，</w:t>
      </w:r>
      <w:r>
        <w:rPr>
          <w:rFonts w:hint="eastAsia" w:ascii="仿宋_GB2312" w:hAnsi="仿宋_GB2312" w:eastAsia="仿宋_GB2312" w:cs="仿宋_GB2312"/>
          <w:color w:val="auto"/>
          <w:sz w:val="32"/>
          <w:szCs w:val="32"/>
          <w:highlight w:val="none"/>
          <w:lang w:val="en-US" w:eastAsia="zh-CN"/>
        </w:rPr>
        <w:t>6月债务化解项目</w:t>
      </w:r>
      <w:r>
        <w:rPr>
          <w:rFonts w:hint="eastAsia" w:ascii="仿宋_GB2312" w:hAnsi="仿宋_GB2312" w:eastAsia="仿宋_GB2312" w:cs="仿宋_GB2312"/>
          <w:color w:val="auto"/>
          <w:sz w:val="32"/>
          <w:szCs w:val="32"/>
          <w:highlight w:val="none"/>
        </w:rPr>
        <w:t>在绩效评价中表现出色，达到了项目的预期目标，并在多个方面取得了显著的成效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评价等级为优</w:t>
      </w:r>
      <w:r>
        <w:rPr>
          <w:rFonts w:hint="eastAsia" w:ascii="仿宋_GB2312" w:hAnsi="仿宋_GB2312" w:eastAsia="仿宋_GB2312" w:cs="仿宋_GB2312"/>
          <w:color w:val="auto"/>
          <w:sz w:val="32"/>
          <w:szCs w:val="32"/>
          <w:highlight w:val="none"/>
        </w:rPr>
        <w:t>。</w:t>
      </w:r>
    </w:p>
    <w:p w14:paraId="40D1D64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106" w:name="_Toc11863"/>
      <w:r>
        <w:rPr>
          <w:rFonts w:hint="eastAsia" w:ascii="楷体_GB2312" w:hAnsi="楷体_GB2312" w:eastAsia="楷体_GB2312" w:cs="楷体_GB2312"/>
          <w:color w:val="auto"/>
          <w:kern w:val="28"/>
          <w:sz w:val="32"/>
          <w:szCs w:val="32"/>
          <w:highlight w:val="none"/>
          <w:lang w:val="en-US" w:eastAsia="zh-CN"/>
        </w:rPr>
        <w:t>（二）相关评分表</w:t>
      </w:r>
      <w:bookmarkEnd w:id="106"/>
    </w:p>
    <w:p w14:paraId="171DD27A">
      <w:pPr>
        <w:spacing w:line="560" w:lineRule="exact"/>
        <w:ind w:firstLine="708" w:firstLineChars="200"/>
        <w:rPr>
          <w:rFonts w:hint="eastAsia" w:ascii="仿宋_GB2312" w:hAnsi="仿宋_GB2312" w:eastAsia="仿宋_GB2312" w:cs="仿宋_GB2312"/>
          <w:color w:val="auto"/>
          <w:spacing w:val="17"/>
          <w:sz w:val="32"/>
          <w:szCs w:val="32"/>
          <w:highlight w:val="none"/>
          <w:lang w:val="zh-TW" w:eastAsia="zh-TW"/>
        </w:rPr>
      </w:pPr>
      <w:r>
        <w:rPr>
          <w:rFonts w:hint="eastAsia" w:ascii="仿宋_GB2312" w:hAnsi="仿宋_GB2312" w:eastAsia="仿宋_GB2312" w:cs="仿宋_GB2312"/>
          <w:color w:val="auto"/>
          <w:spacing w:val="17"/>
          <w:sz w:val="32"/>
          <w:szCs w:val="32"/>
          <w:highlight w:val="none"/>
          <w:lang w:val="en-US" w:eastAsia="zh-CN"/>
        </w:rPr>
        <w:t>此次绩效评价</w:t>
      </w:r>
      <w:r>
        <w:rPr>
          <w:rFonts w:hint="eastAsia" w:ascii="仿宋_GB2312" w:hAnsi="仿宋_GB2312" w:eastAsia="仿宋_GB2312" w:cs="仿宋_GB2312"/>
          <w:color w:val="auto"/>
          <w:spacing w:val="17"/>
          <w:sz w:val="32"/>
          <w:szCs w:val="32"/>
          <w:highlight w:val="none"/>
          <w:lang w:val="zh-TW" w:eastAsia="zh-TW"/>
        </w:rPr>
        <w:t>通过组论证的评价指标体系及评分标准，</w:t>
      </w:r>
      <w:r>
        <w:rPr>
          <w:rFonts w:hint="eastAsia" w:ascii="仿宋_GB2312" w:hAnsi="仿宋_GB2312" w:eastAsia="仿宋_GB2312" w:cs="仿宋_GB2312"/>
          <w:color w:val="auto"/>
          <w:spacing w:val="17"/>
          <w:sz w:val="32"/>
          <w:szCs w:val="32"/>
          <w:highlight w:val="none"/>
          <w:lang w:val="en-US" w:eastAsia="zh-CN"/>
        </w:rPr>
        <w:t>采用的方法比较法、因素分析法、公众评判法，</w:t>
      </w:r>
      <w:r>
        <w:rPr>
          <w:rFonts w:hint="eastAsia" w:ascii="仿宋_GB2312" w:hAnsi="仿宋_GB2312" w:eastAsia="仿宋_GB2312" w:cs="仿宋_GB2312"/>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lang w:val="en-US" w:eastAsia="zh-CN"/>
        </w:rPr>
        <w:t>6月债务化解项目</w:t>
      </w:r>
      <w:r>
        <w:rPr>
          <w:rFonts w:hint="eastAsia" w:ascii="仿宋_GB2312" w:hAnsi="仿宋_GB2312" w:eastAsia="仿宋_GB2312" w:cs="仿宋_GB2312"/>
          <w:color w:val="auto"/>
          <w:spacing w:val="17"/>
          <w:sz w:val="32"/>
          <w:szCs w:val="32"/>
          <w:highlight w:val="none"/>
          <w:lang w:val="zh-TW" w:eastAsia="zh-TW"/>
        </w:rPr>
        <w:t>绩效进行客观评价，最终评分结果：</w:t>
      </w:r>
      <w:r>
        <w:rPr>
          <w:rFonts w:hint="eastAsia" w:ascii="仿宋_GB2312" w:hAnsi="仿宋_GB2312" w:eastAsia="仿宋_GB2312" w:cs="仿宋_GB2312"/>
          <w:color w:val="auto"/>
          <w:spacing w:val="17"/>
          <w:sz w:val="32"/>
          <w:szCs w:val="32"/>
          <w:highlight w:val="none"/>
          <w:lang w:val="en-US" w:eastAsia="zh-CN"/>
        </w:rPr>
        <w:t>总得分为98.78分，属于“优”。其中，项目决策类指标权重为20分，得分为19分，得分率为95%。项目过程类指标权重为20分，得分为19.94分，得分率为99.7%。项目产出类指标权重为40分，得分为39.11分，得分率为97.78%。项目效益类指标权重为20分，得分为</w:t>
      </w:r>
      <w:r>
        <w:rPr>
          <w:rFonts w:hint="eastAsia" w:ascii="仿宋_GB2312" w:hAnsi="仿宋_GB2312" w:eastAsia="仿宋_GB2312" w:cs="仿宋_GB2312"/>
          <w:color w:val="auto"/>
          <w:spacing w:val="17"/>
          <w:sz w:val="32"/>
          <w:szCs w:val="32"/>
          <w:highlight w:val="none"/>
          <w:shd w:val="clear"/>
          <w:lang w:val="en-US" w:eastAsia="zh-CN"/>
        </w:rPr>
        <w:t>20分，</w:t>
      </w:r>
      <w:r>
        <w:rPr>
          <w:rFonts w:hint="eastAsia" w:ascii="仿宋_GB2312" w:hAnsi="仿宋_GB2312" w:eastAsia="仿宋_GB2312" w:cs="仿宋_GB2312"/>
          <w:color w:val="auto"/>
          <w:spacing w:val="17"/>
          <w:sz w:val="32"/>
          <w:szCs w:val="32"/>
          <w:highlight w:val="none"/>
          <w:lang w:val="en-US" w:eastAsia="zh-CN"/>
        </w:rPr>
        <w:t>得分率为100%。</w:t>
      </w:r>
      <w:r>
        <w:rPr>
          <w:rFonts w:hint="eastAsia" w:ascii="仿宋_GB2312" w:hAnsi="仿宋_GB2312" w:eastAsia="仿宋_GB2312" w:cs="仿宋_GB2312"/>
          <w:color w:val="auto"/>
          <w:spacing w:val="17"/>
          <w:sz w:val="32"/>
          <w:szCs w:val="32"/>
          <w:highlight w:val="none"/>
          <w:lang w:val="zh-TW" w:eastAsia="zh-TW"/>
        </w:rPr>
        <w:t>各部分权重和绩效</w:t>
      </w:r>
      <w:r>
        <w:rPr>
          <w:rFonts w:hint="eastAsia" w:ascii="仿宋_GB2312" w:hAnsi="仿宋_GB2312" w:eastAsia="仿宋_GB2312" w:cs="仿宋_GB2312"/>
          <w:color w:val="auto"/>
          <w:spacing w:val="17"/>
          <w:sz w:val="32"/>
          <w:szCs w:val="32"/>
          <w:highlight w:val="none"/>
          <w:lang w:val="en-US" w:eastAsia="zh-CN"/>
        </w:rPr>
        <w:t>汇总</w:t>
      </w:r>
      <w:r>
        <w:rPr>
          <w:rFonts w:hint="eastAsia" w:ascii="仿宋_GB2312" w:hAnsi="仿宋_GB2312" w:eastAsia="仿宋_GB2312" w:cs="仿宋_GB2312"/>
          <w:color w:val="auto"/>
          <w:spacing w:val="17"/>
          <w:sz w:val="32"/>
          <w:szCs w:val="32"/>
          <w:highlight w:val="none"/>
          <w:lang w:val="zh-TW" w:eastAsia="zh-TW"/>
        </w:rPr>
        <w:t>分值如下表</w:t>
      </w:r>
      <w:r>
        <w:rPr>
          <w:rFonts w:hint="eastAsia" w:ascii="仿宋_GB2312" w:hAnsi="仿宋_GB2312" w:eastAsia="仿宋_GB2312" w:cs="仿宋_GB2312"/>
          <w:color w:val="auto"/>
          <w:spacing w:val="17"/>
          <w:sz w:val="32"/>
          <w:szCs w:val="32"/>
          <w:highlight w:val="none"/>
          <w:lang w:val="en-US" w:eastAsia="zh-CN"/>
        </w:rPr>
        <w:t>3-1</w:t>
      </w:r>
      <w:r>
        <w:rPr>
          <w:rFonts w:hint="eastAsia" w:ascii="仿宋_GB2312" w:hAnsi="仿宋_GB2312" w:eastAsia="仿宋_GB2312" w:cs="仿宋_GB2312"/>
          <w:color w:val="auto"/>
          <w:spacing w:val="17"/>
          <w:sz w:val="32"/>
          <w:szCs w:val="32"/>
          <w:highlight w:val="none"/>
          <w:lang w:val="zh-TW" w:eastAsia="zh-TW"/>
        </w:rPr>
        <w:t>所示</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en-US" w:eastAsia="zh-CN"/>
        </w:rPr>
        <w:t>详见上传的附件</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CF39EF6">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22DD0B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b/>
                <w:bCs/>
                <w:color w:val="auto"/>
                <w:kern w:val="0"/>
                <w:sz w:val="32"/>
                <w:szCs w:val="32"/>
                <w:highlight w:val="none"/>
                <w:shd w:val="clear" w:color="auto" w:fill="auto"/>
                <w:lang w:val="en-US" w:eastAsia="zh-CN"/>
              </w:rPr>
              <w:t>表3-1：</w:t>
            </w:r>
            <w:r>
              <w:rPr>
                <w:rFonts w:hint="eastAsia" w:ascii="仿宋_GB2312" w:hAnsi="仿宋_GB2312" w:eastAsia="仿宋_GB2312" w:cs="仿宋_GB2312"/>
                <w:b/>
                <w:bCs/>
                <w:color w:val="auto"/>
                <w:sz w:val="32"/>
                <w:szCs w:val="32"/>
                <w:highlight w:val="none"/>
                <w:lang w:val="en-US" w:eastAsia="zh-CN"/>
              </w:rPr>
              <w:t>6月债务化解</w:t>
            </w:r>
            <w:r>
              <w:rPr>
                <w:rFonts w:hint="eastAsia" w:ascii="仿宋_GB2312" w:hAnsi="仿宋_GB2312" w:eastAsia="仿宋_GB2312" w:cs="仿宋_GB2312"/>
                <w:b/>
                <w:bCs/>
                <w:color w:val="auto"/>
                <w:kern w:val="0"/>
                <w:sz w:val="32"/>
                <w:szCs w:val="32"/>
                <w:highlight w:val="none"/>
                <w:shd w:val="clear" w:color="auto" w:fill="auto"/>
                <w:lang w:val="en-US" w:eastAsia="zh-CN"/>
              </w:rPr>
              <w:t>项目得分表</w:t>
            </w:r>
          </w:p>
        </w:tc>
      </w:tr>
      <w:tr w14:paraId="58741220">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E55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445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029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93D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2FF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75F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5AC33AA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DB5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145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726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AAC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974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08B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38983D5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B78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25E5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bidi="ar-SA"/>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FBCF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GB" w:eastAsia="zh-CN" w:bidi="ar-SA"/>
              </w:rPr>
            </w:pPr>
            <w:r>
              <w:rPr>
                <w:rFonts w:hint="default" w:cs="宋体"/>
                <w:color w:val="auto"/>
                <w:kern w:val="0"/>
                <w:sz w:val="21"/>
                <w:szCs w:val="21"/>
                <w:highlight w:val="none"/>
                <w:shd w:val="clear" w:color="auto" w:fill="auto"/>
                <w:lang w:val="en-GB" w:eastAsia="zh-CN"/>
              </w:rPr>
              <w:t>19.94</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A7FB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GB" w:eastAsia="zh-CN" w:bidi="ar-SA"/>
              </w:rPr>
            </w:pPr>
            <w:r>
              <w:rPr>
                <w:rFonts w:hint="default" w:cs="宋体"/>
                <w:color w:val="auto"/>
                <w:kern w:val="0"/>
                <w:sz w:val="21"/>
                <w:szCs w:val="21"/>
                <w:highlight w:val="none"/>
                <w:shd w:val="clear" w:color="auto" w:fill="auto"/>
                <w:lang w:val="en-GB" w:eastAsia="zh-CN"/>
              </w:rPr>
              <w:t>39.11</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C43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5837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bidi="ar-SA"/>
              </w:rPr>
            </w:pPr>
            <w:r>
              <w:rPr>
                <w:rFonts w:hint="eastAsia" w:cs="宋体"/>
                <w:color w:val="auto"/>
                <w:kern w:val="0"/>
                <w:sz w:val="21"/>
                <w:szCs w:val="21"/>
                <w:highlight w:val="none"/>
                <w:shd w:val="clear" w:color="auto" w:fill="auto"/>
                <w:lang w:val="en-US" w:eastAsia="zh-CN"/>
              </w:rPr>
              <w:t>98.05</w:t>
            </w:r>
          </w:p>
        </w:tc>
      </w:tr>
      <w:tr w14:paraId="381B14C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7E5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DA8E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EC0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default" w:cs="宋体"/>
                <w:color w:val="auto"/>
                <w:kern w:val="0"/>
                <w:sz w:val="21"/>
                <w:szCs w:val="21"/>
                <w:highlight w:val="none"/>
                <w:shd w:val="clear" w:color="auto" w:fill="auto"/>
                <w:lang w:val="en-GB" w:eastAsia="zh-CN"/>
              </w:rPr>
              <w:t>99.7</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E41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default" w:cs="宋体"/>
                <w:color w:val="auto"/>
                <w:kern w:val="0"/>
                <w:sz w:val="21"/>
                <w:szCs w:val="21"/>
                <w:highlight w:val="none"/>
                <w:shd w:val="clear" w:color="auto" w:fill="auto"/>
                <w:lang w:val="en-GB" w:eastAsia="zh-CN"/>
              </w:rPr>
              <w:t>97.78</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1D0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821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cs="宋体"/>
                <w:color w:val="auto"/>
                <w:kern w:val="0"/>
                <w:sz w:val="21"/>
                <w:szCs w:val="21"/>
                <w:highlight w:val="none"/>
                <w:shd w:val="clear" w:color="auto" w:fill="auto"/>
                <w:lang w:val="en-US" w:eastAsia="zh-CN"/>
              </w:rPr>
              <w:t>98.05</w:t>
            </w:r>
            <w:r>
              <w:rPr>
                <w:rFonts w:hint="eastAsia" w:ascii="宋体" w:hAnsi="宋体" w:eastAsia="宋体" w:cs="宋体"/>
                <w:color w:val="auto"/>
                <w:kern w:val="0"/>
                <w:sz w:val="21"/>
                <w:szCs w:val="21"/>
                <w:highlight w:val="none"/>
                <w:shd w:val="clear" w:color="auto" w:fill="auto"/>
                <w:lang w:val="en-US" w:eastAsia="zh-CN"/>
              </w:rPr>
              <w:t>%</w:t>
            </w:r>
          </w:p>
        </w:tc>
      </w:tr>
    </w:tbl>
    <w:p w14:paraId="534A4154">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b w:val="0"/>
          <w:bCs w:val="0"/>
          <w:color w:val="auto"/>
          <w:sz w:val="32"/>
          <w:szCs w:val="32"/>
          <w:highlight w:val="none"/>
          <w:shd w:val="clear" w:color="auto" w:fill="auto"/>
          <w:lang w:val="en-US" w:eastAsia="zh-CN"/>
        </w:rPr>
      </w:pPr>
      <w:bookmarkStart w:id="107" w:name="_Toc14941"/>
      <w:r>
        <w:rPr>
          <w:rFonts w:hint="eastAsia" w:ascii="仿宋_GB2312" w:hAnsi="仿宋_GB2312" w:eastAsia="仿宋_GB2312" w:cs="仿宋_GB2312"/>
          <w:b w:val="0"/>
          <w:bCs w:val="0"/>
          <w:color w:val="auto"/>
          <w:sz w:val="32"/>
          <w:szCs w:val="32"/>
          <w:highlight w:val="none"/>
          <w:shd w:val="clear" w:color="auto" w:fill="auto"/>
          <w:lang w:val="en-US" w:eastAsia="zh-CN"/>
        </w:rPr>
        <w:t>四、绩效评价指标分析</w:t>
      </w:r>
      <w:bookmarkEnd w:id="107"/>
    </w:p>
    <w:p w14:paraId="22ACC895">
      <w:pPr>
        <w:pStyle w:val="14"/>
        <w:widowControl/>
        <w:spacing w:before="0" w:beforeLines="-2147483648" w:after="0" w:afterLines="-2147483648" w:line="560" w:lineRule="exact"/>
        <w:ind w:firstLine="643" w:firstLineChars="200"/>
        <w:jc w:val="both"/>
        <w:rPr>
          <w:rFonts w:hint="eastAsia" w:ascii="楷体_GB2312" w:hAnsi="楷体_GB2312" w:eastAsia="楷体_GB2312" w:cs="楷体_GB2312"/>
          <w:color w:val="auto"/>
          <w:kern w:val="28"/>
          <w:sz w:val="32"/>
          <w:szCs w:val="32"/>
          <w:highlight w:val="none"/>
        </w:rPr>
      </w:pPr>
      <w:bookmarkStart w:id="108" w:name="_Toc6759"/>
      <w:r>
        <w:rPr>
          <w:rFonts w:hint="eastAsia" w:ascii="楷体_GB2312" w:hAnsi="楷体_GB2312" w:eastAsia="楷体_GB2312" w:cs="楷体_GB2312"/>
          <w:color w:val="auto"/>
          <w:kern w:val="28"/>
          <w:sz w:val="32"/>
          <w:szCs w:val="32"/>
          <w:highlight w:val="none"/>
        </w:rPr>
        <w:t>（一）项目决策情况</w:t>
      </w:r>
      <w:bookmarkEnd w:id="108"/>
    </w:p>
    <w:p w14:paraId="30EC88A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33780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en-US" w:eastAsia="zh-CN"/>
        </w:rPr>
        <w:t xml:space="preserve"> </w:t>
      </w: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693724DB">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6D598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一级指标</w:t>
            </w:r>
          </w:p>
        </w:tc>
        <w:tc>
          <w:tcPr>
            <w:tcW w:w="960"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DF4E9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248"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20D99D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二级指标</w:t>
            </w:r>
          </w:p>
        </w:tc>
        <w:tc>
          <w:tcPr>
            <w:tcW w:w="794"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2B8B2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0231D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三级指标</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A76B8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85350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得分</w:t>
            </w:r>
          </w:p>
        </w:tc>
      </w:tr>
      <w:tr w14:paraId="59A9D73D">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F4B91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7614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699E4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D7A26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29FA1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A84A0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511B6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w:t>
            </w:r>
          </w:p>
        </w:tc>
      </w:tr>
      <w:tr w14:paraId="499DB3C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right w:val="single" w:color="000000" w:sz="4" w:space="0"/>
            </w:tcBorders>
            <w:shd w:val="clear" w:color="auto" w:fill="auto"/>
            <w:tcMar>
              <w:top w:w="12" w:type="dxa"/>
              <w:left w:w="12" w:type="dxa"/>
              <w:right w:w="12" w:type="dxa"/>
            </w:tcMar>
            <w:vAlign w:val="center"/>
          </w:tcPr>
          <w:p w14:paraId="4B2E01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60" w:type="dxa"/>
            <w:vMerge w:val="continue"/>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14:paraId="4A916E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1399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09B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E372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立项程序规范性</w:t>
            </w:r>
          </w:p>
        </w:tc>
        <w:tc>
          <w:tcPr>
            <w:tcW w:w="141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E903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w:t>
            </w:r>
          </w:p>
        </w:tc>
        <w:tc>
          <w:tcPr>
            <w:tcW w:w="107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08CD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w:t>
            </w:r>
          </w:p>
        </w:tc>
      </w:tr>
      <w:tr w14:paraId="0A762DE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023479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CBF26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5B81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E1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6340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D61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542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2A8CF0B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44B1EB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8AE9C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3461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DECE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F073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9999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1620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2701B523">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right w:val="single" w:color="000000" w:sz="4" w:space="0"/>
            </w:tcBorders>
            <w:shd w:val="clear" w:color="auto" w:fill="auto"/>
            <w:tcMar>
              <w:top w:w="12" w:type="dxa"/>
              <w:left w:w="12" w:type="dxa"/>
              <w:right w:w="12" w:type="dxa"/>
            </w:tcMar>
            <w:vAlign w:val="center"/>
          </w:tcPr>
          <w:p w14:paraId="2FC1F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889FB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E7B9D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DCA55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A236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D85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1EE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w:t>
            </w:r>
          </w:p>
        </w:tc>
      </w:tr>
      <w:tr w14:paraId="586DDA8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1E3A23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5BAF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49C0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EBFB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494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1585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B227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w:t>
            </w:r>
          </w:p>
        </w:tc>
      </w:tr>
      <w:tr w14:paraId="0979ED60">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E57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E3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BC1E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427B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78E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r>
    </w:tbl>
    <w:p w14:paraId="32C26C4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 xml:space="preserve"> 1.立项依据充分性</w:t>
      </w:r>
      <w:bookmarkEnd w:id="109"/>
      <w:bookmarkEnd w:id="110"/>
    </w:p>
    <w:p w14:paraId="31F9D7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关于防范化解地方政府隐形债务风险的意见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中华人民共和国预算法</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事业单位财务规则</w:t>
      </w:r>
      <w:r>
        <w:rPr>
          <w:rFonts w:hint="eastAsia" w:ascii="仿宋_GB2312" w:hAnsi="仿宋_GB2312" w:eastAsia="仿宋_GB2312" w:cs="仿宋_GB2312"/>
          <w:color w:val="auto"/>
          <w:sz w:val="32"/>
          <w:szCs w:val="32"/>
          <w:highlight w:val="none"/>
          <w:lang w:eastAsia="zh-CN"/>
        </w:rPr>
        <w:t>》；</w:t>
      </w:r>
    </w:p>
    <w:p w14:paraId="32348D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rPr>
        <w:t>《阜康市城市总体规划》（2010-2030）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关于进一步统筹做好地方债务风险防范的化解工作的通知</w:t>
      </w:r>
      <w:r>
        <w:rPr>
          <w:rFonts w:hint="eastAsia" w:ascii="仿宋_GB2312" w:hAnsi="仿宋_GB2312" w:eastAsia="仿宋_GB2312" w:cs="仿宋_GB2312"/>
          <w:color w:val="auto"/>
          <w:sz w:val="32"/>
          <w:szCs w:val="32"/>
          <w:highlight w:val="none"/>
          <w:lang w:eastAsia="zh-CN"/>
        </w:rPr>
        <w:t>》行业发展规划和政策要求；</w:t>
      </w:r>
    </w:p>
    <w:p w14:paraId="43AEEC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zh-CN" w:eastAsia="zh-CN"/>
        </w:rPr>
        <w:t>对影响人群生存环境卫生质量及生命质量的危险因素进行食品、职业、环境、放射、学校卫生等卫生学监测；对传染病、地方病、寄生虫病、慢性非传染性疾病、职业病、公害病、学生常见病及意外伤害、中毒等发生、发布和发展的规律进行流行病学监测，并制定预防控制对策</w:t>
      </w:r>
      <w:r>
        <w:rPr>
          <w:rFonts w:hint="eastAsia" w:ascii="仿宋_GB2312" w:hAnsi="仿宋_GB2312" w:eastAsia="仿宋_GB2312" w:cs="仿宋_GB2312"/>
          <w:color w:val="auto"/>
          <w:sz w:val="32"/>
          <w:szCs w:val="32"/>
          <w:highlight w:val="none"/>
          <w:lang w:eastAsia="zh-CN"/>
        </w:rPr>
        <w:t>相符，属于部门履职所需；</w:t>
      </w:r>
    </w:p>
    <w:p w14:paraId="3E5202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7857AF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7CE1AA8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4BAF499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76A358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36950EB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16FB4B8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根据疾控中心财经领导小组会议领导小组成员集体决策通过支付疾控中心化债项目款项。但</w:t>
      </w:r>
      <w:r>
        <w:rPr>
          <w:rFonts w:hint="eastAsia" w:ascii="仿宋_GB2312" w:hAnsi="仿宋_GB2312" w:eastAsia="仿宋_GB2312" w:cs="仿宋_GB2312"/>
          <w:color w:val="auto"/>
          <w:sz w:val="32"/>
          <w:szCs w:val="32"/>
          <w:highlight w:val="none"/>
          <w:lang w:eastAsia="zh-CN"/>
        </w:rPr>
        <w:t>事前未经过必要的可行性研究、专家论证、风险评估、绩效评估、集体决策。</w:t>
      </w:r>
      <w:r>
        <w:rPr>
          <w:rFonts w:hint="eastAsia" w:ascii="仿宋_GB2312" w:hAnsi="仿宋_GB2312" w:eastAsia="仿宋_GB2312" w:cs="仿宋_GB2312"/>
          <w:color w:val="auto"/>
          <w:sz w:val="32"/>
          <w:szCs w:val="32"/>
          <w:highlight w:val="none"/>
          <w:lang w:val="en-US" w:eastAsia="zh-CN"/>
        </w:rPr>
        <w:t>未经风险评估、绩效评估，扣除1分。</w:t>
      </w:r>
    </w:p>
    <w:p w14:paraId="656A93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028086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33E687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C8412C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②该项目实际工作内容为：中心实验室能力建设&lt;水质检测理化检验检测设备&gt;采购。成本50.32万元，其中昌吉柯文债务成本13.2万元、中环时代债务成本25.84万元、世纪迈创债务成本11.28万元。绩效目标与实际工作内容一致，两者具有相关性。</w:t>
      </w:r>
    </w:p>
    <w:p w14:paraId="48E566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化解债务项目数量1个，化解项目涉及企业数量3个</w:t>
      </w:r>
      <w:r>
        <w:rPr>
          <w:rFonts w:hint="eastAsia" w:ascii="仿宋_GB2312" w:hAnsi="仿宋_GB2312" w:eastAsia="仿宋_GB2312" w:cs="仿宋_GB2312"/>
          <w:color w:val="auto"/>
          <w:sz w:val="32"/>
          <w:szCs w:val="32"/>
          <w:highlight w:val="none"/>
          <w:lang w:eastAsia="zh-CN"/>
        </w:rPr>
        <w:t>，达到化解单位债务，提升单位和政府形象、完善政府债务化解机制效益，预期产出效益和效果符合正常的业绩水平。</w:t>
      </w:r>
    </w:p>
    <w:p w14:paraId="640B65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50.32</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50E7F9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3D8E7DB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8198"/>
      <w:bookmarkStart w:id="116" w:name="_Toc10650"/>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5E502D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其中三级指标共计10个</w:t>
      </w:r>
      <w:r>
        <w:rPr>
          <w:rFonts w:hint="eastAsia" w:ascii="仿宋_GB2312" w:hAnsi="仿宋_GB2312" w:eastAsia="仿宋_GB2312" w:cs="仿宋_GB2312"/>
          <w:color w:val="auto"/>
          <w:sz w:val="32"/>
          <w:szCs w:val="32"/>
          <w:highlight w:val="none"/>
          <w:lang w:eastAsia="zh-CN"/>
        </w:rPr>
        <w:t>；</w:t>
      </w:r>
    </w:p>
    <w:p w14:paraId="490E1A3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量化率达到90%</w:t>
      </w:r>
      <w:r>
        <w:rPr>
          <w:rFonts w:hint="eastAsia" w:ascii="仿宋_GB2312" w:hAnsi="仿宋_GB2312" w:eastAsia="仿宋_GB2312" w:cs="仿宋_GB2312"/>
          <w:color w:val="auto"/>
          <w:sz w:val="32"/>
          <w:szCs w:val="32"/>
          <w:highlight w:val="none"/>
          <w:lang w:eastAsia="zh-CN"/>
        </w:rPr>
        <w:t>；</w:t>
      </w:r>
    </w:p>
    <w:p w14:paraId="561CEE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2D4567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5807B0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7C7E9B6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05828CB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7E08994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预算申请内容为《阜康市城关镇2016年改善农村人居环境建设项目》项目欠款，</w:t>
      </w:r>
      <w:r>
        <w:rPr>
          <w:rFonts w:hint="eastAsia" w:ascii="仿宋_GB2312" w:hAnsi="仿宋_GB2312" w:eastAsia="仿宋_GB2312" w:cs="仿宋_GB2312"/>
          <w:color w:val="auto"/>
          <w:sz w:val="32"/>
          <w:szCs w:val="32"/>
          <w:highlight w:val="none"/>
          <w:lang w:val="en-US" w:eastAsia="zh-CN"/>
        </w:rPr>
        <w:t>成本50.32万元，其中昌吉柯文债务成本13.2万元、中环时代债务成本25.84万元、世纪迈创债务成本11.28万元。</w:t>
      </w:r>
      <w:r>
        <w:rPr>
          <w:rFonts w:hint="eastAsia" w:ascii="仿宋_GB2312" w:hAnsi="仿宋_GB2312" w:eastAsia="仿宋_GB2312" w:cs="仿宋_GB2312"/>
          <w:color w:val="auto"/>
          <w:sz w:val="32"/>
          <w:szCs w:val="32"/>
          <w:highlight w:val="none"/>
          <w:lang w:eastAsia="zh-CN"/>
        </w:rPr>
        <w:t>项目实际内容为《阜康市城关镇2016年改善农村人居环境建设项目》项目欠款，</w:t>
      </w:r>
      <w:r>
        <w:rPr>
          <w:rFonts w:hint="eastAsia" w:ascii="仿宋_GB2312" w:hAnsi="仿宋_GB2312" w:eastAsia="仿宋_GB2312" w:cs="仿宋_GB2312"/>
          <w:color w:val="auto"/>
          <w:sz w:val="32"/>
          <w:szCs w:val="32"/>
          <w:highlight w:val="none"/>
          <w:lang w:val="en-US" w:eastAsia="zh-CN"/>
        </w:rPr>
        <w:t>成本50.32万元，其中昌吉柯文债务成本13.2万元、中环时代债务成本25.84万元、世纪迈创债务成本11.28万元。</w:t>
      </w:r>
      <w:r>
        <w:rPr>
          <w:rFonts w:hint="eastAsia" w:ascii="仿宋_GB2312" w:hAnsi="仿宋_GB2312" w:eastAsia="仿宋_GB2312" w:cs="仿宋_GB2312"/>
          <w:color w:val="auto"/>
          <w:sz w:val="32"/>
          <w:szCs w:val="32"/>
          <w:highlight w:val="none"/>
          <w:lang w:eastAsia="zh-CN"/>
        </w:rPr>
        <w:t>预算申请与项目内容匹配；</w:t>
      </w:r>
    </w:p>
    <w:p w14:paraId="36B70BB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50.32万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元，我单位在预算申请中严格按照项目实施内容及测算标准进行核算，其中：昌吉柯文设备采购费用</w:t>
      </w:r>
      <w:r>
        <w:rPr>
          <w:rFonts w:hint="eastAsia" w:ascii="仿宋_GB2312" w:hAnsi="仿宋_GB2312" w:eastAsia="仿宋_GB2312" w:cs="仿宋_GB2312"/>
          <w:color w:val="auto"/>
          <w:sz w:val="32"/>
          <w:szCs w:val="32"/>
          <w:highlight w:val="none"/>
          <w:lang w:val="en-US" w:eastAsia="zh-CN"/>
        </w:rPr>
        <w:t>13.2</w:t>
      </w:r>
      <w:r>
        <w:rPr>
          <w:rFonts w:hint="eastAsia" w:ascii="仿宋_GB2312" w:hAnsi="仿宋_GB2312" w:eastAsia="仿宋_GB2312" w:cs="仿宋_GB2312"/>
          <w:color w:val="auto"/>
          <w:sz w:val="32"/>
          <w:szCs w:val="32"/>
          <w:highlight w:val="none"/>
          <w:lang w:eastAsia="zh-CN"/>
        </w:rPr>
        <w:t>万元、中环时代设备采购费用</w:t>
      </w:r>
      <w:r>
        <w:rPr>
          <w:rFonts w:hint="eastAsia" w:ascii="仿宋_GB2312" w:hAnsi="仿宋_GB2312" w:eastAsia="仿宋_GB2312" w:cs="仿宋_GB2312"/>
          <w:color w:val="auto"/>
          <w:sz w:val="32"/>
          <w:szCs w:val="32"/>
          <w:highlight w:val="none"/>
          <w:lang w:val="en-US" w:eastAsia="zh-CN"/>
        </w:rPr>
        <w:t>25.4</w:t>
      </w:r>
      <w:r>
        <w:rPr>
          <w:rFonts w:hint="eastAsia" w:ascii="仿宋_GB2312" w:hAnsi="仿宋_GB2312" w:eastAsia="仿宋_GB2312" w:cs="仿宋_GB2312"/>
          <w:color w:val="auto"/>
          <w:sz w:val="32"/>
          <w:szCs w:val="32"/>
          <w:highlight w:val="none"/>
          <w:lang w:eastAsia="zh-CN"/>
        </w:rPr>
        <w:t>万元、世纪迈创设备采购费用</w:t>
      </w:r>
      <w:r>
        <w:rPr>
          <w:rFonts w:hint="eastAsia" w:ascii="仿宋_GB2312" w:hAnsi="仿宋_GB2312" w:eastAsia="仿宋_GB2312" w:cs="仿宋_GB2312"/>
          <w:color w:val="auto"/>
          <w:sz w:val="32"/>
          <w:szCs w:val="32"/>
          <w:highlight w:val="none"/>
          <w:lang w:val="en-US" w:eastAsia="zh-CN"/>
        </w:rPr>
        <w:t>11.28</w:t>
      </w:r>
      <w:r>
        <w:rPr>
          <w:rFonts w:hint="eastAsia" w:ascii="仿宋_GB2312" w:hAnsi="仿宋_GB2312" w:eastAsia="仿宋_GB2312" w:cs="仿宋_GB2312"/>
          <w:color w:val="auto"/>
          <w:sz w:val="32"/>
          <w:szCs w:val="32"/>
          <w:highlight w:val="none"/>
          <w:lang w:eastAsia="zh-CN"/>
        </w:rPr>
        <w:t>万元。</w:t>
      </w:r>
    </w:p>
    <w:p w14:paraId="74187E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658232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15DE4A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5B1DDA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申请6月债务化解项目资金的请示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6E09C6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50.32</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6C08FC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7E6BCEF7">
      <w:pPr>
        <w:pStyle w:val="14"/>
        <w:widowControl/>
        <w:numPr>
          <w:ilvl w:val="0"/>
          <w:numId w:val="0"/>
        </w:numPr>
        <w:spacing w:before="0" w:beforeLines="-2147483648" w:after="0" w:afterLines="-2147483648" w:line="560" w:lineRule="exact"/>
        <w:ind w:firstLine="643" w:firstLineChars="200"/>
        <w:jc w:val="both"/>
        <w:rPr>
          <w:rFonts w:hint="eastAsia" w:ascii="楷体_GB2312" w:hAnsi="楷体_GB2312" w:eastAsia="楷体_GB2312" w:cs="楷体_GB2312"/>
          <w:color w:val="auto"/>
          <w:kern w:val="28"/>
          <w:sz w:val="32"/>
          <w:szCs w:val="32"/>
          <w:highlight w:val="none"/>
        </w:rPr>
      </w:pPr>
      <w:bookmarkStart w:id="121" w:name="_Toc10564"/>
      <w:r>
        <w:rPr>
          <w:rFonts w:hint="eastAsia" w:ascii="楷体_GB2312" w:hAnsi="楷体_GB2312" w:eastAsia="楷体_GB2312" w:cs="楷体_GB2312"/>
          <w:color w:val="auto"/>
          <w:kern w:val="28"/>
          <w:sz w:val="32"/>
          <w:szCs w:val="32"/>
          <w:highlight w:val="none"/>
          <w:lang w:eastAsia="zh-CN"/>
        </w:rPr>
        <w:t>（</w:t>
      </w:r>
      <w:r>
        <w:rPr>
          <w:rFonts w:hint="eastAsia" w:ascii="楷体_GB2312" w:hAnsi="楷体_GB2312" w:eastAsia="楷体_GB2312" w:cs="楷体_GB2312"/>
          <w:color w:val="auto"/>
          <w:kern w:val="28"/>
          <w:sz w:val="32"/>
          <w:szCs w:val="32"/>
          <w:highlight w:val="none"/>
          <w:lang w:val="en-US" w:eastAsia="zh-CN"/>
        </w:rPr>
        <w:t>二</w:t>
      </w:r>
      <w:r>
        <w:rPr>
          <w:rFonts w:hint="eastAsia" w:ascii="楷体_GB2312" w:hAnsi="楷体_GB2312" w:eastAsia="楷体_GB2312" w:cs="楷体_GB2312"/>
          <w:color w:val="auto"/>
          <w:kern w:val="28"/>
          <w:sz w:val="32"/>
          <w:szCs w:val="32"/>
          <w:highlight w:val="none"/>
          <w:lang w:eastAsia="zh-CN"/>
        </w:rPr>
        <w:t>）</w:t>
      </w:r>
      <w:r>
        <w:rPr>
          <w:rFonts w:hint="eastAsia" w:ascii="楷体_GB2312" w:hAnsi="楷体_GB2312" w:eastAsia="楷体_GB2312" w:cs="楷体_GB2312"/>
          <w:color w:val="auto"/>
          <w:kern w:val="28"/>
          <w:sz w:val="32"/>
          <w:szCs w:val="32"/>
          <w:highlight w:val="none"/>
        </w:rPr>
        <w:t>项目过程情况</w:t>
      </w:r>
      <w:bookmarkEnd w:id="121"/>
    </w:p>
    <w:p w14:paraId="3987AB23">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19.94</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E9A29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en-US" w:eastAsia="zh-CN"/>
        </w:rPr>
        <w:t xml:space="preserve"> </w:t>
      </w: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4-2</w:t>
      </w:r>
      <w:r>
        <w:rPr>
          <w:rFonts w:hint="eastAsia" w:ascii="仿宋_GB2312" w:hAnsi="仿宋_GB2312" w:eastAsia="仿宋_GB2312" w:cs="仿宋_GB2312"/>
          <w:b/>
          <w:bCs/>
          <w:color w:val="auto"/>
          <w:kern w:val="0"/>
          <w:sz w:val="32"/>
          <w:szCs w:val="32"/>
          <w:highlight w:val="none"/>
          <w:shd w:val="clear" w:color="auto" w:fill="auto"/>
          <w:lang w:val="zh-TW" w:eastAsia="zh-TW"/>
        </w:rPr>
        <w:t>项目</w:t>
      </w:r>
      <w:r>
        <w:rPr>
          <w:rFonts w:hint="eastAsia" w:ascii="仿宋_GB2312" w:hAnsi="仿宋_GB2312" w:eastAsia="仿宋_GB2312" w:cs="仿宋_GB2312"/>
          <w:b/>
          <w:bCs/>
          <w:color w:val="auto"/>
          <w:kern w:val="0"/>
          <w:sz w:val="32"/>
          <w:szCs w:val="32"/>
          <w:highlight w:val="none"/>
          <w:shd w:val="clear" w:color="auto" w:fill="auto"/>
          <w:lang w:val="en-US" w:eastAsia="zh-CN"/>
        </w:rPr>
        <w:t>过程</w:t>
      </w:r>
      <w:r>
        <w:rPr>
          <w:rFonts w:hint="eastAsia" w:ascii="仿宋_GB2312" w:hAnsi="仿宋_GB2312" w:eastAsia="仿宋_GB2312" w:cs="仿宋_GB2312"/>
          <w:b/>
          <w:bCs/>
          <w:color w:val="auto"/>
          <w:kern w:val="0"/>
          <w:sz w:val="32"/>
          <w:szCs w:val="32"/>
          <w:highlight w:val="none"/>
          <w:shd w:val="clear" w:color="auto" w:fill="auto"/>
          <w:lang w:val="zh-TW" w:eastAsia="zh-TW"/>
        </w:rPr>
        <w:t>指标及分值</w:t>
      </w:r>
      <w:r>
        <w:rPr>
          <w:rFonts w:hint="eastAsia" w:ascii="仿宋_GB2312" w:hAnsi="仿宋_GB2312" w:eastAsia="仿宋_GB2312" w:cs="仿宋_GB2312"/>
          <w:b/>
          <w:bCs/>
          <w:color w:val="auto"/>
          <w:kern w:val="0"/>
          <w:sz w:val="32"/>
          <w:szCs w:val="32"/>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87FB0CA">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4F4A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8A0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7673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9422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DCC5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FA54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5BBA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得分</w:t>
            </w:r>
          </w:p>
        </w:tc>
      </w:tr>
      <w:tr w14:paraId="3ABFB45F">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ADC7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ED52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1B1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1E5D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FD70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26CF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B71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r>
      <w:tr w14:paraId="5BD9250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3B8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14D4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FE68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364B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4D25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7185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93C8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3.94</w:t>
            </w:r>
          </w:p>
        </w:tc>
      </w:tr>
      <w:tr w14:paraId="108B04D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E863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C74D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30F3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9F02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BC38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0B60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E85A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r>
      <w:tr w14:paraId="36F9479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F74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5805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4596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A4B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E2AA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460E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CC9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r>
      <w:tr w14:paraId="01908E7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7893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DB55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866E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E945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45ED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2CA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1162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w:t>
            </w:r>
          </w:p>
        </w:tc>
      </w:tr>
      <w:tr w14:paraId="0B36157B">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0C20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D9F1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E54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73D0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AFEB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19.94</w:t>
            </w:r>
          </w:p>
        </w:tc>
      </w:tr>
    </w:tbl>
    <w:p w14:paraId="358C56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r>
        <w:rPr>
          <w:rFonts w:hint="eastAsia" w:ascii="仿宋_GB2312" w:hAnsi="仿宋_GB2312" w:eastAsia="仿宋_GB2312" w:cs="仿宋_GB2312"/>
          <w:b/>
          <w:bCs/>
          <w:color w:val="auto"/>
          <w:sz w:val="32"/>
          <w:szCs w:val="32"/>
          <w:highlight w:val="none"/>
          <w:lang w:val="en-US" w:eastAsia="zh-CN"/>
        </w:rPr>
        <w:t xml:space="preserve"> </w:t>
      </w:r>
    </w:p>
    <w:p w14:paraId="104064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50.32</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50.32</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BBA40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50.32万元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50.32万元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=100%</w:t>
      </w:r>
    </w:p>
    <w:p w14:paraId="6550004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133ECB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3D21AD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49.52</w:t>
      </w:r>
      <w:r>
        <w:rPr>
          <w:rFonts w:hint="eastAsia" w:ascii="仿宋_GB2312" w:hAnsi="仿宋_GB2312" w:eastAsia="仿宋_GB2312" w:cs="仿宋_GB2312"/>
          <w:color w:val="auto"/>
          <w:sz w:val="32"/>
          <w:szCs w:val="32"/>
          <w:highlight w:val="none"/>
          <w:lang w:val="en-US" w:eastAsia="zh-CN"/>
        </w:rPr>
        <w:t>万元。</w:t>
      </w:r>
    </w:p>
    <w:p w14:paraId="2EE2262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49.52万元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50.32万元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=98.41%</w:t>
      </w:r>
    </w:p>
    <w:p w14:paraId="4F91974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综上，该项指标满分4分，得分3.94分。</w:t>
      </w:r>
    </w:p>
    <w:p w14:paraId="343325E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55F0CF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①本项目资金支出符合国家财经法规、《政府会计制度》《单位资金管理办法》《上级专项资金管理办法》；</w:t>
      </w:r>
    </w:p>
    <w:p w14:paraId="25949EF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1D0DB46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222109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584A12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仿宋_GB2312" w:hAnsi="仿宋_GB2312" w:eastAsia="仿宋_GB2312" w:cs="仿宋_GB2312"/>
          <w:color w:val="auto"/>
          <w:sz w:val="32"/>
          <w:szCs w:val="32"/>
          <w:highlight w:val="none"/>
          <w:lang w:val="en-US" w:eastAsia="zh-CN"/>
        </w:rPr>
        <w:t xml:space="preserve"> </w:t>
      </w:r>
    </w:p>
    <w:p w14:paraId="19523A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FF1DE8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49E9F7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我单位已制定《阜康市疾病预防控制中心专项资金管理办法》《阜康市疾病预防控制中心财务收支业务管理制度》《阜康市疾病预防控制中心政府采购业务管理制度》《阜康市疾病预防控制中心合同管理制度》，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105370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10330D8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769869F">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514383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阜康市疾病预防控制中心专项资金管理</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eastAsia="zh-CN"/>
        </w:rPr>
        <w:t>阜康市疾病预防控制中心财务收支业务</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eastAsia="zh-CN"/>
        </w:rPr>
        <w:t>阜康市疾病预防控制中心政府</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eastAsia="zh-CN"/>
        </w:rPr>
        <w:t>阜康市疾病预防控制中心</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632409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57AF78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1C72E16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阜康市城关镇2016年改善农村人居环境建设项目</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项目工作领导小组，由张跃天任组长，负责项目的组织工作；严新萍任副组长，负责项目的实施工作；组员包括：李晓琴、魏玉慧和方红，主要负责项目监督管理、验收以及资金核拨等工作。</w:t>
      </w:r>
    </w:p>
    <w:p w14:paraId="3D9592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00133A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130" w:name="_Toc2441"/>
      <w:r>
        <w:rPr>
          <w:rFonts w:hint="eastAsia" w:ascii="楷体_GB2312" w:hAnsi="楷体_GB2312" w:eastAsia="楷体_GB2312" w:cs="楷体_GB2312"/>
          <w:color w:val="auto"/>
          <w:kern w:val="28"/>
          <w:sz w:val="32"/>
          <w:szCs w:val="32"/>
          <w:highlight w:val="none"/>
          <w:lang w:val="en-US" w:eastAsia="zh-CN"/>
        </w:rPr>
        <w:t>（三）项目产出情况</w:t>
      </w:r>
      <w:bookmarkEnd w:id="130"/>
    </w:p>
    <w:p w14:paraId="5675295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eastAsia" w:ascii="仿宋_GB2312" w:hAnsi="仿宋_GB2312" w:eastAsia="仿宋_GB2312" w:cs="仿宋_GB2312"/>
          <w:color w:val="auto"/>
          <w:sz w:val="32"/>
          <w:szCs w:val="32"/>
          <w:highlight w:val="none"/>
          <w:lang w:val="en-US" w:eastAsia="zh-CN"/>
        </w:rPr>
        <w:t>包括产出数量、产出质量、产出时效、产出成本四方面的内容，共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8</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39.11</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35C83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en-US" w:eastAsia="zh-CN"/>
        </w:rPr>
        <w:t xml:space="preserve"> </w:t>
      </w: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4-3项目产出</w:t>
      </w:r>
      <w:r>
        <w:rPr>
          <w:rFonts w:hint="eastAsia" w:ascii="仿宋_GB2312" w:hAnsi="仿宋_GB2312" w:eastAsia="仿宋_GB2312" w:cs="仿宋_GB2312"/>
          <w:b/>
          <w:bCs/>
          <w:color w:val="auto"/>
          <w:kern w:val="0"/>
          <w:sz w:val="32"/>
          <w:szCs w:val="32"/>
          <w:highlight w:val="none"/>
          <w:shd w:val="clear" w:color="auto" w:fill="auto"/>
          <w:lang w:val="zh-TW" w:eastAsia="zh-TW"/>
        </w:rPr>
        <w:t>指标及分值</w:t>
      </w:r>
      <w:r>
        <w:rPr>
          <w:rFonts w:hint="eastAsia" w:ascii="仿宋_GB2312" w:hAnsi="仿宋_GB2312" w:eastAsia="仿宋_GB2312" w:cs="仿宋_GB2312"/>
          <w:b/>
          <w:bCs/>
          <w:color w:val="auto"/>
          <w:kern w:val="0"/>
          <w:sz w:val="32"/>
          <w:szCs w:val="32"/>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EB1E204">
        <w:tblPrEx>
          <w:shd w:val="clear" w:color="auto" w:fill="auto"/>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40AB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 xml:space="preserve"> 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459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C1C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F8A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661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161B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6B0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指标得分</w:t>
            </w:r>
          </w:p>
        </w:tc>
      </w:tr>
      <w:tr w14:paraId="7E172722">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740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F2A7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7AF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444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9BC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213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A54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56F4EE87">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2F1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10492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06D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化解项目涉及企业数量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D99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ACD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D772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80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4ED87F0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2F1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F1D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F2A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设备质量合格率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81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36F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161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DEA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54B5FD2D">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C14B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74083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A0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项目完成时限</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437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≦2024年7月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4D2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B0E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2024年7月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F95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2F2CC751">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9A57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922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E47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5AD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A5F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BA2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A0C9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476DE22D">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567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F413C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7F5A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昌吉柯文债务成本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C9B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≦13.2万元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388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89A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13.2万元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A62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0A6E7A7B">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72B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32D66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79D8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中环时代债务成本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41C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≦25.84万元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578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5A4F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25.84万元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2B9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r>
      <w:tr w14:paraId="5D6092EA">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909C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0F7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05D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世纪迈创债务成本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758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≦11.28万元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6EE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C0E3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10.48万元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CFA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4.11</w:t>
            </w:r>
          </w:p>
        </w:tc>
      </w:tr>
      <w:tr w14:paraId="03DA7B46">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E93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855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28F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3FC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39.11</w:t>
            </w:r>
          </w:p>
        </w:tc>
      </w:tr>
    </w:tbl>
    <w:p w14:paraId="378CC2C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r>
        <w:rPr>
          <w:rFonts w:hint="eastAsia" w:ascii="仿宋_GB2312" w:hAnsi="仿宋_GB2312" w:eastAsia="仿宋_GB2312" w:cs="仿宋_GB2312"/>
          <w:b/>
          <w:bCs/>
          <w:color w:val="auto"/>
          <w:sz w:val="32"/>
          <w:szCs w:val="32"/>
          <w:highlight w:val="none"/>
          <w:lang w:val="en-US" w:eastAsia="zh-CN"/>
        </w:rPr>
        <w:t xml:space="preserve"> </w:t>
      </w:r>
    </w:p>
    <w:p w14:paraId="4718F1C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化解债务项目数量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≤1个</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1个</w:t>
      </w:r>
      <w:r>
        <w:rPr>
          <w:rFonts w:hint="eastAsia" w:ascii="仿宋_GB2312" w:hAnsi="仿宋_GB2312" w:eastAsia="仿宋_GB2312" w:cs="仿宋_GB2312"/>
          <w:color w:val="auto"/>
          <w:sz w:val="32"/>
          <w:szCs w:val="32"/>
          <w:highlight w:val="none"/>
          <w:lang w:val="en-US" w:eastAsia="zh-CN"/>
        </w:rPr>
        <w:t>。实际完成率=（</w:t>
      </w:r>
      <w:r>
        <w:rPr>
          <w:rFonts w:hint="eastAsia" w:ascii="仿宋_GB2312" w:hAnsi="仿宋_GB2312" w:eastAsia="仿宋_GB2312" w:cs="仿宋_GB2312"/>
          <w:color w:val="auto"/>
          <w:kern w:val="0"/>
          <w:sz w:val="32"/>
          <w:szCs w:val="32"/>
          <w:highlight w:val="none"/>
          <w:shd w:val="clear" w:color="auto" w:fill="auto"/>
          <w:lang w:val="en-US" w:eastAsia="zh-CN"/>
        </w:rPr>
        <w:t>1个</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1个</w:t>
      </w:r>
      <w:r>
        <w:rPr>
          <w:rFonts w:hint="eastAsia" w:ascii="仿宋_GB2312" w:hAnsi="仿宋_GB2312" w:eastAsia="仿宋_GB2312" w:cs="仿宋_GB2312"/>
          <w:color w:val="auto"/>
          <w:sz w:val="32"/>
          <w:szCs w:val="32"/>
          <w:highlight w:val="none"/>
          <w:lang w:val="en-US" w:eastAsia="zh-CN"/>
        </w:rPr>
        <w:t>）×100%=100%，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6B4AD7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综上，该项指标满分5分，得分5分。</w:t>
      </w:r>
    </w:p>
    <w:p w14:paraId="5D4C857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3C5DFC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化解项目涉及企业数量</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≤3个</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3个</w:t>
      </w:r>
      <w:r>
        <w:rPr>
          <w:rFonts w:hint="eastAsia" w:ascii="仿宋_GB2312" w:hAnsi="仿宋_GB2312" w:eastAsia="仿宋_GB2312" w:cs="仿宋_GB2312"/>
          <w:color w:val="auto"/>
          <w:sz w:val="32"/>
          <w:szCs w:val="32"/>
          <w:highlight w:val="none"/>
          <w:lang w:val="en-US" w:eastAsia="zh-CN"/>
        </w:rPr>
        <w:t>。实际完成率100%，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15C67CD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设备质量合格率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72D659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2B5D58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0AC676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项目完成时限</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≦2024年7月</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2024年7月</w:t>
      </w:r>
      <w:r>
        <w:rPr>
          <w:rFonts w:hint="eastAsia" w:ascii="仿宋_GB2312" w:hAnsi="仿宋_GB2312" w:eastAsia="仿宋_GB2312" w:cs="仿宋_GB2312"/>
          <w:color w:val="auto"/>
          <w:sz w:val="32"/>
          <w:szCs w:val="32"/>
          <w:highlight w:val="none"/>
          <w:lang w:val="en-US" w:eastAsia="zh-CN"/>
        </w:rPr>
        <w:t>。实际完成率100%，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37B04B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资金支付及时率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31B1AF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84C496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52A0E38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2867A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昌吉柯文债务成本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≦13.2万元</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13.2万元</w:t>
      </w:r>
      <w:r>
        <w:rPr>
          <w:rFonts w:hint="eastAsia" w:ascii="仿宋_GB2312" w:hAnsi="仿宋_GB2312" w:eastAsia="仿宋_GB2312" w:cs="仿宋_GB2312"/>
          <w:color w:val="auto"/>
          <w:sz w:val="32"/>
          <w:szCs w:val="32"/>
          <w:highlight w:val="none"/>
          <w:lang w:val="en-US" w:eastAsia="zh-CN"/>
        </w:rPr>
        <w:t>。实际完成率=（</w:t>
      </w:r>
      <w:r>
        <w:rPr>
          <w:rFonts w:hint="eastAsia" w:ascii="仿宋_GB2312" w:hAnsi="仿宋_GB2312" w:eastAsia="仿宋_GB2312" w:cs="仿宋_GB2312"/>
          <w:color w:val="auto"/>
          <w:kern w:val="0"/>
          <w:sz w:val="32"/>
          <w:szCs w:val="32"/>
          <w:highlight w:val="none"/>
          <w:shd w:val="clear" w:color="auto" w:fill="auto"/>
          <w:lang w:val="en-US" w:eastAsia="zh-CN"/>
        </w:rPr>
        <w:t>13.2万元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13.2万元</w:t>
      </w:r>
      <w:r>
        <w:rPr>
          <w:rFonts w:hint="eastAsia" w:ascii="仿宋_GB2312" w:hAnsi="仿宋_GB2312" w:eastAsia="仿宋_GB2312" w:cs="仿宋_GB2312"/>
          <w:color w:val="auto"/>
          <w:sz w:val="32"/>
          <w:szCs w:val="32"/>
          <w:highlight w:val="none"/>
          <w:lang w:val="en-US" w:eastAsia="zh-CN"/>
        </w:rPr>
        <w:t>）×100%=100%，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04E1EC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中环时代债务成本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≦25.84万元</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25.84万元</w:t>
      </w:r>
      <w:r>
        <w:rPr>
          <w:rFonts w:hint="eastAsia" w:ascii="仿宋_GB2312" w:hAnsi="仿宋_GB2312" w:eastAsia="仿宋_GB2312" w:cs="仿宋_GB2312"/>
          <w:color w:val="auto"/>
          <w:sz w:val="32"/>
          <w:szCs w:val="32"/>
          <w:highlight w:val="none"/>
          <w:lang w:val="en-US" w:eastAsia="zh-CN"/>
        </w:rPr>
        <w:t>。实际完成率=（</w:t>
      </w:r>
      <w:r>
        <w:rPr>
          <w:rFonts w:hint="eastAsia" w:ascii="仿宋_GB2312" w:hAnsi="仿宋_GB2312" w:eastAsia="仿宋_GB2312" w:cs="仿宋_GB2312"/>
          <w:color w:val="auto"/>
          <w:kern w:val="0"/>
          <w:sz w:val="32"/>
          <w:szCs w:val="32"/>
          <w:highlight w:val="none"/>
          <w:shd w:val="clear" w:color="auto" w:fill="auto"/>
          <w:lang w:val="en-US" w:eastAsia="zh-CN"/>
        </w:rPr>
        <w:t>25.84万元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25.84万元</w:t>
      </w:r>
      <w:r>
        <w:rPr>
          <w:rFonts w:hint="eastAsia" w:ascii="仿宋_GB2312" w:hAnsi="仿宋_GB2312" w:eastAsia="仿宋_GB2312" w:cs="仿宋_GB2312"/>
          <w:color w:val="auto"/>
          <w:sz w:val="32"/>
          <w:szCs w:val="32"/>
          <w:highlight w:val="none"/>
          <w:lang w:val="en-US" w:eastAsia="zh-CN"/>
        </w:rPr>
        <w:t>）×100%=100%，</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1CF466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世纪迈创债务成本</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≦11.28万元</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10.48万元</w:t>
      </w:r>
      <w:r>
        <w:rPr>
          <w:rFonts w:hint="eastAsia" w:ascii="仿宋_GB2312" w:hAnsi="仿宋_GB2312" w:eastAsia="仿宋_GB2312" w:cs="仿宋_GB2312"/>
          <w:color w:val="auto"/>
          <w:sz w:val="32"/>
          <w:szCs w:val="32"/>
          <w:highlight w:val="none"/>
          <w:lang w:val="en-US" w:eastAsia="zh-CN"/>
        </w:rPr>
        <w:t>。实际完成率=（</w:t>
      </w:r>
      <w:r>
        <w:rPr>
          <w:rFonts w:hint="eastAsia" w:ascii="仿宋_GB2312" w:hAnsi="仿宋_GB2312" w:eastAsia="仿宋_GB2312" w:cs="仿宋_GB2312"/>
          <w:color w:val="auto"/>
          <w:kern w:val="0"/>
          <w:sz w:val="32"/>
          <w:szCs w:val="32"/>
          <w:highlight w:val="none"/>
          <w:shd w:val="clear" w:color="auto" w:fill="auto"/>
          <w:lang w:val="en-US" w:eastAsia="zh-CN"/>
        </w:rPr>
        <w:t>10.48万元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11.28万元</w:t>
      </w:r>
      <w:r>
        <w:rPr>
          <w:rFonts w:hint="eastAsia" w:ascii="仿宋_GB2312" w:hAnsi="仿宋_GB2312" w:eastAsia="仿宋_GB2312" w:cs="仿宋_GB2312"/>
          <w:color w:val="auto"/>
          <w:sz w:val="32"/>
          <w:szCs w:val="32"/>
          <w:highlight w:val="none"/>
          <w:lang w:val="en-US" w:eastAsia="zh-CN"/>
        </w:rPr>
        <w:t>）×100%=92.91%，</w:t>
      </w:r>
      <w:r>
        <w:rPr>
          <w:rFonts w:hint="eastAsia" w:ascii="仿宋_GB2312" w:hAnsi="仿宋_GB2312" w:eastAsia="仿宋_GB2312" w:cs="仿宋_GB2312"/>
          <w:color w:val="auto"/>
          <w:sz w:val="32"/>
          <w:szCs w:val="32"/>
          <w:highlight w:val="none"/>
          <w:lang w:eastAsia="zh-CN"/>
        </w:rPr>
        <w:t>偏差原因：是有一台设备与合同不相符，经协商不予付款</w:t>
      </w:r>
      <w:r>
        <w:rPr>
          <w:rFonts w:hint="eastAsia" w:ascii="仿宋_GB2312" w:hAnsi="仿宋_GB2312" w:eastAsia="仿宋_GB2312" w:cs="仿宋_GB2312"/>
          <w:color w:val="auto"/>
          <w:sz w:val="32"/>
          <w:szCs w:val="32"/>
          <w:highlight w:val="none"/>
          <w:lang w:val="en-US" w:eastAsia="zh-CN"/>
        </w:rPr>
        <w:t>。</w:t>
      </w:r>
    </w:p>
    <w:p w14:paraId="14077C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综上，该项指标满分5分，得分4.11分。</w:t>
      </w:r>
    </w:p>
    <w:p w14:paraId="11A5B6C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color w:val="auto"/>
          <w:kern w:val="28"/>
          <w:sz w:val="32"/>
          <w:szCs w:val="32"/>
          <w:highlight w:val="none"/>
          <w:lang w:val="en-US" w:eastAsia="zh-CN"/>
        </w:rPr>
      </w:pPr>
      <w:bookmarkStart w:id="139" w:name="_Toc19424"/>
      <w:r>
        <w:rPr>
          <w:rFonts w:hint="eastAsia" w:ascii="楷体_GB2312" w:hAnsi="楷体_GB2312" w:eastAsia="楷体_GB2312" w:cs="楷体_GB2312"/>
          <w:color w:val="auto"/>
          <w:kern w:val="28"/>
          <w:sz w:val="32"/>
          <w:szCs w:val="32"/>
          <w:highlight w:val="none"/>
          <w:lang w:val="en-US" w:eastAsia="zh-CN"/>
        </w:rPr>
        <w:t>（四）项目效益情况</w:t>
      </w:r>
      <w:bookmarkEnd w:id="139"/>
    </w:p>
    <w:p w14:paraId="01F16DCF">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eastAsia" w:ascii="仿宋_GB2312" w:hAnsi="仿宋_GB2312" w:eastAsia="仿宋_GB2312" w:cs="仿宋_GB2312"/>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4779421">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en-US" w:eastAsia="zh-CN"/>
        </w:rPr>
        <w:t xml:space="preserve"> </w:t>
      </w: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4-4项目效益</w:t>
      </w:r>
      <w:r>
        <w:rPr>
          <w:rFonts w:hint="eastAsia" w:ascii="仿宋_GB2312" w:hAnsi="仿宋_GB2312" w:eastAsia="仿宋_GB2312" w:cs="仿宋_GB2312"/>
          <w:b/>
          <w:bCs/>
          <w:color w:val="auto"/>
          <w:kern w:val="0"/>
          <w:sz w:val="32"/>
          <w:szCs w:val="32"/>
          <w:highlight w:val="none"/>
          <w:shd w:val="clear" w:color="auto" w:fill="auto"/>
          <w:lang w:val="zh-TW" w:eastAsia="zh-TW"/>
        </w:rPr>
        <w:t>指标及分值</w:t>
      </w:r>
      <w:r>
        <w:rPr>
          <w:rFonts w:hint="eastAsia" w:ascii="仿宋_GB2312" w:hAnsi="仿宋_GB2312" w:eastAsia="仿宋_GB2312" w:cs="仿宋_GB2312"/>
          <w:b/>
          <w:bCs/>
          <w:color w:val="auto"/>
          <w:kern w:val="0"/>
          <w:sz w:val="32"/>
          <w:szCs w:val="32"/>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50048F00">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184FB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 xml:space="preserve"> 一级</w:t>
            </w:r>
          </w:p>
          <w:p w14:paraId="04986A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3F941B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二级指标</w:t>
            </w:r>
          </w:p>
        </w:tc>
        <w:tc>
          <w:tcPr>
            <w:tcW w:w="27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70A1D4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2C0C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年度指</w:t>
            </w:r>
          </w:p>
          <w:p w14:paraId="75127A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803F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标杆</w:t>
            </w:r>
          </w:p>
          <w:p w14:paraId="1BFBE61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FF6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全年实</w:t>
            </w:r>
          </w:p>
          <w:p w14:paraId="001CB9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813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w:t>
            </w:r>
          </w:p>
          <w:p w14:paraId="0AB22BF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得分</w:t>
            </w:r>
          </w:p>
        </w:tc>
      </w:tr>
      <w:tr w14:paraId="50758295">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587B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效益</w:t>
            </w:r>
          </w:p>
        </w:tc>
        <w:tc>
          <w:tcPr>
            <w:tcW w:w="172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B65A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社会效益指标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4680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化解单位债务，提升单位和政府形象</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F295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D50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9AF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217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7</w:t>
            </w:r>
          </w:p>
        </w:tc>
      </w:tr>
      <w:tr w14:paraId="33B62D6C">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A1460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725"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7931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74E1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完善政府债务化解机制</w:t>
            </w:r>
          </w:p>
        </w:tc>
        <w:tc>
          <w:tcPr>
            <w:tcW w:w="87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E3B7B4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bidi="ar-SA"/>
              </w:rPr>
            </w:pPr>
            <w:r>
              <w:rPr>
                <w:rFonts w:hint="eastAsia" w:ascii="宋体" w:hAnsi="宋体" w:eastAsia="宋体" w:cs="宋体"/>
                <w:color w:val="auto"/>
                <w:kern w:val="0"/>
                <w:sz w:val="21"/>
                <w:szCs w:val="21"/>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37D6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7735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C55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7</w:t>
            </w:r>
          </w:p>
        </w:tc>
      </w:tr>
      <w:tr w14:paraId="6F8F74EA">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13A02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EF0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满意度指标</w:t>
            </w:r>
          </w:p>
        </w:tc>
        <w:tc>
          <w:tcPr>
            <w:tcW w:w="27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5D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服务企业满意度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7EF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B97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5A91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6BA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6</w:t>
            </w:r>
          </w:p>
        </w:tc>
      </w:tr>
      <w:tr w14:paraId="703A850E">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0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E81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43C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5E2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r>
    </w:tbl>
    <w:p w14:paraId="7275669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6EDD4F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化解单位债务，提升单位和政府形象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48D005E1">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通过项目的实施，百分百化解单位债务、有效提升单位和政府形象。</w:t>
      </w:r>
    </w:p>
    <w:p w14:paraId="37543BC6">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shd w:val="clear" w:color="auto" w:fill="auto"/>
          <w:lang w:val="en-US" w:eastAsia="zh-CN"/>
        </w:rPr>
        <w:t>完善政府债务化解机制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偏差原因：无</w:t>
      </w:r>
      <w:r>
        <w:rPr>
          <w:rFonts w:hint="eastAsia" w:ascii="仿宋_GB2312" w:hAnsi="仿宋_GB2312" w:eastAsia="仿宋_GB2312" w:cs="仿宋_GB2312"/>
          <w:color w:val="auto"/>
          <w:sz w:val="32"/>
          <w:szCs w:val="32"/>
          <w:highlight w:val="none"/>
          <w:lang w:val="en-US" w:eastAsia="zh-CN"/>
        </w:rPr>
        <w:t>。</w:t>
      </w:r>
    </w:p>
    <w:p w14:paraId="27B580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通过项目的实施，百分百完善政府债务化解机制。</w:t>
      </w:r>
    </w:p>
    <w:p w14:paraId="7BCAEF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综上，该项指标满分14分，得分14分。</w:t>
      </w:r>
    </w:p>
    <w:p w14:paraId="02696E9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b/>
          <w:bCs/>
          <w:color w:val="auto"/>
          <w:kern w:val="28"/>
          <w:sz w:val="32"/>
          <w:szCs w:val="32"/>
          <w:highlight w:val="none"/>
          <w:lang w:val="en-US" w:eastAsia="zh-CN"/>
        </w:rPr>
      </w:pPr>
      <w:bookmarkStart w:id="144" w:name="_Toc23313"/>
      <w:r>
        <w:rPr>
          <w:rFonts w:hint="eastAsia" w:ascii="楷体_GB2312" w:hAnsi="楷体_GB2312" w:eastAsia="楷体_GB2312" w:cs="楷体_GB2312"/>
          <w:b/>
          <w:bCs/>
          <w:color w:val="auto"/>
          <w:kern w:val="28"/>
          <w:sz w:val="32"/>
          <w:szCs w:val="32"/>
          <w:highlight w:val="none"/>
          <w:lang w:val="en-US" w:eastAsia="zh-CN"/>
        </w:rPr>
        <w:t>（五）满意度指标完成情况分析</w:t>
      </w:r>
      <w:bookmarkEnd w:id="144"/>
    </w:p>
    <w:p w14:paraId="15C2B3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服务企业满意度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，实际完成为</w:t>
      </w:r>
      <w:r>
        <w:rPr>
          <w:rFonts w:hint="eastAsia" w:ascii="仿宋_GB2312" w:hAnsi="仿宋_GB2312" w:eastAsia="仿宋_GB2312" w:cs="仿宋_GB2312"/>
          <w:color w:val="auto"/>
          <w:kern w:val="0"/>
          <w:sz w:val="32"/>
          <w:szCs w:val="32"/>
          <w:highlight w:val="none"/>
          <w:shd w:val="clear" w:color="auto" w:fill="auto"/>
          <w:lang w:val="en-US" w:eastAsia="zh-CN"/>
        </w:rPr>
        <w:t>100%</w:t>
      </w:r>
      <w:r>
        <w:rPr>
          <w:rFonts w:hint="eastAsia" w:ascii="仿宋_GB2312" w:hAnsi="仿宋_GB2312" w:eastAsia="仿宋_GB2312" w:cs="仿宋_GB2312"/>
          <w:color w:val="auto"/>
          <w:sz w:val="32"/>
          <w:szCs w:val="32"/>
          <w:highlight w:val="none"/>
          <w:lang w:val="en-US" w:eastAsia="zh-CN"/>
        </w:rPr>
        <w:t>。</w:t>
      </w:r>
    </w:p>
    <w:p w14:paraId="521247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3E28C4F1">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bookmarkStart w:id="145" w:name="_Toc6622"/>
      <w:r>
        <w:rPr>
          <w:rFonts w:hint="eastAsia" w:ascii="黑体" w:hAnsi="黑体" w:eastAsia="黑体" w:cs="黑体"/>
          <w:b w:val="0"/>
          <w:bCs w:val="0"/>
          <w:color w:val="auto"/>
          <w:sz w:val="32"/>
          <w:szCs w:val="32"/>
          <w:highlight w:val="none"/>
          <w:shd w:val="clear" w:color="auto" w:fill="auto"/>
          <w:lang w:val="en-US" w:eastAsia="zh-CN"/>
        </w:rPr>
        <w:t>五、主要经验及做法、存在的问题及原因分析</w:t>
      </w:r>
      <w:bookmarkEnd w:id="145"/>
    </w:p>
    <w:p w14:paraId="4A4C6AA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b/>
          <w:bCs/>
          <w:color w:val="auto"/>
          <w:kern w:val="28"/>
          <w:sz w:val="32"/>
          <w:szCs w:val="32"/>
          <w:highlight w:val="none"/>
          <w:lang w:val="en-US" w:eastAsia="zh-CN"/>
        </w:rPr>
      </w:pPr>
      <w:bookmarkStart w:id="146" w:name="_Toc15449"/>
      <w:bookmarkStart w:id="147" w:name="_Toc1921"/>
      <w:bookmarkStart w:id="148" w:name="_Toc28290"/>
      <w:r>
        <w:rPr>
          <w:rFonts w:hint="eastAsia" w:ascii="楷体_GB2312" w:hAnsi="楷体_GB2312" w:eastAsia="楷体_GB2312" w:cs="楷体_GB2312"/>
          <w:b/>
          <w:bCs/>
          <w:color w:val="auto"/>
          <w:kern w:val="28"/>
          <w:sz w:val="32"/>
          <w:szCs w:val="32"/>
          <w:highlight w:val="none"/>
          <w:lang w:val="en-US" w:eastAsia="zh-CN"/>
        </w:rPr>
        <w:t>（一）主要经验及做法</w:t>
      </w:r>
      <w:bookmarkEnd w:id="146"/>
    </w:p>
    <w:p w14:paraId="290823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6月债务化解项目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50.32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49.52</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98.4</w:t>
      </w:r>
      <w:r>
        <w:rPr>
          <w:rFonts w:hint="eastAsia" w:ascii="仿宋_GB2312" w:hAnsi="仿宋_GB2312" w:eastAsia="仿宋_GB2312" w:cs="仿宋_GB2312"/>
          <w:color w:val="auto"/>
          <w:sz w:val="32"/>
          <w:szCs w:val="32"/>
          <w:highlight w:val="none"/>
          <w:lang w:eastAsia="zh-CN"/>
        </w:rPr>
        <w:t>%。</w:t>
      </w:r>
    </w:p>
    <w:p w14:paraId="1481064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阜康市疾病预防控制中心（阜康市卫生监督所）</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阜康市疾病预防控制中心（阜康市卫生监督所）</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192D83E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楷体_GB2312" w:hAnsi="楷体_GB2312" w:eastAsia="楷体_GB2312" w:cs="楷体_GB2312"/>
          <w:b/>
          <w:bCs/>
          <w:color w:val="auto"/>
          <w:kern w:val="28"/>
          <w:sz w:val="32"/>
          <w:szCs w:val="32"/>
          <w:highlight w:val="none"/>
          <w:lang w:val="en-US" w:eastAsia="zh-CN"/>
        </w:rPr>
      </w:pPr>
      <w:bookmarkStart w:id="149" w:name="_Toc29168"/>
      <w:r>
        <w:rPr>
          <w:rFonts w:hint="eastAsia" w:ascii="楷体_GB2312" w:hAnsi="楷体_GB2312" w:eastAsia="楷体_GB2312" w:cs="楷体_GB2312"/>
          <w:b/>
          <w:bCs/>
          <w:color w:val="auto"/>
          <w:kern w:val="28"/>
          <w:sz w:val="32"/>
          <w:szCs w:val="32"/>
          <w:highlight w:val="none"/>
          <w:lang w:val="en-US" w:eastAsia="zh-CN"/>
        </w:rPr>
        <w:t>（二）存在的问题及原因分析</w:t>
      </w:r>
      <w:bookmarkEnd w:id="149"/>
    </w:p>
    <w:p w14:paraId="1D0763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0" w:name="_Toc3333"/>
      <w:r>
        <w:rPr>
          <w:rFonts w:hint="eastAsia" w:ascii="仿宋_GB2312" w:hAnsi="仿宋_GB2312" w:eastAsia="仿宋_GB2312" w:cs="仿宋_GB2312"/>
          <w:color w:val="auto"/>
          <w:sz w:val="32"/>
          <w:szCs w:val="32"/>
          <w:highlight w:val="none"/>
          <w:lang w:eastAsia="zh-CN"/>
        </w:rPr>
        <w:t>　</w:t>
      </w:r>
      <w:r>
        <w:rPr>
          <w:rFonts w:hint="eastAsia" w:ascii="仿宋_GB2312" w:hAnsi="仿宋_GB2312" w:eastAsia="仿宋_GB2312" w:cs="仿宋_GB2312"/>
          <w:color w:val="auto"/>
          <w:sz w:val="32"/>
          <w:szCs w:val="32"/>
          <w:highlight w:val="none"/>
          <w:lang w:val="en-US" w:eastAsia="zh-CN"/>
        </w:rPr>
        <w:t>1.因单位内控制度不够细化，</w:t>
      </w:r>
      <w:r>
        <w:rPr>
          <w:rFonts w:hint="default" w:ascii="仿宋_GB2312" w:hAnsi="仿宋_GB2312" w:eastAsia="仿宋_GB2312" w:cs="仿宋_GB2312"/>
          <w:color w:val="auto"/>
          <w:sz w:val="32"/>
          <w:szCs w:val="32"/>
          <w:highlight w:val="none"/>
          <w:lang w:val="en-US" w:eastAsia="zh-CN"/>
        </w:rPr>
        <w:t>缺乏科学的资金预算和规划，对化债资金的需求和使用时间节点把握不准确</w:t>
      </w:r>
      <w:r>
        <w:rPr>
          <w:rFonts w:hint="eastAsia" w:ascii="仿宋_GB2312" w:hAnsi="仿宋_GB2312" w:eastAsia="仿宋_GB2312" w:cs="仿宋_GB2312"/>
          <w:color w:val="auto"/>
          <w:sz w:val="32"/>
          <w:szCs w:val="32"/>
          <w:highlight w:val="none"/>
          <w:lang w:val="en-US" w:eastAsia="zh-CN"/>
        </w:rPr>
        <w:t>，导致</w:t>
      </w:r>
      <w:r>
        <w:rPr>
          <w:rFonts w:hint="default" w:ascii="仿宋_GB2312" w:hAnsi="仿宋_GB2312" w:eastAsia="仿宋_GB2312" w:cs="仿宋_GB2312"/>
          <w:color w:val="auto"/>
          <w:sz w:val="32"/>
          <w:szCs w:val="32"/>
          <w:highlight w:val="none"/>
          <w:lang w:val="en-US" w:eastAsia="zh-CN"/>
        </w:rPr>
        <w:t>资金使用效率低下</w:t>
      </w:r>
      <w:r>
        <w:rPr>
          <w:rFonts w:hint="eastAsia" w:ascii="仿宋_GB2312" w:hAnsi="仿宋_GB2312" w:eastAsia="仿宋_GB2312" w:cs="仿宋_GB2312"/>
          <w:color w:val="auto"/>
          <w:sz w:val="32"/>
          <w:szCs w:val="32"/>
          <w:highlight w:val="none"/>
          <w:lang w:val="en-US" w:eastAsia="zh-CN"/>
        </w:rPr>
        <w:t>。</w:t>
      </w:r>
    </w:p>
    <w:p w14:paraId="76301D8D">
      <w:pPr>
        <w:pageBreakBefore w:val="0"/>
        <w:kinsoku/>
        <w:wordWrap/>
        <w:overflowPunct/>
        <w:topLinePunct w:val="0"/>
        <w:autoSpaceDE/>
        <w:autoSpaceDN/>
        <w:bidi w:val="0"/>
        <w:spacing w:line="560" w:lineRule="exact"/>
        <w:ind w:firstLine="960" w:firstLineChars="3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w:t>
      </w:r>
      <w:r>
        <w:rPr>
          <w:rFonts w:hint="default" w:ascii="仿宋_GB2312" w:hAnsi="仿宋_GB2312" w:eastAsia="仿宋_GB2312" w:cs="仿宋_GB2312"/>
          <w:color w:val="auto"/>
          <w:sz w:val="32"/>
          <w:szCs w:val="32"/>
          <w:highlight w:val="none"/>
          <w:lang w:val="en-US" w:eastAsia="zh-CN"/>
        </w:rPr>
        <w:t>化债工作队伍专业素质不高，缺乏具备债务管理、金融、法律等专业知识的人才，难以应对复杂的化债工作</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导致化债工作进展缓慢</w:t>
      </w:r>
      <w:r>
        <w:rPr>
          <w:rFonts w:hint="eastAsia" w:ascii="仿宋_GB2312" w:hAnsi="仿宋_GB2312" w:eastAsia="仿宋_GB2312" w:cs="仿宋_GB2312"/>
          <w:color w:val="auto"/>
          <w:sz w:val="32"/>
          <w:szCs w:val="32"/>
          <w:highlight w:val="none"/>
          <w:lang w:val="en-US" w:eastAsia="zh-CN"/>
        </w:rPr>
        <w:t xml:space="preserve">。 </w:t>
      </w:r>
    </w:p>
    <w:p w14:paraId="0AF5FC2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b w:val="0"/>
          <w:bCs w:val="0"/>
          <w:color w:val="auto"/>
          <w:sz w:val="32"/>
          <w:szCs w:val="32"/>
          <w:highlight w:val="none"/>
          <w:shd w:val="clear" w:color="auto" w:fill="auto"/>
          <w:lang w:val="en-US" w:eastAsia="zh-CN"/>
        </w:rPr>
        <w:t>六、有关建议</w:t>
      </w:r>
      <w:bookmarkEnd w:id="150"/>
    </w:p>
    <w:p w14:paraId="12395E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51" w:name="_Toc14256"/>
      <w:r>
        <w:rPr>
          <w:rFonts w:hint="eastAsia" w:ascii="仿宋_GB2312" w:hAnsi="仿宋_GB2312" w:eastAsia="仿宋_GB2312" w:cs="仿宋_GB2312"/>
          <w:color w:val="auto"/>
          <w:sz w:val="32"/>
          <w:szCs w:val="32"/>
          <w:highlight w:val="none"/>
          <w:lang w:val="en-US" w:eastAsia="zh-CN"/>
        </w:rPr>
        <w:t>（一）健全单位内控制度细化内控职责 ，争取在今后工作中准确把握项目资金支出，达到资金的最大效益。</w:t>
      </w:r>
    </w:p>
    <w:p w14:paraId="63D2B637">
      <w:pPr>
        <w:pStyle w:val="2"/>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）要进一步加大业务人员培训力度，</w:t>
      </w:r>
      <w:r>
        <w:rPr>
          <w:rFonts w:hint="eastAsia" w:ascii="仿宋_GB2312" w:hAnsi="仿宋_GB2312" w:eastAsia="仿宋_GB2312" w:cs="仿宋_GB2312"/>
          <w:color w:val="auto"/>
          <w:sz w:val="32"/>
          <w:szCs w:val="32"/>
          <w:highlight w:val="none"/>
        </w:rPr>
        <w:t>加强</w:t>
      </w:r>
      <w:r>
        <w:rPr>
          <w:rFonts w:hint="eastAsia" w:ascii="仿宋_GB2312" w:hAnsi="仿宋_GB2312" w:eastAsia="仿宋_GB2312" w:cs="仿宋_GB2312"/>
          <w:color w:val="auto"/>
          <w:sz w:val="32"/>
          <w:szCs w:val="32"/>
          <w:highlight w:val="none"/>
          <w:lang w:val="en-US" w:eastAsia="zh-CN"/>
        </w:rPr>
        <w:t>业务人员各类</w:t>
      </w:r>
      <w:r>
        <w:rPr>
          <w:rFonts w:hint="eastAsia" w:ascii="仿宋_GB2312" w:hAnsi="仿宋_GB2312" w:eastAsia="仿宋_GB2312" w:cs="仿宋_GB2312"/>
          <w:color w:val="auto"/>
          <w:sz w:val="32"/>
          <w:szCs w:val="32"/>
          <w:highlight w:val="none"/>
        </w:rPr>
        <w:t>培训学习，</w:t>
      </w:r>
      <w:r>
        <w:rPr>
          <w:rFonts w:hint="eastAsia" w:ascii="仿宋_GB2312" w:hAnsi="仿宋_GB2312" w:eastAsia="仿宋_GB2312" w:cs="仿宋_GB2312"/>
          <w:color w:val="auto"/>
          <w:sz w:val="32"/>
          <w:szCs w:val="32"/>
          <w:highlight w:val="none"/>
          <w:lang w:val="en-US" w:eastAsia="zh-CN"/>
        </w:rPr>
        <w:t>加强化债工作队伍建设，通过内部培训、外部引进等方式，提高工作人员的专业素质和业务能力，打造一支高素质的化债工作队伍</w:t>
      </w:r>
      <w:r>
        <w:rPr>
          <w:rFonts w:hint="eastAsia" w:ascii="仿宋_GB2312" w:hAnsi="仿宋_GB2312" w:eastAsia="仿宋_GB2312" w:cs="仿宋_GB2312"/>
          <w:color w:val="auto"/>
          <w:sz w:val="32"/>
          <w:szCs w:val="32"/>
          <w:highlight w:val="none"/>
          <w:lang w:eastAsia="zh-CN"/>
        </w:rPr>
        <w:t>。</w:t>
      </w:r>
    </w:p>
    <w:p w14:paraId="63DAB51E">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sz w:val="32"/>
          <w:szCs w:val="32"/>
          <w:highlight w:val="none"/>
          <w:shd w:val="clear" w:color="auto" w:fill="auto"/>
          <w:lang w:val="en-US" w:eastAsia="zh-CN"/>
        </w:rPr>
      </w:pPr>
      <w:r>
        <w:rPr>
          <w:rFonts w:hint="eastAsia" w:ascii="黑体" w:hAnsi="黑体" w:eastAsia="黑体" w:cs="黑体"/>
          <w:b w:val="0"/>
          <w:bCs w:val="0"/>
          <w:color w:val="auto"/>
          <w:sz w:val="32"/>
          <w:szCs w:val="32"/>
          <w:highlight w:val="none"/>
          <w:shd w:val="clear" w:color="auto" w:fill="auto"/>
          <w:lang w:val="en-US" w:eastAsia="zh-CN"/>
        </w:rPr>
        <w:t>七、其他需要说明的问题</w:t>
      </w:r>
      <w:bookmarkEnd w:id="151"/>
    </w:p>
    <w:p w14:paraId="74FE2D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1E299322">
      <w:pPr>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0E2B81F2">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2" w:name="_Toc28971"/>
      <w:bookmarkStart w:id="153" w:name="_Toc11349"/>
      <w:r>
        <w:rPr>
          <w:rFonts w:hint="eastAsia" w:ascii="宋体" w:hAnsi="宋体" w:eastAsia="宋体" w:cs="宋体"/>
          <w:b/>
          <w:bCs/>
          <w:color w:val="auto"/>
          <w:highlight w:val="none"/>
          <w:shd w:val="clear" w:color="auto" w:fill="auto"/>
          <w:lang w:val="en-US" w:eastAsia="zh-CN"/>
        </w:rPr>
        <w:t>附件一、项目支出绩效自评表</w:t>
      </w:r>
      <w:bookmarkEnd w:id="152"/>
      <w:bookmarkEnd w:id="153"/>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298"/>
        <w:gridCol w:w="1217"/>
        <w:gridCol w:w="1217"/>
        <w:gridCol w:w="1135"/>
        <w:gridCol w:w="890"/>
        <w:gridCol w:w="890"/>
        <w:gridCol w:w="890"/>
        <w:gridCol w:w="890"/>
        <w:gridCol w:w="1053"/>
      </w:tblGrid>
      <w:tr w14:paraId="3872E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B9FA67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D857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366EB8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54726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45BE2F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3"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0C6493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6月债务化解</w:t>
            </w:r>
          </w:p>
        </w:tc>
      </w:tr>
      <w:tr w14:paraId="72AE1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B41F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5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FAEB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阜康市卫生健康委员会</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38B6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A78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阜康市疾病预防控制中心</w:t>
            </w:r>
          </w:p>
        </w:tc>
      </w:tr>
      <w:tr w14:paraId="69CED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79EA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946CC">
            <w:pPr>
              <w:jc w:val="cente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467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D8A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AF2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6A0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1F1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0D6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5D010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30680">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856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4DF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7F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82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16F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8F2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98.41%</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56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9.84</w:t>
            </w:r>
          </w:p>
        </w:tc>
      </w:tr>
      <w:tr w14:paraId="3153B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FC896">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B552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D93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7B5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22ED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49.52</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C5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C0A5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13D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DF4E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991E3">
            <w:pPr>
              <w:jc w:val="center"/>
              <w:rPr>
                <w:rFonts w:hint="eastAsia" w:ascii="宋体" w:hAnsi="宋体" w:eastAsia="宋体" w:cs="宋体"/>
                <w:b/>
                <w:bCs/>
                <w:i w:val="0"/>
                <w:iCs w:val="0"/>
                <w:color w:val="000000"/>
                <w:sz w:val="18"/>
                <w:szCs w:val="18"/>
                <w:u w:val="none"/>
              </w:rPr>
            </w:pPr>
          </w:p>
        </w:tc>
        <w:tc>
          <w:tcPr>
            <w:tcW w:w="7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7215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86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013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126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5BA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7773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1C9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6AFB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BC9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5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D0EA4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772C7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70E3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07F28">
            <w:pPr>
              <w:jc w:val="center"/>
              <w:rPr>
                <w:rFonts w:hint="eastAsia" w:ascii="宋体" w:hAnsi="宋体" w:eastAsia="宋体" w:cs="宋体"/>
                <w:b/>
                <w:bCs/>
                <w:i w:val="0"/>
                <w:iCs w:val="0"/>
                <w:color w:val="000000"/>
                <w:sz w:val="18"/>
                <w:szCs w:val="18"/>
                <w:u w:val="none"/>
              </w:rPr>
            </w:pPr>
          </w:p>
        </w:tc>
        <w:tc>
          <w:tcPr>
            <w:tcW w:w="195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96F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对此项目阜康市疾病的预防控制2106年农发行项目欠款，为了促进我市经济发展和保持社会稳定，2024年项目计划完成1个化解债务项目，化债项目涉及企业3个，资金使用合规率及资金支付及时率预计达到100%，计划在2024年7月完成债务化解，通过项目的实施，预期达到化解单位债务，提升单位和政府形象，完善政府债务化解机制的效益。</w:t>
            </w:r>
          </w:p>
        </w:tc>
        <w:tc>
          <w:tcPr>
            <w:tcW w:w="283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E5FC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化解债务项目数量1个，化解项目涉及企业数量偿还2106年农发行项目3个，设备质量合格率达到100%，资金支付及时率达到100%，昌吉柯文债务成本13.20万元，中环时代债务成本25.84万元，世纪迈创债务成本11.28万元，此项目的实施百分百化解单位债务、有效提升单位和政府形象、完善政府债务化解机制。</w:t>
            </w:r>
          </w:p>
        </w:tc>
      </w:tr>
      <w:tr w14:paraId="3FB11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12DCA">
            <w:pPr>
              <w:jc w:val="center"/>
              <w:rPr>
                <w:rFonts w:hint="eastAsia" w:ascii="宋体" w:hAnsi="宋体" w:eastAsia="宋体" w:cs="宋体"/>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593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555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48E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2C7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DF83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F0B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513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86C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9491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54DA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FFB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DCB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E94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2B622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F23E3">
            <w:pPr>
              <w:jc w:val="center"/>
              <w:rPr>
                <w:rFonts w:hint="eastAsia" w:ascii="宋体" w:hAnsi="宋体" w:eastAsia="宋体" w:cs="宋体"/>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D787F">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8F856">
            <w:pPr>
              <w:jc w:val="center"/>
              <w:rPr>
                <w:rFonts w:hint="eastAsia" w:ascii="宋体" w:hAnsi="宋体" w:eastAsia="宋体" w:cs="宋体"/>
                <w:b/>
                <w:bCs/>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ACE77">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B69EC">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428B6">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87170">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9E56A">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F7DC6">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08A21">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73A16">
            <w:pPr>
              <w:jc w:val="center"/>
              <w:rPr>
                <w:rFonts w:hint="eastAsia" w:ascii="宋体" w:hAnsi="宋体" w:eastAsia="宋体" w:cs="宋体"/>
                <w:b/>
                <w:bCs/>
                <w:i w:val="0"/>
                <w:iCs w:val="0"/>
                <w:color w:val="000000"/>
                <w:sz w:val="18"/>
                <w:szCs w:val="18"/>
                <w:u w:val="none"/>
              </w:rPr>
            </w:pPr>
          </w:p>
        </w:tc>
        <w:tc>
          <w:tcPr>
            <w:tcW w:w="3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9E3E0">
            <w:pPr>
              <w:jc w:val="center"/>
              <w:rPr>
                <w:rFonts w:hint="eastAsia" w:ascii="宋体" w:hAnsi="宋体" w:eastAsia="宋体" w:cs="宋体"/>
                <w:b/>
                <w:bCs/>
                <w:i w:val="0"/>
                <w:iCs w:val="0"/>
                <w:color w:val="000000"/>
                <w:sz w:val="18"/>
                <w:szCs w:val="18"/>
                <w:u w:val="none"/>
              </w:rPr>
            </w:pPr>
          </w:p>
        </w:tc>
        <w:tc>
          <w:tcPr>
            <w:tcW w:w="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8EDE0">
            <w:pPr>
              <w:jc w:val="center"/>
              <w:rPr>
                <w:rFonts w:hint="eastAsia" w:ascii="宋体" w:hAnsi="宋体" w:eastAsia="宋体" w:cs="宋体"/>
                <w:b/>
                <w:bCs/>
                <w:i w:val="0"/>
                <w:iCs w:val="0"/>
                <w:color w:val="000000"/>
                <w:sz w:val="18"/>
                <w:szCs w:val="18"/>
                <w:u w:val="none"/>
              </w:rPr>
            </w:pPr>
          </w:p>
        </w:tc>
        <w:tc>
          <w:tcPr>
            <w:tcW w:w="8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482DE">
            <w:pPr>
              <w:jc w:val="center"/>
              <w:rPr>
                <w:rFonts w:hint="eastAsia" w:ascii="宋体" w:hAnsi="宋体" w:eastAsia="宋体" w:cs="宋体"/>
                <w:b/>
                <w:bCs/>
                <w:i w:val="0"/>
                <w:iCs w:val="0"/>
                <w:color w:val="000000"/>
                <w:sz w:val="18"/>
                <w:szCs w:val="18"/>
                <w:u w:val="none"/>
              </w:rPr>
            </w:pPr>
          </w:p>
        </w:tc>
      </w:tr>
      <w:tr w14:paraId="69BF9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416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01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73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7EB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16D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30F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4F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=1个</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BA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B78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8D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13AE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A99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A6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A5B99">
            <w:pPr>
              <w:jc w:val="center"/>
              <w:rPr>
                <w:rFonts w:hint="eastAsia" w:ascii="宋体" w:hAnsi="宋体" w:eastAsia="宋体" w:cs="宋体"/>
                <w:i w:val="0"/>
                <w:iCs w:val="0"/>
                <w:color w:val="000000"/>
                <w:sz w:val="18"/>
                <w:szCs w:val="18"/>
                <w:u w:val="none"/>
              </w:rPr>
            </w:pPr>
          </w:p>
        </w:tc>
      </w:tr>
      <w:tr w14:paraId="2666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D5002">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59E4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D6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9B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化解项目涉及企业数量</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CC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B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&lt;=3个</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03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9847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E95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BDF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15B1B">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98B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A8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9D7C">
            <w:pPr>
              <w:jc w:val="center"/>
              <w:rPr>
                <w:rFonts w:hint="eastAsia" w:ascii="宋体" w:hAnsi="宋体" w:eastAsia="宋体" w:cs="宋体"/>
                <w:i w:val="0"/>
                <w:iCs w:val="0"/>
                <w:color w:val="000000"/>
                <w:sz w:val="18"/>
                <w:szCs w:val="18"/>
                <w:u w:val="none"/>
              </w:rPr>
            </w:pPr>
          </w:p>
        </w:tc>
      </w:tr>
      <w:tr w14:paraId="2A888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16BF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A216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01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78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资金使用合格率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952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46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DB5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6407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C63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29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ADA7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52A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B5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FD2CA">
            <w:pPr>
              <w:jc w:val="center"/>
              <w:rPr>
                <w:rFonts w:hint="eastAsia" w:ascii="宋体" w:hAnsi="宋体" w:eastAsia="宋体" w:cs="宋体"/>
                <w:i w:val="0"/>
                <w:iCs w:val="0"/>
                <w:color w:val="000000"/>
                <w:sz w:val="18"/>
                <w:szCs w:val="18"/>
                <w:u w:val="none"/>
              </w:rPr>
            </w:pPr>
          </w:p>
        </w:tc>
      </w:tr>
      <w:tr w14:paraId="4C9E2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B2AB0">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2694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56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EE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项目完成时限</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0F7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B02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=2024年7月</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F23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=2024年7月</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201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D5D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42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4365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80A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A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7B30C">
            <w:pPr>
              <w:jc w:val="center"/>
              <w:rPr>
                <w:rFonts w:hint="eastAsia" w:ascii="宋体" w:hAnsi="宋体" w:eastAsia="宋体" w:cs="宋体"/>
                <w:i w:val="0"/>
                <w:iCs w:val="0"/>
                <w:color w:val="000000"/>
                <w:sz w:val="18"/>
                <w:szCs w:val="18"/>
                <w:u w:val="none"/>
              </w:rPr>
            </w:pPr>
          </w:p>
        </w:tc>
      </w:tr>
      <w:tr w14:paraId="76340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94C7A">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A8120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938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A1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626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EE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7A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8E9F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1C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F6A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E2C4C">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605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9BA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07BD3">
            <w:pPr>
              <w:jc w:val="center"/>
              <w:rPr>
                <w:rFonts w:hint="eastAsia" w:ascii="宋体" w:hAnsi="宋体" w:eastAsia="宋体" w:cs="宋体"/>
                <w:i w:val="0"/>
                <w:iCs w:val="0"/>
                <w:color w:val="000000"/>
                <w:sz w:val="18"/>
                <w:szCs w:val="18"/>
                <w:u w:val="none"/>
              </w:rPr>
            </w:pPr>
          </w:p>
        </w:tc>
      </w:tr>
      <w:tr w14:paraId="083B9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D7761">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520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C9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E2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昌吉柯文债务成本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3B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11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&lt;=13.20万元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95C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=13.20万元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F0C0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FD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27A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13169">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C0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42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2F1C1">
            <w:pPr>
              <w:jc w:val="center"/>
              <w:rPr>
                <w:rFonts w:hint="eastAsia" w:ascii="宋体" w:hAnsi="宋体" w:eastAsia="宋体" w:cs="宋体"/>
                <w:i w:val="0"/>
                <w:iCs w:val="0"/>
                <w:color w:val="000000"/>
                <w:sz w:val="18"/>
                <w:szCs w:val="18"/>
                <w:u w:val="none"/>
              </w:rPr>
            </w:pPr>
          </w:p>
        </w:tc>
      </w:tr>
      <w:tr w14:paraId="0A705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EF07C">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3EDB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E9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B5F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中环时代债务成本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6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4CB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&lt;=25.84万元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08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=25.84万元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93D7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8D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37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6C126">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0D7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15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D473">
            <w:pPr>
              <w:jc w:val="center"/>
              <w:rPr>
                <w:rFonts w:hint="eastAsia" w:ascii="宋体" w:hAnsi="宋体" w:eastAsia="宋体" w:cs="宋体"/>
                <w:i w:val="0"/>
                <w:iCs w:val="0"/>
                <w:color w:val="000000"/>
                <w:sz w:val="18"/>
                <w:szCs w:val="18"/>
                <w:u w:val="none"/>
              </w:rPr>
            </w:pPr>
          </w:p>
        </w:tc>
      </w:tr>
      <w:tr w14:paraId="57BC8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35114">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FBB3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923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44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世纪迈创债务成本</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395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A39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&lt;=11.28万元</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5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=10.48万元</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54F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92.91%</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9C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4.94</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E52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E1283">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380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4E5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D8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是因为企业提供的一台设备与合同签定的设备不相符，与企业对接后，此设备款不予支付。</w:t>
            </w:r>
          </w:p>
        </w:tc>
      </w:tr>
      <w:tr w14:paraId="05FDC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E51B9">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A24F0">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D4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F7DD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C225B">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C39E2">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0A9CD">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207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A29B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F1D2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32297">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E29EE">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FE4D3">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A049C">
            <w:pPr>
              <w:jc w:val="center"/>
              <w:rPr>
                <w:rFonts w:hint="eastAsia" w:ascii="宋体" w:hAnsi="宋体" w:eastAsia="宋体" w:cs="宋体"/>
                <w:i w:val="0"/>
                <w:iCs w:val="0"/>
                <w:color w:val="000000"/>
                <w:sz w:val="18"/>
                <w:szCs w:val="18"/>
                <w:u w:val="none"/>
              </w:rPr>
            </w:pPr>
          </w:p>
        </w:tc>
      </w:tr>
      <w:tr w14:paraId="39BA7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142D3">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49F0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CDB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906E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A2C86">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0D00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21481">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505F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F2CF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510C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43BD">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327B2">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1D498">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67429">
            <w:pPr>
              <w:jc w:val="center"/>
              <w:rPr>
                <w:rFonts w:hint="eastAsia" w:ascii="宋体" w:hAnsi="宋体" w:eastAsia="宋体" w:cs="宋体"/>
                <w:i w:val="0"/>
                <w:iCs w:val="0"/>
                <w:color w:val="000000"/>
                <w:sz w:val="18"/>
                <w:szCs w:val="18"/>
                <w:u w:val="none"/>
              </w:rPr>
            </w:pPr>
          </w:p>
        </w:tc>
      </w:tr>
      <w:tr w14:paraId="07604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4EF1E">
            <w:pPr>
              <w:jc w:val="center"/>
              <w:rPr>
                <w:rFonts w:hint="eastAsia" w:ascii="宋体" w:hAnsi="宋体" w:eastAsia="宋体" w:cs="宋体"/>
                <w:b/>
                <w:bCs/>
                <w:i w:val="0"/>
                <w:iCs w:val="0"/>
                <w:color w:val="000000"/>
                <w:sz w:val="18"/>
                <w:szCs w:val="18"/>
                <w:u w:val="none"/>
              </w:rPr>
            </w:pPr>
          </w:p>
        </w:tc>
        <w:tc>
          <w:tcPr>
            <w:tcW w:w="2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B2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2E4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7F2F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3F26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D906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D3173">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7576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257F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6E18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72C5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A4539">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728F7">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54CE4">
            <w:pPr>
              <w:jc w:val="center"/>
              <w:rPr>
                <w:rFonts w:hint="eastAsia" w:ascii="宋体" w:hAnsi="宋体" w:eastAsia="宋体" w:cs="宋体"/>
                <w:i w:val="0"/>
                <w:iCs w:val="0"/>
                <w:color w:val="000000"/>
                <w:sz w:val="18"/>
                <w:szCs w:val="18"/>
                <w:u w:val="none"/>
              </w:rPr>
            </w:pPr>
          </w:p>
        </w:tc>
      </w:tr>
      <w:tr w14:paraId="19A4B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B237E">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6EBD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C7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94A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化解单位债务，提升单位和政府形象</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990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197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B3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B2E2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A334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B2D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DD0E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34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9D0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10361">
            <w:pPr>
              <w:jc w:val="center"/>
              <w:rPr>
                <w:rFonts w:hint="eastAsia" w:ascii="宋体" w:hAnsi="宋体" w:eastAsia="宋体" w:cs="宋体"/>
                <w:i w:val="0"/>
                <w:iCs w:val="0"/>
                <w:color w:val="000000"/>
                <w:sz w:val="18"/>
                <w:szCs w:val="18"/>
                <w:u w:val="none"/>
              </w:rPr>
            </w:pPr>
          </w:p>
        </w:tc>
      </w:tr>
      <w:tr w14:paraId="14627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5321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F6A8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04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EC8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完善政府债务化解机制</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0D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30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125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F4AD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11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9E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98A42">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33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7A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1B37">
            <w:pPr>
              <w:jc w:val="center"/>
              <w:rPr>
                <w:rFonts w:hint="eastAsia" w:ascii="宋体" w:hAnsi="宋体" w:eastAsia="宋体" w:cs="宋体"/>
                <w:i w:val="0"/>
                <w:iCs w:val="0"/>
                <w:color w:val="000000"/>
                <w:sz w:val="18"/>
                <w:szCs w:val="18"/>
                <w:u w:val="none"/>
              </w:rPr>
            </w:pPr>
          </w:p>
        </w:tc>
      </w:tr>
      <w:tr w14:paraId="7FF7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E0C97">
            <w:pPr>
              <w:jc w:val="center"/>
              <w:rPr>
                <w:rFonts w:hint="eastAsia" w:ascii="宋体" w:hAnsi="宋体" w:eastAsia="宋体" w:cs="宋体"/>
                <w:b/>
                <w:bCs/>
                <w:i w:val="0"/>
                <w:iCs w:val="0"/>
                <w:color w:val="000000"/>
                <w:sz w:val="18"/>
                <w:szCs w:val="18"/>
                <w:u w:val="none"/>
              </w:rPr>
            </w:pPr>
          </w:p>
        </w:tc>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5F39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25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28E4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DC39">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A4A4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B8A18">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6B8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CD1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2ECC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B4D1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B65B5">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67B52">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DC476">
            <w:pPr>
              <w:jc w:val="center"/>
              <w:rPr>
                <w:rFonts w:hint="eastAsia" w:ascii="宋体" w:hAnsi="宋体" w:eastAsia="宋体" w:cs="宋体"/>
                <w:i w:val="0"/>
                <w:iCs w:val="0"/>
                <w:color w:val="000000"/>
                <w:sz w:val="18"/>
                <w:szCs w:val="18"/>
                <w:u w:val="none"/>
              </w:rPr>
            </w:pPr>
          </w:p>
        </w:tc>
      </w:tr>
      <w:tr w14:paraId="42C4A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4A4B0">
            <w:pPr>
              <w:jc w:val="center"/>
              <w:rPr>
                <w:rFonts w:hint="eastAsia" w:ascii="宋体" w:hAnsi="宋体" w:eastAsia="宋体" w:cs="宋体"/>
                <w:b/>
                <w:bCs/>
                <w:i w:val="0"/>
                <w:iCs w:val="0"/>
                <w:color w:val="000000"/>
                <w:sz w:val="18"/>
                <w:szCs w:val="18"/>
                <w:u w:val="none"/>
              </w:rPr>
            </w:pPr>
          </w:p>
        </w:tc>
        <w:tc>
          <w:tcPr>
            <w:tcW w:w="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23D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0BC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93DE0">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194D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6D843">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2BC05">
            <w:pPr>
              <w:jc w:val="center"/>
              <w:rPr>
                <w:rFonts w:hint="eastAsia" w:ascii="宋体" w:hAnsi="宋体" w:eastAsia="宋体" w:cs="宋体"/>
                <w:i w:val="0"/>
                <w:iCs w:val="0"/>
                <w:color w:val="000000"/>
                <w:sz w:val="18"/>
                <w:szCs w:val="18"/>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D00A4">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B1FEA">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3321">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60DF1">
            <w:pPr>
              <w:jc w:val="cente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E7B51">
            <w:pPr>
              <w:jc w:val="cente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006EE">
            <w:pPr>
              <w:jc w:val="cente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6ECF4">
            <w:pPr>
              <w:jc w:val="center"/>
              <w:rPr>
                <w:rFonts w:hint="eastAsia" w:ascii="宋体" w:hAnsi="宋体" w:eastAsia="宋体" w:cs="宋体"/>
                <w:i w:val="0"/>
                <w:iCs w:val="0"/>
                <w:color w:val="000000"/>
                <w:sz w:val="18"/>
                <w:szCs w:val="18"/>
                <w:u w:val="none"/>
              </w:rPr>
            </w:pPr>
          </w:p>
        </w:tc>
      </w:tr>
      <w:tr w14:paraId="6CC1E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89" w:type="pct"/>
            <w:gridSpan w:val="4"/>
            <w:tcBorders>
              <w:top w:val="single" w:color="000000" w:sz="4" w:space="0"/>
              <w:left w:val="single" w:color="000000" w:sz="4" w:space="0"/>
              <w:bottom w:val="single" w:color="000000" w:sz="4" w:space="0"/>
              <w:right w:val="nil"/>
            </w:tcBorders>
            <w:shd w:val="clear" w:color="auto" w:fill="auto"/>
            <w:vAlign w:val="center"/>
          </w:tcPr>
          <w:p w14:paraId="2498BC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FE2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4" w:type="pct"/>
            <w:tcBorders>
              <w:top w:val="single" w:color="000000" w:sz="4" w:space="0"/>
              <w:left w:val="nil"/>
              <w:bottom w:val="single" w:color="000000" w:sz="4" w:space="0"/>
              <w:right w:val="single" w:color="000000" w:sz="4" w:space="0"/>
            </w:tcBorders>
            <w:shd w:val="clear" w:color="auto" w:fill="auto"/>
            <w:vAlign w:val="center"/>
          </w:tcPr>
          <w:p w14:paraId="64F71143">
            <w:pPr>
              <w:rPr>
                <w:rFonts w:hint="eastAsia" w:ascii="宋体" w:hAnsi="宋体" w:eastAsia="宋体" w:cs="宋体"/>
                <w:b/>
                <w:bCs/>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B4147">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39B8C">
            <w:pPr>
              <w:jc w:val="center"/>
              <w:rPr>
                <w:rFonts w:hint="eastAsia" w:ascii="宋体" w:hAnsi="宋体" w:eastAsia="宋体" w:cs="宋体"/>
                <w:i w:val="0"/>
                <w:iCs w:val="0"/>
                <w:color w:val="000000"/>
                <w:sz w:val="18"/>
                <w:szCs w:val="18"/>
                <w:u w:val="none"/>
              </w:rPr>
            </w:pPr>
            <w:bookmarkStart w:id="156" w:name="_GoBack"/>
            <w:bookmarkEnd w:id="156"/>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13E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98.78分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0FCE0">
            <w:pP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BA624">
            <w:pPr>
              <w:rPr>
                <w:rFonts w:hint="eastAsia" w:ascii="宋体" w:hAnsi="宋体" w:eastAsia="宋体" w:cs="宋体"/>
                <w:i w:val="0"/>
                <w:iCs w:val="0"/>
                <w:color w:val="000000"/>
                <w:sz w:val="18"/>
                <w:szCs w:val="18"/>
                <w:u w:val="none"/>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6A1E6">
            <w:pPr>
              <w:rPr>
                <w:rFonts w:hint="eastAsia" w:ascii="宋体" w:hAnsi="宋体" w:eastAsia="宋体" w:cs="宋体"/>
                <w:i w:val="0"/>
                <w:iCs w:val="0"/>
                <w:color w:val="000000"/>
                <w:sz w:val="18"/>
                <w:szCs w:val="18"/>
                <w:u w:val="none"/>
              </w:rPr>
            </w:pP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8BF21">
            <w:pPr>
              <w:rPr>
                <w:rFonts w:hint="eastAsia" w:ascii="宋体" w:hAnsi="宋体" w:eastAsia="宋体" w:cs="宋体"/>
                <w:i w:val="0"/>
                <w:iCs w:val="0"/>
                <w:color w:val="000000"/>
                <w:sz w:val="18"/>
                <w:szCs w:val="18"/>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E5BC6">
            <w:pPr>
              <w:rPr>
                <w:rFonts w:hint="eastAsia" w:ascii="宋体" w:hAnsi="宋体" w:eastAsia="宋体" w:cs="宋体"/>
                <w:i w:val="0"/>
                <w:iCs w:val="0"/>
                <w:color w:val="000000"/>
                <w:sz w:val="18"/>
                <w:szCs w:val="18"/>
                <w:u w:val="none"/>
              </w:rPr>
            </w:pPr>
          </w:p>
        </w:tc>
      </w:tr>
    </w:tbl>
    <w:p w14:paraId="7BC527FD">
      <w:pPr>
        <w:ind w:left="0" w:leftChars="0" w:firstLine="0" w:firstLineChars="0"/>
        <w:rPr>
          <w:color w:val="auto"/>
          <w:highlight w:val="none"/>
        </w:rPr>
      </w:pPr>
      <w:r>
        <w:rPr>
          <w:color w:val="auto"/>
          <w:highlight w:val="none"/>
        </w:rPr>
        <w:br w:type="page"/>
      </w:r>
    </w:p>
    <w:p w14:paraId="110D23AC">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4" w:name="_Toc11223"/>
      <w:bookmarkStart w:id="155"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5149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2C58D1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0301EE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51AE857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58915F4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1F268AD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69B81C0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6E50C0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744CF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3EFCCD6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6A7A9F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551239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2FE023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1637839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157CEB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3839530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5422892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A17D38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39E955C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354A829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250A2E3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C9009C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0CA2AA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7A2FEF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BE9E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50F9FE4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FFBB0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B77DD0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192C5E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0F3C4C8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14BD810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97416A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5B1F37B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0BB44B1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015C9E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902EBC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6DAF09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2DD470F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C95DAE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252F65D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0B1AA5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147C86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0A07BA0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C64E83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12CE38B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6BEA7AF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8879B9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75B0035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037665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F4CAC3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C35B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7EC092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D3365C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0ABBBBD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629892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217DBD0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003B20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EFD21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6260CC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300AD4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52A6BC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6EF0E6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545713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2720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74D956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73B01B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84264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AE11B1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1E71BF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3192C4E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8094B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68E8D4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301370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5AB649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013B2E0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02F3248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EA886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4B01A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0595247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B7F84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390E16E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55402E8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C1200F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7BCD67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7F478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093390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2720BE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69808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032B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2C7208F5">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39503CC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0BB7E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630CD1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68AEF0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139A69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372CD2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0BC405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30ABAD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BC6EE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787B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4374F17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A7EF401">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CDAEB4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361566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20777F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7D8688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624353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C00F2B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3.94</w:t>
            </w:r>
          </w:p>
        </w:tc>
      </w:tr>
      <w:tr w14:paraId="0053AA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7D1BE91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3916EA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244F9E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70B2F1E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533030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265F725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B63F2A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098E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CEBE4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1C882C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4798E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5EBEFE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53F1C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1C90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1802B6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991EB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795DF95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2EE0857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24C125F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0556B72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146114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18B63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160C54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24D57B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9FD9A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8A84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11AA22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4A87C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A075F4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9F0FC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3BBDCE7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A3DF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6F585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79952E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5478B5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808857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1BE30F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7FB50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6B68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229961E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B20F0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5BF06C9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化解债务项目数量</w:t>
            </w:r>
          </w:p>
        </w:tc>
        <w:tc>
          <w:tcPr>
            <w:tcW w:w="2141" w:type="dxa"/>
            <w:shd w:val="clear" w:color="auto" w:fill="auto"/>
            <w:noWrap w:val="0"/>
            <w:vAlign w:val="center"/>
          </w:tcPr>
          <w:p w14:paraId="3C4958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46087A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B8EFD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D6676F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7B0239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92C492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A0A9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5A109E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B5E5B9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6D9D35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化解项目涉及企业数量</w:t>
            </w:r>
          </w:p>
        </w:tc>
        <w:tc>
          <w:tcPr>
            <w:tcW w:w="2141" w:type="dxa"/>
            <w:shd w:val="clear" w:color="auto" w:fill="auto"/>
            <w:noWrap w:val="0"/>
            <w:vAlign w:val="center"/>
          </w:tcPr>
          <w:p w14:paraId="4FCFD9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EC8C6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5D9F9C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F1EDE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CFE6D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684100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129B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B15DF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5A18BC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7EE04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设备质量合格率</w:t>
            </w:r>
          </w:p>
        </w:tc>
        <w:tc>
          <w:tcPr>
            <w:tcW w:w="2141" w:type="dxa"/>
            <w:shd w:val="clear" w:color="auto" w:fill="auto"/>
            <w:noWrap w:val="0"/>
            <w:vAlign w:val="center"/>
          </w:tcPr>
          <w:p w14:paraId="6E1D575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393A6D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23B8D29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1CD718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C2A9D0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F2DB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55C564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EE56D6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6D0964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项目完成时限</w:t>
            </w:r>
          </w:p>
        </w:tc>
        <w:tc>
          <w:tcPr>
            <w:tcW w:w="2141" w:type="dxa"/>
            <w:shd w:val="clear" w:color="auto" w:fill="auto"/>
            <w:noWrap w:val="0"/>
            <w:vAlign w:val="center"/>
          </w:tcPr>
          <w:p w14:paraId="3142A09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13C2377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2558AE5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36EEB9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09993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2247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D6A8E6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8608C7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1F5F3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资金支付及时率</w:t>
            </w:r>
          </w:p>
        </w:tc>
        <w:tc>
          <w:tcPr>
            <w:tcW w:w="2141" w:type="dxa"/>
            <w:shd w:val="clear" w:color="auto" w:fill="auto"/>
            <w:noWrap w:val="0"/>
            <w:vAlign w:val="center"/>
          </w:tcPr>
          <w:p w14:paraId="0F0AF6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04764A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48F92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91AED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33D8C4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2B52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64CA1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9DC43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3A37A0D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7F6AFA9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AAA5E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69C7F9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E36722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5690BC5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8DB325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15</w:t>
            </w:r>
          </w:p>
        </w:tc>
        <w:tc>
          <w:tcPr>
            <w:tcW w:w="769" w:type="dxa"/>
            <w:shd w:val="clear" w:color="auto" w:fill="auto"/>
            <w:noWrap w:val="0"/>
            <w:vAlign w:val="center"/>
          </w:tcPr>
          <w:p w14:paraId="717BC04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14.11</w:t>
            </w:r>
          </w:p>
        </w:tc>
      </w:tr>
      <w:tr w14:paraId="7FED9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9FAE8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13C0324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24EFFBB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1"/>
                <w:szCs w:val="21"/>
                <w:highlight w:val="none"/>
                <w:shd w:val="clear" w:color="auto" w:fill="auto"/>
                <w:lang w:val="en-US" w:eastAsia="zh-CN"/>
              </w:rPr>
              <w:t>社会效益指标</w:t>
            </w:r>
          </w:p>
        </w:tc>
        <w:tc>
          <w:tcPr>
            <w:tcW w:w="2141" w:type="dxa"/>
            <w:shd w:val="clear" w:color="auto" w:fill="auto"/>
            <w:noWrap w:val="0"/>
            <w:vAlign w:val="center"/>
          </w:tcPr>
          <w:p w14:paraId="59F1867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932E90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DCAB49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14</w:t>
            </w:r>
          </w:p>
        </w:tc>
        <w:tc>
          <w:tcPr>
            <w:tcW w:w="769" w:type="dxa"/>
            <w:shd w:val="clear" w:color="auto" w:fill="auto"/>
            <w:noWrap w:val="0"/>
            <w:vAlign w:val="center"/>
          </w:tcPr>
          <w:p w14:paraId="61360D8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14</w:t>
            </w:r>
          </w:p>
        </w:tc>
      </w:tr>
      <w:tr w14:paraId="6CA49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7" w:hRule="atLeast"/>
          <w:jc w:val="center"/>
        </w:trPr>
        <w:tc>
          <w:tcPr>
            <w:tcW w:w="861" w:type="dxa"/>
            <w:vMerge w:val="continue"/>
            <w:shd w:val="clear" w:color="auto" w:fill="auto"/>
            <w:noWrap w:val="0"/>
            <w:vAlign w:val="center"/>
          </w:tcPr>
          <w:p w14:paraId="01C46D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59A155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580F7AA">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服务企业的满意度</w:t>
            </w:r>
          </w:p>
        </w:tc>
        <w:tc>
          <w:tcPr>
            <w:tcW w:w="2141" w:type="dxa"/>
            <w:shd w:val="clear" w:color="auto" w:fill="auto"/>
            <w:noWrap w:val="0"/>
            <w:vAlign w:val="center"/>
          </w:tcPr>
          <w:p w14:paraId="5FCF2DC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EE5827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39D67BD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5799FE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415370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7C7BEE2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221FCF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10D925C3">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6A0FCB6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98.05</w:t>
            </w:r>
          </w:p>
        </w:tc>
      </w:tr>
    </w:tbl>
    <w:p w14:paraId="2CE61A19">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7A95BAB1">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23BB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05571C">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05571C">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6AEF0"/>
    <w:multiLevelType w:val="singleLevel"/>
    <w:tmpl w:val="B396AEF0"/>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6057A3"/>
    <w:rsid w:val="007D6A04"/>
    <w:rsid w:val="00BC757B"/>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636280B"/>
    <w:rsid w:val="072615F8"/>
    <w:rsid w:val="07890F4F"/>
    <w:rsid w:val="087C3319"/>
    <w:rsid w:val="08892439"/>
    <w:rsid w:val="08EB30F3"/>
    <w:rsid w:val="09237408"/>
    <w:rsid w:val="09781BD6"/>
    <w:rsid w:val="09F359DF"/>
    <w:rsid w:val="0A137B3D"/>
    <w:rsid w:val="0A575E65"/>
    <w:rsid w:val="0ACA0AB6"/>
    <w:rsid w:val="0C032502"/>
    <w:rsid w:val="0C27698C"/>
    <w:rsid w:val="0D4452F3"/>
    <w:rsid w:val="0E7837C1"/>
    <w:rsid w:val="0E792523"/>
    <w:rsid w:val="0E8E01FB"/>
    <w:rsid w:val="0F5E5042"/>
    <w:rsid w:val="0FE95707"/>
    <w:rsid w:val="10510571"/>
    <w:rsid w:val="10787A20"/>
    <w:rsid w:val="108672DE"/>
    <w:rsid w:val="10EC685A"/>
    <w:rsid w:val="11FA6155"/>
    <w:rsid w:val="12CF0947"/>
    <w:rsid w:val="12F1313F"/>
    <w:rsid w:val="136C678E"/>
    <w:rsid w:val="13AE7A83"/>
    <w:rsid w:val="13EB2FF5"/>
    <w:rsid w:val="146F6660"/>
    <w:rsid w:val="14ED4CAC"/>
    <w:rsid w:val="15A46B04"/>
    <w:rsid w:val="165825BC"/>
    <w:rsid w:val="16BC5D73"/>
    <w:rsid w:val="176F36D7"/>
    <w:rsid w:val="1795226D"/>
    <w:rsid w:val="17D01625"/>
    <w:rsid w:val="18456B1E"/>
    <w:rsid w:val="1C1171C5"/>
    <w:rsid w:val="1C367A66"/>
    <w:rsid w:val="1C3D4BEA"/>
    <w:rsid w:val="1D265138"/>
    <w:rsid w:val="1D7B6BCA"/>
    <w:rsid w:val="1DA41A79"/>
    <w:rsid w:val="1DF53469"/>
    <w:rsid w:val="1E2F24F2"/>
    <w:rsid w:val="1E58492F"/>
    <w:rsid w:val="1E5B6757"/>
    <w:rsid w:val="1ED10AC6"/>
    <w:rsid w:val="1F89225F"/>
    <w:rsid w:val="1F900A1F"/>
    <w:rsid w:val="1FC0575D"/>
    <w:rsid w:val="203C0E33"/>
    <w:rsid w:val="206132C7"/>
    <w:rsid w:val="21B00C1D"/>
    <w:rsid w:val="221856AF"/>
    <w:rsid w:val="23031BEB"/>
    <w:rsid w:val="23917691"/>
    <w:rsid w:val="244D65B8"/>
    <w:rsid w:val="245E1E24"/>
    <w:rsid w:val="259952D0"/>
    <w:rsid w:val="25AD5E5D"/>
    <w:rsid w:val="266A5754"/>
    <w:rsid w:val="27237915"/>
    <w:rsid w:val="2732478D"/>
    <w:rsid w:val="27661469"/>
    <w:rsid w:val="27900EAD"/>
    <w:rsid w:val="279B538A"/>
    <w:rsid w:val="286F545C"/>
    <w:rsid w:val="290D3E0F"/>
    <w:rsid w:val="29314FBC"/>
    <w:rsid w:val="2AA2081A"/>
    <w:rsid w:val="2C024B86"/>
    <w:rsid w:val="2C927671"/>
    <w:rsid w:val="2CC6306F"/>
    <w:rsid w:val="2D7C5CD6"/>
    <w:rsid w:val="2E483E7E"/>
    <w:rsid w:val="2E690493"/>
    <w:rsid w:val="2E9854BD"/>
    <w:rsid w:val="2F0D407F"/>
    <w:rsid w:val="2F2C3D95"/>
    <w:rsid w:val="2F454B19"/>
    <w:rsid w:val="2FB74A9C"/>
    <w:rsid w:val="310224D9"/>
    <w:rsid w:val="31B4621C"/>
    <w:rsid w:val="31E3230A"/>
    <w:rsid w:val="330957E0"/>
    <w:rsid w:val="33356F64"/>
    <w:rsid w:val="33944516"/>
    <w:rsid w:val="34B62907"/>
    <w:rsid w:val="36BD137C"/>
    <w:rsid w:val="38053EDF"/>
    <w:rsid w:val="380812A4"/>
    <w:rsid w:val="385D37E7"/>
    <w:rsid w:val="38782EDD"/>
    <w:rsid w:val="3B42664A"/>
    <w:rsid w:val="3CAD1E92"/>
    <w:rsid w:val="3D836A4E"/>
    <w:rsid w:val="3DA54918"/>
    <w:rsid w:val="3DB56882"/>
    <w:rsid w:val="3E70263C"/>
    <w:rsid w:val="3EA37E97"/>
    <w:rsid w:val="3FBE0BC5"/>
    <w:rsid w:val="3FCE3AFB"/>
    <w:rsid w:val="401B7113"/>
    <w:rsid w:val="4048103A"/>
    <w:rsid w:val="40736643"/>
    <w:rsid w:val="40D24A7A"/>
    <w:rsid w:val="41D37C90"/>
    <w:rsid w:val="42621029"/>
    <w:rsid w:val="435241E2"/>
    <w:rsid w:val="43975C51"/>
    <w:rsid w:val="439E3FA7"/>
    <w:rsid w:val="44B32266"/>
    <w:rsid w:val="44FC64F4"/>
    <w:rsid w:val="467F4585"/>
    <w:rsid w:val="470628CB"/>
    <w:rsid w:val="4729480B"/>
    <w:rsid w:val="47555BD4"/>
    <w:rsid w:val="47BC2DB1"/>
    <w:rsid w:val="47E96399"/>
    <w:rsid w:val="47F76025"/>
    <w:rsid w:val="48663837"/>
    <w:rsid w:val="486E33F5"/>
    <w:rsid w:val="48E12B50"/>
    <w:rsid w:val="499441BE"/>
    <w:rsid w:val="499A6C1C"/>
    <w:rsid w:val="4A195607"/>
    <w:rsid w:val="4A2138F0"/>
    <w:rsid w:val="4A583887"/>
    <w:rsid w:val="4B9F6E02"/>
    <w:rsid w:val="4C89637B"/>
    <w:rsid w:val="4E5F62C3"/>
    <w:rsid w:val="4E6E48A8"/>
    <w:rsid w:val="4EEC036B"/>
    <w:rsid w:val="4F714FA1"/>
    <w:rsid w:val="501D2673"/>
    <w:rsid w:val="50C80BF1"/>
    <w:rsid w:val="50E6746D"/>
    <w:rsid w:val="51852833"/>
    <w:rsid w:val="52F11AC8"/>
    <w:rsid w:val="532A3950"/>
    <w:rsid w:val="534F49D9"/>
    <w:rsid w:val="53555F0F"/>
    <w:rsid w:val="535D23D5"/>
    <w:rsid w:val="56F4341A"/>
    <w:rsid w:val="575A7321"/>
    <w:rsid w:val="580C3AB9"/>
    <w:rsid w:val="583C7AE0"/>
    <w:rsid w:val="586C1E9A"/>
    <w:rsid w:val="586E0800"/>
    <w:rsid w:val="59216F96"/>
    <w:rsid w:val="592A0F27"/>
    <w:rsid w:val="598C4145"/>
    <w:rsid w:val="59957D1B"/>
    <w:rsid w:val="59D4294E"/>
    <w:rsid w:val="5AC83BBD"/>
    <w:rsid w:val="5B634312"/>
    <w:rsid w:val="5B9D2CCD"/>
    <w:rsid w:val="5B9E71EA"/>
    <w:rsid w:val="5BB029AE"/>
    <w:rsid w:val="5D635F29"/>
    <w:rsid w:val="5E226FBC"/>
    <w:rsid w:val="5E997B5F"/>
    <w:rsid w:val="5EAD2AFC"/>
    <w:rsid w:val="5FE72BD2"/>
    <w:rsid w:val="60120613"/>
    <w:rsid w:val="618D5292"/>
    <w:rsid w:val="622E78FA"/>
    <w:rsid w:val="63343F70"/>
    <w:rsid w:val="63F975E8"/>
    <w:rsid w:val="64296E1C"/>
    <w:rsid w:val="64386FCC"/>
    <w:rsid w:val="649E64A2"/>
    <w:rsid w:val="65E5270A"/>
    <w:rsid w:val="663D3C54"/>
    <w:rsid w:val="667A6962"/>
    <w:rsid w:val="66862C89"/>
    <w:rsid w:val="66BB486D"/>
    <w:rsid w:val="67394C7D"/>
    <w:rsid w:val="67E61C31"/>
    <w:rsid w:val="68126B38"/>
    <w:rsid w:val="68291A1A"/>
    <w:rsid w:val="68352BB8"/>
    <w:rsid w:val="691327EB"/>
    <w:rsid w:val="691B1594"/>
    <w:rsid w:val="693A016B"/>
    <w:rsid w:val="6A17429C"/>
    <w:rsid w:val="6A567EA3"/>
    <w:rsid w:val="6AEE3483"/>
    <w:rsid w:val="6B4B4368"/>
    <w:rsid w:val="6B79100E"/>
    <w:rsid w:val="6C376EFF"/>
    <w:rsid w:val="6C844C00"/>
    <w:rsid w:val="6E10212C"/>
    <w:rsid w:val="6E43561A"/>
    <w:rsid w:val="6E557973"/>
    <w:rsid w:val="6E9568DB"/>
    <w:rsid w:val="6F0D6C22"/>
    <w:rsid w:val="6F47657F"/>
    <w:rsid w:val="6FAF23D9"/>
    <w:rsid w:val="70635CF6"/>
    <w:rsid w:val="70670707"/>
    <w:rsid w:val="71D12ED7"/>
    <w:rsid w:val="720E3691"/>
    <w:rsid w:val="7249173A"/>
    <w:rsid w:val="724E244C"/>
    <w:rsid w:val="72DA6946"/>
    <w:rsid w:val="732764B3"/>
    <w:rsid w:val="74026044"/>
    <w:rsid w:val="74325A77"/>
    <w:rsid w:val="74746410"/>
    <w:rsid w:val="75C8506C"/>
    <w:rsid w:val="75E5007C"/>
    <w:rsid w:val="77636B63"/>
    <w:rsid w:val="77813724"/>
    <w:rsid w:val="77861774"/>
    <w:rsid w:val="77AD570A"/>
    <w:rsid w:val="78F31435"/>
    <w:rsid w:val="79300B45"/>
    <w:rsid w:val="794D3E18"/>
    <w:rsid w:val="79F3729A"/>
    <w:rsid w:val="7A880722"/>
    <w:rsid w:val="7ABE6120"/>
    <w:rsid w:val="7ACB0498"/>
    <w:rsid w:val="7AED0B4D"/>
    <w:rsid w:val="7C1E4487"/>
    <w:rsid w:val="7C215E02"/>
    <w:rsid w:val="7CF23764"/>
    <w:rsid w:val="7D20753B"/>
    <w:rsid w:val="7D851A94"/>
    <w:rsid w:val="7E543515"/>
    <w:rsid w:val="7E797F74"/>
    <w:rsid w:val="7E8769F7"/>
    <w:rsid w:val="7F924011"/>
    <w:rsid w:val="7F9C4DFD"/>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11524</Words>
  <Characters>12239</Characters>
  <Lines>0</Lines>
  <Paragraphs>0</Paragraphs>
  <TotalTime>4</TotalTime>
  <ScaleCrop>false</ScaleCrop>
  <LinksUpToDate>false</LinksUpToDate>
  <CharactersWithSpaces>12329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2025-10-23T06:46:37Z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