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BA8127">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DBEDADC">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8FD3683">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124649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5679"/>
      <w:bookmarkStart w:id="1" w:name="_Toc1949"/>
      <w:bookmarkStart w:id="2" w:name="_Toc29123"/>
      <w:bookmarkStart w:id="3" w:name="_Toc25575"/>
      <w:r>
        <w:rPr>
          <w:rFonts w:hint="eastAsia" w:cs="宋体"/>
          <w:b/>
          <w:bCs/>
          <w:color w:val="auto"/>
          <w:sz w:val="40"/>
          <w:szCs w:val="40"/>
          <w:highlight w:val="none"/>
          <w:shd w:val="clear" w:color="auto" w:fill="auto"/>
          <w:lang w:val="en-US" w:eastAsia="zh-CN"/>
        </w:rPr>
        <w:t>基本公共卫生服务</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74252F63">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1D77C92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C26BCD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D89580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9AEDF5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291D08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5A57E3D">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634870B2">
      <w:pPr>
        <w:pageBreakBefore w:val="0"/>
        <w:kinsoku/>
        <w:wordWrap/>
        <w:overflowPunct/>
        <w:topLinePunct w:val="0"/>
        <w:autoSpaceDE/>
        <w:autoSpaceDN/>
        <w:bidi w:val="0"/>
        <w:adjustRightInd/>
        <w:spacing w:line="560" w:lineRule="exact"/>
        <w:ind w:firstLine="0" w:firstLineChars="0"/>
        <w:jc w:val="left"/>
        <w:rPr>
          <w:rFonts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项目名称：</w:t>
      </w:r>
      <w:r>
        <w:rPr>
          <w:rFonts w:hint="eastAsia" w:cs="宋体"/>
          <w:b/>
          <w:color w:val="auto"/>
          <w:kern w:val="2"/>
          <w:sz w:val="28"/>
          <w:szCs w:val="28"/>
          <w:highlight w:val="none"/>
          <w:shd w:val="clear" w:color="auto" w:fill="auto"/>
          <w:lang w:val="en-US" w:eastAsia="zh-CN"/>
        </w:rPr>
        <w:t>基本公共卫生服务</w:t>
      </w:r>
    </w:p>
    <w:p w14:paraId="368FED23">
      <w:pPr>
        <w:pageBreakBefore w:val="0"/>
        <w:kinsoku/>
        <w:wordWrap/>
        <w:overflowPunct/>
        <w:topLinePunct w:val="0"/>
        <w:autoSpaceDE/>
        <w:autoSpaceDN/>
        <w:bidi w:val="0"/>
        <w:adjustRightInd/>
        <w:spacing w:line="560" w:lineRule="exact"/>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实施单位：</w:t>
      </w:r>
      <w:r>
        <w:rPr>
          <w:rFonts w:hint="eastAsia" w:cs="宋体"/>
          <w:b/>
          <w:color w:val="auto"/>
          <w:kern w:val="2"/>
          <w:sz w:val="28"/>
          <w:szCs w:val="28"/>
          <w:highlight w:val="none"/>
          <w:shd w:val="clear" w:color="auto" w:fill="auto"/>
          <w:lang w:val="en-US" w:eastAsia="zh-CN"/>
        </w:rPr>
        <w:t>阜康市阜新社区卫生服务中心</w:t>
      </w:r>
    </w:p>
    <w:p w14:paraId="4E836169">
      <w:pPr>
        <w:pageBreakBefore w:val="0"/>
        <w:kinsoku/>
        <w:wordWrap/>
        <w:overflowPunct/>
        <w:topLinePunct w:val="0"/>
        <w:autoSpaceDE/>
        <w:autoSpaceDN/>
        <w:bidi w:val="0"/>
        <w:adjustRightInd/>
        <w:spacing w:line="560" w:lineRule="exact"/>
        <w:ind w:firstLine="0" w:firstLineChars="0"/>
        <w:jc w:val="left"/>
        <w:rPr>
          <w:rFonts w:hint="eastAsia" w:cs="宋体"/>
          <w:b/>
          <w:color w:val="auto"/>
          <w:kern w:val="2"/>
          <w:sz w:val="28"/>
          <w:szCs w:val="28"/>
          <w:highlight w:val="none"/>
          <w:shd w:val="clear" w:color="auto" w:fill="auto"/>
          <w:lang w:val="en-US" w:eastAsia="zh-CN"/>
        </w:rPr>
      </w:pPr>
      <w:r>
        <w:rPr>
          <w:rFonts w:hint="eastAsia" w:ascii="黑体" w:hAnsi="Times New Roman" w:eastAsia="黑体"/>
          <w:b w:val="0"/>
          <w:bCs/>
          <w:color w:val="auto"/>
          <w:sz w:val="30"/>
          <w:szCs w:val="30"/>
          <w:highlight w:val="none"/>
        </w:rPr>
        <w:t>主管部门：</w:t>
      </w:r>
      <w:r>
        <w:rPr>
          <w:rFonts w:hint="eastAsia" w:cs="宋体"/>
          <w:b/>
          <w:color w:val="auto"/>
          <w:kern w:val="2"/>
          <w:sz w:val="28"/>
          <w:szCs w:val="28"/>
          <w:highlight w:val="none"/>
          <w:shd w:val="clear" w:color="auto" w:fill="auto"/>
          <w:lang w:val="en-US" w:eastAsia="zh-CN"/>
        </w:rPr>
        <w:t>阜康市卫生健康委员会</w:t>
      </w:r>
    </w:p>
    <w:p w14:paraId="5405BEBB">
      <w:pPr>
        <w:pageBreakBefore w:val="0"/>
        <w:kinsoku/>
        <w:wordWrap/>
        <w:overflowPunct/>
        <w:topLinePunct w:val="0"/>
        <w:autoSpaceDE/>
        <w:autoSpaceDN/>
        <w:bidi w:val="0"/>
        <w:adjustRightInd/>
        <w:spacing w:line="560" w:lineRule="exact"/>
        <w:ind w:firstLine="0" w:firstLineChars="0"/>
        <w:jc w:val="left"/>
        <w:rPr>
          <w:rFonts w:hint="eastAsia" w:cs="宋体"/>
          <w:b/>
          <w:color w:val="auto"/>
          <w:kern w:val="2"/>
          <w:sz w:val="28"/>
          <w:szCs w:val="28"/>
          <w:highlight w:val="none"/>
          <w:shd w:val="clear" w:color="auto" w:fill="auto"/>
          <w:lang w:val="en-US" w:eastAsia="zh-CN"/>
        </w:rPr>
      </w:pPr>
      <w:r>
        <w:rPr>
          <w:rFonts w:hint="eastAsia" w:cs="宋体"/>
          <w:b/>
          <w:color w:val="auto"/>
          <w:kern w:val="2"/>
          <w:sz w:val="28"/>
          <w:szCs w:val="28"/>
          <w:highlight w:val="none"/>
          <w:shd w:val="clear" w:color="auto" w:fill="auto"/>
          <w:lang w:val="en-US" w:eastAsia="zh-CN"/>
        </w:rPr>
        <w:t>项目负责人：高小俊</w:t>
      </w:r>
    </w:p>
    <w:p w14:paraId="32925CA5">
      <w:pPr>
        <w:pageBreakBefore w:val="0"/>
        <w:kinsoku/>
        <w:wordWrap/>
        <w:overflowPunct/>
        <w:topLinePunct w:val="0"/>
        <w:autoSpaceDE/>
        <w:autoSpaceDN/>
        <w:bidi w:val="0"/>
        <w:adjustRightInd/>
        <w:spacing w:line="560" w:lineRule="exact"/>
        <w:ind w:firstLine="0" w:firstLineChars="0"/>
        <w:jc w:val="left"/>
        <w:rPr>
          <w:rFonts w:hint="default" w:cs="宋体"/>
          <w:b/>
          <w:color w:val="auto"/>
          <w:kern w:val="2"/>
          <w:sz w:val="28"/>
          <w:szCs w:val="28"/>
          <w:highlight w:val="none"/>
          <w:shd w:val="clear" w:color="auto" w:fill="auto"/>
          <w:lang w:val="en-US" w:eastAsia="zh-CN"/>
        </w:rPr>
      </w:pPr>
      <w:r>
        <w:rPr>
          <w:rFonts w:hint="eastAsia" w:cs="宋体"/>
          <w:b/>
          <w:color w:val="auto"/>
          <w:kern w:val="2"/>
          <w:sz w:val="28"/>
          <w:szCs w:val="28"/>
          <w:highlight w:val="none"/>
          <w:shd w:val="clear" w:color="auto" w:fill="auto"/>
          <w:lang w:val="en-US" w:eastAsia="zh-CN"/>
        </w:rPr>
        <w:t>填报时间：2025年3月31日</w:t>
      </w:r>
    </w:p>
    <w:p w14:paraId="3D159090">
      <w:pPr>
        <w:pStyle w:val="14"/>
        <w:pageBreakBefore w:val="0"/>
        <w:kinsoku/>
        <w:wordWrap/>
        <w:overflowPunct/>
        <w:topLinePunct w:val="0"/>
        <w:autoSpaceDE/>
        <w:autoSpaceDN/>
        <w:bidi w:val="0"/>
        <w:adjustRightInd/>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7F759CED">
      <w:pPr>
        <w:pageBreakBefore w:val="0"/>
        <w:kinsoku/>
        <w:wordWrap/>
        <w:overflowPunct/>
        <w:topLinePunct w:val="0"/>
        <w:autoSpaceDE/>
        <w:autoSpaceDN/>
        <w:bidi w:val="0"/>
        <w:adjustRightInd/>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44A037BE">
      <w:pPr>
        <w:pageBreakBefore w:val="0"/>
        <w:kinsoku/>
        <w:wordWrap/>
        <w:overflowPunct/>
        <w:topLinePunct w:val="0"/>
        <w:autoSpaceDE/>
        <w:autoSpaceDN/>
        <w:bidi w:val="0"/>
        <w:adjustRightInd/>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sdtPr>
      <w:sdtEndPr>
        <w:rPr>
          <w:rFonts w:hint="eastAsia" w:ascii="宋体" w:hAnsi="宋体" w:eastAsia="宋体" w:cs="宋体"/>
          <w:b/>
          <w:bCs/>
          <w:color w:val="auto"/>
          <w:kern w:val="2"/>
          <w:sz w:val="28"/>
          <w:szCs w:val="28"/>
          <w:highlight w:val="none"/>
          <w:lang w:val="en-US" w:eastAsia="zh-CN" w:bidi="ar-SA"/>
        </w:rPr>
      </w:sdtEndPr>
      <w:sdtContent>
        <w:p w14:paraId="3C44CF12">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2EA9D041">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3E09DF4C">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5EA345EF">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42DCC772">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0131DD9A">
          <w:pPr>
            <w:pStyle w:val="10"/>
            <w:pageBreakBefore w:val="0"/>
            <w:tabs>
              <w:tab w:val="right" w:leader="dot" w:pos="8844"/>
            </w:tabs>
            <w:kinsoku/>
            <w:wordWrap/>
            <w:overflowPunct/>
            <w:topLinePunct w:val="0"/>
            <w:autoSpaceDE/>
            <w:autoSpaceDN/>
            <w:bidi w:val="0"/>
            <w:adjustRightInd/>
            <w:spacing w:line="560" w:lineRule="exact"/>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888DE75">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8</w:t>
          </w:r>
          <w:r>
            <w:rPr>
              <w:color w:val="auto"/>
              <w:highlight w:val="none"/>
            </w:rPr>
            <w:fldChar w:fldCharType="end"/>
          </w:r>
          <w:r>
            <w:rPr>
              <w:rFonts w:hint="eastAsia"/>
              <w:color w:val="auto"/>
              <w:szCs w:val="28"/>
              <w:highlight w:val="none"/>
              <w:lang w:val="en-US" w:eastAsia="zh-CN"/>
            </w:rPr>
            <w:fldChar w:fldCharType="end"/>
          </w:r>
        </w:p>
        <w:p w14:paraId="3E6A1B62">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11</w:t>
          </w:r>
          <w:r>
            <w:rPr>
              <w:color w:val="auto"/>
              <w:highlight w:val="none"/>
            </w:rPr>
            <w:fldChar w:fldCharType="end"/>
          </w:r>
          <w:r>
            <w:rPr>
              <w:rFonts w:hint="eastAsia"/>
              <w:color w:val="auto"/>
              <w:szCs w:val="28"/>
              <w:highlight w:val="none"/>
              <w:lang w:val="en-US" w:eastAsia="zh-CN"/>
            </w:rPr>
            <w:fldChar w:fldCharType="end"/>
          </w:r>
        </w:p>
        <w:p w14:paraId="4BD81585">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14</w:t>
          </w:r>
          <w:r>
            <w:rPr>
              <w:color w:val="auto"/>
              <w:highlight w:val="none"/>
            </w:rPr>
            <w:fldChar w:fldCharType="end"/>
          </w:r>
          <w:r>
            <w:rPr>
              <w:rFonts w:hint="eastAsia"/>
              <w:color w:val="auto"/>
              <w:szCs w:val="28"/>
              <w:highlight w:val="none"/>
              <w:lang w:val="en-US" w:eastAsia="zh-CN"/>
            </w:rPr>
            <w:fldChar w:fldCharType="end"/>
          </w:r>
        </w:p>
        <w:p w14:paraId="31CF0D90">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227619DB">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52F467CE">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09EC9E1D">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5B115678">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5C556E12">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19</w:t>
          </w:r>
          <w:r>
            <w:rPr>
              <w:color w:val="auto"/>
              <w:highlight w:val="none"/>
            </w:rPr>
            <w:fldChar w:fldCharType="end"/>
          </w:r>
          <w:r>
            <w:rPr>
              <w:rFonts w:hint="eastAsia"/>
              <w:color w:val="auto"/>
              <w:szCs w:val="28"/>
              <w:highlight w:val="none"/>
              <w:lang w:val="en-US" w:eastAsia="zh-CN"/>
            </w:rPr>
            <w:fldChar w:fldCharType="end"/>
          </w:r>
        </w:p>
        <w:p w14:paraId="184B37A4">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25C9DA30">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0ECFFBB0">
          <w:pPr>
            <w:pStyle w:val="10"/>
            <w:pageBreakBefore w:val="0"/>
            <w:tabs>
              <w:tab w:val="right" w:leader="dot" w:pos="8844"/>
            </w:tabs>
            <w:kinsoku/>
            <w:wordWrap/>
            <w:overflowPunct/>
            <w:topLinePunct w:val="0"/>
            <w:autoSpaceDE/>
            <w:autoSpaceDN/>
            <w:bidi w:val="0"/>
            <w:adjustRightInd/>
            <w:spacing w:line="560" w:lineRule="exact"/>
            <w:rPr>
              <w:rFonts w:hint="default"/>
              <w:color w:val="auto"/>
              <w:highlight w:val="none"/>
              <w:lang w:val="en-US"/>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rFonts w:hint="eastAsia"/>
              <w:color w:val="auto"/>
              <w:highlight w:val="none"/>
              <w:lang w:val="en-US" w:eastAsia="zh-CN"/>
            </w:rPr>
            <w:t>2</w:t>
          </w:r>
          <w:r>
            <w:rPr>
              <w:rFonts w:hint="eastAsia"/>
              <w:color w:val="auto"/>
              <w:szCs w:val="28"/>
              <w:highlight w:val="none"/>
              <w:lang w:val="en-US" w:eastAsia="zh-CN"/>
            </w:rPr>
            <w:fldChar w:fldCharType="end"/>
          </w:r>
          <w:r>
            <w:rPr>
              <w:rFonts w:hint="eastAsia"/>
              <w:color w:val="auto"/>
              <w:szCs w:val="28"/>
              <w:highlight w:val="none"/>
              <w:lang w:val="en-US" w:eastAsia="zh-CN"/>
            </w:rPr>
            <w:t>7</w:t>
          </w:r>
        </w:p>
        <w:p w14:paraId="4B86A4D6">
          <w:pPr>
            <w:pStyle w:val="10"/>
            <w:pageBreakBefore w:val="0"/>
            <w:tabs>
              <w:tab w:val="right" w:leader="dot" w:pos="8844"/>
            </w:tabs>
            <w:kinsoku/>
            <w:wordWrap/>
            <w:overflowPunct/>
            <w:topLinePunct w:val="0"/>
            <w:autoSpaceDE/>
            <w:autoSpaceDN/>
            <w:bidi w:val="0"/>
            <w:adjustRightInd/>
            <w:spacing w:line="560" w:lineRule="exact"/>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EFE6C06">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szCs w:val="28"/>
              <w:highlight w:val="none"/>
              <w:lang w:val="en-US" w:eastAsia="zh-CN"/>
            </w:rPr>
            <w:fldChar w:fldCharType="end"/>
          </w:r>
        </w:p>
        <w:p w14:paraId="3532D35C">
          <w:pPr>
            <w:pStyle w:val="10"/>
            <w:pageBreakBefore w:val="0"/>
            <w:tabs>
              <w:tab w:val="right" w:leader="dot" w:pos="8844"/>
            </w:tabs>
            <w:kinsoku/>
            <w:wordWrap/>
            <w:overflowPunct/>
            <w:topLinePunct w:val="0"/>
            <w:autoSpaceDE/>
            <w:autoSpaceDN/>
            <w:bidi w:val="0"/>
            <w:adjustRightInd/>
            <w:spacing w:line="560" w:lineRule="exact"/>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szCs w:val="28"/>
              <w:highlight w:val="none"/>
              <w:lang w:val="en-US" w:eastAsia="zh-CN"/>
            </w:rPr>
            <w:fldChar w:fldCharType="end"/>
          </w:r>
        </w:p>
        <w:p w14:paraId="013BF6A9">
          <w:pPr>
            <w:pStyle w:val="10"/>
            <w:pageBreakBefore w:val="0"/>
            <w:tabs>
              <w:tab w:val="right" w:leader="dot" w:pos="8844"/>
            </w:tabs>
            <w:kinsoku/>
            <w:wordWrap/>
            <w:overflowPunct/>
            <w:topLinePunct w:val="0"/>
            <w:autoSpaceDE/>
            <w:autoSpaceDN/>
            <w:bidi w:val="0"/>
            <w:adjustRightInd/>
            <w:spacing w:line="560" w:lineRule="exact"/>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59C5C3CD">
          <w:pPr>
            <w:pStyle w:val="10"/>
            <w:pageBreakBefore w:val="0"/>
            <w:tabs>
              <w:tab w:val="right" w:leader="dot" w:pos="8844"/>
            </w:tabs>
            <w:kinsoku/>
            <w:wordWrap/>
            <w:overflowPunct/>
            <w:topLinePunct w:val="0"/>
            <w:autoSpaceDE/>
            <w:autoSpaceDN/>
            <w:bidi w:val="0"/>
            <w:adjustRightInd/>
            <w:spacing w:line="560" w:lineRule="exact"/>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965D954">
          <w:pPr>
            <w:pStyle w:val="10"/>
            <w:pageBreakBefore w:val="0"/>
            <w:tabs>
              <w:tab w:val="right" w:leader="dot" w:pos="8844"/>
            </w:tabs>
            <w:kinsoku/>
            <w:wordWrap/>
            <w:overflowPunct/>
            <w:topLinePunct w:val="0"/>
            <w:autoSpaceDE/>
            <w:autoSpaceDN/>
            <w:bidi w:val="0"/>
            <w:adjustRightInd/>
            <w:spacing w:line="560" w:lineRule="exact"/>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19</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DC3663E">
          <w:pPr>
            <w:pStyle w:val="10"/>
            <w:pageBreakBefore w:val="0"/>
            <w:tabs>
              <w:tab w:val="right" w:leader="dot" w:pos="8844"/>
            </w:tabs>
            <w:kinsoku/>
            <w:wordWrap/>
            <w:overflowPunct/>
            <w:topLinePunct w:val="0"/>
            <w:autoSpaceDE/>
            <w:autoSpaceDN/>
            <w:bidi w:val="0"/>
            <w:adjustRightInd/>
            <w:spacing w:line="560" w:lineRule="exact"/>
            <w:rPr>
              <w:rFonts w:hint="default" w:ascii="黑体" w:hAnsi="黑体" w:eastAsia="黑体" w:cs="黑体"/>
              <w:color w:val="auto"/>
              <w:highlight w:val="none"/>
              <w:lang w:val="en-US"/>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3</w:t>
          </w:r>
          <w:r>
            <w:rPr>
              <w:rFonts w:hint="eastAsia" w:ascii="黑体" w:hAnsi="黑体" w:eastAsia="黑体" w:cs="黑体"/>
              <w:color w:val="auto"/>
              <w:szCs w:val="28"/>
              <w:highlight w:val="none"/>
              <w:lang w:val="en-US" w:eastAsia="zh-CN"/>
            </w:rPr>
            <w:fldChar w:fldCharType="end"/>
          </w:r>
          <w:r>
            <w:rPr>
              <w:rFonts w:hint="eastAsia" w:ascii="黑体" w:hAnsi="黑体" w:eastAsia="黑体" w:cs="黑体"/>
              <w:color w:val="auto"/>
              <w:szCs w:val="28"/>
              <w:highlight w:val="none"/>
              <w:lang w:val="en-US" w:eastAsia="zh-CN"/>
            </w:rPr>
            <w:t>3</w:t>
          </w:r>
        </w:p>
        <w:p w14:paraId="1DBBBD5E">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05207EF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3663"/>
      <w:bookmarkStart w:id="5" w:name="_Toc1194"/>
      <w:bookmarkStart w:id="6" w:name="_Toc22946"/>
      <w:bookmarkStart w:id="7" w:name="_Toc20432"/>
      <w:r>
        <w:rPr>
          <w:rFonts w:hint="eastAsia" w:cs="宋体"/>
          <w:b/>
          <w:bCs/>
          <w:color w:val="auto"/>
          <w:sz w:val="36"/>
          <w:szCs w:val="36"/>
          <w:highlight w:val="none"/>
          <w:shd w:val="clear" w:color="auto" w:fill="auto"/>
          <w:lang w:val="en-US" w:eastAsia="zh-CN"/>
        </w:rPr>
        <w:t>基本公共卫生服务</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60D2B37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color w:val="auto"/>
          <w:spacing w:val="17"/>
          <w:kern w:val="2"/>
          <w:sz w:val="32"/>
          <w:szCs w:val="32"/>
          <w:highlight w:val="none"/>
          <w:lang w:val="en-US" w:eastAsia="zh-CN" w:bidi="ar-SA"/>
        </w:rPr>
      </w:pPr>
      <w:bookmarkStart w:id="8" w:name="_Toc18485"/>
      <w:r>
        <w:rPr>
          <w:rFonts w:hint="eastAsia" w:ascii="黑体" w:hAnsi="黑体" w:eastAsia="黑体" w:cs="黑体"/>
          <w:color w:val="auto"/>
          <w:spacing w:val="17"/>
          <w:kern w:val="2"/>
          <w:sz w:val="32"/>
          <w:szCs w:val="32"/>
          <w:highlight w:val="none"/>
          <w:lang w:val="en-US" w:eastAsia="zh-CN" w:bidi="ar-SA"/>
        </w:rPr>
        <w:t>一、基本情况</w:t>
      </w:r>
      <w:bookmarkEnd w:id="8"/>
    </w:p>
    <w:p w14:paraId="6B5207C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711" w:firstLineChars="200"/>
        <w:jc w:val="both"/>
        <w:textAlignment w:val="auto"/>
        <w:rPr>
          <w:rFonts w:hint="eastAsia" w:ascii="Times New Roman" w:hAnsi="Times New Roman" w:eastAsia="仿宋_GB2312" w:cs="Times New Roman"/>
          <w:color w:val="auto"/>
          <w:spacing w:val="17"/>
          <w:kern w:val="2"/>
          <w:sz w:val="32"/>
          <w:szCs w:val="32"/>
          <w:highlight w:val="none"/>
          <w:lang w:val="en-US" w:eastAsia="zh-CN" w:bidi="ar-SA"/>
        </w:rPr>
      </w:pPr>
      <w:bookmarkStart w:id="9" w:name="_Toc23184"/>
      <w:r>
        <w:rPr>
          <w:rFonts w:hint="eastAsia" w:ascii="Times New Roman" w:hAnsi="Times New Roman" w:eastAsia="仿宋_GB2312" w:cs="Times New Roman"/>
          <w:color w:val="auto"/>
          <w:spacing w:val="17"/>
          <w:kern w:val="2"/>
          <w:sz w:val="32"/>
          <w:szCs w:val="32"/>
          <w:highlight w:val="none"/>
          <w:lang w:val="en-US" w:eastAsia="zh-CN" w:bidi="ar-SA"/>
        </w:rPr>
        <w:t>（一）项目概况</w:t>
      </w:r>
      <w:bookmarkEnd w:id="9"/>
    </w:p>
    <w:p w14:paraId="135082D9">
      <w:pPr>
        <w:pStyle w:val="5"/>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auto"/>
          <w:spacing w:val="17"/>
          <w:kern w:val="2"/>
          <w:sz w:val="32"/>
          <w:szCs w:val="32"/>
          <w:highlight w:val="none"/>
          <w:lang w:val="en-US" w:eastAsia="zh-CN" w:bidi="ar-SA"/>
        </w:rPr>
      </w:pPr>
      <w:bookmarkStart w:id="10" w:name="_Toc29812"/>
      <w:bookmarkStart w:id="11" w:name="_Toc22346"/>
      <w:bookmarkStart w:id="12" w:name="_Toc5043"/>
      <w:bookmarkStart w:id="13" w:name="_Toc10645"/>
      <w:r>
        <w:rPr>
          <w:rFonts w:hint="eastAsia" w:ascii="Times New Roman" w:hAnsi="Times New Roman" w:eastAsia="仿宋_GB2312" w:cs="Times New Roman"/>
          <w:color w:val="auto"/>
          <w:spacing w:val="17"/>
          <w:kern w:val="2"/>
          <w:sz w:val="32"/>
          <w:szCs w:val="32"/>
          <w:highlight w:val="none"/>
          <w:lang w:val="en-US" w:eastAsia="zh-CN" w:bidi="ar-SA"/>
        </w:rPr>
        <w:t>1.项目背景</w:t>
      </w:r>
      <w:bookmarkEnd w:id="10"/>
      <w:bookmarkEnd w:id="11"/>
      <w:bookmarkEnd w:id="12"/>
      <w:bookmarkEnd w:id="13"/>
    </w:p>
    <w:p w14:paraId="56AFF20F">
      <w:pPr>
        <w:pageBreakBefore w:val="0"/>
        <w:kinsoku/>
        <w:wordWrap/>
        <w:overflowPunct/>
        <w:topLinePunct w:val="0"/>
        <w:autoSpaceDE/>
        <w:autoSpaceDN/>
        <w:bidi w:val="0"/>
        <w:adjustRightInd/>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按照《新划入基本公共卫生服务相关工作规范（2019年版）》和《自治区老年健康与医养结合服务管理工作规范（试行）》规范要求，为项目点辖区65岁及以上老年人开展2次医养结合服务。基本公共卫生服务能够对疾病传播进行及时预防和控制，大大减少疾病的发生和传播，保护人民的健康。</w:t>
      </w:r>
    </w:p>
    <w:p w14:paraId="2D3FD3A5">
      <w:pPr>
        <w:pageBreakBefore w:val="0"/>
        <w:kinsoku/>
        <w:wordWrap/>
        <w:overflowPunct/>
        <w:topLinePunct w:val="0"/>
        <w:autoSpaceDE/>
        <w:autoSpaceDN/>
        <w:bidi w:val="0"/>
        <w:adjustRightInd/>
        <w:spacing w:line="560" w:lineRule="exact"/>
        <w:rPr>
          <w:rFonts w:hint="eastAsia"/>
          <w:b/>
          <w:bCs/>
          <w:color w:val="auto"/>
          <w:highlight w:val="none"/>
          <w:lang w:val="en-US" w:eastAsia="zh-CN"/>
        </w:rPr>
      </w:pPr>
      <w:bookmarkStart w:id="14" w:name="_Toc17880"/>
      <w:bookmarkStart w:id="15" w:name="_Toc10730"/>
      <w:bookmarkStart w:id="16" w:name="_Toc27343"/>
      <w:bookmarkStart w:id="17" w:name="_Toc1630"/>
      <w:r>
        <w:rPr>
          <w:rFonts w:hint="eastAsia"/>
          <w:b/>
          <w:bCs/>
          <w:color w:val="auto"/>
          <w:highlight w:val="none"/>
          <w:lang w:val="en-US" w:eastAsia="zh-CN"/>
        </w:rPr>
        <w:t>2.主要内容及实施情况</w:t>
      </w:r>
      <w:bookmarkEnd w:id="14"/>
      <w:bookmarkEnd w:id="15"/>
      <w:bookmarkEnd w:id="16"/>
      <w:bookmarkEnd w:id="17"/>
    </w:p>
    <w:p w14:paraId="3BA84B8B">
      <w:pPr>
        <w:pageBreakBefore w:val="0"/>
        <w:kinsoku/>
        <w:wordWrap/>
        <w:overflowPunct/>
        <w:topLinePunct w:val="0"/>
        <w:autoSpaceDE/>
        <w:autoSpaceDN/>
        <w:bidi w:val="0"/>
        <w:adjustRightInd/>
        <w:spacing w:line="560" w:lineRule="exact"/>
        <w:rPr>
          <w:rFonts w:hint="eastAsia" w:ascii="仿宋_GB2312" w:hAnsi="仿宋_GB2312" w:eastAsia="仿宋_GB2312" w:cs="仿宋_GB2312"/>
          <w:color w:val="FF0000"/>
          <w:sz w:val="32"/>
          <w:szCs w:val="32"/>
          <w:highlight w:val="yellow"/>
          <w:shd w:val="clear" w:color="auto" w:fill="auto"/>
          <w:lang w:val="en-US" w:eastAsia="zh-CN"/>
        </w:rPr>
      </w:pPr>
      <w:r>
        <w:rPr>
          <w:rFonts w:hint="eastAsia"/>
          <w:b/>
          <w:bCs/>
          <w:color w:val="auto"/>
          <w:highlight w:val="none"/>
          <w:lang w:val="en-US" w:eastAsia="zh-CN"/>
        </w:rPr>
        <w:t>主要内容：</w:t>
      </w:r>
      <w:r>
        <w:rPr>
          <w:rFonts w:hint="eastAsia" w:ascii="仿宋_GB2312" w:hAnsi="仿宋_GB2312" w:eastAsia="仿宋_GB2312" w:cs="仿宋_GB2312"/>
          <w:color w:val="auto"/>
          <w:sz w:val="32"/>
          <w:szCs w:val="32"/>
          <w:highlight w:val="none"/>
          <w:lang w:val="en-US" w:eastAsia="zh-CN"/>
        </w:rPr>
        <w:t>城乡居民健康档案管理，为辖区内常住居民，包括居住半年以上非户籍居民建立健康档案，并进行维护管理。健康教育，为辖区内居民提供健康教育资料，设置宣传栏，开展公众健康咨询、知识讲座及个体化健康教育。预防接种，为辖区内0～6岁儿童和其他重点人群进行预防接种管理、实施预防接种及处理疑似预防接种异常反应。0～6岁儿童健康管理，为辖区内居住的0～6岁儿童提供新生儿家庭访视、满月健康管理、婴幼儿及学龄前儿童健康管理，传染病及突发公共卫生事件报告和处理，对辖区内服务人口进行传染病疫情和突发公共卫生事件风险管理、发现和登记、相关信息报告及处理。健康素养促进行动，开展健康促进县（区）建设等活动，提高居民健康素养水平。</w:t>
      </w:r>
    </w:p>
    <w:p w14:paraId="1DE9C1D8">
      <w:pPr>
        <w:pageBreakBefore w:val="0"/>
        <w:kinsoku/>
        <w:wordWrap/>
        <w:overflowPunct/>
        <w:topLinePunct w:val="0"/>
        <w:autoSpaceDE/>
        <w:autoSpaceDN/>
        <w:bidi w:val="0"/>
        <w:adjustRightInd/>
        <w:spacing w:line="560" w:lineRule="exact"/>
        <w:rPr>
          <w:rFonts w:hint="eastAsia" w:ascii="仿宋_GB2312" w:hAnsi="仿宋_GB2312" w:eastAsia="仿宋_GB2312" w:cs="仿宋_GB2312"/>
          <w:b w:val="0"/>
          <w:bCs w:val="0"/>
          <w:color w:val="auto"/>
          <w:kern w:val="0"/>
          <w:sz w:val="32"/>
          <w:szCs w:val="32"/>
          <w:highlight w:val="none"/>
          <w:lang w:val="en-US" w:eastAsia="zh-CN" w:bidi="ar-SA"/>
        </w:rPr>
      </w:pPr>
      <w:r>
        <w:rPr>
          <w:rFonts w:hint="eastAsia"/>
          <w:b/>
          <w:bCs/>
          <w:color w:val="auto"/>
          <w:highlight w:val="none"/>
          <w:lang w:val="en-US" w:eastAsia="zh-CN"/>
        </w:rPr>
        <w:t>项目实施情况：</w:t>
      </w:r>
      <w:r>
        <w:rPr>
          <w:rFonts w:hint="eastAsia" w:ascii="仿宋_GB2312" w:hAnsi="仿宋_GB2312" w:eastAsia="仿宋_GB2312" w:cs="仿宋_GB2312"/>
          <w:color w:val="auto"/>
          <w:sz w:val="32"/>
          <w:szCs w:val="32"/>
          <w:highlight w:val="none"/>
          <w:lang w:val="en-US" w:eastAsia="zh-CN"/>
        </w:rPr>
        <w:t>本项目自2009年1月1日根据各级工作要求</w:t>
      </w:r>
      <w:r>
        <w:rPr>
          <w:rFonts w:hint="eastAsia" w:ascii="仿宋_GB2312" w:hAnsi="仿宋_GB2312" w:eastAsia="仿宋_GB2312" w:cs="仿宋_GB2312"/>
          <w:b w:val="0"/>
          <w:bCs w:val="0"/>
          <w:color w:val="auto"/>
          <w:kern w:val="0"/>
          <w:sz w:val="32"/>
          <w:szCs w:val="32"/>
          <w:highlight w:val="none"/>
          <w:lang w:val="en-US" w:eastAsia="zh-CN" w:bidi="ar-SA"/>
        </w:rPr>
        <w:t>我单位根据各级要求确定项目领导小组，明确责任分工：组长为朱荣慧，副组长为安瑞琪，项目负责人为高小俊,组员为蒋玉慧、梅珍、马香玉、顾妮娜、蔡越，其中：安瑞琪负责监管工作，高小俊负责项目档案资料，顾妮娜负责物资采</w:t>
      </w:r>
      <w:r>
        <w:rPr>
          <w:rFonts w:hint="eastAsia" w:ascii="仿宋_GB2312" w:hAnsi="仿宋_GB2312" w:eastAsia="仿宋_GB2312" w:cs="仿宋_GB2312"/>
          <w:color w:val="auto"/>
          <w:sz w:val="32"/>
          <w:szCs w:val="32"/>
          <w:highlight w:val="none"/>
          <w:lang w:val="en-US" w:eastAsia="zh-CN"/>
        </w:rPr>
        <w:t>购，</w:t>
      </w:r>
      <w:r>
        <w:rPr>
          <w:rFonts w:hint="eastAsia" w:ascii="仿宋_GB2312" w:hAnsi="仿宋_GB2312" w:eastAsia="仿宋_GB2312" w:cs="仿宋_GB2312"/>
          <w:b w:val="0"/>
          <w:bCs w:val="0"/>
          <w:color w:val="auto"/>
          <w:kern w:val="0"/>
          <w:sz w:val="32"/>
          <w:szCs w:val="32"/>
          <w:highlight w:val="none"/>
          <w:lang w:val="en-US" w:eastAsia="zh-CN" w:bidi="ar-SA"/>
        </w:rPr>
        <w:t>蔡越负责资金拨付工作。</w:t>
      </w:r>
    </w:p>
    <w:p w14:paraId="4A8134B6">
      <w:pPr>
        <w:pStyle w:val="5"/>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bookmarkStart w:id="18" w:name="_Toc569"/>
      <w:bookmarkStart w:id="19" w:name="_Toc12348"/>
      <w:bookmarkStart w:id="20" w:name="_Toc10240"/>
      <w:bookmarkStart w:id="21" w:name="_Toc1858"/>
      <w:r>
        <w:rPr>
          <w:rFonts w:hint="eastAsia" w:ascii="仿宋_GB2312" w:hAnsi="仿宋_GB2312" w:eastAsia="仿宋_GB2312" w:cs="仿宋_GB2312"/>
          <w:b w:val="0"/>
          <w:bCs w:val="0"/>
          <w:color w:val="auto"/>
          <w:kern w:val="2"/>
          <w:sz w:val="32"/>
          <w:szCs w:val="32"/>
          <w:highlight w:val="none"/>
          <w:lang w:val="en-US" w:eastAsia="zh-CN" w:bidi="ar-SA"/>
        </w:rPr>
        <w:t>截止</w:t>
      </w:r>
      <w:r>
        <w:rPr>
          <w:rFonts w:hint="eastAsia" w:cs="仿宋_GB2312"/>
          <w:b w:val="0"/>
          <w:bCs w:val="0"/>
          <w:color w:val="auto"/>
          <w:kern w:val="2"/>
          <w:sz w:val="32"/>
          <w:szCs w:val="32"/>
          <w:highlight w:val="none"/>
          <w:lang w:val="en-US" w:eastAsia="zh-CN" w:bidi="ar-SA"/>
        </w:rPr>
        <w:t>2024年</w:t>
      </w:r>
      <w:r>
        <w:rPr>
          <w:rFonts w:hint="eastAsia" w:ascii="仿宋_GB2312" w:hAnsi="仿宋_GB2312" w:eastAsia="仿宋_GB2312" w:cs="仿宋_GB2312"/>
          <w:b w:val="0"/>
          <w:bCs w:val="0"/>
          <w:color w:val="auto"/>
          <w:kern w:val="2"/>
          <w:sz w:val="32"/>
          <w:szCs w:val="32"/>
          <w:highlight w:val="none"/>
          <w:lang w:val="en-US" w:eastAsia="zh-CN" w:bidi="ar-SA"/>
        </w:rPr>
        <w:t>12月31日，此项目完成了居民规范化电子健康档案覆盖率84.3％。高血压患者人数保持在1093人，规范服务率93％，管理2型糖尿病患者人数达到495人，规范服务率9</w:t>
      </w:r>
      <w:r>
        <w:rPr>
          <w:rFonts w:hint="eastAsia" w:cs="仿宋_GB2312"/>
          <w:b w:val="0"/>
          <w:bCs w:val="0"/>
          <w:color w:val="auto"/>
          <w:kern w:val="2"/>
          <w:sz w:val="32"/>
          <w:szCs w:val="32"/>
          <w:highlight w:val="none"/>
          <w:lang w:val="en-US" w:eastAsia="zh-CN" w:bidi="ar-SA"/>
        </w:rPr>
        <w:t>5</w:t>
      </w:r>
      <w:r>
        <w:rPr>
          <w:rFonts w:hint="eastAsia" w:ascii="仿宋_GB2312" w:hAnsi="仿宋_GB2312" w:eastAsia="仿宋_GB2312" w:cs="仿宋_GB2312"/>
          <w:b w:val="0"/>
          <w:bCs w:val="0"/>
          <w:color w:val="auto"/>
          <w:kern w:val="2"/>
          <w:sz w:val="32"/>
          <w:szCs w:val="32"/>
          <w:highlight w:val="none"/>
          <w:lang w:val="en-US" w:eastAsia="zh-CN" w:bidi="ar-SA"/>
        </w:rPr>
        <w:t>％。完成65岁老年人2次医养结合服务39人，通过项目的实施，提高了基本公共卫生服务水平和老年人健康服务水平。</w:t>
      </w:r>
    </w:p>
    <w:p w14:paraId="1CF2C9D9">
      <w:pPr>
        <w:pStyle w:val="5"/>
        <w:pageBreakBefore w:val="0"/>
        <w:kinsoku/>
        <w:wordWrap/>
        <w:overflowPunct/>
        <w:topLinePunct w:val="0"/>
        <w:autoSpaceDE/>
        <w:autoSpaceDN/>
        <w:bidi w:val="0"/>
        <w:adjustRightInd/>
        <w:snapToGrid/>
        <w:spacing w:line="560" w:lineRule="exact"/>
        <w:ind w:left="0" w:leftChars="0" w:firstLine="562" w:firstLineChars="200"/>
        <w:textAlignment w:val="auto"/>
        <w:rPr>
          <w:rFonts w:hint="eastAsia" w:ascii="仿宋_GB2312" w:hAnsi="仿宋_GB2312" w:eastAsia="仿宋_GB2312" w:cs="仿宋_GB2312"/>
          <w:b/>
          <w:bCs/>
          <w:color w:val="auto"/>
          <w:kern w:val="2"/>
          <w:sz w:val="28"/>
          <w:szCs w:val="28"/>
          <w:highlight w:val="none"/>
          <w:lang w:val="en-US" w:eastAsia="zh-CN" w:bidi="ar-SA"/>
        </w:rPr>
      </w:pPr>
      <w:r>
        <w:rPr>
          <w:rFonts w:hint="eastAsia" w:ascii="仿宋_GB2312" w:hAnsi="仿宋_GB2312" w:eastAsia="仿宋_GB2312" w:cs="仿宋_GB2312"/>
          <w:b/>
          <w:bCs/>
          <w:color w:val="auto"/>
          <w:kern w:val="2"/>
          <w:sz w:val="28"/>
          <w:szCs w:val="28"/>
          <w:highlight w:val="none"/>
          <w:lang w:val="en-US" w:eastAsia="zh-CN" w:bidi="ar-SA"/>
        </w:rPr>
        <w:t>3.资金投入和使用情况</w:t>
      </w:r>
      <w:bookmarkEnd w:id="18"/>
      <w:bookmarkEnd w:id="19"/>
      <w:bookmarkEnd w:id="20"/>
      <w:bookmarkEnd w:id="21"/>
    </w:p>
    <w:p w14:paraId="20722AC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bookmarkStart w:id="22" w:name="_Toc23509"/>
      <w:bookmarkStart w:id="23" w:name="_Toc694"/>
      <w:bookmarkStart w:id="24" w:name="_Toc26369"/>
      <w:r>
        <w:rPr>
          <w:rFonts w:hint="eastAsia" w:ascii="仿宋_GB2312" w:hAnsi="仿宋_GB2312" w:eastAsia="仿宋_GB2312" w:cs="仿宋_GB2312"/>
          <w:b w:val="0"/>
          <w:bCs w:val="0"/>
          <w:color w:val="auto"/>
          <w:kern w:val="2"/>
          <w:sz w:val="32"/>
          <w:szCs w:val="32"/>
          <w:highlight w:val="none"/>
          <w:lang w:val="en-US" w:eastAsia="zh-CN" w:bidi="ar-SA"/>
        </w:rPr>
        <w:t>（1）资金投入情况</w:t>
      </w:r>
      <w:bookmarkEnd w:id="22"/>
      <w:bookmarkEnd w:id="23"/>
      <w:bookmarkEnd w:id="24"/>
    </w:p>
    <w:p w14:paraId="0467C3A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lang w:val="en-US" w:eastAsia="zh-CN" w:bidi="ar-SA"/>
        </w:rPr>
      </w:pPr>
      <w:bookmarkStart w:id="25" w:name="_Toc29190"/>
      <w:bookmarkStart w:id="26" w:name="_Toc9464"/>
      <w:bookmarkStart w:id="27" w:name="_Toc5573"/>
      <w:r>
        <w:rPr>
          <w:rFonts w:hint="eastAsia" w:ascii="仿宋_GB2312" w:hAnsi="仿宋_GB2312" w:eastAsia="仿宋_GB2312" w:cs="仿宋_GB2312"/>
          <w:b w:val="0"/>
          <w:bCs w:val="0"/>
          <w:color w:val="auto"/>
          <w:kern w:val="2"/>
          <w:sz w:val="32"/>
          <w:szCs w:val="32"/>
          <w:highlight w:val="none"/>
          <w:lang w:val="en-US" w:eastAsia="zh-CN" w:bidi="ar-SA"/>
        </w:rPr>
        <w:t>该项目年初预算数136.77万元，全年预算数136.77万元，该项目资金已全部落实到位，</w:t>
      </w:r>
      <w:bookmarkEnd w:id="25"/>
      <w:bookmarkEnd w:id="26"/>
      <w:bookmarkEnd w:id="27"/>
      <w:bookmarkStart w:id="28" w:name="_Toc28187"/>
      <w:bookmarkStart w:id="29" w:name="_Toc1166"/>
      <w:bookmarkStart w:id="30" w:name="_Toc3409"/>
      <w:r>
        <w:rPr>
          <w:rFonts w:hint="eastAsia" w:ascii="仿宋_GB2312" w:hAnsi="仿宋_GB2312" w:eastAsia="仿宋_GB2312" w:cs="仿宋_GB2312"/>
          <w:b w:val="0"/>
          <w:bCs w:val="0"/>
          <w:color w:val="auto"/>
          <w:kern w:val="2"/>
          <w:sz w:val="32"/>
          <w:szCs w:val="32"/>
          <w:highlight w:val="none"/>
          <w:lang w:val="en-US" w:eastAsia="zh-CN" w:bidi="ar-SA"/>
        </w:rPr>
        <w:t>其中财政资金136.77万元，其他资金0万元，2024年实际收到预算资金136.77万元，预算资金到位率为100%。</w:t>
      </w:r>
    </w:p>
    <w:p w14:paraId="28C0DB05">
      <w:pPr>
        <w:pageBreakBefore w:val="0"/>
        <w:kinsoku/>
        <w:wordWrap/>
        <w:overflowPunct/>
        <w:topLinePunct w:val="0"/>
        <w:autoSpaceDE/>
        <w:autoSpaceDN/>
        <w:bidi w:val="0"/>
        <w:adjustRightInd/>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28"/>
      <w:bookmarkEnd w:id="29"/>
      <w:bookmarkEnd w:id="30"/>
    </w:p>
    <w:p w14:paraId="5D52F715">
      <w:pPr>
        <w:pageBreakBefore w:val="0"/>
        <w:kinsoku/>
        <w:wordWrap/>
        <w:overflowPunct/>
        <w:topLinePunct w:val="0"/>
        <w:autoSpaceDE/>
        <w:autoSpaceDN/>
        <w:bidi w:val="0"/>
        <w:adjustRightInd/>
        <w:spacing w:line="560" w:lineRule="exact"/>
        <w:rPr>
          <w:rFonts w:hint="eastAsia" w:ascii="仿宋_GB2312" w:hAnsi="仿宋_GB2312" w:eastAsia="仿宋_GB2312" w:cs="仿宋_GB2312"/>
          <w:color w:val="auto"/>
          <w:sz w:val="32"/>
          <w:szCs w:val="32"/>
          <w:highlight w:val="none"/>
          <w:lang w:val="en-US" w:eastAsia="zh-CN"/>
        </w:rPr>
      </w:pPr>
      <w:bookmarkStart w:id="31" w:name="_Toc29121"/>
      <w:bookmarkStart w:id="32" w:name="_Toc11647"/>
      <w:bookmarkStart w:id="33" w:name="_Toc1430"/>
      <w:r>
        <w:rPr>
          <w:rFonts w:hint="eastAsia" w:ascii="仿宋_GB2312" w:hAnsi="仿宋_GB2312" w:eastAsia="仿宋_GB2312" w:cs="仿宋_GB2312"/>
          <w:color w:val="auto"/>
          <w:sz w:val="32"/>
          <w:szCs w:val="32"/>
          <w:highlight w:val="none"/>
          <w:lang w:val="en-US" w:eastAsia="zh-CN"/>
        </w:rPr>
        <w:t>该项目年初预算数136.77万元，全年预算数</w:t>
      </w:r>
      <w:r>
        <w:rPr>
          <w:rFonts w:hint="eastAsia" w:ascii="仿宋_GB2312" w:hAnsi="仿宋_GB2312" w:eastAsia="仿宋_GB2312" w:cs="仿宋_GB2312"/>
          <w:b w:val="0"/>
          <w:bCs w:val="0"/>
          <w:color w:val="auto"/>
          <w:kern w:val="2"/>
          <w:sz w:val="32"/>
          <w:szCs w:val="32"/>
          <w:highlight w:val="none"/>
          <w:lang w:val="en-US" w:eastAsia="zh-CN" w:bidi="ar-SA"/>
        </w:rPr>
        <w:t>136.77</w:t>
      </w:r>
      <w:r>
        <w:rPr>
          <w:rFonts w:hint="eastAsia" w:ascii="仿宋_GB2312" w:hAnsi="仿宋_GB2312" w:eastAsia="仿宋_GB2312" w:cs="仿宋_GB2312"/>
          <w:color w:val="auto"/>
          <w:sz w:val="32"/>
          <w:szCs w:val="32"/>
          <w:highlight w:val="none"/>
          <w:lang w:val="en-US" w:eastAsia="zh-CN"/>
        </w:rPr>
        <w:t>万元，截至2024年12月31日，全年执行数</w:t>
      </w:r>
      <w:r>
        <w:rPr>
          <w:rFonts w:hint="eastAsia" w:ascii="仿宋_GB2312" w:hAnsi="仿宋_GB2312" w:eastAsia="仿宋_GB2312" w:cs="仿宋_GB2312"/>
          <w:b w:val="0"/>
          <w:bCs w:val="0"/>
          <w:color w:val="auto"/>
          <w:kern w:val="2"/>
          <w:sz w:val="32"/>
          <w:szCs w:val="32"/>
          <w:highlight w:val="none"/>
          <w:lang w:val="en-US" w:eastAsia="zh-CN" w:bidi="ar-SA"/>
        </w:rPr>
        <w:t>136.77</w:t>
      </w:r>
      <w:r>
        <w:rPr>
          <w:rFonts w:hint="eastAsia" w:ascii="仿宋_GB2312" w:hAnsi="仿宋_GB2312" w:eastAsia="仿宋_GB2312" w:cs="仿宋_GB2312"/>
          <w:color w:val="auto"/>
          <w:sz w:val="32"/>
          <w:szCs w:val="32"/>
          <w:highlight w:val="none"/>
          <w:lang w:val="en-US" w:eastAsia="zh-CN"/>
        </w:rPr>
        <w:t>万元，预算执行率为100%，主要用于：接种疫苗和卫生材料购置、公卫人员劳务费、公共卫生项目所需办公用品耗材购置及设备维护保养等方面。</w:t>
      </w:r>
    </w:p>
    <w:bookmarkEnd w:id="31"/>
    <w:bookmarkEnd w:id="32"/>
    <w:bookmarkEnd w:id="33"/>
    <w:p w14:paraId="3881071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4" w:name="_Toc9109"/>
      <w:r>
        <w:rPr>
          <w:rFonts w:hint="eastAsia" w:ascii="Times New Roman" w:hAnsi="Times New Roman" w:eastAsia="楷体_GB2312" w:cs="Times New Roman"/>
          <w:color w:val="auto"/>
          <w:kern w:val="28"/>
          <w:sz w:val="32"/>
          <w:highlight w:val="none"/>
          <w:lang w:val="en-US" w:eastAsia="zh-CN"/>
        </w:rPr>
        <w:t>（二）项目绩效目标</w:t>
      </w:r>
      <w:bookmarkEnd w:id="34"/>
    </w:p>
    <w:p w14:paraId="24B17688">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5" w:name="_Toc14758"/>
      <w:bookmarkStart w:id="36" w:name="_Toc2547"/>
      <w:bookmarkStart w:id="37" w:name="_Toc10047"/>
      <w:bookmarkStart w:id="38" w:name="_Toc8528"/>
      <w:r>
        <w:rPr>
          <w:rFonts w:hint="eastAsia"/>
          <w:b/>
          <w:bCs/>
          <w:color w:val="auto"/>
          <w:highlight w:val="none"/>
          <w:lang w:val="en-US" w:eastAsia="zh-CN"/>
        </w:rPr>
        <w:t xml:space="preserve">   </w:t>
      </w:r>
      <w:bookmarkEnd w:id="35"/>
      <w:bookmarkEnd w:id="36"/>
      <w:bookmarkEnd w:id="37"/>
      <w:bookmarkEnd w:id="38"/>
      <w:r>
        <w:rPr>
          <w:rFonts w:hint="eastAsia" w:ascii="仿宋_GB2312" w:hAnsi="仿宋_GB2312" w:eastAsia="仿宋_GB2312" w:cs="仿宋_GB2312"/>
          <w:color w:val="auto"/>
          <w:sz w:val="32"/>
          <w:szCs w:val="32"/>
          <w:highlight w:val="none"/>
          <w:shd w:val="clear" w:color="auto" w:fill="auto"/>
          <w:lang w:val="en-US" w:eastAsia="zh-CN"/>
        </w:rPr>
        <w:t>1.总体目标</w:t>
      </w:r>
    </w:p>
    <w:p w14:paraId="6B3E4596">
      <w:pPr>
        <w:pageBreakBefore w:val="0"/>
        <w:kinsoku/>
        <w:wordWrap/>
        <w:overflowPunct/>
        <w:topLinePunct w:val="0"/>
        <w:autoSpaceDE/>
        <w:autoSpaceDN/>
        <w:bidi w:val="0"/>
        <w:adjustRightInd/>
        <w:spacing w:line="560" w:lineRule="exact"/>
        <w:ind w:left="0" w:leftChars="0" w:firstLine="0" w:firstLineChars="0"/>
        <w:rPr>
          <w:rFonts w:hint="eastAsia" w:ascii="仿宋_GB2312" w:hAnsi="仿宋_GB2312" w:eastAsia="仿宋_GB2312" w:cs="仿宋_GB2312"/>
          <w:color w:val="auto"/>
          <w:sz w:val="32"/>
          <w:szCs w:val="32"/>
          <w:highlight w:val="none"/>
          <w:lang w:val="en-US" w:eastAsia="zh-CN"/>
        </w:rPr>
      </w:pPr>
      <w:bookmarkStart w:id="39" w:name="_Toc4007"/>
      <w:bookmarkStart w:id="40" w:name="_Toc8990"/>
      <w:bookmarkStart w:id="41" w:name="_Toc4487"/>
      <w:bookmarkStart w:id="42" w:name="_Toc3255"/>
      <w:r>
        <w:rPr>
          <w:rFonts w:hint="eastAsia" w:ascii="仿宋_GB2312" w:hAnsi="仿宋_GB2312" w:eastAsia="仿宋_GB2312" w:cs="仿宋_GB2312"/>
          <w:color w:val="auto"/>
          <w:highlight w:val="none"/>
          <w:lang w:val="en-US" w:eastAsia="zh-CN"/>
        </w:rPr>
        <w:t xml:space="preserve">    </w:t>
      </w:r>
      <w:r>
        <w:rPr>
          <w:rFonts w:hint="eastAsia" w:ascii="仿宋_GB2312" w:hAnsi="仿宋_GB2312" w:eastAsia="仿宋_GB2312" w:cs="仿宋_GB2312"/>
          <w:color w:val="auto"/>
          <w:sz w:val="32"/>
          <w:szCs w:val="32"/>
          <w:highlight w:val="none"/>
          <w:lang w:val="en-US" w:eastAsia="zh-CN"/>
        </w:rPr>
        <w:t>开展基本公共卫生服务，继续实施建立居民健康档案、健康教育、预防接种、儿童健康管理、孕产妇健康管理、老年人健康管理、高血压和2型糖尿病等慢性病患者健康管理、严重精神障碍患者管理。2024年计划完成65岁以上老人2次医养结合服务完成人数不少于39人，高血压患者管理人数不少于1000人，2型糖尿病管理人数不少于490人；计划完成居民规范化电子健康档案覆盖率达到84%，高血压患者规范管理服务率达到93%，2型糖尿病患者规范管理服务率达到95%，通过项目的实施，预期提高基本公共卫生服务水平和老年人健康服务水平,居民满意度预计达到90%以上。</w:t>
      </w:r>
    </w:p>
    <w:p w14:paraId="34A3EC96">
      <w:pPr>
        <w:pageBreakBefore w:val="0"/>
        <w:kinsoku/>
        <w:wordWrap/>
        <w:overflowPunct/>
        <w:topLinePunct w:val="0"/>
        <w:autoSpaceDE/>
        <w:autoSpaceDN/>
        <w:bidi w:val="0"/>
        <w:adjustRightInd/>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lang w:val="en-US" w:eastAsia="zh-CN"/>
        </w:rPr>
        <w:t>2. 阶段性目标</w:t>
      </w:r>
      <w:bookmarkEnd w:id="39"/>
      <w:bookmarkEnd w:id="40"/>
      <w:bookmarkEnd w:id="41"/>
      <w:bookmarkEnd w:id="42"/>
      <w:r>
        <w:rPr>
          <w:rFonts w:hint="eastAsia" w:ascii="仿宋_GB2312" w:hAnsi="仿宋_GB2312" w:eastAsia="仿宋_GB2312" w:cs="仿宋_GB2312"/>
          <w:color w:val="auto"/>
          <w:sz w:val="32"/>
          <w:szCs w:val="32"/>
          <w:highlight w:val="none"/>
          <w:lang w:val="en-US" w:eastAsia="zh-CN"/>
        </w:rPr>
        <w:t xml:space="preserve"> </w:t>
      </w:r>
    </w:p>
    <w:p w14:paraId="266D9CD4">
      <w:pPr>
        <w:pageBreakBefore w:val="0"/>
        <w:kinsoku/>
        <w:wordWrap/>
        <w:overflowPunct/>
        <w:topLinePunct w:val="0"/>
        <w:autoSpaceDE/>
        <w:autoSpaceDN/>
        <w:bidi w:val="0"/>
        <w:adjustRightInd/>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根据《预算法》《财政支出绩效评价管理暂行办法》（财预〔2020〕10号）等文件的规定，结合项目实施单位的规章制度以及财务相关资料，评价小组对项目绩效目标进行了进一步的完善，完善后绩效目标如下：</w:t>
      </w:r>
    </w:p>
    <w:p w14:paraId="32069C09">
      <w:pPr>
        <w:pageBreakBefore w:val="0"/>
        <w:kinsoku/>
        <w:wordWrap/>
        <w:overflowPunct/>
        <w:topLinePunct w:val="0"/>
        <w:autoSpaceDE/>
        <w:autoSpaceDN/>
        <w:bidi w:val="0"/>
        <w:adjustRightInd/>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（1）项目产出目标</w:t>
      </w:r>
    </w:p>
    <w:p w14:paraId="16DAD788">
      <w:pPr>
        <w:pageBreakBefore w:val="0"/>
        <w:kinsoku/>
        <w:wordWrap/>
        <w:overflowPunct/>
        <w:topLinePunct w:val="0"/>
        <w:autoSpaceDE/>
        <w:autoSpaceDN/>
        <w:bidi w:val="0"/>
        <w:adjustRightInd/>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①数量指标</w:t>
      </w:r>
    </w:p>
    <w:p w14:paraId="1C451D6D">
      <w:pPr>
        <w:pageBreakBefore w:val="0"/>
        <w:kinsoku/>
        <w:wordWrap/>
        <w:overflowPunct/>
        <w:topLinePunct w:val="0"/>
        <w:autoSpaceDE/>
        <w:autoSpaceDN/>
        <w:bidi w:val="0"/>
        <w:adjustRightInd/>
        <w:spacing w:line="560" w:lineRule="exact"/>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rPr>
        <w:t>“高血压患者管理人数”指标，预期目标值为≥1093人；</w:t>
      </w:r>
    </w:p>
    <w:p w14:paraId="687AD99A">
      <w:pPr>
        <w:pStyle w:val="5"/>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“2型糖尿病管理人数”指标，预期目标值为≥495人；</w:t>
      </w:r>
    </w:p>
    <w:p w14:paraId="7CCC86DB">
      <w:pPr>
        <w:pStyle w:val="5"/>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“65岁老年人2次医养结合服务完成人数”指标，预期目标值为≥39人；</w:t>
      </w:r>
    </w:p>
    <w:p w14:paraId="00F411B8">
      <w:pPr>
        <w:pStyle w:val="5"/>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 xml:space="preserve">    ②质量指标</w:t>
      </w:r>
    </w:p>
    <w:p w14:paraId="111DDCDE">
      <w:pPr>
        <w:pStyle w:val="5"/>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“居民规范化电子健康档案覆盖率”指标，预期目标值为≥84%；</w:t>
      </w:r>
    </w:p>
    <w:p w14:paraId="6F8CC872">
      <w:pPr>
        <w:pageBreakBefore w:val="0"/>
        <w:kinsoku/>
        <w:wordWrap/>
        <w:overflowPunct/>
        <w:topLinePunct w:val="0"/>
        <w:autoSpaceDE/>
        <w:autoSpaceDN/>
        <w:bidi w:val="0"/>
        <w:adjustRightInd/>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“高血压患者规范管理服务率”指标，预期目标值为≥93%；</w:t>
      </w:r>
    </w:p>
    <w:p w14:paraId="0E1B6E49">
      <w:pPr>
        <w:pageBreakBefore w:val="0"/>
        <w:kinsoku/>
        <w:wordWrap/>
        <w:overflowPunct/>
        <w:topLinePunct w:val="0"/>
        <w:autoSpaceDE/>
        <w:autoSpaceDN/>
        <w:bidi w:val="0"/>
        <w:adjustRightInd/>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“2型糖尿病患者规范管理服务率”指标，预期目标值为≥95%；</w:t>
      </w:r>
    </w:p>
    <w:p w14:paraId="4CD12A29">
      <w:pPr>
        <w:pageBreakBefore w:val="0"/>
        <w:kinsoku/>
        <w:wordWrap/>
        <w:overflowPunct/>
        <w:topLinePunct w:val="0"/>
        <w:autoSpaceDE/>
        <w:autoSpaceDN/>
        <w:bidi w:val="0"/>
        <w:adjustRightInd/>
        <w:spacing w:line="560" w:lineRule="exact"/>
        <w:ind w:left="0" w:leftChars="0" w:firstLine="0" w:firstLineChars="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③时效指标</w:t>
      </w:r>
    </w:p>
    <w:p w14:paraId="27D56E3F">
      <w:pPr>
        <w:pageBreakBefore w:val="0"/>
        <w:kinsoku/>
        <w:wordWrap/>
        <w:overflowPunct/>
        <w:topLinePunct w:val="0"/>
        <w:autoSpaceDE/>
        <w:autoSpaceDN/>
        <w:bidi w:val="0"/>
        <w:adjustRightInd/>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“项目按期完成时间”指标，预期目标值为≦2024年12月；</w:t>
      </w:r>
    </w:p>
    <w:p w14:paraId="2DF22DDA">
      <w:pPr>
        <w:pageBreakBefore w:val="0"/>
        <w:kinsoku/>
        <w:wordWrap/>
        <w:overflowPunct/>
        <w:topLinePunct w:val="0"/>
        <w:autoSpaceDE/>
        <w:autoSpaceDN/>
        <w:bidi w:val="0"/>
        <w:adjustRightInd/>
        <w:spacing w:line="560" w:lineRule="exact"/>
        <w:ind w:left="0" w:leftChars="0" w:firstLine="0" w:firstLineChars="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  （2）成本指标</w:t>
      </w:r>
    </w:p>
    <w:p w14:paraId="57F3688E">
      <w:pPr>
        <w:pageBreakBefore w:val="0"/>
        <w:kinsoku/>
        <w:wordWrap/>
        <w:overflowPunct/>
        <w:topLinePunct w:val="0"/>
        <w:autoSpaceDE/>
        <w:autoSpaceDN/>
        <w:bidi w:val="0"/>
        <w:adjustRightInd/>
        <w:spacing w:line="560" w:lineRule="exact"/>
        <w:ind w:left="0" w:leftChars="0" w:firstLine="320" w:firstLineChars="1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“需方补助经费”指标，预期目标值为≦48.97万元；</w:t>
      </w:r>
    </w:p>
    <w:p w14:paraId="71A3EC34">
      <w:pPr>
        <w:pageBreakBefore w:val="0"/>
        <w:kinsoku/>
        <w:wordWrap/>
        <w:overflowPunct/>
        <w:topLinePunct w:val="0"/>
        <w:autoSpaceDE/>
        <w:autoSpaceDN/>
        <w:bidi w:val="0"/>
        <w:adjustRightInd/>
        <w:spacing w:line="560" w:lineRule="exact"/>
        <w:ind w:left="0" w:leftChars="0" w:firstLine="320" w:firstLineChars="1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“其他费用”指标，预期目标值为≦87.8万元；</w:t>
      </w:r>
    </w:p>
    <w:p w14:paraId="0393CA54">
      <w:pPr>
        <w:pageBreakBefore w:val="0"/>
        <w:kinsoku/>
        <w:wordWrap/>
        <w:overflowPunct/>
        <w:topLinePunct w:val="0"/>
        <w:autoSpaceDE/>
        <w:autoSpaceDN/>
        <w:bidi w:val="0"/>
        <w:adjustRightInd/>
        <w:spacing w:line="560" w:lineRule="exact"/>
        <w:ind w:left="0" w:leftChars="0" w:firstLine="320" w:firstLineChars="1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（3）项目效益目标</w:t>
      </w:r>
    </w:p>
    <w:p w14:paraId="6E909538">
      <w:pPr>
        <w:pageBreakBefore w:val="0"/>
        <w:kinsoku/>
        <w:wordWrap/>
        <w:overflowPunct/>
        <w:topLinePunct w:val="0"/>
        <w:autoSpaceDE/>
        <w:autoSpaceDN/>
        <w:bidi w:val="0"/>
        <w:adjustRightInd/>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①经济效益指标</w:t>
      </w:r>
    </w:p>
    <w:p w14:paraId="0576EE1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pacing w:val="17"/>
          <w:kern w:val="2"/>
          <w:sz w:val="32"/>
          <w:szCs w:val="32"/>
          <w:highlight w:val="none"/>
          <w:lang w:val="en-US" w:eastAsia="zh-CN" w:bidi="ar-SA"/>
        </w:rPr>
      </w:pPr>
      <w:r>
        <w:rPr>
          <w:rFonts w:hint="eastAsia" w:ascii="仿宋_GB2312" w:hAnsi="仿宋_GB2312" w:eastAsia="仿宋_GB2312" w:cs="仿宋_GB2312"/>
          <w:color w:val="auto"/>
          <w:spacing w:val="17"/>
          <w:kern w:val="2"/>
          <w:sz w:val="32"/>
          <w:szCs w:val="32"/>
          <w:highlight w:val="none"/>
          <w:lang w:val="en-US" w:eastAsia="zh-CN" w:bidi="ar-SA"/>
        </w:rPr>
        <w:t>本项目不涉及经济效益；</w:t>
      </w:r>
    </w:p>
    <w:p w14:paraId="4115B02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pacing w:val="17"/>
          <w:kern w:val="2"/>
          <w:sz w:val="32"/>
          <w:szCs w:val="32"/>
          <w:highlight w:val="none"/>
          <w:lang w:val="en-US" w:eastAsia="zh-CN" w:bidi="ar-SA"/>
        </w:rPr>
      </w:pPr>
      <w:r>
        <w:rPr>
          <w:rFonts w:hint="eastAsia" w:ascii="仿宋_GB2312" w:hAnsi="仿宋_GB2312" w:eastAsia="仿宋_GB2312" w:cs="仿宋_GB2312"/>
          <w:color w:val="auto"/>
          <w:spacing w:val="17"/>
          <w:kern w:val="2"/>
          <w:sz w:val="32"/>
          <w:szCs w:val="32"/>
          <w:highlight w:val="none"/>
          <w:lang w:val="en-US" w:eastAsia="zh-CN" w:bidi="ar-SA"/>
        </w:rPr>
        <w:t>②社会效益指标</w:t>
      </w:r>
    </w:p>
    <w:p w14:paraId="678E04F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pacing w:val="17"/>
          <w:kern w:val="2"/>
          <w:sz w:val="32"/>
          <w:szCs w:val="32"/>
          <w:highlight w:val="none"/>
          <w:lang w:val="en-US" w:eastAsia="zh-CN" w:bidi="ar-SA"/>
        </w:rPr>
      </w:pPr>
      <w:r>
        <w:rPr>
          <w:rFonts w:hint="eastAsia" w:ascii="仿宋_GB2312" w:hAnsi="仿宋_GB2312" w:eastAsia="仿宋_GB2312" w:cs="仿宋_GB2312"/>
          <w:color w:val="auto"/>
          <w:spacing w:val="17"/>
          <w:kern w:val="2"/>
          <w:sz w:val="32"/>
          <w:szCs w:val="32"/>
          <w:highlight w:val="none"/>
          <w:lang w:val="en-US" w:eastAsia="zh-CN" w:bidi="ar-SA"/>
        </w:rPr>
        <w:t>“基本公共卫生服务水平”指标，预期目标值为不断提高；</w:t>
      </w:r>
    </w:p>
    <w:p w14:paraId="17805D59">
      <w:pPr>
        <w:pStyle w:val="14"/>
        <w:pageBreakBefore w:val="0"/>
        <w:kinsoku/>
        <w:wordWrap/>
        <w:overflowPunct/>
        <w:topLinePunct w:val="0"/>
        <w:autoSpaceDE/>
        <w:autoSpaceDN/>
        <w:bidi w:val="0"/>
        <w:adjustRightInd/>
        <w:spacing w:line="560" w:lineRule="exact"/>
        <w:rPr>
          <w:rFonts w:hint="eastAsia" w:ascii="仿宋_GB2312" w:hAnsi="仿宋_GB2312" w:eastAsia="仿宋_GB2312" w:cs="仿宋_GB2312"/>
          <w:b w:val="0"/>
          <w:bCs w:val="0"/>
          <w:color w:val="auto"/>
          <w:spacing w:val="17"/>
          <w:kern w:val="2"/>
          <w:sz w:val="32"/>
          <w:szCs w:val="32"/>
          <w:highlight w:val="none"/>
          <w:lang w:val="en-US" w:eastAsia="zh-CN" w:bidi="ar-SA"/>
        </w:rPr>
      </w:pPr>
      <w:r>
        <w:rPr>
          <w:rFonts w:hint="eastAsia" w:ascii="仿宋_GB2312" w:hAnsi="仿宋_GB2312" w:eastAsia="仿宋_GB2312" w:cs="仿宋_GB2312"/>
          <w:b w:val="0"/>
          <w:bCs w:val="0"/>
          <w:color w:val="auto"/>
          <w:spacing w:val="17"/>
          <w:kern w:val="2"/>
          <w:sz w:val="32"/>
          <w:szCs w:val="32"/>
          <w:highlight w:val="none"/>
          <w:lang w:val="en-US" w:eastAsia="zh-CN" w:bidi="ar-SA"/>
        </w:rPr>
        <w:t>“老年人健康服务水平”指标，预期目标值为不断提高；</w:t>
      </w:r>
    </w:p>
    <w:p w14:paraId="55C1671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pacing w:val="17"/>
          <w:kern w:val="2"/>
          <w:sz w:val="32"/>
          <w:szCs w:val="32"/>
          <w:highlight w:val="none"/>
          <w:lang w:val="en-US" w:eastAsia="zh-CN" w:bidi="ar-SA"/>
        </w:rPr>
      </w:pPr>
      <w:r>
        <w:rPr>
          <w:rFonts w:hint="eastAsia" w:ascii="仿宋_GB2312" w:hAnsi="仿宋_GB2312" w:eastAsia="仿宋_GB2312" w:cs="仿宋_GB2312"/>
          <w:color w:val="auto"/>
          <w:spacing w:val="17"/>
          <w:kern w:val="2"/>
          <w:sz w:val="32"/>
          <w:szCs w:val="32"/>
          <w:highlight w:val="none"/>
          <w:lang w:val="en-US" w:eastAsia="zh-CN" w:bidi="ar-SA"/>
        </w:rPr>
        <w:t>③生态效益指标</w:t>
      </w:r>
    </w:p>
    <w:p w14:paraId="7FF4F2B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pacing w:val="17"/>
          <w:kern w:val="2"/>
          <w:sz w:val="32"/>
          <w:szCs w:val="32"/>
          <w:highlight w:val="none"/>
          <w:lang w:val="en-US" w:eastAsia="zh-CN" w:bidi="ar-SA"/>
        </w:rPr>
      </w:pPr>
      <w:r>
        <w:rPr>
          <w:rFonts w:hint="eastAsia" w:ascii="仿宋_GB2312" w:hAnsi="仿宋_GB2312" w:eastAsia="仿宋_GB2312" w:cs="仿宋_GB2312"/>
          <w:color w:val="auto"/>
          <w:spacing w:val="17"/>
          <w:kern w:val="2"/>
          <w:sz w:val="32"/>
          <w:szCs w:val="32"/>
          <w:highlight w:val="none"/>
          <w:lang w:val="en-US" w:eastAsia="zh-CN" w:bidi="ar-SA"/>
        </w:rPr>
        <w:t>本项目不涉及生态效益；</w:t>
      </w:r>
    </w:p>
    <w:p w14:paraId="1C99B2A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pacing w:val="17"/>
          <w:kern w:val="2"/>
          <w:sz w:val="32"/>
          <w:szCs w:val="32"/>
          <w:highlight w:val="none"/>
          <w:lang w:val="en-US" w:eastAsia="zh-CN" w:bidi="ar-SA"/>
        </w:rPr>
      </w:pPr>
      <w:r>
        <w:rPr>
          <w:rFonts w:hint="eastAsia" w:ascii="仿宋_GB2312" w:hAnsi="仿宋_GB2312" w:eastAsia="仿宋_GB2312" w:cs="仿宋_GB2312"/>
          <w:color w:val="auto"/>
          <w:spacing w:val="17"/>
          <w:kern w:val="2"/>
          <w:sz w:val="32"/>
          <w:szCs w:val="32"/>
          <w:highlight w:val="none"/>
          <w:lang w:val="en-US" w:eastAsia="zh-CN" w:bidi="ar-SA"/>
        </w:rPr>
        <w:t>④可持续影响</w:t>
      </w:r>
    </w:p>
    <w:p w14:paraId="6D4C865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pacing w:val="17"/>
          <w:kern w:val="2"/>
          <w:sz w:val="32"/>
          <w:szCs w:val="32"/>
          <w:highlight w:val="none"/>
          <w:lang w:val="en-US" w:eastAsia="zh-CN" w:bidi="ar-SA"/>
        </w:rPr>
      </w:pPr>
      <w:r>
        <w:rPr>
          <w:rFonts w:hint="eastAsia" w:ascii="仿宋_GB2312" w:hAnsi="仿宋_GB2312" w:eastAsia="仿宋_GB2312" w:cs="仿宋_GB2312"/>
          <w:color w:val="auto"/>
          <w:spacing w:val="17"/>
          <w:kern w:val="2"/>
          <w:sz w:val="32"/>
          <w:szCs w:val="32"/>
          <w:highlight w:val="none"/>
          <w:lang w:val="en-US" w:eastAsia="zh-CN" w:bidi="ar-SA"/>
        </w:rPr>
        <w:t>本项目不涉及可持续影响；</w:t>
      </w:r>
    </w:p>
    <w:p w14:paraId="62EB76A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pacing w:val="17"/>
          <w:kern w:val="2"/>
          <w:sz w:val="32"/>
          <w:szCs w:val="32"/>
          <w:highlight w:val="none"/>
          <w:lang w:val="en-US" w:eastAsia="zh-CN" w:bidi="ar-SA"/>
        </w:rPr>
      </w:pPr>
      <w:r>
        <w:rPr>
          <w:rFonts w:hint="eastAsia" w:ascii="仿宋_GB2312" w:hAnsi="仿宋_GB2312" w:eastAsia="仿宋_GB2312" w:cs="仿宋_GB2312"/>
          <w:color w:val="auto"/>
          <w:spacing w:val="17"/>
          <w:kern w:val="2"/>
          <w:sz w:val="32"/>
          <w:szCs w:val="32"/>
          <w:highlight w:val="none"/>
          <w:lang w:val="en-US" w:eastAsia="zh-CN" w:bidi="ar-SA"/>
        </w:rPr>
        <w:t>⑤满意度指标</w:t>
      </w:r>
    </w:p>
    <w:p w14:paraId="51CA995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pacing w:val="17"/>
          <w:kern w:val="2"/>
          <w:sz w:val="32"/>
          <w:szCs w:val="32"/>
          <w:highlight w:val="none"/>
          <w:lang w:val="en-US" w:eastAsia="zh-CN" w:bidi="ar-SA"/>
        </w:rPr>
      </w:pPr>
      <w:r>
        <w:rPr>
          <w:rFonts w:hint="eastAsia" w:ascii="仿宋_GB2312" w:hAnsi="仿宋_GB2312" w:eastAsia="仿宋_GB2312" w:cs="仿宋_GB2312"/>
          <w:color w:val="auto"/>
          <w:spacing w:val="17"/>
          <w:kern w:val="2"/>
          <w:sz w:val="32"/>
          <w:szCs w:val="32"/>
          <w:highlight w:val="none"/>
          <w:lang w:val="en-US" w:eastAsia="zh-CN" w:bidi="ar-SA"/>
        </w:rPr>
        <w:t>“居民满意度”指标，预期目标值为≥90%。</w:t>
      </w:r>
    </w:p>
    <w:p w14:paraId="5DBA6589">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color w:val="auto"/>
          <w:spacing w:val="17"/>
          <w:kern w:val="2"/>
          <w:sz w:val="32"/>
          <w:szCs w:val="32"/>
          <w:highlight w:val="none"/>
          <w:lang w:val="en-US" w:eastAsia="zh-CN" w:bidi="ar-SA"/>
        </w:rPr>
      </w:pPr>
      <w:bookmarkStart w:id="43" w:name="_Toc26567"/>
      <w:r>
        <w:rPr>
          <w:rFonts w:hint="eastAsia" w:ascii="黑体" w:hAnsi="黑体" w:eastAsia="黑体" w:cs="黑体"/>
          <w:color w:val="auto"/>
          <w:spacing w:val="17"/>
          <w:kern w:val="2"/>
          <w:sz w:val="32"/>
          <w:szCs w:val="32"/>
          <w:highlight w:val="none"/>
          <w:lang w:val="en-US" w:eastAsia="zh-CN" w:bidi="ar-SA"/>
        </w:rPr>
        <w:t>二、绩效评价工作开展情况</w:t>
      </w:r>
      <w:bookmarkEnd w:id="43"/>
    </w:p>
    <w:p w14:paraId="58A6515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711" w:firstLineChars="200"/>
        <w:jc w:val="both"/>
        <w:textAlignment w:val="auto"/>
        <w:rPr>
          <w:rFonts w:hint="eastAsia" w:ascii="Times New Roman" w:hAnsi="Times New Roman" w:eastAsia="仿宋_GB2312" w:cs="Times New Roman"/>
          <w:color w:val="auto"/>
          <w:spacing w:val="17"/>
          <w:kern w:val="2"/>
          <w:sz w:val="32"/>
          <w:szCs w:val="32"/>
          <w:highlight w:val="none"/>
          <w:lang w:val="en-US" w:eastAsia="zh-CN" w:bidi="ar-SA"/>
        </w:rPr>
      </w:pPr>
      <w:bookmarkStart w:id="44" w:name="_Toc26632"/>
      <w:bookmarkStart w:id="45" w:name="_Toc21664"/>
      <w:bookmarkStart w:id="46" w:name="_Toc5462343"/>
      <w:bookmarkStart w:id="47" w:name="_Toc22169_WPSOffice_Level2"/>
      <w:bookmarkStart w:id="48" w:name="_Toc22922"/>
      <w:bookmarkStart w:id="49" w:name="_Toc480473081"/>
      <w:bookmarkStart w:id="50" w:name="_Toc12868"/>
      <w:bookmarkStart w:id="51" w:name="_Toc5258"/>
      <w:bookmarkStart w:id="52" w:name="_Toc22839"/>
      <w:r>
        <w:rPr>
          <w:rFonts w:hint="eastAsia" w:ascii="Times New Roman" w:hAnsi="Times New Roman" w:eastAsia="仿宋_GB2312" w:cs="Times New Roman"/>
          <w:color w:val="auto"/>
          <w:spacing w:val="17"/>
          <w:kern w:val="2"/>
          <w:sz w:val="32"/>
          <w:szCs w:val="32"/>
          <w:highlight w:val="none"/>
          <w:lang w:val="en-US" w:eastAsia="zh-CN" w:bidi="ar-SA"/>
        </w:rPr>
        <w:t>（一）绩效评价的目的</w:t>
      </w:r>
      <w:bookmarkEnd w:id="44"/>
      <w:bookmarkEnd w:id="45"/>
      <w:bookmarkEnd w:id="46"/>
      <w:bookmarkEnd w:id="47"/>
      <w:bookmarkEnd w:id="48"/>
      <w:bookmarkEnd w:id="49"/>
      <w:bookmarkEnd w:id="50"/>
      <w:bookmarkEnd w:id="51"/>
      <w:r>
        <w:rPr>
          <w:rFonts w:hint="eastAsia" w:ascii="Times New Roman" w:hAnsi="Times New Roman" w:eastAsia="仿宋_GB2312" w:cs="Times New Roman"/>
          <w:color w:val="auto"/>
          <w:spacing w:val="17"/>
          <w:kern w:val="2"/>
          <w:sz w:val="32"/>
          <w:szCs w:val="32"/>
          <w:highlight w:val="none"/>
          <w:lang w:val="en-US" w:eastAsia="zh-CN" w:bidi="ar-SA"/>
        </w:rPr>
        <w:t>、对象和范围</w:t>
      </w:r>
      <w:bookmarkEnd w:id="52"/>
    </w:p>
    <w:p w14:paraId="1945B27E">
      <w:pPr>
        <w:pStyle w:val="14"/>
        <w:pageBreakBefore w:val="0"/>
        <w:widowControl w:val="0"/>
        <w:kinsoku/>
        <w:wordWrap/>
        <w:overflowPunct/>
        <w:topLinePunct w:val="0"/>
        <w:autoSpaceDE/>
        <w:autoSpaceDN/>
        <w:bidi w:val="0"/>
        <w:adjustRightInd/>
        <w:snapToGrid/>
        <w:spacing w:before="0" w:after="0" w:line="560" w:lineRule="exact"/>
        <w:ind w:firstLine="711"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3" w:name="_Toc21770"/>
      <w:bookmarkStart w:id="54" w:name="_Toc417"/>
      <w:bookmarkStart w:id="55" w:name="_Toc15732"/>
      <w:r>
        <w:rPr>
          <w:rFonts w:hint="eastAsia" w:ascii="Times New Roman" w:hAnsi="Times New Roman" w:eastAsia="仿宋_GB2312" w:cs="Times New Roman"/>
          <w:color w:val="auto"/>
          <w:spacing w:val="17"/>
          <w:kern w:val="2"/>
          <w:sz w:val="32"/>
          <w:szCs w:val="32"/>
          <w:highlight w:val="none"/>
          <w:lang w:val="en-US" w:eastAsia="zh-CN" w:bidi="ar-SA"/>
        </w:rPr>
        <w:t>1.</w:t>
      </w:r>
      <w:bookmarkEnd w:id="53"/>
      <w:bookmarkEnd w:id="54"/>
      <w:bookmarkEnd w:id="55"/>
      <w:r>
        <w:rPr>
          <w:rFonts w:hint="default" w:ascii="Times New Roman" w:hAnsi="Times New Roman" w:eastAsia="仿宋_GB2312" w:cs="Times New Roman"/>
          <w:b/>
          <w:bCs/>
          <w:color w:val="auto"/>
          <w:kern w:val="2"/>
          <w:sz w:val="32"/>
          <w:szCs w:val="32"/>
          <w:highlight w:val="none"/>
          <w:lang w:val="en-US" w:eastAsia="zh-CN" w:bidi="ar-SA"/>
        </w:rPr>
        <w:t>绩效评价完整性</w:t>
      </w:r>
    </w:p>
    <w:p w14:paraId="13020864">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pacing w:val="17"/>
          <w:kern w:val="2"/>
          <w:sz w:val="32"/>
          <w:szCs w:val="32"/>
          <w:highlight w:val="none"/>
          <w:lang w:val="en-US" w:eastAsia="zh-CN" w:bidi="ar-SA"/>
        </w:rPr>
        <w:t xml:space="preserve"> </w:t>
      </w: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2BFE5389">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217AD902">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064F6B6">
      <w:pPr>
        <w:pageBreakBefore w:val="0"/>
        <w:kinsoku/>
        <w:wordWrap/>
        <w:overflowPunct/>
        <w:topLinePunct w:val="0"/>
        <w:autoSpaceDE/>
        <w:autoSpaceDN/>
        <w:bidi w:val="0"/>
        <w:adjustRightInd/>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0E6C0807">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w:t>
      </w:r>
      <w:r>
        <w:rPr>
          <w:rFonts w:hint="default" w:ascii="Times New Roman" w:hAnsi="Times New Roman" w:eastAsia="仿宋_GB2312" w:cs="Times New Roman"/>
          <w:sz w:val="32"/>
          <w:szCs w:val="32"/>
          <w:highlight w:val="none"/>
          <w:lang w:val="en-US" w:eastAsia="zh-CN"/>
        </w:rPr>
        <w:t>中，我们将继续完善绩效评价体系，不断提升评价工作的质量和水平，以更好地服务于项目的管理和优化。</w:t>
      </w:r>
    </w:p>
    <w:p w14:paraId="40A5893A">
      <w:pPr>
        <w:spacing w:line="560" w:lineRule="exact"/>
        <w:ind w:left="0" w:leftChars="0" w:firstLine="964" w:firstLineChars="300"/>
        <w:rPr>
          <w:rFonts w:hint="eastAsia" w:ascii="Times New Roman" w:hAnsi="Times New Roman" w:eastAsia="仿宋_GB2312" w:cs="Times New Roman"/>
          <w:b/>
          <w:bCs/>
          <w:sz w:val="32"/>
          <w:szCs w:val="32"/>
          <w:highlight w:val="none"/>
          <w:lang w:val="en-US" w:eastAsia="zh-CN"/>
        </w:rPr>
      </w:pPr>
      <w:bookmarkStart w:id="56" w:name="_Toc31970"/>
      <w:bookmarkStart w:id="57" w:name="_Toc16346"/>
      <w:bookmarkStart w:id="58" w:name="_Toc30609"/>
      <w:r>
        <w:rPr>
          <w:rFonts w:hint="eastAsia" w:ascii="Times New Roman" w:hAnsi="Times New Roman" w:eastAsia="仿宋_GB2312" w:cs="Times New Roman"/>
          <w:b/>
          <w:bCs/>
          <w:sz w:val="32"/>
          <w:szCs w:val="32"/>
          <w:highlight w:val="none"/>
          <w:lang w:val="en-US" w:eastAsia="zh-CN"/>
        </w:rPr>
        <w:t>2.</w:t>
      </w:r>
      <w:bookmarkEnd w:id="56"/>
      <w:bookmarkEnd w:id="57"/>
      <w:bookmarkEnd w:id="58"/>
      <w:r>
        <w:rPr>
          <w:rFonts w:hint="eastAsia" w:ascii="Times New Roman" w:hAnsi="Times New Roman" w:eastAsia="仿宋_GB2312" w:cs="Times New Roman"/>
          <w:b/>
          <w:bCs/>
          <w:sz w:val="32"/>
          <w:szCs w:val="32"/>
          <w:highlight w:val="none"/>
          <w:lang w:val="en-US" w:eastAsia="zh-CN"/>
        </w:rPr>
        <w:t>绩效评价的目的</w:t>
      </w:r>
    </w:p>
    <w:p w14:paraId="1C62A1F0">
      <w:pPr>
        <w:spacing w:line="560" w:lineRule="exact"/>
        <w:ind w:firstLine="640" w:firstLineChars="200"/>
        <w:rPr>
          <w:rFonts w:hint="eastAsia" w:ascii="仿宋_GB2312" w:hAnsi="仿宋_GB2312" w:eastAsia="仿宋_GB2312" w:cs="仿宋_GB2312"/>
          <w:color w:val="auto"/>
          <w:sz w:val="32"/>
          <w:szCs w:val="32"/>
          <w:highlight w:val="none"/>
          <w:shd w:val="clear" w:color="auto" w:fill="auto"/>
          <w:lang w:eastAsia="zh-CN"/>
        </w:rPr>
      </w:pPr>
      <w:r>
        <w:rPr>
          <w:rFonts w:hint="eastAsia" w:ascii="Times New Roman" w:hAnsi="Times New Roman" w:eastAsia="仿宋_GB2312" w:cs="Times New Roman"/>
          <w:sz w:val="32"/>
          <w:szCs w:val="32"/>
          <w:highlight w:val="none"/>
          <w:lang w:val="en-US" w:eastAsia="zh-CN"/>
        </w:rPr>
        <w:t xml:space="preserve">  全面了解该项目预算编制合理性、资金使用合规性、项目管理的规范性、绩效目标的实现情况、服务对象的满意度等，通过本次部门绩效评价来总结经验和教训，</w:t>
      </w:r>
      <w:r>
        <w:rPr>
          <w:rFonts w:hint="eastAsia" w:ascii="仿宋_GB2312" w:hAnsi="仿宋_GB2312" w:eastAsia="仿宋_GB2312" w:cs="仿宋_GB2312"/>
          <w:color w:val="auto"/>
          <w:sz w:val="32"/>
          <w:szCs w:val="32"/>
          <w:highlight w:val="none"/>
          <w:shd w:val="clear" w:color="auto" w:fill="auto"/>
          <w:lang w:eastAsia="zh-CN"/>
        </w:rPr>
        <w:t>促进项目成果转化和应用，为今后类似项目的长效管理，提供可行性参考建议。</w:t>
      </w:r>
    </w:p>
    <w:p w14:paraId="41658A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（1）评估项目实施效果</w:t>
      </w:r>
    </w:p>
    <w:p w14:paraId="08A24A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693B48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（2）提升资源利用效率</w:t>
      </w:r>
    </w:p>
    <w:p w14:paraId="64B9EB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0B97B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（3）强化项目管理责任</w:t>
      </w:r>
    </w:p>
    <w:p w14:paraId="73CEAA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765D42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（4）为决策提供支持</w:t>
      </w:r>
    </w:p>
    <w:p w14:paraId="33CDAF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E9181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（5）促进项目持续改进</w:t>
      </w:r>
    </w:p>
    <w:p w14:paraId="71694F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63698B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w:t>
      </w:r>
      <w:r>
        <w:rPr>
          <w:rFonts w:hint="default" w:ascii="Times New Roman" w:hAnsi="Times New Roman" w:eastAsia="仿宋_GB2312" w:cs="Times New Roman"/>
          <w:sz w:val="32"/>
          <w:szCs w:val="32"/>
          <w:highlight w:val="none"/>
        </w:rPr>
        <w:t>经济效益与社会效益</w:t>
      </w:r>
      <w:r>
        <w:rPr>
          <w:rFonts w:hint="eastAsia" w:ascii="仿宋_GB2312" w:hAnsi="仿宋_GB2312" w:eastAsia="仿宋_GB2312" w:cs="仿宋_GB2312"/>
          <w:color w:val="auto"/>
          <w:sz w:val="32"/>
          <w:szCs w:val="32"/>
          <w:highlight w:val="none"/>
        </w:rPr>
        <w:t>。</w:t>
      </w:r>
    </w:p>
    <w:p w14:paraId="17FAE6B3">
      <w:pPr>
        <w:pStyle w:val="5"/>
        <w:pageBreakBefore w:val="0"/>
        <w:numPr>
          <w:ilvl w:val="0"/>
          <w:numId w:val="1"/>
        </w:numPr>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绩效评价的对象</w:t>
      </w:r>
    </w:p>
    <w:p w14:paraId="3A42CB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此次我单位根据《财政支出绩效评价管理暂行办法》（财预〔2020〕10号）文件要求对2024年度我单位实施的基本公共卫生服务项目开展部门绩效评价。</w:t>
      </w:r>
    </w:p>
    <w:p w14:paraId="47E3EA43">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eastAsia" w:ascii="仿宋_GB2312" w:hAnsi="仿宋_GB2312" w:eastAsia="仿宋_GB2312" w:cs="仿宋_GB2312"/>
          <w:color w:val="auto"/>
          <w:sz w:val="32"/>
          <w:szCs w:val="32"/>
          <w:highlight w:val="none"/>
          <w:lang w:val="en-US" w:eastAsia="zh-CN"/>
        </w:rPr>
        <w:t xml:space="preserve"> 该项目由阜康市阜新社区卫生服务中心负责实施，本中心承担疫情防控、居民健康档案管理、健康教育、预防接种、慢病管理、孕产妇管理、0-6岁儿童健康管理、精神疾病管</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理、老年人健康管理、卫生监督协管、中医药服务、传染病及突发公共卫生事件报告和处理等基本公共卫生服务</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和家庭医生签约式服务工作。截止12月31日，此项目完成了居民规范化电子健康档案覆盖率84.3％。高血压患者人数保持在1093人，规范服务率93.23％，管理2型糖尿病患者人数达到495人，规范服务率94.75％。完成65岁老年人2次医养结合服务39人，通过项目的实施，提高了基本公共卫生服务水平和老年人健康服务水平。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136.77</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3FA0024D">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jc w:val="both"/>
        <w:textAlignment w:val="auto"/>
        <w:rPr>
          <w:rFonts w:hint="default" w:ascii="仿宋_GB2312" w:hAnsi="仿宋_GB2312" w:eastAsia="仿宋_GB2312" w:cs="仿宋_GB2312"/>
          <w:b/>
          <w:bCs/>
          <w:color w:val="auto"/>
          <w:kern w:val="0"/>
          <w:sz w:val="32"/>
          <w:szCs w:val="32"/>
          <w:highlight w:val="none"/>
          <w:shd w:val="clear" w:color="auto" w:fill="auto"/>
          <w:lang w:val="en-US" w:eastAsia="zh-CN" w:bidi="ar-SA"/>
        </w:rPr>
      </w:pPr>
      <w:bookmarkStart w:id="59" w:name="_Toc29785"/>
      <w:bookmarkStart w:id="60" w:name="_Toc1286"/>
      <w:r>
        <w:rPr>
          <w:rFonts w:hint="eastAsia" w:cs="仿宋_GB2312"/>
          <w:color w:val="auto"/>
          <w:sz w:val="32"/>
          <w:szCs w:val="32"/>
          <w:highlight w:val="none"/>
          <w:shd w:val="clear" w:color="auto" w:fill="auto"/>
          <w:lang w:val="en-US" w:eastAsia="zh-CN"/>
        </w:rPr>
        <w:t xml:space="preserve">   </w:t>
      </w:r>
      <w:r>
        <w:rPr>
          <w:rFonts w:hint="eastAsia" w:ascii="仿宋_GB2312" w:hAnsi="仿宋_GB2312" w:eastAsia="仿宋_GB2312" w:cs="仿宋_GB2312"/>
          <w:b/>
          <w:bCs/>
          <w:color w:val="auto"/>
          <w:kern w:val="0"/>
          <w:sz w:val="32"/>
          <w:szCs w:val="32"/>
          <w:highlight w:val="none"/>
          <w:shd w:val="clear" w:color="auto" w:fill="auto"/>
          <w:lang w:val="en-US" w:eastAsia="zh-CN" w:bidi="ar-SA"/>
        </w:rPr>
        <w:t>4.</w:t>
      </w:r>
      <w:r>
        <w:rPr>
          <w:rFonts w:hint="default" w:ascii="仿宋_GB2312" w:hAnsi="仿宋_GB2312" w:eastAsia="仿宋_GB2312" w:cs="仿宋_GB2312"/>
          <w:b/>
          <w:bCs/>
          <w:color w:val="auto"/>
          <w:kern w:val="0"/>
          <w:sz w:val="32"/>
          <w:szCs w:val="32"/>
          <w:highlight w:val="none"/>
          <w:shd w:val="clear" w:color="auto" w:fill="auto"/>
          <w:lang w:val="en-US" w:eastAsia="zh-CN" w:bidi="ar-SA"/>
        </w:rPr>
        <w:t>绩效评价的范围</w:t>
      </w:r>
    </w:p>
    <w:p w14:paraId="7353D4B6">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本项目预算绩效评价报告的评价范围广泛而全面，涵盖了从项目立项至评价时点期间的所有关键预算活动和财务流程。具体而言，评价范围包括以下几个方面：</w:t>
      </w:r>
    </w:p>
    <w:p w14:paraId="22F28141">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w:t>
      </w:r>
    </w:p>
    <w:p w14:paraId="3722A115">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7366027A">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3）</w:t>
      </w:r>
      <w:r>
        <w:rPr>
          <w:rFonts w:hint="eastAsia" w:ascii="仿宋_GB2312" w:hAnsi="仿宋_GB2312" w:eastAsia="仿宋_GB2312" w:cs="仿宋_GB2312"/>
          <w:b w:val="0"/>
          <w:bCs w:val="0"/>
          <w:color w:val="auto"/>
          <w:sz w:val="32"/>
          <w:szCs w:val="32"/>
          <w:highlight w:val="none"/>
        </w:rPr>
        <w:t>项目实施进度与产出：本项目按照既定计划顺利推进，各项任务按时完成，项目产出的数量、质量和时效性符合预期。</w:t>
      </w:r>
    </w:p>
    <w:p w14:paraId="70ABA401">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w:t>
      </w:r>
      <w:r>
        <w:rPr>
          <w:rFonts w:hint="eastAsia" w:ascii="仿宋_GB2312" w:hAnsi="仿宋_GB2312" w:eastAsia="仿宋_GB2312" w:cs="仿宋_GB2312"/>
          <w:b w:val="0"/>
          <w:bCs w:val="0"/>
          <w:color w:val="auto"/>
          <w:sz w:val="32"/>
          <w:szCs w:val="32"/>
          <w:highlight w:val="none"/>
          <w:lang w:val="en-US" w:eastAsia="zh-CN"/>
        </w:rPr>
        <w:t>等</w:t>
      </w:r>
      <w:r>
        <w:rPr>
          <w:rFonts w:hint="eastAsia" w:ascii="仿宋_GB2312" w:hAnsi="仿宋_GB2312" w:eastAsia="仿宋_GB2312" w:cs="仿宋_GB2312"/>
          <w:b w:val="0"/>
          <w:bCs w:val="0"/>
          <w:color w:val="auto"/>
          <w:sz w:val="32"/>
          <w:szCs w:val="32"/>
          <w:highlight w:val="none"/>
        </w:rPr>
        <w:t>影响：</w:t>
      </w:r>
      <w:r>
        <w:rPr>
          <w:rFonts w:hint="eastAsia" w:ascii="仿宋_GB2312" w:hAnsi="仿宋_GB2312" w:eastAsia="仿宋_GB2312" w:cs="仿宋_GB2312"/>
          <w:b w:val="0"/>
          <w:bCs w:val="0"/>
          <w:sz w:val="32"/>
          <w:szCs w:val="32"/>
          <w:highlight w:val="none"/>
        </w:rPr>
        <w:t>考察项目对社会、</w:t>
      </w:r>
      <w:r>
        <w:rPr>
          <w:rFonts w:hint="eastAsia" w:ascii="仿宋_GB2312" w:hAnsi="仿宋_GB2312" w:eastAsia="仿宋_GB2312" w:cs="仿宋_GB2312"/>
          <w:b w:val="0"/>
          <w:bCs w:val="0"/>
          <w:sz w:val="32"/>
          <w:szCs w:val="32"/>
          <w:highlight w:val="none"/>
          <w:lang w:val="en-US" w:eastAsia="zh-CN"/>
        </w:rPr>
        <w:t>生态</w:t>
      </w:r>
      <w:r>
        <w:rPr>
          <w:rFonts w:hint="eastAsia" w:ascii="仿宋_GB2312" w:hAnsi="仿宋_GB2312" w:eastAsia="仿宋_GB2312" w:cs="仿宋_GB2312"/>
          <w:b w:val="0"/>
          <w:bCs w:val="0"/>
          <w:sz w:val="32"/>
          <w:szCs w:val="32"/>
          <w:highlight w:val="none"/>
        </w:rPr>
        <w:t>、经济等方面的综合影响</w:t>
      </w:r>
      <w:r>
        <w:rPr>
          <w:rFonts w:hint="eastAsia" w:ascii="仿宋_GB2312" w:hAnsi="仿宋_GB2312" w:eastAsia="仿宋_GB2312" w:cs="仿宋_GB2312"/>
          <w:b w:val="0"/>
          <w:bCs w:val="0"/>
          <w:color w:val="auto"/>
          <w:sz w:val="32"/>
          <w:szCs w:val="32"/>
          <w:highlight w:val="none"/>
        </w:rPr>
        <w:t>。</w:t>
      </w:r>
    </w:p>
    <w:p w14:paraId="3E183BF5">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jc w:val="both"/>
        <w:textAlignment w:val="auto"/>
        <w:rPr>
          <w:rFonts w:hint="eastAsia" w:ascii="Times New Roman" w:hAnsi="Times New Roman" w:eastAsia="楷体_GB2312" w:cs="Times New Roman"/>
          <w:color w:val="auto"/>
          <w:kern w:val="28"/>
          <w:sz w:val="32"/>
          <w:highlight w:val="none"/>
          <w:lang w:val="en-US" w:eastAsia="zh-CN"/>
        </w:rPr>
      </w:pPr>
      <w:r>
        <w:rPr>
          <w:rFonts w:hint="eastAsia" w:ascii="Times New Roman" w:hAnsi="Times New Roman" w:eastAsia="楷体_GB2312" w:cs="Times New Roman"/>
          <w:color w:val="auto"/>
          <w:kern w:val="28"/>
          <w:sz w:val="32"/>
          <w:highlight w:val="none"/>
          <w:lang w:val="en-US" w:eastAsia="zh-CN"/>
        </w:rPr>
        <w:t xml:space="preserve">  （二）绩效评价原则、评价指标体系（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59"/>
      <w:bookmarkEnd w:id="60"/>
    </w:p>
    <w:p w14:paraId="72FE5DD2">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1" w:name="_Toc13694"/>
      <w:bookmarkStart w:id="62" w:name="_Toc5354"/>
      <w:bookmarkStart w:id="63" w:name="_Toc24506"/>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1"/>
      <w:bookmarkEnd w:id="62"/>
      <w:bookmarkEnd w:id="63"/>
    </w:p>
    <w:p w14:paraId="3BB4DD24">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依据《财政支出绩效评价管理暂行办法》（财预〔20</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仿宋_GB2312" w:hAnsi="仿宋_GB2312" w:eastAsia="仿宋_GB2312" w:cs="仿宋_GB2312"/>
          <w:color w:val="auto"/>
          <w:sz w:val="32"/>
          <w:szCs w:val="32"/>
          <w:highlight w:val="none"/>
          <w:lang w:val="en-US" w:eastAsia="zh-CN"/>
        </w:rPr>
        <w:t>基本公共卫生服务</w:t>
      </w:r>
      <w:r>
        <w:rPr>
          <w:rFonts w:hint="eastAsia" w:ascii="仿宋_GB2312" w:hAnsi="仿宋_GB2312" w:eastAsia="仿宋_GB2312" w:cs="仿宋_GB2312"/>
          <w:color w:val="auto"/>
          <w:sz w:val="32"/>
          <w:szCs w:val="32"/>
          <w:highlight w:val="none"/>
          <w:lang w:eastAsia="zh-CN"/>
        </w:rPr>
        <w:t>项目实际开展情况，运用定量和定性分析相结合的方法，总结经验做法，反思项目实施和管理中的问题，以切实提升财政资金管理的科学化、规范化和精细化水平。</w:t>
      </w:r>
    </w:p>
    <w:p w14:paraId="1FDA228B">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根据以上原则，绩效评价应遵循如下要求：</w:t>
      </w:r>
    </w:p>
    <w:p w14:paraId="198C6460">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）科学公正。绩效评价应当运用科学合理的方法，按照规范的程序，对项目绩效进行客观、公正的反映。</w:t>
      </w:r>
    </w:p>
    <w:p w14:paraId="7156BE5F">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）统筹兼顾。单位自评、部门评价和财政评价应职责明确，各有侧重，相互衔接。单位自评应由项目单位自主实施，即“谁支出、谁自评”。</w:t>
      </w:r>
    </w:p>
    <w:p w14:paraId="1FC17303">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41893AC2">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）公开透明。绩效评价结果应依法依规公开，并自觉接受社会监督。</w:t>
      </w:r>
    </w:p>
    <w:p w14:paraId="693B0C54">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64" w:name="_Toc24396"/>
      <w:bookmarkStart w:id="65" w:name="_Toc26131"/>
      <w:bookmarkStart w:id="66" w:name="_Toc428278230"/>
      <w:bookmarkStart w:id="67" w:name="_Toc1913"/>
      <w:bookmarkStart w:id="68" w:name="_Toc419984722"/>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64"/>
      <w:bookmarkEnd w:id="65"/>
      <w:bookmarkEnd w:id="66"/>
      <w:bookmarkEnd w:id="67"/>
      <w:bookmarkEnd w:id="68"/>
    </w:p>
    <w:p w14:paraId="343121D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69"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7E90576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2B18B57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B6810F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50F9E7DC">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21998D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03726C1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36A5543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639ADF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04CA509D">
      <w:pPr>
        <w:pStyle w:val="5"/>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0" w:name="_Toc5690"/>
      <w:bookmarkStart w:id="71" w:name="_Toc30114"/>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69"/>
      <w:bookmarkEnd w:id="70"/>
      <w:bookmarkEnd w:id="71"/>
    </w:p>
    <w:p w14:paraId="421804D6">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2" w:name="_Toc6081"/>
      <w:bookmarkStart w:id="73" w:name="_Toc25651"/>
      <w:bookmarkStart w:id="74"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192DA572">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2FD94821">
      <w:pPr>
        <w:pageBreakBefore w:val="0"/>
        <w:numPr>
          <w:ilvl w:val="0"/>
          <w:numId w:val="3"/>
        </w:numPr>
        <w:kinsoku/>
        <w:wordWrap/>
        <w:overflowPunct/>
        <w:topLinePunct w:val="0"/>
        <w:autoSpaceDE/>
        <w:autoSpaceDN/>
        <w:bidi w:val="0"/>
        <w:adjustRightInd/>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p>
    <w:p w14:paraId="13E5AEDA">
      <w:pPr>
        <w:pageBreakBefore w:val="0"/>
        <w:kinsoku/>
        <w:wordWrap/>
        <w:overflowPunct/>
        <w:topLinePunct w:val="0"/>
        <w:autoSpaceDE/>
        <w:autoSpaceDN/>
        <w:bidi w:val="0"/>
        <w:adjustRightInd/>
        <w:spacing w:line="560" w:lineRule="exact"/>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p>
    <w:p w14:paraId="378A7D27">
      <w:pPr>
        <w:pStyle w:val="5"/>
        <w:pageBreakBefore w:val="0"/>
        <w:kinsoku/>
        <w:wordWrap/>
        <w:overflowPunct/>
        <w:topLinePunct w:val="0"/>
        <w:autoSpaceDE/>
        <w:autoSpaceDN/>
        <w:bidi w:val="0"/>
        <w:adjustRightInd/>
        <w:spacing w:line="560" w:lineRule="exact"/>
        <w:ind w:left="0" w:leftChars="0" w:firstLine="321" w:firstLineChars="1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4.评价标准</w:t>
      </w:r>
      <w:bookmarkEnd w:id="72"/>
      <w:bookmarkEnd w:id="73"/>
      <w:bookmarkEnd w:id="74"/>
    </w:p>
    <w:p w14:paraId="1B001CEA">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eastAsia="zh-CN"/>
        </w:rPr>
      </w:pPr>
      <w:bookmarkStart w:id="75" w:name="_Toc21435"/>
      <w:r>
        <w:rPr>
          <w:rFonts w:hint="eastAsia" w:ascii="仿宋_GB2312" w:hAnsi="仿宋_GB2312" w:eastAsia="仿宋_GB2312" w:cs="仿宋_GB2312"/>
          <w:color w:val="auto"/>
          <w:spacing w:val="17"/>
          <w:sz w:val="32"/>
          <w:szCs w:val="32"/>
          <w:highlight w:val="none"/>
        </w:rPr>
        <w:t>绩效评价标准通常包括计划标准、行业标准、历史标准等，用于对绩效指标完成情况进行比较、分析、评价。本次评价主要采用了计划标准标准</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行业标准。</w:t>
      </w:r>
    </w:p>
    <w:p w14:paraId="6187133B">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lang w:val="en-US" w:eastAsia="zh-CN"/>
        </w:rPr>
        <w:t>1</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计划标准。指以预先制定的目标、计划、预算、定额等作为评价标准。</w:t>
      </w:r>
    </w:p>
    <w:p w14:paraId="5DFD4CDB">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lang w:val="en-US" w:eastAsia="zh-CN"/>
        </w:rPr>
        <w:t>2</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行业标准。指参照国家公布的行业指标数据制定的评价标准。</w:t>
      </w:r>
    </w:p>
    <w:p w14:paraId="67658F3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r>
        <w:rPr>
          <w:rFonts w:hint="eastAsia" w:ascii="Times New Roman" w:hAnsi="Times New Roman" w:eastAsia="楷体_GB2312" w:cs="Times New Roman"/>
          <w:color w:val="auto"/>
          <w:kern w:val="28"/>
          <w:sz w:val="32"/>
          <w:highlight w:val="none"/>
          <w:lang w:val="en-US" w:eastAsia="zh-CN"/>
        </w:rPr>
        <w:t>（三）绩效评价工作过程</w:t>
      </w:r>
      <w:bookmarkEnd w:id="75"/>
    </w:p>
    <w:p w14:paraId="58465E80">
      <w:pPr>
        <w:pageBreakBefore w:val="0"/>
        <w:kinsoku/>
        <w:wordWrap/>
        <w:overflowPunct/>
        <w:topLinePunct w:val="0"/>
        <w:autoSpaceDE/>
        <w:autoSpaceDN/>
        <w:bidi w:val="0"/>
        <w:adjustRightInd/>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76"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76"/>
    </w:p>
    <w:p w14:paraId="69E43979">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r>
        <w:rPr>
          <w:rFonts w:hint="eastAsia" w:ascii="仿宋_GB2312" w:hAnsi="仿宋_GB2312" w:eastAsia="仿宋_GB2312" w:cs="仿宋_GB2312"/>
          <w:color w:val="auto"/>
          <w:spacing w:val="17"/>
          <w:sz w:val="32"/>
          <w:szCs w:val="32"/>
          <w:highlight w:val="none"/>
          <w:lang w:val="en-US" w:eastAsia="zh-CN"/>
        </w:rPr>
        <w:t>（1）成立绩效评价项目小组</w:t>
      </w:r>
    </w:p>
    <w:p w14:paraId="683A165B">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r>
        <w:rPr>
          <w:rFonts w:hint="eastAsia" w:ascii="仿宋_GB2312" w:hAnsi="仿宋_GB2312" w:eastAsia="仿宋_GB2312" w:cs="仿宋_GB2312"/>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088D47FC">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77" w:name="_Toc31571"/>
      <w:r>
        <w:rPr>
          <w:rFonts w:hint="eastAsia" w:ascii="仿宋_GB2312" w:hAnsi="仿宋_GB2312" w:eastAsia="仿宋_GB2312" w:cs="仿宋_GB2312"/>
          <w:color w:val="auto"/>
          <w:spacing w:val="17"/>
          <w:sz w:val="32"/>
          <w:szCs w:val="32"/>
          <w:highlight w:val="none"/>
          <w:lang w:val="en-US" w:eastAsia="zh-CN"/>
        </w:rPr>
        <w:t>（2）开展前期调研</w:t>
      </w:r>
      <w:bookmarkEnd w:id="77"/>
    </w:p>
    <w:p w14:paraId="7881C84A">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78" w:name="_Toc21240"/>
      <w:r>
        <w:rPr>
          <w:rFonts w:hint="eastAsia" w:ascii="仿宋_GB2312" w:hAnsi="仿宋_GB2312" w:eastAsia="仿宋_GB2312" w:cs="仿宋_GB2312"/>
          <w:color w:val="auto"/>
          <w:spacing w:val="17"/>
          <w:sz w:val="32"/>
          <w:szCs w:val="32"/>
          <w:highlight w:val="none"/>
          <w:lang w:val="en-US" w:eastAsia="zh-CN"/>
        </w:rPr>
        <w:t>绩效评价项目小组依据此次绩效评价受委托内容，对拟评价的项目实施前期调研。通过调研对基本公共卫生服务</w:t>
      </w:r>
      <w:r>
        <w:rPr>
          <w:rFonts w:hint="eastAsia" w:ascii="Times New Roman" w:hAnsi="Times New Roman" w:eastAsia="仿宋_GB2312" w:cs="Times New Roman"/>
          <w:color w:val="auto"/>
          <w:spacing w:val="17"/>
          <w:sz w:val="32"/>
          <w:szCs w:val="32"/>
          <w:highlight w:val="none"/>
          <w:lang w:val="en-US" w:eastAsia="zh-CN"/>
        </w:rPr>
        <w:t>项目实施内容、目标信息、预算信息以及其他的一些项目基本信息，有了初步了解，为制定绩效评价工作方案做好准备。</w:t>
      </w:r>
      <w:bookmarkEnd w:id="78"/>
    </w:p>
    <w:p w14:paraId="2A97137B">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79"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79"/>
    </w:p>
    <w:p w14:paraId="267337AF">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0"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0"/>
    </w:p>
    <w:p w14:paraId="0B4F1AB9">
      <w:pPr>
        <w:pageBreakBefore w:val="0"/>
        <w:kinsoku/>
        <w:wordWrap/>
        <w:overflowPunct/>
        <w:topLinePunct w:val="0"/>
        <w:autoSpaceDE/>
        <w:autoSpaceDN/>
        <w:bidi w:val="0"/>
        <w:adjustRightInd/>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1"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1"/>
    </w:p>
    <w:p w14:paraId="09CA6799">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82" w:name="_Toc14111"/>
      <w:r>
        <w:rPr>
          <w:rFonts w:hint="eastAsia" w:ascii="仿宋_GB2312" w:hAnsi="仿宋_GB2312" w:eastAsia="仿宋_GB2312" w:cs="仿宋_GB2312"/>
          <w:color w:val="auto"/>
          <w:spacing w:val="17"/>
          <w:sz w:val="32"/>
          <w:szCs w:val="32"/>
          <w:highlight w:val="none"/>
          <w:lang w:val="en-US" w:eastAsia="zh-CN"/>
        </w:rPr>
        <w:t>（1）收集基础资料</w:t>
      </w:r>
      <w:bookmarkEnd w:id="82"/>
    </w:p>
    <w:p w14:paraId="6A319BCA">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83" w:name="_Toc28524"/>
      <w:r>
        <w:rPr>
          <w:rFonts w:hint="eastAsia" w:ascii="仿宋_GB2312" w:hAnsi="仿宋_GB2312" w:eastAsia="仿宋_GB2312" w:cs="仿宋_GB2312"/>
          <w:color w:val="auto"/>
          <w:spacing w:val="17"/>
          <w:sz w:val="32"/>
          <w:szCs w:val="32"/>
          <w:highlight w:val="none"/>
          <w:lang w:val="en-US" w:eastAsia="zh-CN"/>
        </w:rPr>
        <w:t>根据评价工作的需要和要求，在前期调研的基础上，通过多种渠道全面收集项目基础信息资料，主要包括：</w:t>
      </w:r>
      <w:bookmarkEnd w:id="83"/>
    </w:p>
    <w:p w14:paraId="284FBA5E">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84" w:name="_Toc32216"/>
      <w:r>
        <w:rPr>
          <w:rFonts w:hint="eastAsia" w:ascii="仿宋_GB2312" w:hAnsi="仿宋_GB2312" w:eastAsia="仿宋_GB2312" w:cs="仿宋_GB2312"/>
          <w:color w:val="auto"/>
          <w:spacing w:val="17"/>
          <w:sz w:val="32"/>
          <w:szCs w:val="32"/>
          <w:highlight w:val="none"/>
          <w:lang w:val="en-US" w:eastAsia="zh-CN"/>
        </w:rPr>
        <w:t>①被评价单位基本概况，如单位职能、事业发展规划、预决算情况、项目立项依据等；</w:t>
      </w:r>
      <w:bookmarkEnd w:id="84"/>
    </w:p>
    <w:p w14:paraId="4DD723B6">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85" w:name="_Toc10505"/>
      <w:r>
        <w:rPr>
          <w:rFonts w:hint="eastAsia" w:ascii="仿宋_GB2312" w:hAnsi="仿宋_GB2312" w:eastAsia="仿宋_GB2312" w:cs="仿宋_GB2312"/>
          <w:color w:val="auto"/>
          <w:spacing w:val="17"/>
          <w:sz w:val="32"/>
          <w:szCs w:val="32"/>
          <w:highlight w:val="none"/>
          <w:lang w:val="en-US" w:eastAsia="zh-CN"/>
        </w:rPr>
        <w:t>②绩效目标及其设立依据和调整情况；</w:t>
      </w:r>
      <w:bookmarkEnd w:id="85"/>
    </w:p>
    <w:p w14:paraId="3817DCA3">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86" w:name="_Toc28365"/>
      <w:r>
        <w:rPr>
          <w:rFonts w:hint="eastAsia" w:ascii="仿宋_GB2312" w:hAnsi="仿宋_GB2312" w:eastAsia="仿宋_GB2312" w:cs="仿宋_GB2312"/>
          <w:color w:val="auto"/>
          <w:spacing w:val="17"/>
          <w:sz w:val="32"/>
          <w:szCs w:val="32"/>
          <w:highlight w:val="none"/>
          <w:lang w:val="en-US" w:eastAsia="zh-CN"/>
        </w:rPr>
        <w:t>③管理措施及组织实施情况；</w:t>
      </w:r>
      <w:bookmarkEnd w:id="86"/>
    </w:p>
    <w:p w14:paraId="623C9DCE">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87" w:name="_Toc10091"/>
      <w:r>
        <w:rPr>
          <w:rFonts w:hint="eastAsia" w:ascii="仿宋_GB2312" w:hAnsi="仿宋_GB2312" w:eastAsia="仿宋_GB2312" w:cs="仿宋_GB2312"/>
          <w:color w:val="auto"/>
          <w:spacing w:val="17"/>
          <w:sz w:val="32"/>
          <w:szCs w:val="32"/>
          <w:highlight w:val="none"/>
          <w:lang w:val="en-US" w:eastAsia="zh-CN"/>
        </w:rPr>
        <w:t>④被评价单位总结分析的绩效目标完成情况及绩效报告；</w:t>
      </w:r>
      <w:bookmarkEnd w:id="87"/>
    </w:p>
    <w:p w14:paraId="47AD8B98">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88" w:name="_Toc1"/>
      <w:r>
        <w:rPr>
          <w:rFonts w:hint="eastAsia" w:ascii="仿宋_GB2312" w:hAnsi="仿宋_GB2312" w:eastAsia="仿宋_GB2312" w:cs="仿宋_GB2312"/>
          <w:color w:val="auto"/>
          <w:spacing w:val="17"/>
          <w:sz w:val="32"/>
          <w:szCs w:val="32"/>
          <w:highlight w:val="none"/>
          <w:lang w:val="en-US" w:eastAsia="zh-CN"/>
        </w:rPr>
        <w:t>⑤与绩效评价相关的计划标准、行业标准、历史标准等；</w:t>
      </w:r>
      <w:bookmarkEnd w:id="88"/>
    </w:p>
    <w:p w14:paraId="2BF72E33">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89" w:name="_Toc20059"/>
      <w:r>
        <w:rPr>
          <w:rFonts w:hint="eastAsia" w:ascii="仿宋_GB2312" w:hAnsi="仿宋_GB2312" w:eastAsia="仿宋_GB2312" w:cs="仿宋_GB2312"/>
          <w:color w:val="auto"/>
          <w:spacing w:val="17"/>
          <w:sz w:val="32"/>
          <w:szCs w:val="32"/>
          <w:highlight w:val="none"/>
          <w:lang w:val="en-US" w:eastAsia="zh-CN"/>
        </w:rPr>
        <w:t>⑥其他必要的相关资料等。</w:t>
      </w:r>
      <w:bookmarkEnd w:id="89"/>
    </w:p>
    <w:p w14:paraId="49C187BA">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0" w:name="_Toc31911"/>
      <w:r>
        <w:rPr>
          <w:rFonts w:hint="eastAsia" w:ascii="仿宋_GB2312" w:hAnsi="仿宋_GB2312" w:eastAsia="仿宋_GB2312" w:cs="仿宋_GB2312"/>
          <w:color w:val="auto"/>
          <w:spacing w:val="17"/>
          <w:sz w:val="32"/>
          <w:szCs w:val="32"/>
          <w:highlight w:val="none"/>
          <w:lang w:val="en-US" w:eastAsia="zh-CN"/>
        </w:rPr>
        <w:t>（2）整理、研读基础资料</w:t>
      </w:r>
      <w:bookmarkEnd w:id="90"/>
    </w:p>
    <w:p w14:paraId="42A18EE2">
      <w:pPr>
        <w:pageBreakBefore w:val="0"/>
        <w:kinsoku/>
        <w:wordWrap/>
        <w:overflowPunct/>
        <w:topLinePunct w:val="0"/>
        <w:autoSpaceDE/>
        <w:autoSpaceDN/>
        <w:bidi w:val="0"/>
        <w:adjustRightInd/>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67"/>
      <w:r>
        <w:rPr>
          <w:rFonts w:hint="eastAsia" w:ascii="仿宋_GB2312" w:hAnsi="仿宋_GB2312" w:eastAsia="仿宋_GB2312" w:cs="仿宋_GB2312"/>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w:t>
      </w:r>
      <w:r>
        <w:rPr>
          <w:rFonts w:hint="eastAsia" w:ascii="Times New Roman" w:hAnsi="Times New Roman" w:eastAsia="仿宋_GB2312" w:cs="Times New Roman"/>
          <w:color w:val="auto"/>
          <w:spacing w:val="17"/>
          <w:sz w:val="32"/>
          <w:szCs w:val="32"/>
          <w:highlight w:val="none"/>
          <w:lang w:val="en-US" w:eastAsia="zh-CN"/>
        </w:rPr>
        <w:t>内容，为现场核查做好准备。</w:t>
      </w:r>
      <w:bookmarkEnd w:id="91"/>
    </w:p>
    <w:p w14:paraId="47ECA182">
      <w:pPr>
        <w:pageBreakBefore w:val="0"/>
        <w:kinsoku/>
        <w:wordWrap/>
        <w:overflowPunct/>
        <w:topLinePunct w:val="0"/>
        <w:autoSpaceDE/>
        <w:autoSpaceDN/>
        <w:bidi w:val="0"/>
        <w:adjustRightInd/>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2"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2"/>
    </w:p>
    <w:p w14:paraId="292F9B58">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3" w:name="_Toc15974"/>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lang w:val="en-US" w:eastAsia="zh-CN"/>
        </w:rPr>
        <w:t>1）综合分析评价</w:t>
      </w:r>
      <w:bookmarkEnd w:id="93"/>
    </w:p>
    <w:p w14:paraId="004825F4">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4" w:name="_Toc4352"/>
      <w:r>
        <w:rPr>
          <w:rFonts w:hint="eastAsia" w:ascii="仿宋_GB2312" w:hAnsi="仿宋_GB2312" w:eastAsia="仿宋_GB2312" w:cs="仿宋_GB2312"/>
          <w:color w:val="auto"/>
          <w:spacing w:val="17"/>
          <w:sz w:val="32"/>
          <w:szCs w:val="32"/>
          <w:highlight w:val="none"/>
          <w:lang w:val="en-US" w:eastAsia="zh-CN"/>
        </w:rPr>
        <w:t>①根据所收集的基础资料，结合现场核查的有关情况，整理出绩效评价所需的项目材料和基础数据。</w:t>
      </w:r>
      <w:bookmarkEnd w:id="94"/>
    </w:p>
    <w:p w14:paraId="5F7AA907">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5" w:name="_Toc26231"/>
      <w:r>
        <w:rPr>
          <w:rFonts w:hint="eastAsia" w:ascii="仿宋_GB2312" w:hAnsi="仿宋_GB2312" w:eastAsia="仿宋_GB2312" w:cs="仿宋_GB2312"/>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95"/>
    </w:p>
    <w:p w14:paraId="690D5BBE">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6" w:name="_Toc27759"/>
      <w:r>
        <w:rPr>
          <w:rFonts w:hint="eastAsia" w:ascii="Times New Roman" w:hAnsi="Times New Roman" w:eastAsia="仿宋_GB2312" w:cs="Times New Roman"/>
          <w:color w:val="auto"/>
          <w:spacing w:val="17"/>
          <w:sz w:val="32"/>
          <w:szCs w:val="32"/>
          <w:highlight w:val="none"/>
          <w:lang w:val="en-US" w:eastAsia="zh-CN"/>
        </w:rPr>
        <w:t>（</w:t>
      </w:r>
      <w:r>
        <w:rPr>
          <w:rFonts w:hint="eastAsia" w:ascii="仿宋_GB2312" w:hAnsi="仿宋_GB2312" w:eastAsia="仿宋_GB2312" w:cs="仿宋_GB2312"/>
          <w:color w:val="auto"/>
          <w:spacing w:val="17"/>
          <w:sz w:val="32"/>
          <w:szCs w:val="32"/>
          <w:highlight w:val="none"/>
          <w:lang w:val="en-US" w:eastAsia="zh-CN"/>
        </w:rPr>
        <w:t>2）撰写报告</w:t>
      </w:r>
      <w:bookmarkEnd w:id="96"/>
    </w:p>
    <w:p w14:paraId="1D400CD3">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7" w:name="_Toc15579"/>
      <w:r>
        <w:rPr>
          <w:rFonts w:hint="eastAsia" w:ascii="仿宋_GB2312" w:hAnsi="仿宋_GB2312" w:eastAsia="仿宋_GB2312" w:cs="仿宋_GB2312"/>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97"/>
    </w:p>
    <w:p w14:paraId="4D367AC7">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98"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98"/>
    </w:p>
    <w:p w14:paraId="58B56F6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9"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99"/>
    </w:p>
    <w:p w14:paraId="5F1D3924">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eastAsia="zh-CN"/>
        </w:rPr>
        <w:t>基本</w:t>
      </w:r>
      <w:r>
        <w:rPr>
          <w:rFonts w:hint="eastAsia" w:ascii="Times New Roman" w:hAnsi="Times New Roman" w:eastAsia="仿宋_GB2312" w:cs="Times New Roman"/>
          <w:color w:val="auto"/>
          <w:sz w:val="32"/>
          <w:szCs w:val="32"/>
          <w:highlight w:val="none"/>
          <w:lang w:val="en-US" w:eastAsia="zh-CN"/>
        </w:rPr>
        <w:t>公共卫生服务项目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02B12220">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阜康市阜新社区卫生服务中心</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5D8F34E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从项目效益的角度来看，本项目不仅实现了预期的社会效益、产生了积极的影响。具体而言，</w:t>
      </w:r>
      <w:r>
        <w:rPr>
          <w:rFonts w:hint="eastAsia" w:ascii="Times New Roman" w:hAnsi="Times New Roman" w:eastAsia="仿宋_GB2312" w:cs="Times New Roman"/>
          <w:color w:val="auto"/>
          <w:sz w:val="32"/>
          <w:szCs w:val="32"/>
          <w:highlight w:val="none"/>
          <w:lang w:val="en-US" w:eastAsia="zh-CN"/>
        </w:rPr>
        <w:t>不断提高基本公共卫生服务水平、居民满意度</w:t>
      </w:r>
      <w:r>
        <w:rPr>
          <w:rFonts w:hint="default" w:ascii="Times New Roman" w:hAnsi="Times New Roman" w:eastAsia="仿宋_GB2312" w:cs="Times New Roman"/>
          <w:color w:val="auto"/>
          <w:sz w:val="32"/>
          <w:szCs w:val="32"/>
          <w:highlight w:val="none"/>
        </w:rPr>
        <w:t>提升，为项目的利益相关者带来了实实在在的利益。</w:t>
      </w:r>
    </w:p>
    <w:p w14:paraId="58067F6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基本公共卫生服务项目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4D8A4B1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0" w:name="_Toc11863"/>
      <w:r>
        <w:rPr>
          <w:rFonts w:hint="eastAsia" w:ascii="Times New Roman" w:hAnsi="Times New Roman" w:eastAsia="楷体_GB2312" w:cs="Times New Roman"/>
          <w:color w:val="auto"/>
          <w:kern w:val="28"/>
          <w:sz w:val="32"/>
          <w:highlight w:val="none"/>
          <w:lang w:val="en-US" w:eastAsia="zh-CN"/>
        </w:rPr>
        <w:t>（二）相关评分表</w:t>
      </w:r>
      <w:bookmarkEnd w:id="100"/>
    </w:p>
    <w:p w14:paraId="10CA9663">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auto"/>
          <w:spacing w:val="17"/>
          <w:sz w:val="32"/>
          <w:szCs w:val="32"/>
          <w:highlight w:val="none"/>
          <w:lang w:val="zh-TW" w:eastAsia="zh-TW"/>
        </w:rPr>
      </w:pPr>
      <w:r>
        <w:rPr>
          <w:rFonts w:hint="eastAsia" w:ascii="仿宋_GB2312" w:hAnsi="仿宋_GB2312" w:eastAsia="仿宋_GB2312" w:cs="仿宋_GB2312"/>
          <w:color w:val="auto"/>
          <w:spacing w:val="17"/>
          <w:sz w:val="32"/>
          <w:szCs w:val="32"/>
          <w:highlight w:val="none"/>
          <w:lang w:val="en-US" w:eastAsia="zh-CN"/>
        </w:rPr>
        <w:t>此次绩效评价</w:t>
      </w:r>
      <w:r>
        <w:rPr>
          <w:rFonts w:hint="eastAsia" w:ascii="仿宋_GB2312" w:hAnsi="仿宋_GB2312" w:eastAsia="仿宋_GB2312" w:cs="仿宋_GB2312"/>
          <w:color w:val="auto"/>
          <w:spacing w:val="17"/>
          <w:sz w:val="32"/>
          <w:szCs w:val="32"/>
          <w:highlight w:val="none"/>
          <w:lang w:val="zh-TW" w:eastAsia="zh-TW"/>
        </w:rPr>
        <w:t>通过组论证的评价指标体系及评分标准，</w:t>
      </w:r>
      <w:r>
        <w:rPr>
          <w:rFonts w:hint="eastAsia" w:ascii="仿宋_GB2312" w:hAnsi="仿宋_GB2312" w:eastAsia="仿宋_GB2312" w:cs="仿宋_GB2312"/>
          <w:color w:val="auto"/>
          <w:spacing w:val="17"/>
          <w:sz w:val="32"/>
          <w:szCs w:val="32"/>
          <w:highlight w:val="none"/>
          <w:lang w:val="en-US" w:eastAsia="zh-CN"/>
        </w:rPr>
        <w:t>采用的方法比较法、因素分析法、公众评判法，</w:t>
      </w:r>
      <w:r>
        <w:rPr>
          <w:rFonts w:hint="eastAsia" w:ascii="仿宋_GB2312" w:hAnsi="仿宋_GB2312" w:eastAsia="仿宋_GB2312" w:cs="仿宋_GB2312"/>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lang w:val="en-US" w:eastAsia="zh-CN"/>
        </w:rPr>
        <w:t>基本公共卫生服务</w:t>
      </w:r>
      <w:r>
        <w:rPr>
          <w:rFonts w:hint="eastAsia" w:ascii="仿宋_GB2312" w:hAnsi="仿宋_GB2312" w:eastAsia="仿宋_GB2312" w:cs="仿宋_GB2312"/>
          <w:color w:val="auto"/>
          <w:spacing w:val="17"/>
          <w:sz w:val="32"/>
          <w:szCs w:val="32"/>
          <w:highlight w:val="none"/>
          <w:lang w:val="en-US" w:eastAsia="zh-CN"/>
        </w:rPr>
        <w:t>项目</w:t>
      </w:r>
      <w:r>
        <w:rPr>
          <w:rFonts w:hint="eastAsia" w:ascii="仿宋_GB2312" w:hAnsi="仿宋_GB2312" w:eastAsia="仿宋_GB2312" w:cs="仿宋_GB2312"/>
          <w:color w:val="auto"/>
          <w:spacing w:val="17"/>
          <w:sz w:val="32"/>
          <w:szCs w:val="32"/>
          <w:highlight w:val="none"/>
          <w:lang w:val="zh-TW" w:eastAsia="zh-TW"/>
        </w:rPr>
        <w:t>绩效进行客观评价，最终评分结果：</w:t>
      </w:r>
      <w:r>
        <w:rPr>
          <w:rFonts w:hint="eastAsia" w:ascii="仿宋_GB2312" w:hAnsi="仿宋_GB2312" w:eastAsia="仿宋_GB2312" w:cs="仿宋_GB2312"/>
          <w:color w:val="auto"/>
          <w:spacing w:val="17"/>
          <w:sz w:val="32"/>
          <w:szCs w:val="32"/>
          <w:highlight w:val="none"/>
          <w:lang w:val="en-US" w:eastAsia="zh-CN"/>
        </w:rPr>
        <w:t>总得分为100分，属于优。其中，项目决策类指标权重为20分，得分为19分，得分率为95%。项目过程类指标权重为20分，得分为20分，得分率为100%。项目产出类指标权重为40分，得分为40分，得分率为100%。项目效益类指标权重为20分，得分为</w:t>
      </w:r>
      <w:r>
        <w:rPr>
          <w:rFonts w:hint="eastAsia" w:ascii="仿宋_GB2312" w:hAnsi="仿宋_GB2312" w:eastAsia="仿宋_GB2312" w:cs="仿宋_GB2312"/>
          <w:color w:val="auto"/>
          <w:spacing w:val="17"/>
          <w:sz w:val="32"/>
          <w:szCs w:val="32"/>
          <w:highlight w:val="none"/>
          <w:shd w:val="clear"/>
          <w:lang w:val="en-US" w:eastAsia="zh-CN"/>
        </w:rPr>
        <w:t>20分，</w:t>
      </w:r>
      <w:r>
        <w:rPr>
          <w:rFonts w:hint="eastAsia" w:ascii="仿宋_GB2312" w:hAnsi="仿宋_GB2312" w:eastAsia="仿宋_GB2312" w:cs="仿宋_GB2312"/>
          <w:color w:val="auto"/>
          <w:spacing w:val="17"/>
          <w:sz w:val="32"/>
          <w:szCs w:val="32"/>
          <w:highlight w:val="none"/>
          <w:lang w:val="en-US" w:eastAsia="zh-CN"/>
        </w:rPr>
        <w:t>得分率为100%。</w:t>
      </w:r>
      <w:r>
        <w:rPr>
          <w:rFonts w:hint="eastAsia" w:ascii="仿宋_GB2312" w:hAnsi="仿宋_GB2312" w:eastAsia="仿宋_GB2312" w:cs="仿宋_GB2312"/>
          <w:color w:val="auto"/>
          <w:spacing w:val="17"/>
          <w:sz w:val="32"/>
          <w:szCs w:val="32"/>
          <w:highlight w:val="none"/>
          <w:lang w:val="zh-TW" w:eastAsia="zh-TW"/>
        </w:rPr>
        <w:t>各部分权重和绩效</w:t>
      </w:r>
      <w:r>
        <w:rPr>
          <w:rFonts w:hint="eastAsia" w:ascii="仿宋_GB2312" w:hAnsi="仿宋_GB2312" w:eastAsia="仿宋_GB2312" w:cs="仿宋_GB2312"/>
          <w:color w:val="auto"/>
          <w:spacing w:val="17"/>
          <w:sz w:val="32"/>
          <w:szCs w:val="32"/>
          <w:highlight w:val="none"/>
          <w:lang w:val="en-US" w:eastAsia="zh-CN"/>
        </w:rPr>
        <w:t>汇总</w:t>
      </w:r>
      <w:r>
        <w:rPr>
          <w:rFonts w:hint="eastAsia" w:ascii="仿宋_GB2312" w:hAnsi="仿宋_GB2312" w:eastAsia="仿宋_GB2312" w:cs="仿宋_GB2312"/>
          <w:color w:val="auto"/>
          <w:spacing w:val="17"/>
          <w:sz w:val="32"/>
          <w:szCs w:val="32"/>
          <w:highlight w:val="none"/>
          <w:lang w:val="zh-TW" w:eastAsia="zh-TW"/>
        </w:rPr>
        <w:t>分值如下表</w:t>
      </w:r>
      <w:r>
        <w:rPr>
          <w:rFonts w:hint="eastAsia" w:ascii="仿宋_GB2312" w:hAnsi="仿宋_GB2312" w:eastAsia="仿宋_GB2312" w:cs="仿宋_GB2312"/>
          <w:color w:val="auto"/>
          <w:spacing w:val="17"/>
          <w:sz w:val="32"/>
          <w:szCs w:val="32"/>
          <w:highlight w:val="none"/>
          <w:lang w:val="en-US" w:eastAsia="zh-CN"/>
        </w:rPr>
        <w:t>3-1</w:t>
      </w:r>
      <w:r>
        <w:rPr>
          <w:rFonts w:hint="eastAsia" w:ascii="仿宋_GB2312" w:hAnsi="仿宋_GB2312" w:eastAsia="仿宋_GB2312" w:cs="仿宋_GB2312"/>
          <w:color w:val="auto"/>
          <w:spacing w:val="17"/>
          <w:sz w:val="32"/>
          <w:szCs w:val="32"/>
          <w:highlight w:val="none"/>
          <w:lang w:val="zh-TW" w:eastAsia="zh-TW"/>
        </w:rPr>
        <w:t>所示</w:t>
      </w:r>
      <w:r>
        <w:rPr>
          <w:rFonts w:hint="eastAsia" w:ascii="仿宋_GB2312" w:hAnsi="仿宋_GB2312" w:eastAsia="仿宋_GB2312" w:cs="仿宋_GB2312"/>
          <w:color w:val="auto"/>
          <w:spacing w:val="17"/>
          <w:sz w:val="32"/>
          <w:szCs w:val="32"/>
          <w:highlight w:val="none"/>
          <w:lang w:val="zh-TW" w:eastAsia="zh-CN"/>
        </w:rPr>
        <w:t>（</w:t>
      </w:r>
      <w:r>
        <w:rPr>
          <w:rFonts w:hint="eastAsia" w:ascii="仿宋_GB2312" w:hAnsi="仿宋_GB2312" w:eastAsia="仿宋_GB2312" w:cs="仿宋_GB2312"/>
          <w:color w:val="auto"/>
          <w:spacing w:val="17"/>
          <w:sz w:val="32"/>
          <w:szCs w:val="32"/>
          <w:highlight w:val="none"/>
          <w:lang w:val="en-US" w:eastAsia="zh-CN"/>
        </w:rPr>
        <w:t>详见上传的附件</w:t>
      </w:r>
      <w:r>
        <w:rPr>
          <w:rFonts w:hint="eastAsia" w:ascii="仿宋_GB2312" w:hAnsi="仿宋_GB2312" w:eastAsia="仿宋_GB2312" w:cs="仿宋_GB2312"/>
          <w:color w:val="auto"/>
          <w:spacing w:val="17"/>
          <w:sz w:val="32"/>
          <w:szCs w:val="32"/>
          <w:highlight w:val="none"/>
          <w:lang w:val="zh-TW" w:eastAsia="zh-CN"/>
        </w:rPr>
        <w:t>）</w:t>
      </w:r>
      <w:r>
        <w:rPr>
          <w:rFonts w:hint="eastAsia" w:ascii="仿宋_GB2312" w:hAnsi="仿宋_GB2312" w:eastAsia="仿宋_GB2312" w:cs="仿宋_GB2312"/>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F4CEB82">
        <w:tblPrEx>
          <w:shd w:val="clear" w:color="auto" w:fill="auto"/>
          <w:tblCellMar>
            <w:top w:w="0" w:type="dxa"/>
            <w:left w:w="0" w:type="dxa"/>
            <w:bottom w:w="0" w:type="dxa"/>
            <w:right w:w="0" w:type="dxa"/>
          </w:tblCellMar>
        </w:tblPrEx>
        <w:trPr>
          <w:trHeight w:val="66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07B798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ascii="宋体" w:hAnsi="宋体" w:eastAsia="宋体" w:cs="宋体"/>
                <w:b/>
                <w:bCs/>
                <w:color w:val="auto"/>
                <w:highlight w:val="none"/>
                <w:shd w:val="clear" w:color="auto" w:fill="auto"/>
                <w:lang w:val="en-US" w:eastAsia="zh-CN"/>
              </w:rPr>
              <w:t>202</w:t>
            </w:r>
            <w:r>
              <w:rPr>
                <w:rFonts w:hint="eastAsia" w:cs="宋体"/>
                <w:b/>
                <w:bCs/>
                <w:color w:val="auto"/>
                <w:highlight w:val="none"/>
                <w:shd w:val="clear" w:color="auto" w:fill="auto"/>
                <w:lang w:val="en-US" w:eastAsia="zh-CN"/>
              </w:rPr>
              <w:t>4公共卫生服务</w:t>
            </w:r>
            <w:r>
              <w:rPr>
                <w:rFonts w:hint="eastAsia" w:ascii="宋体" w:hAnsi="宋体" w:eastAsia="宋体" w:cs="宋体"/>
                <w:b/>
                <w:bCs/>
                <w:color w:val="auto"/>
                <w:highlight w:val="none"/>
                <w:shd w:val="clear" w:color="auto" w:fill="auto"/>
                <w:lang w:val="en-US" w:eastAsia="zh-CN"/>
              </w:rPr>
              <w:t>项目</w:t>
            </w:r>
            <w:r>
              <w:rPr>
                <w:rFonts w:hint="eastAsia" w:ascii="宋体" w:hAnsi="宋体" w:eastAsia="宋体" w:cs="宋体"/>
                <w:b/>
                <w:bCs/>
                <w:color w:val="auto"/>
                <w:kern w:val="0"/>
                <w:sz w:val="28"/>
                <w:szCs w:val="28"/>
                <w:highlight w:val="none"/>
                <w:shd w:val="clear" w:color="auto" w:fill="auto"/>
                <w:lang w:val="en-US" w:eastAsia="zh-CN"/>
              </w:rPr>
              <w:t>得分表</w:t>
            </w:r>
          </w:p>
        </w:tc>
      </w:tr>
      <w:tr w14:paraId="29BAF363">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80A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5B3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85B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F798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89A8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5DF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543B1149">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866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712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246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4CC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1EA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762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7C1AA2B6">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5CA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636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7FC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F8B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F48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5D5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14:paraId="2E24FD76">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024D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BA1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AA3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EE4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5534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486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14:paraId="26DECD59">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1" w:name="_Toc14941"/>
      <w:r>
        <w:rPr>
          <w:rFonts w:hint="eastAsia" w:ascii="黑体" w:hAnsi="黑体" w:eastAsia="黑体" w:cs="黑体"/>
          <w:b w:val="0"/>
          <w:bCs w:val="0"/>
          <w:color w:val="auto"/>
          <w:highlight w:val="none"/>
          <w:shd w:val="clear" w:color="auto" w:fill="auto"/>
          <w:lang w:val="en-US" w:eastAsia="zh-CN"/>
        </w:rPr>
        <w:t>四、绩效评价指标分析</w:t>
      </w:r>
      <w:bookmarkEnd w:id="101"/>
    </w:p>
    <w:p w14:paraId="663A54A4">
      <w:pPr>
        <w:pStyle w:val="14"/>
        <w:pageBreakBefore w:val="0"/>
        <w:widowControl/>
        <w:kinsoku/>
        <w:wordWrap/>
        <w:overflowPunct/>
        <w:topLinePunct w:val="0"/>
        <w:autoSpaceDE/>
        <w:autoSpaceDN/>
        <w:bidi w:val="0"/>
        <w:adjustRightInd/>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2" w:name="_Toc6759"/>
      <w:r>
        <w:rPr>
          <w:rFonts w:hint="eastAsia" w:ascii="Times New Roman" w:hAnsi="Times New Roman" w:eastAsia="楷体_GB2312" w:cs="Times New Roman"/>
          <w:color w:val="auto"/>
          <w:kern w:val="28"/>
          <w:sz w:val="32"/>
          <w:highlight w:val="none"/>
        </w:rPr>
        <w:t>（一）项目决策情况</w:t>
      </w:r>
      <w:bookmarkEnd w:id="102"/>
    </w:p>
    <w:p w14:paraId="4C4A4757">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5A5A5C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16EEA61B">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3A550C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4C2060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35F39C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7E1F936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440451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36D9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57FA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0D4366C9">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0C7AAE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AA03B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93F07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9E6EA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01280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5FE11C0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16BB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6F7C7B9D">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0A936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3D28E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FB2F9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137DD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14C8C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3B63FDC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0CBE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3C45351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93EBFD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0C2BF5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ABD8C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B82F8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F3DEF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680CF4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65B8D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1EA4307">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right w:val="single" w:color="000000" w:sz="4" w:space="0"/>
            </w:tcBorders>
            <w:shd w:val="clear" w:color="auto" w:fill="auto"/>
            <w:tcMar>
              <w:top w:w="12" w:type="dxa"/>
              <w:left w:w="12" w:type="dxa"/>
              <w:right w:w="12" w:type="dxa"/>
            </w:tcMar>
            <w:vAlign w:val="center"/>
          </w:tcPr>
          <w:p w14:paraId="1D485C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000000" w:sz="4" w:space="0"/>
              <w:right w:val="single" w:color="000000" w:sz="4" w:space="0"/>
            </w:tcBorders>
            <w:shd w:val="clear" w:color="auto" w:fill="auto"/>
            <w:tcMar>
              <w:top w:w="12" w:type="dxa"/>
              <w:left w:w="12" w:type="dxa"/>
              <w:right w:w="12" w:type="dxa"/>
            </w:tcMar>
            <w:vAlign w:val="center"/>
          </w:tcPr>
          <w:p w14:paraId="08ED49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8E1C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E80C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E868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8362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1FCA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E36A286">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right w:val="single" w:color="000000" w:sz="4" w:space="0"/>
            </w:tcBorders>
            <w:shd w:val="clear" w:color="auto" w:fill="auto"/>
            <w:tcMar>
              <w:top w:w="12" w:type="dxa"/>
              <w:left w:w="12" w:type="dxa"/>
              <w:right w:w="12" w:type="dxa"/>
            </w:tcMar>
            <w:vAlign w:val="center"/>
          </w:tcPr>
          <w:p w14:paraId="1D04F5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B0067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DDE16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E820B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600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0BD7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3F3C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057939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7D797B4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025F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F191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4B62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C145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0304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625D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1B24D9C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1ED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D21E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667F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30FF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F62B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00AE7C67">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3" w:name="_Toc28069"/>
      <w:bookmarkStart w:id="104" w:name="_Toc13522"/>
      <w:bookmarkStart w:id="105" w:name="_Toc10564"/>
      <w:r>
        <w:rPr>
          <w:rFonts w:hint="eastAsia" w:ascii="仿宋_GB2312" w:hAnsi="仿宋_GB2312" w:eastAsia="仿宋_GB2312" w:cs="仿宋_GB2312"/>
          <w:b/>
          <w:bCs/>
          <w:color w:val="auto"/>
          <w:sz w:val="32"/>
          <w:szCs w:val="32"/>
          <w:highlight w:val="none"/>
          <w:lang w:val="en-US" w:eastAsia="zh-CN"/>
        </w:rPr>
        <w:t>1.立项依据充分性</w:t>
      </w:r>
      <w:bookmarkEnd w:id="103"/>
      <w:bookmarkEnd w:id="104"/>
    </w:p>
    <w:p w14:paraId="03EA96A7">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w:t>
      </w:r>
      <w:r>
        <w:rPr>
          <w:rFonts w:hint="eastAsia" w:ascii="仿宋_GB2312" w:hAnsi="仿宋_GB2312" w:eastAsia="仿宋_GB2312" w:cs="仿宋_GB2312"/>
          <w:color w:val="auto"/>
          <w:sz w:val="32"/>
          <w:szCs w:val="32"/>
          <w:highlight w:val="none"/>
          <w:lang w:val="en-US" w:eastAsia="zh-CN"/>
        </w:rPr>
        <w:t>《国家基本公共卫生服务规范（第三版）》</w:t>
      </w:r>
      <w:r>
        <w:rPr>
          <w:rFonts w:hint="eastAsia" w:ascii="仿宋_GB2312" w:hAnsi="仿宋_GB2312" w:eastAsia="仿宋_GB2312" w:cs="仿宋_GB2312"/>
          <w:color w:val="auto"/>
          <w:sz w:val="32"/>
          <w:szCs w:val="32"/>
          <w:highlight w:val="none"/>
          <w:lang w:eastAsia="zh-CN"/>
        </w:rPr>
        <w:t>相关政策；</w:t>
      </w:r>
    </w:p>
    <w:p w14:paraId="76B69B66">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w:t>
      </w:r>
      <w:r>
        <w:rPr>
          <w:rFonts w:hint="eastAsia" w:ascii="仿宋_GB2312" w:hAnsi="仿宋_GB2312" w:eastAsia="仿宋_GB2312" w:cs="仿宋_GB2312"/>
          <w:color w:val="auto"/>
          <w:sz w:val="32"/>
          <w:szCs w:val="32"/>
          <w:highlight w:val="none"/>
          <w:lang w:val="en-US" w:eastAsia="zh-CN"/>
        </w:rPr>
        <w:t>辖区内居民免费享受国家基本公共卫生服务</w:t>
      </w:r>
      <w:r>
        <w:rPr>
          <w:rFonts w:hint="eastAsia" w:ascii="仿宋_GB2312" w:hAnsi="仿宋_GB2312" w:eastAsia="仿宋_GB2312" w:cs="仿宋_GB2312"/>
          <w:color w:val="auto"/>
          <w:sz w:val="32"/>
          <w:szCs w:val="32"/>
          <w:highlight w:val="none"/>
          <w:lang w:eastAsia="zh-CN"/>
        </w:rPr>
        <w:t>发展规划和政策要求；</w:t>
      </w:r>
    </w:p>
    <w:p w14:paraId="07DD99B1">
      <w:pPr>
        <w:pageBreakBefore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w:t>
      </w:r>
      <w:r>
        <w:rPr>
          <w:rFonts w:hint="eastAsia" w:ascii="仿宋_GB2312" w:hAnsi="仿宋_GB2312" w:eastAsia="仿宋_GB2312" w:cs="仿宋_GB2312"/>
          <w:color w:val="auto"/>
          <w:sz w:val="32"/>
          <w:szCs w:val="32"/>
          <w:highlight w:val="none"/>
          <w:lang w:val="en-US" w:eastAsia="zh-CN"/>
        </w:rPr>
        <w:t>切实保障辖区内居民免费享受国家基本公共卫生服务、提升居民健康意识的部</w:t>
      </w:r>
      <w:r>
        <w:rPr>
          <w:rFonts w:hint="eastAsia" w:ascii="仿宋_GB2312" w:hAnsi="仿宋_GB2312" w:eastAsia="仿宋_GB2312" w:cs="仿宋_GB2312"/>
          <w:color w:val="auto"/>
          <w:sz w:val="32"/>
          <w:szCs w:val="32"/>
          <w:highlight w:val="none"/>
          <w:lang w:eastAsia="zh-CN"/>
        </w:rPr>
        <w:t>门职责范围相符，属于部门履职所需；</w:t>
      </w:r>
    </w:p>
    <w:p w14:paraId="22733B13">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highlight w:val="none"/>
          <w:lang w:eastAsia="zh-CN"/>
        </w:rPr>
        <w:t>④</w:t>
      </w:r>
      <w:r>
        <w:rPr>
          <w:rFonts w:hint="eastAsia" w:ascii="仿宋_GB2312" w:hAnsi="仿宋_GB2312" w:eastAsia="仿宋_GB2312" w:cs="仿宋_GB2312"/>
          <w:color w:val="auto"/>
          <w:sz w:val="32"/>
          <w:szCs w:val="32"/>
          <w:highlight w:val="none"/>
          <w:lang w:eastAsia="zh-CN"/>
        </w:rPr>
        <w:t>项目属于公共财政支持范围，符合中央、地方事权支出责任划分原则；</w:t>
      </w:r>
    </w:p>
    <w:p w14:paraId="4142F725">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⑤项目与相关部门同类项目或部门内部相关项目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2D4EB20B">
      <w:pPr>
        <w:pageBreakBefore w:val="0"/>
        <w:kinsoku/>
        <w:wordWrap/>
        <w:overflowPunct/>
        <w:topLinePunct w:val="0"/>
        <w:autoSpaceDE/>
        <w:autoSpaceDN/>
        <w:bidi w:val="0"/>
        <w:adjustRightInd/>
        <w:spacing w:line="560" w:lineRule="exact"/>
        <w:rPr>
          <w:rFonts w:hint="default"/>
          <w:color w:val="FF0000"/>
          <w:highlight w:val="none"/>
          <w:lang w:val="en-US" w:eastAsia="zh-CN"/>
        </w:rPr>
      </w:pPr>
      <w:r>
        <w:rPr>
          <w:rFonts w:hint="eastAsia"/>
          <w:b/>
          <w:bCs/>
          <w:color w:val="auto"/>
          <w:highlight w:val="none"/>
          <w:lang w:val="en-US" w:eastAsia="zh-CN"/>
        </w:rPr>
        <w:t>综上，该项指标满分2分，得分2分。</w:t>
      </w:r>
    </w:p>
    <w:p w14:paraId="68B7A645">
      <w:pPr>
        <w:pageBreakBefore w:val="0"/>
        <w:kinsoku/>
        <w:wordWrap/>
        <w:overflowPunct/>
        <w:topLinePunct w:val="0"/>
        <w:autoSpaceDE/>
        <w:autoSpaceDN/>
        <w:bidi w:val="0"/>
        <w:adjustRightInd/>
        <w:spacing w:line="560" w:lineRule="exact"/>
        <w:outlineLvl w:val="2"/>
        <w:rPr>
          <w:rFonts w:hint="default"/>
          <w:b/>
          <w:bCs/>
          <w:color w:val="auto"/>
          <w:highlight w:val="none"/>
          <w:lang w:val="en-US" w:eastAsia="zh-CN"/>
        </w:rPr>
      </w:pPr>
      <w:bookmarkStart w:id="106" w:name="_Toc21976"/>
      <w:r>
        <w:rPr>
          <w:rFonts w:hint="eastAsia"/>
          <w:b/>
          <w:bCs/>
          <w:color w:val="auto"/>
          <w:highlight w:val="none"/>
          <w:lang w:val="en-US" w:eastAsia="zh-CN"/>
        </w:rPr>
        <w:t>2.立项程序规范性</w:t>
      </w:r>
      <w:bookmarkEnd w:id="106"/>
    </w:p>
    <w:p w14:paraId="2408F0F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highlight w:val="none"/>
          <w:lang w:eastAsia="zh-CN"/>
        </w:rPr>
        <w:t>①</w:t>
      </w:r>
      <w:r>
        <w:rPr>
          <w:rFonts w:hint="eastAsia" w:ascii="仿宋_GB2312" w:hAnsi="仿宋_GB2312" w:eastAsia="仿宋_GB2312" w:cs="仿宋_GB2312"/>
          <w:color w:val="auto"/>
          <w:sz w:val="32"/>
          <w:szCs w:val="32"/>
          <w:highlight w:val="none"/>
          <w:lang w:eastAsia="zh-CN"/>
        </w:rPr>
        <w:t>项目按照规定的程序申请设立；</w:t>
      </w:r>
    </w:p>
    <w:p w14:paraId="03169261">
      <w:pPr>
        <w:pageBreakBefore w:val="0"/>
        <w:kinsoku/>
        <w:wordWrap/>
        <w:overflowPunct/>
        <w:topLinePunct w:val="0"/>
        <w:autoSpaceDE/>
        <w:autoSpaceDN/>
        <w:bidi w:val="0"/>
        <w:adjustRightInd/>
        <w:spacing w:line="560" w:lineRule="exact"/>
        <w:ind w:left="0" w:leftChars="0" w:firstLine="0" w:firstLineChars="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CN"/>
        </w:rPr>
        <w:t>②审批文件、材料符合相关要求；</w:t>
      </w:r>
    </w:p>
    <w:p w14:paraId="03D69228">
      <w:pPr>
        <w:pageBreakBefore w:val="0"/>
        <w:kinsoku/>
        <w:wordWrap/>
        <w:overflowPunct/>
        <w:topLinePunct w:val="0"/>
        <w:autoSpaceDE/>
        <w:autoSpaceDN/>
        <w:bidi w:val="0"/>
        <w:adjustRightInd/>
        <w:spacing w:line="560" w:lineRule="exact"/>
        <w:ind w:left="0" w:leftChars="0" w:firstLine="0" w:firstLineChars="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CN"/>
        </w:rPr>
        <w:t>③事前</w:t>
      </w:r>
      <w:r>
        <w:rPr>
          <w:rFonts w:hint="eastAsia" w:ascii="仿宋_GB2312" w:hAnsi="仿宋_GB2312" w:eastAsia="仿宋_GB2312" w:cs="仿宋_GB2312"/>
          <w:color w:val="auto"/>
          <w:sz w:val="32"/>
          <w:szCs w:val="32"/>
          <w:highlight w:val="none"/>
          <w:lang w:val="en-US" w:eastAsia="zh-CN"/>
        </w:rPr>
        <w:t>未</w:t>
      </w:r>
      <w:r>
        <w:rPr>
          <w:rFonts w:hint="eastAsia" w:ascii="仿宋_GB2312" w:hAnsi="仿宋_GB2312" w:eastAsia="仿宋_GB2312" w:cs="仿宋_GB2312"/>
          <w:color w:val="auto"/>
          <w:sz w:val="32"/>
          <w:szCs w:val="32"/>
          <w:highlight w:val="none"/>
          <w:lang w:eastAsia="zh-CN"/>
        </w:rPr>
        <w:t>经过必要的可行性研究、专家论证、风险评估、绩效评估、集体决策。</w:t>
      </w:r>
    </w:p>
    <w:p w14:paraId="6E30FEA3">
      <w:pPr>
        <w:pageBreakBefore w:val="0"/>
        <w:kinsoku/>
        <w:wordWrap/>
        <w:overflowPunct/>
        <w:topLinePunct w:val="0"/>
        <w:autoSpaceDE/>
        <w:autoSpaceDN/>
        <w:bidi w:val="0"/>
        <w:adjustRightInd/>
        <w:spacing w:line="560" w:lineRule="exact"/>
        <w:rPr>
          <w:rFonts w:hint="eastAsia"/>
          <w:color w:val="auto"/>
          <w:highlight w:val="none"/>
          <w:lang w:eastAsia="zh-CN"/>
        </w:rPr>
      </w:pPr>
      <w:r>
        <w:rPr>
          <w:rFonts w:hint="eastAsia"/>
          <w:b/>
          <w:bCs/>
          <w:color w:val="auto"/>
          <w:highlight w:val="none"/>
          <w:lang w:val="en-US" w:eastAsia="zh-CN"/>
        </w:rPr>
        <w:t>综上，该项指标满分3分，得分2分。</w:t>
      </w:r>
    </w:p>
    <w:bookmarkEnd w:id="105"/>
    <w:p w14:paraId="7852B1A2">
      <w:pPr>
        <w:pageBreakBefore w:val="0"/>
        <w:kinsoku/>
        <w:wordWrap/>
        <w:overflowPunct/>
        <w:topLinePunct w:val="0"/>
        <w:autoSpaceDE/>
        <w:autoSpaceDN/>
        <w:bidi w:val="0"/>
        <w:adjustRightInd/>
        <w:spacing w:line="560" w:lineRule="exact"/>
        <w:outlineLvl w:val="2"/>
        <w:rPr>
          <w:rFonts w:hint="default"/>
          <w:b/>
          <w:bCs/>
          <w:color w:val="auto"/>
          <w:highlight w:val="none"/>
          <w:lang w:val="en-US" w:eastAsia="zh-CN"/>
        </w:rPr>
      </w:pPr>
      <w:bookmarkStart w:id="107" w:name="_Toc15382"/>
      <w:bookmarkStart w:id="108" w:name="_Toc28971"/>
      <w:bookmarkStart w:id="109" w:name="_Toc11349"/>
      <w:r>
        <w:rPr>
          <w:rFonts w:hint="eastAsia"/>
          <w:b/>
          <w:bCs/>
          <w:color w:val="auto"/>
          <w:highlight w:val="none"/>
          <w:lang w:val="en-US" w:eastAsia="zh-CN"/>
        </w:rPr>
        <w:t>3.绩效目标合理性</w:t>
      </w:r>
      <w:bookmarkEnd w:id="107"/>
    </w:p>
    <w:p w14:paraId="5D1E24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50A75B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居民健康档案管理、健康教育、预防接种、慢病管理、孕产妇管理、0-6岁儿童健康管理、精神疾病管理、老年人健康管理、卫生监督协管、中医药服务、传染病及突发公共卫生事件报告和处理等基本公共卫生服务和家庭医生签约式服务工作，绩效目标与实际工作内容一致，两者具有相关性。</w:t>
      </w:r>
    </w:p>
    <w:p w14:paraId="48FFD9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居民规范化电子健康档案覆盖率84.3％。高血压患者人数保持在1093人，规范服务率93.23％，管理2型糖尿病患者人数达到495人，规范服务率94.75％。完成65岁老年人2次医养结合服务39人，提高了基本公共卫生服务水平和老年人健康服务水平。预期产出效益和效果符合正常的业绩水平。</w:t>
      </w:r>
    </w:p>
    <w:p w14:paraId="666B3A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136.77</w:t>
      </w:r>
      <w:r>
        <w:rPr>
          <w:rFonts w:hint="eastAsia" w:ascii="仿宋_GB2312" w:hAnsi="仿宋_GB2312" w:eastAsia="仿宋_GB2312" w:cs="仿宋_GB2312"/>
          <w:color w:val="auto"/>
          <w:sz w:val="32"/>
          <w:szCs w:val="32"/>
          <w:highlight w:val="none"/>
          <w:lang w:eastAsia="zh-CN"/>
        </w:rPr>
        <w:t>万元，预算确定的项目资金</w:t>
      </w:r>
      <w:r>
        <w:rPr>
          <w:rFonts w:hint="eastAsia" w:ascii="仿宋_GB2312" w:hAnsi="仿宋_GB2312" w:eastAsia="仿宋_GB2312" w:cs="仿宋_GB2312"/>
          <w:color w:val="auto"/>
          <w:sz w:val="32"/>
          <w:szCs w:val="32"/>
          <w:highlight w:val="none"/>
          <w:lang w:val="en-US" w:eastAsia="zh-CN"/>
        </w:rPr>
        <w:t>136.77万元，</w:t>
      </w:r>
      <w:r>
        <w:rPr>
          <w:rFonts w:hint="eastAsia" w:ascii="仿宋_GB2312" w:hAnsi="仿宋_GB2312" w:eastAsia="仿宋_GB2312" w:cs="仿宋_GB2312"/>
          <w:color w:val="auto"/>
          <w:sz w:val="32"/>
          <w:szCs w:val="32"/>
          <w:highlight w:val="none"/>
          <w:lang w:eastAsia="zh-CN"/>
        </w:rPr>
        <w:t>与预算确定的项目投资额相匹配。</w:t>
      </w:r>
    </w:p>
    <w:p w14:paraId="3E283AAA">
      <w:pPr>
        <w:pageBreakBefore w:val="0"/>
        <w:kinsoku/>
        <w:wordWrap/>
        <w:overflowPunct/>
        <w:topLinePunct w:val="0"/>
        <w:autoSpaceDE/>
        <w:autoSpaceDN/>
        <w:bidi w:val="0"/>
        <w:adjustRightInd/>
        <w:spacing w:line="560" w:lineRule="exact"/>
        <w:rPr>
          <w:rFonts w:hint="eastAsia"/>
          <w:color w:val="auto"/>
          <w:highlight w:val="none"/>
          <w:lang w:eastAsia="zh-CN"/>
        </w:rPr>
      </w:pPr>
      <w:r>
        <w:rPr>
          <w:rFonts w:hint="eastAsia"/>
          <w:b/>
          <w:bCs/>
          <w:color w:val="auto"/>
          <w:highlight w:val="none"/>
          <w:lang w:val="en-US" w:eastAsia="zh-CN"/>
        </w:rPr>
        <w:t>综上，该项指标满分5分，得分5分。</w:t>
      </w:r>
    </w:p>
    <w:p w14:paraId="1F60C212">
      <w:pPr>
        <w:pageBreakBefore w:val="0"/>
        <w:kinsoku/>
        <w:wordWrap/>
        <w:overflowPunct/>
        <w:topLinePunct w:val="0"/>
        <w:autoSpaceDE/>
        <w:autoSpaceDN/>
        <w:bidi w:val="0"/>
        <w:adjustRightInd/>
        <w:spacing w:line="560" w:lineRule="exact"/>
        <w:outlineLvl w:val="2"/>
        <w:rPr>
          <w:rFonts w:hint="default"/>
          <w:b/>
          <w:bCs/>
          <w:color w:val="auto"/>
          <w:highlight w:val="none"/>
          <w:lang w:val="en-US" w:eastAsia="zh-CN"/>
        </w:rPr>
      </w:pPr>
      <w:bookmarkStart w:id="110" w:name="_Toc10650"/>
      <w:r>
        <w:rPr>
          <w:rFonts w:hint="eastAsia"/>
          <w:b/>
          <w:bCs/>
          <w:color w:val="auto"/>
          <w:highlight w:val="none"/>
          <w:lang w:val="en-US" w:eastAsia="zh-CN"/>
        </w:rPr>
        <w:t>4.绩效指标明确性</w:t>
      </w:r>
      <w:bookmarkEnd w:id="110"/>
    </w:p>
    <w:p w14:paraId="68AB84A0">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eastAsia="zh-CN"/>
        </w:rPr>
        <w:t>①将项目绩效目标细化分</w:t>
      </w:r>
      <w:r>
        <w:rPr>
          <w:rFonts w:hint="eastAsia" w:ascii="仿宋_GB2312" w:hAnsi="仿宋_GB2312" w:eastAsia="仿宋_GB2312" w:cs="仿宋_GB2312"/>
          <w:color w:val="auto"/>
          <w:sz w:val="32"/>
          <w:szCs w:val="32"/>
          <w:highlight w:val="none"/>
          <w:lang w:eastAsia="zh-CN"/>
        </w:rPr>
        <w:t>解为</w:t>
      </w:r>
      <w:r>
        <w:rPr>
          <w:rFonts w:hint="eastAsia" w:ascii="仿宋_GB2312" w:hAnsi="仿宋_GB2312" w:eastAsia="仿宋_GB2312" w:cs="仿宋_GB2312"/>
          <w:color w:val="auto"/>
          <w:sz w:val="32"/>
          <w:szCs w:val="32"/>
          <w:highlight w:val="none"/>
          <w:lang w:val="en-US" w:eastAsia="zh-CN"/>
        </w:rPr>
        <w:t>4个二级</w:t>
      </w:r>
      <w:r>
        <w:rPr>
          <w:rFonts w:hint="eastAsia" w:ascii="仿宋_GB2312" w:hAnsi="仿宋_GB2312" w:eastAsia="仿宋_GB2312" w:cs="仿宋_GB2312"/>
          <w:color w:val="auto"/>
          <w:sz w:val="32"/>
          <w:szCs w:val="32"/>
          <w:highlight w:val="none"/>
          <w:lang w:eastAsia="zh-CN"/>
        </w:rPr>
        <w:t>效指标，</w:t>
      </w:r>
      <w:r>
        <w:rPr>
          <w:rFonts w:hint="eastAsia" w:ascii="仿宋_GB2312" w:hAnsi="仿宋_GB2312" w:eastAsia="仿宋_GB2312" w:cs="仿宋_GB2312"/>
          <w:color w:val="auto"/>
          <w:sz w:val="32"/>
          <w:szCs w:val="32"/>
          <w:highlight w:val="none"/>
          <w:lang w:val="en-US" w:eastAsia="zh-CN"/>
        </w:rPr>
        <w:t>其中三级指标共计12个</w:t>
      </w:r>
      <w:r>
        <w:rPr>
          <w:rFonts w:hint="eastAsia" w:ascii="仿宋_GB2312" w:hAnsi="仿宋_GB2312" w:eastAsia="仿宋_GB2312" w:cs="仿宋_GB2312"/>
          <w:color w:val="auto"/>
          <w:sz w:val="32"/>
          <w:szCs w:val="32"/>
          <w:highlight w:val="none"/>
          <w:lang w:eastAsia="zh-CN"/>
        </w:rPr>
        <w:t>；</w:t>
      </w:r>
    </w:p>
    <w:p w14:paraId="608AC51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量化率达到83.33%</w:t>
      </w:r>
      <w:r>
        <w:rPr>
          <w:rFonts w:hint="eastAsia" w:ascii="仿宋_GB2312" w:hAnsi="仿宋_GB2312" w:eastAsia="仿宋_GB2312" w:cs="仿宋_GB2312"/>
          <w:color w:val="auto"/>
          <w:sz w:val="32"/>
          <w:szCs w:val="32"/>
          <w:lang w:eastAsia="zh-CN"/>
        </w:rPr>
        <w:t>；</w:t>
      </w:r>
    </w:p>
    <w:p w14:paraId="604548C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③《项目绩效目标申报表》中，三级指标的年度指标值与年度绩效目标中任务数一致。</w:t>
      </w:r>
    </w:p>
    <w:p w14:paraId="78A515D5">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已设置的绩效目标具备明确性、可衡量性、可实现性、相关性、时限性。</w:t>
      </w:r>
    </w:p>
    <w:p w14:paraId="40FAE46B">
      <w:pPr>
        <w:pageBreakBefore w:val="0"/>
        <w:kinsoku/>
        <w:wordWrap/>
        <w:overflowPunct/>
        <w:topLinePunct w:val="0"/>
        <w:autoSpaceDE/>
        <w:autoSpaceDN/>
        <w:bidi w:val="0"/>
        <w:adjustRightInd/>
        <w:spacing w:line="560" w:lineRule="exact"/>
        <w:ind w:left="0" w:leftChars="0" w:firstLine="0" w:firstLineChars="0"/>
        <w:rPr>
          <w:rFonts w:hint="eastAsia"/>
          <w:color w:val="auto"/>
          <w:highlight w:val="none"/>
          <w:lang w:eastAsia="zh-CN"/>
        </w:rPr>
      </w:pPr>
      <w:r>
        <w:rPr>
          <w:rFonts w:hint="eastAsia"/>
          <w:b/>
          <w:bCs/>
          <w:color w:val="auto"/>
          <w:highlight w:val="none"/>
          <w:lang w:val="en-US" w:eastAsia="zh-CN"/>
        </w:rPr>
        <w:t xml:space="preserve">    综上，该项指标满分5分，得分5分。</w:t>
      </w:r>
    </w:p>
    <w:p w14:paraId="6A5E7D1A">
      <w:pPr>
        <w:pageBreakBefore w:val="0"/>
        <w:kinsoku/>
        <w:wordWrap/>
        <w:overflowPunct/>
        <w:topLinePunct w:val="0"/>
        <w:autoSpaceDE/>
        <w:autoSpaceDN/>
        <w:bidi w:val="0"/>
        <w:adjustRightInd/>
        <w:spacing w:line="560" w:lineRule="exact"/>
        <w:outlineLvl w:val="2"/>
        <w:rPr>
          <w:rFonts w:hint="default"/>
          <w:b/>
          <w:bCs/>
          <w:color w:val="auto"/>
          <w:highlight w:val="none"/>
          <w:lang w:val="en-US" w:eastAsia="zh-CN"/>
        </w:rPr>
      </w:pPr>
      <w:bookmarkStart w:id="111" w:name="_Toc19401"/>
      <w:r>
        <w:rPr>
          <w:rFonts w:hint="eastAsia"/>
          <w:b/>
          <w:bCs/>
          <w:color w:val="auto"/>
          <w:highlight w:val="none"/>
          <w:lang w:val="en-US" w:eastAsia="zh-CN"/>
        </w:rPr>
        <w:t>5.预算编制科学性</w:t>
      </w:r>
      <w:bookmarkEnd w:id="111"/>
    </w:p>
    <w:p w14:paraId="5860272A">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lang w:val="en-US" w:eastAsia="zh-CN"/>
        </w:rPr>
        <w:t>根据项目预算批复，项目的</w:t>
      </w:r>
      <w:r>
        <w:rPr>
          <w:rFonts w:hint="eastAsia" w:ascii="仿宋_GB2312" w:hAnsi="仿宋_GB2312" w:eastAsia="仿宋_GB2312" w:cs="仿宋_GB2312"/>
          <w:color w:val="auto"/>
          <w:sz w:val="32"/>
          <w:szCs w:val="32"/>
          <w:lang w:eastAsia="zh-CN"/>
        </w:rPr>
        <w:t>预算编制经过科学论证；</w:t>
      </w:r>
    </w:p>
    <w:p w14:paraId="15D26F7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②</w:t>
      </w:r>
      <w:r>
        <w:rPr>
          <w:rFonts w:hint="eastAsia" w:ascii="仿宋_GB2312" w:hAnsi="仿宋_GB2312" w:eastAsia="仿宋_GB2312" w:cs="仿宋_GB2312"/>
          <w:color w:val="auto"/>
          <w:sz w:val="32"/>
          <w:szCs w:val="32"/>
          <w:lang w:eastAsia="zh-CN"/>
        </w:rPr>
        <w:t>预算申请内容为</w:t>
      </w:r>
      <w:r>
        <w:rPr>
          <w:rFonts w:hint="eastAsia" w:ascii="仿宋_GB2312" w:hAnsi="仿宋_GB2312" w:eastAsia="仿宋_GB2312" w:cs="仿宋_GB2312"/>
          <w:color w:val="auto"/>
          <w:sz w:val="32"/>
          <w:szCs w:val="32"/>
          <w:lang w:val="en-US" w:eastAsia="zh-CN"/>
        </w:rPr>
        <w:t>基本公共卫生服务项目</w:t>
      </w:r>
      <w:r>
        <w:rPr>
          <w:rFonts w:hint="eastAsia" w:ascii="仿宋_GB2312" w:hAnsi="仿宋_GB2312" w:eastAsia="仿宋_GB2312" w:cs="仿宋_GB2312"/>
          <w:color w:val="auto"/>
          <w:sz w:val="32"/>
          <w:szCs w:val="32"/>
          <w:lang w:eastAsia="zh-CN"/>
        </w:rPr>
        <w:t>，项目实际内容为</w:t>
      </w:r>
      <w:r>
        <w:rPr>
          <w:rFonts w:hint="eastAsia" w:ascii="仿宋_GB2312" w:hAnsi="仿宋_GB2312" w:eastAsia="仿宋_GB2312" w:cs="仿宋_GB2312"/>
          <w:color w:val="auto"/>
          <w:sz w:val="32"/>
          <w:szCs w:val="32"/>
          <w:lang w:val="en-US" w:eastAsia="zh-CN"/>
        </w:rPr>
        <w:t>基本公共卫生服务项目</w:t>
      </w:r>
      <w:r>
        <w:rPr>
          <w:rFonts w:hint="eastAsia" w:ascii="仿宋_GB2312" w:hAnsi="仿宋_GB2312" w:eastAsia="仿宋_GB2312" w:cs="仿宋_GB2312"/>
          <w:color w:val="auto"/>
          <w:sz w:val="32"/>
          <w:szCs w:val="32"/>
          <w:lang w:eastAsia="zh-CN"/>
        </w:rPr>
        <w:t>，预算申请与项目内容匹配；</w:t>
      </w:r>
    </w:p>
    <w:p w14:paraId="5E77C77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③</w:t>
      </w:r>
      <w:r>
        <w:rPr>
          <w:rFonts w:hint="eastAsia" w:ascii="仿宋_GB2312" w:hAnsi="仿宋_GB2312" w:eastAsia="仿宋_GB2312" w:cs="仿宋_GB2312"/>
          <w:color w:val="auto"/>
          <w:sz w:val="32"/>
          <w:szCs w:val="32"/>
          <w:lang w:eastAsia="zh-CN"/>
        </w:rPr>
        <w:t>项目预算申请资金</w:t>
      </w:r>
      <w:r>
        <w:rPr>
          <w:rFonts w:hint="eastAsia" w:ascii="仿宋_GB2312" w:hAnsi="仿宋_GB2312" w:eastAsia="仿宋_GB2312" w:cs="仿宋_GB2312"/>
          <w:color w:val="auto"/>
          <w:sz w:val="32"/>
          <w:szCs w:val="32"/>
          <w:lang w:val="en-US" w:eastAsia="zh-CN"/>
        </w:rPr>
        <w:t>136.77万</w:t>
      </w:r>
      <w:r>
        <w:rPr>
          <w:rFonts w:hint="eastAsia" w:ascii="仿宋_GB2312" w:hAnsi="仿宋_GB2312" w:eastAsia="仿宋_GB2312" w:cs="仿宋_GB2312"/>
          <w:color w:val="auto"/>
          <w:sz w:val="32"/>
          <w:szCs w:val="32"/>
          <w:lang w:eastAsia="zh-CN"/>
        </w:rPr>
        <w:t>元，我单位在预算申请中严格按照项目实施内容及测算标准进行核算。</w:t>
      </w:r>
    </w:p>
    <w:p w14:paraId="0CA517A3">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④</w:t>
      </w:r>
      <w:r>
        <w:rPr>
          <w:rFonts w:hint="eastAsia" w:ascii="仿宋_GB2312" w:hAnsi="仿宋_GB2312" w:eastAsia="仿宋_GB2312" w:cs="仿宋_GB2312"/>
          <w:color w:val="auto"/>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lang w:val="en-US" w:eastAsia="zh-CN"/>
        </w:rPr>
        <w:t>项目实施内容</w:t>
      </w:r>
      <w:r>
        <w:rPr>
          <w:rFonts w:hint="eastAsia" w:ascii="仿宋_GB2312" w:hAnsi="仿宋_GB2312" w:eastAsia="仿宋_GB2312" w:cs="仿宋_GB2312"/>
          <w:color w:val="auto"/>
          <w:sz w:val="32"/>
          <w:szCs w:val="32"/>
          <w:lang w:eastAsia="zh-CN"/>
        </w:rPr>
        <w:t>相匹配。</w:t>
      </w:r>
    </w:p>
    <w:p w14:paraId="14177B22">
      <w:pPr>
        <w:pageBreakBefore w:val="0"/>
        <w:kinsoku/>
        <w:wordWrap/>
        <w:overflowPunct/>
        <w:topLinePunct w:val="0"/>
        <w:autoSpaceDE/>
        <w:autoSpaceDN/>
        <w:bidi w:val="0"/>
        <w:adjustRightInd/>
        <w:spacing w:line="560" w:lineRule="exact"/>
        <w:ind w:left="0" w:leftChars="0" w:firstLine="0" w:firstLineChars="0"/>
        <w:rPr>
          <w:rFonts w:hint="eastAsia"/>
          <w:color w:val="auto"/>
          <w:highlight w:val="none"/>
          <w:lang w:eastAsia="zh-CN"/>
        </w:rPr>
      </w:pPr>
      <w:r>
        <w:rPr>
          <w:rFonts w:hint="eastAsia"/>
          <w:b/>
          <w:bCs/>
          <w:color w:val="FF0000"/>
          <w:highlight w:val="none"/>
          <w:lang w:val="en-US" w:eastAsia="zh-CN"/>
        </w:rPr>
        <w:t xml:space="preserve">    </w:t>
      </w:r>
      <w:r>
        <w:rPr>
          <w:rFonts w:hint="eastAsia"/>
          <w:b/>
          <w:bCs/>
          <w:color w:val="auto"/>
          <w:highlight w:val="none"/>
          <w:lang w:val="en-US" w:eastAsia="zh-CN"/>
        </w:rPr>
        <w:t>综上，该项指标满分2分，得分2分。</w:t>
      </w:r>
    </w:p>
    <w:p w14:paraId="169AD4DB">
      <w:pPr>
        <w:pageBreakBefore w:val="0"/>
        <w:kinsoku/>
        <w:wordWrap/>
        <w:overflowPunct/>
        <w:topLinePunct w:val="0"/>
        <w:autoSpaceDE/>
        <w:autoSpaceDN/>
        <w:bidi w:val="0"/>
        <w:adjustRightInd/>
        <w:spacing w:line="560" w:lineRule="exact"/>
        <w:outlineLvl w:val="2"/>
        <w:rPr>
          <w:rFonts w:hint="default"/>
          <w:b/>
          <w:bCs/>
          <w:color w:val="auto"/>
          <w:highlight w:val="none"/>
          <w:lang w:val="en-US" w:eastAsia="zh-CN"/>
        </w:rPr>
      </w:pPr>
      <w:bookmarkStart w:id="112" w:name="_Toc697"/>
      <w:r>
        <w:rPr>
          <w:rFonts w:hint="eastAsia"/>
          <w:b/>
          <w:bCs/>
          <w:color w:val="auto"/>
          <w:highlight w:val="none"/>
          <w:lang w:val="en-US" w:eastAsia="zh-CN"/>
        </w:rPr>
        <w:t>6.资金分配合理性</w:t>
      </w:r>
      <w:bookmarkEnd w:id="112"/>
    </w:p>
    <w:p w14:paraId="348B8540">
      <w:pPr>
        <w:pageBreakBefore w:val="0"/>
        <w:kinsoku/>
        <w:wordWrap/>
        <w:overflowPunct/>
        <w:topLinePunct w:val="0"/>
        <w:autoSpaceDE/>
        <w:autoSpaceDN/>
        <w:bidi w:val="0"/>
        <w:adjustRightInd/>
        <w:spacing w:line="560" w:lineRule="exact"/>
        <w:ind w:left="0" w:leftChars="0" w:firstLine="0" w:firstLineChars="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①项目实际分配资金以</w:t>
      </w:r>
      <w:r>
        <w:rPr>
          <w:rFonts w:hint="eastAsia" w:ascii="仿宋_GB2312" w:hAnsi="仿宋_GB2312" w:eastAsia="仿宋_GB2312" w:cs="仿宋_GB2312"/>
          <w:color w:val="auto"/>
          <w:sz w:val="32"/>
          <w:szCs w:val="32"/>
          <w:lang w:eastAsia="zh-Hans"/>
        </w:rPr>
        <w:t>《关于</w:t>
      </w:r>
      <w:r>
        <w:rPr>
          <w:rFonts w:hint="eastAsia" w:ascii="仿宋_GB2312" w:hAnsi="仿宋_GB2312" w:eastAsia="仿宋_GB2312" w:cs="仿宋_GB2312"/>
          <w:color w:val="auto"/>
          <w:sz w:val="32"/>
          <w:szCs w:val="32"/>
          <w:lang w:eastAsia="zh-CN"/>
        </w:rPr>
        <w:t>申请</w:t>
      </w:r>
      <w:r>
        <w:rPr>
          <w:rFonts w:hint="eastAsia" w:ascii="仿宋_GB2312" w:hAnsi="仿宋_GB2312" w:eastAsia="仿宋_GB2312" w:cs="仿宋_GB2312"/>
          <w:color w:val="auto"/>
          <w:sz w:val="32"/>
          <w:szCs w:val="32"/>
          <w:lang w:val="en-US" w:eastAsia="zh-CN"/>
        </w:rPr>
        <w:t>基本公共卫生服务</w:t>
      </w:r>
      <w:r>
        <w:rPr>
          <w:rFonts w:hint="eastAsia" w:ascii="仿宋_GB2312" w:hAnsi="仿宋_GB2312" w:eastAsia="仿宋_GB2312" w:cs="仿宋_GB2312"/>
          <w:color w:val="auto"/>
          <w:sz w:val="32"/>
          <w:szCs w:val="32"/>
          <w:lang w:eastAsia="zh-CN"/>
        </w:rPr>
        <w:t>项目资金的请示</w:t>
      </w:r>
      <w:r>
        <w:rPr>
          <w:rFonts w:hint="eastAsia" w:ascii="仿宋_GB2312" w:hAnsi="仿宋_GB2312" w:eastAsia="仿宋_GB2312" w:cs="仿宋_GB2312"/>
          <w:color w:val="auto"/>
          <w:sz w:val="32"/>
          <w:szCs w:val="32"/>
          <w:lang w:eastAsia="zh-Hans"/>
        </w:rPr>
        <w:t>》为依据进行资金分配，预算资金分配依据充分</w:t>
      </w:r>
      <w:r>
        <w:rPr>
          <w:rFonts w:hint="eastAsia" w:ascii="仿宋_GB2312" w:hAnsi="仿宋_GB2312" w:eastAsia="仿宋_GB2312" w:cs="仿宋_GB2312"/>
          <w:color w:val="auto"/>
          <w:sz w:val="32"/>
          <w:szCs w:val="32"/>
          <w:lang w:eastAsia="zh-CN"/>
        </w:rPr>
        <w:t>。</w:t>
      </w:r>
    </w:p>
    <w:p w14:paraId="09B3C40C">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②项目实际到位资金</w:t>
      </w:r>
      <w:r>
        <w:rPr>
          <w:rFonts w:hint="eastAsia" w:ascii="仿宋_GB2312" w:hAnsi="仿宋_GB2312" w:eastAsia="仿宋_GB2312" w:cs="仿宋_GB2312"/>
          <w:color w:val="auto"/>
          <w:sz w:val="32"/>
          <w:szCs w:val="32"/>
          <w:lang w:val="en-US" w:eastAsia="zh-CN"/>
        </w:rPr>
        <w:t>136.77</w:t>
      </w:r>
      <w:r>
        <w:rPr>
          <w:rFonts w:hint="eastAsia" w:ascii="仿宋_GB2312" w:hAnsi="仿宋_GB2312" w:eastAsia="仿宋_GB2312" w:cs="仿宋_GB2312"/>
          <w:color w:val="auto"/>
          <w:sz w:val="32"/>
          <w:szCs w:val="32"/>
          <w:lang w:eastAsia="zh-CN"/>
        </w:rPr>
        <w:t>万元，资金分配额度合理，与项目单位</w:t>
      </w:r>
      <w:r>
        <w:rPr>
          <w:rFonts w:hint="eastAsia" w:ascii="仿宋_GB2312" w:hAnsi="仿宋_GB2312" w:eastAsia="仿宋_GB2312" w:cs="仿宋_GB2312"/>
          <w:color w:val="auto"/>
          <w:sz w:val="32"/>
          <w:szCs w:val="32"/>
          <w:lang w:val="en-US" w:eastAsia="zh-CN"/>
        </w:rPr>
        <w:t>及项目实际实施情况相</w:t>
      </w:r>
      <w:r>
        <w:rPr>
          <w:rFonts w:hint="eastAsia" w:ascii="仿宋_GB2312" w:hAnsi="仿宋_GB2312" w:eastAsia="仿宋_GB2312" w:cs="仿宋_GB2312"/>
          <w:color w:val="auto"/>
          <w:sz w:val="32"/>
          <w:szCs w:val="32"/>
          <w:lang w:eastAsia="zh-CN"/>
        </w:rPr>
        <w:t>适应。</w:t>
      </w:r>
    </w:p>
    <w:p w14:paraId="09AF49C0">
      <w:pPr>
        <w:pageBreakBefore w:val="0"/>
        <w:kinsoku/>
        <w:wordWrap/>
        <w:overflowPunct/>
        <w:topLinePunct w:val="0"/>
        <w:autoSpaceDE/>
        <w:autoSpaceDN/>
        <w:bidi w:val="0"/>
        <w:adjustRightInd/>
        <w:spacing w:line="560" w:lineRule="exact"/>
        <w:ind w:left="0" w:leftChars="0" w:firstLine="0" w:firstLineChars="0"/>
        <w:rPr>
          <w:rFonts w:hint="eastAsia"/>
          <w:color w:val="auto"/>
          <w:highlight w:val="none"/>
          <w:lang w:eastAsia="zh-CN"/>
        </w:rPr>
      </w:pPr>
      <w:r>
        <w:rPr>
          <w:rFonts w:hint="eastAsia"/>
          <w:b/>
          <w:bCs/>
          <w:color w:val="auto"/>
          <w:highlight w:val="none"/>
          <w:lang w:val="en-US" w:eastAsia="zh-CN"/>
        </w:rPr>
        <w:t xml:space="preserve">     综上，该项指标满分3分，得分3分。</w:t>
      </w:r>
    </w:p>
    <w:p w14:paraId="6EC01671">
      <w:pPr>
        <w:pStyle w:val="14"/>
        <w:pageBreakBefore w:val="0"/>
        <w:widowControl/>
        <w:numPr>
          <w:ilvl w:val="0"/>
          <w:numId w:val="0"/>
        </w:numPr>
        <w:kinsoku/>
        <w:wordWrap/>
        <w:overflowPunct/>
        <w:topLinePunct w:val="0"/>
        <w:autoSpaceDE/>
        <w:autoSpaceDN/>
        <w:bidi w:val="0"/>
        <w:adjustRightInd/>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p>
    <w:p w14:paraId="7991133A">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sz w:val="32"/>
          <w:szCs w:val="32"/>
          <w:lang w:val="zh-TW" w:eastAsia="zh-TW"/>
        </w:rPr>
        <w:t>项目</w:t>
      </w:r>
      <w:r>
        <w:rPr>
          <w:rFonts w:hint="eastAsia" w:ascii="仿宋_GB2312" w:hAnsi="仿宋_GB2312" w:eastAsia="仿宋_GB2312" w:cs="仿宋_GB2312"/>
          <w:color w:val="auto"/>
          <w:sz w:val="32"/>
          <w:szCs w:val="32"/>
          <w:lang w:eastAsia="zh-CN"/>
        </w:rPr>
        <w:t>过程管理</w:t>
      </w:r>
      <w:r>
        <w:rPr>
          <w:rFonts w:hint="eastAsia" w:ascii="仿宋_GB2312" w:hAnsi="仿宋_GB2312" w:eastAsia="仿宋_GB2312" w:cs="仿宋_GB2312"/>
          <w:color w:val="auto"/>
          <w:sz w:val="32"/>
          <w:szCs w:val="32"/>
          <w:lang w:val="zh-TW" w:eastAsia="zh-TW"/>
        </w:rPr>
        <w:t>类指标由</w:t>
      </w:r>
      <w:r>
        <w:rPr>
          <w:rFonts w:hint="eastAsia" w:ascii="仿宋_GB2312" w:hAnsi="仿宋_GB2312" w:eastAsia="仿宋_GB2312" w:cs="仿宋_GB2312"/>
          <w:color w:val="auto"/>
          <w:sz w:val="32"/>
          <w:szCs w:val="32"/>
          <w:lang w:eastAsia="zh-CN"/>
        </w:rPr>
        <w:t>2</w:t>
      </w:r>
      <w:r>
        <w:rPr>
          <w:rFonts w:hint="eastAsia" w:ascii="仿宋_GB2312" w:hAnsi="仿宋_GB2312" w:eastAsia="仿宋_GB2312" w:cs="仿宋_GB2312"/>
          <w:color w:val="auto"/>
          <w:sz w:val="32"/>
          <w:szCs w:val="32"/>
          <w:lang w:val="zh-TW" w:eastAsia="zh-TW"/>
        </w:rPr>
        <w:t>个</w:t>
      </w:r>
      <w:r>
        <w:rPr>
          <w:rFonts w:hint="eastAsia" w:ascii="仿宋_GB2312" w:hAnsi="仿宋_GB2312" w:eastAsia="仿宋_GB2312" w:cs="仿宋_GB2312"/>
          <w:color w:val="auto"/>
          <w:sz w:val="32"/>
          <w:szCs w:val="32"/>
          <w:lang w:val="zh-TW" w:eastAsia="zh-CN"/>
        </w:rPr>
        <w:t>二</w:t>
      </w:r>
      <w:r>
        <w:rPr>
          <w:rFonts w:hint="eastAsia" w:ascii="仿宋_GB2312" w:hAnsi="仿宋_GB2312" w:eastAsia="仿宋_GB2312" w:cs="仿宋_GB2312"/>
          <w:color w:val="auto"/>
          <w:sz w:val="32"/>
          <w:szCs w:val="32"/>
          <w:lang w:val="zh-TW" w:eastAsia="zh-TW"/>
        </w:rPr>
        <w:t>级指标和</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val="zh-TW" w:eastAsia="zh-TW"/>
        </w:rPr>
        <w:t>个</w:t>
      </w: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lang w:val="zh-TW" w:eastAsia="zh-TW"/>
        </w:rPr>
        <w:t>级指标构成，权重分</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lang w:val="zh-TW" w:eastAsia="zh-TW"/>
        </w:rPr>
        <w:t>分，实际得分</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lang w:val="zh-TW" w:eastAsia="zh-TW"/>
        </w:rPr>
        <w:t>分</w:t>
      </w:r>
      <w:r>
        <w:rPr>
          <w:rFonts w:hint="eastAsia" w:ascii="仿宋_GB2312" w:hAnsi="仿宋_GB2312" w:eastAsia="仿宋_GB2312" w:cs="仿宋_GB2312"/>
          <w:color w:val="auto"/>
          <w:sz w:val="32"/>
          <w:szCs w:val="32"/>
          <w:lang w:val="zh-TW" w:eastAsia="zh-CN"/>
        </w:rPr>
        <w:t>，</w:t>
      </w:r>
      <w:r>
        <w:rPr>
          <w:rFonts w:hint="eastAsia" w:ascii="仿宋_GB2312" w:hAnsi="仿宋_GB2312" w:eastAsia="仿宋_GB2312" w:cs="仿宋_GB2312"/>
          <w:color w:val="auto"/>
          <w:sz w:val="32"/>
          <w:szCs w:val="32"/>
          <w:lang w:val="zh-TW" w:eastAsia="zh-TW"/>
        </w:rPr>
        <w:t>各指标业绩值和绩效分值如表</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-2</w:t>
      </w:r>
      <w:r>
        <w:rPr>
          <w:rFonts w:hint="eastAsia" w:ascii="仿宋_GB2312" w:hAnsi="仿宋_GB2312" w:eastAsia="仿宋_GB2312" w:cs="仿宋_GB2312"/>
          <w:color w:val="auto"/>
          <w:sz w:val="32"/>
          <w:szCs w:val="32"/>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7205C4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555FB255">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6B61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EE18E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F9A9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F0D7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18E7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6C928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DF0B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05D5136B">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863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0667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DB0EB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7847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D74C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9F8C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5872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4BAA92D">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EA47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AFAD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FF73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1AA0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8A4C0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1C86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3493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68BC8DA1">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848E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18F1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B9437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22A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456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5FBC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94DB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D64339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A72D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4994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F05E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5795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6FE7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14BF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91B1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9A1D8E5">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0C28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E2A1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0D358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7BCE6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D32E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AF3D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E9CE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5702194">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239B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9F3C4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B885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29B8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14E2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580827E">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20449"/>
      <w:bookmarkStart w:id="114" w:name="_Toc3886"/>
      <w:r>
        <w:rPr>
          <w:rFonts w:hint="eastAsia" w:ascii="仿宋_GB2312" w:hAnsi="仿宋_GB2312" w:eastAsia="仿宋_GB2312" w:cs="仿宋_GB2312"/>
          <w:b/>
          <w:bCs/>
          <w:color w:val="auto"/>
          <w:sz w:val="32"/>
          <w:szCs w:val="32"/>
          <w:highlight w:val="none"/>
          <w:lang w:val="en-US" w:eastAsia="zh-CN"/>
        </w:rPr>
        <w:t>1.资金到位率</w:t>
      </w:r>
      <w:bookmarkEnd w:id="113"/>
      <w:bookmarkEnd w:id="114"/>
    </w:p>
    <w:p w14:paraId="1A050ECC">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136.77</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136.77</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16D9D89F">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b w:val="0"/>
          <w:bCs w:val="0"/>
          <w:color w:val="auto"/>
          <w:sz w:val="32"/>
          <w:szCs w:val="32"/>
          <w:highlight w:val="none"/>
          <w:lang w:val="en-US" w:eastAsia="zh-CN"/>
        </w:rPr>
        <w:t>136.77</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136.77</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p>
    <w:p w14:paraId="2C80DD81">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058ADCA9">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9705"/>
      <w:bookmarkStart w:id="116" w:name="_Toc17709"/>
      <w:r>
        <w:rPr>
          <w:rFonts w:hint="eastAsia" w:ascii="仿宋_GB2312" w:hAnsi="仿宋_GB2312" w:eastAsia="仿宋_GB2312" w:cs="仿宋_GB2312"/>
          <w:b/>
          <w:bCs/>
          <w:color w:val="auto"/>
          <w:sz w:val="32"/>
          <w:szCs w:val="32"/>
          <w:highlight w:val="none"/>
          <w:lang w:val="en-US" w:eastAsia="zh-CN"/>
        </w:rPr>
        <w:t>2.预算执行率</w:t>
      </w:r>
      <w:bookmarkEnd w:id="115"/>
      <w:bookmarkEnd w:id="116"/>
    </w:p>
    <w:p w14:paraId="4AC362DF">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136.77</w:t>
      </w:r>
      <w:r>
        <w:rPr>
          <w:rFonts w:hint="eastAsia" w:ascii="仿宋_GB2312" w:hAnsi="仿宋_GB2312" w:eastAsia="仿宋_GB2312" w:cs="仿宋_GB2312"/>
          <w:color w:val="auto"/>
          <w:sz w:val="32"/>
          <w:szCs w:val="32"/>
          <w:highlight w:val="none"/>
          <w:lang w:val="en-US" w:eastAsia="zh-CN"/>
        </w:rPr>
        <w:t>万元。</w:t>
      </w:r>
    </w:p>
    <w:p w14:paraId="62DCD052">
      <w:pPr>
        <w:pageBreakBefore w:val="0"/>
        <w:kinsoku/>
        <w:wordWrap/>
        <w:overflowPunct/>
        <w:topLinePunct w:val="0"/>
        <w:autoSpaceDE/>
        <w:autoSpaceDN/>
        <w:bidi w:val="0"/>
        <w:adjustRightInd/>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b w:val="0"/>
          <w:bCs w:val="0"/>
          <w:color w:val="auto"/>
          <w:sz w:val="32"/>
          <w:szCs w:val="32"/>
          <w:highlight w:val="none"/>
          <w:lang w:val="en-US" w:eastAsia="zh-CN"/>
        </w:rPr>
        <w:t>136.77</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136.77</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p>
    <w:p w14:paraId="20E2674A">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9AC792C">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18691"/>
      <w:bookmarkStart w:id="118" w:name="_Toc28875"/>
      <w:r>
        <w:rPr>
          <w:rFonts w:hint="eastAsia" w:ascii="仿宋_GB2312" w:hAnsi="仿宋_GB2312" w:eastAsia="仿宋_GB2312" w:cs="仿宋_GB2312"/>
          <w:b/>
          <w:bCs/>
          <w:color w:val="auto"/>
          <w:sz w:val="32"/>
          <w:szCs w:val="32"/>
          <w:highlight w:val="none"/>
          <w:lang w:val="en-US" w:eastAsia="zh-CN"/>
        </w:rPr>
        <w:t>3.资金使用合规性</w:t>
      </w:r>
      <w:bookmarkEnd w:id="117"/>
      <w:bookmarkEnd w:id="118"/>
    </w:p>
    <w:p w14:paraId="57CBA74A">
      <w:pPr>
        <w:pageBreakBefore w:val="0"/>
        <w:kinsoku/>
        <w:wordWrap/>
        <w:overflowPunct/>
        <w:topLinePunct w:val="0"/>
        <w:autoSpaceDE/>
        <w:autoSpaceDN/>
        <w:bidi w:val="0"/>
        <w:adjustRightInd/>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w:t>
      </w:r>
      <w:r>
        <w:rPr>
          <w:rFonts w:hint="eastAsia" w:ascii="仿宋_GB2312" w:hAnsi="仿宋_GB2312" w:eastAsia="仿宋_GB2312" w:cs="仿宋_GB2312"/>
          <w:color w:val="auto"/>
          <w:sz w:val="32"/>
          <w:szCs w:val="32"/>
          <w:highlight w:val="none"/>
          <w:lang w:val="en-US" w:eastAsia="zh-CN"/>
        </w:rPr>
        <w:t>阜康市阜新社区卫生服务中心</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基本公共卫生</w:t>
      </w:r>
      <w:r>
        <w:rPr>
          <w:rFonts w:hint="eastAsia" w:ascii="仿宋_GB2312" w:hAnsi="仿宋_GB2312" w:eastAsia="仿宋_GB2312" w:cs="仿宋_GB2312"/>
          <w:color w:val="auto"/>
          <w:sz w:val="32"/>
          <w:szCs w:val="32"/>
          <w:highlight w:val="none"/>
          <w:lang w:eastAsia="zh-CN"/>
        </w:rPr>
        <w:t>专项资金管理办法》；</w:t>
      </w:r>
    </w:p>
    <w:p w14:paraId="6CC51032">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2EF9D53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2ABF51C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31C54981">
      <w:pPr>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215F7042">
      <w:pPr>
        <w:pageBreakBefore w:val="0"/>
        <w:kinsoku/>
        <w:wordWrap/>
        <w:overflowPunct/>
        <w:topLinePunct w:val="0"/>
        <w:autoSpaceDE/>
        <w:autoSpaceDN/>
        <w:bidi w:val="0"/>
        <w:adjustRightInd/>
        <w:spacing w:line="560" w:lineRule="exact"/>
        <w:ind w:left="0" w:leftChars="0" w:firstLine="0" w:firstLineChars="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FF0000"/>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lang w:val="en-US" w:eastAsia="zh-CN"/>
        </w:rPr>
        <w:t xml:space="preserve"> 综上，该项指标满分4分，得分4分。</w:t>
      </w:r>
    </w:p>
    <w:p w14:paraId="55FFCDD3">
      <w:pPr>
        <w:pageBreakBefore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258EC163">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lang w:eastAsia="zh-CN"/>
        </w:rPr>
      </w:pPr>
      <w:r>
        <w:rPr>
          <w:rFonts w:hint="eastAsia" w:ascii="Times New Roman" w:hAnsi="Times New Roman" w:eastAsia="仿宋_GB2312" w:cs="Times New Roman"/>
          <w:color w:val="auto"/>
          <w:sz w:val="32"/>
          <w:szCs w:val="32"/>
          <w:highlight w:val="none"/>
          <w:lang w:val="en-US" w:eastAsia="zh-CN"/>
        </w:rPr>
        <w:t>①</w:t>
      </w:r>
      <w:r>
        <w:rPr>
          <w:rFonts w:hint="eastAsia" w:ascii="Times New Roman" w:hAnsi="Times New Roman" w:eastAsia="仿宋_GB2312" w:cs="Times New Roman"/>
          <w:color w:val="auto"/>
          <w:sz w:val="32"/>
          <w:szCs w:val="32"/>
          <w:highlight w:val="none"/>
          <w:lang w:eastAsia="zh-CN"/>
        </w:rPr>
        <w:t>我单位已制定《</w:t>
      </w:r>
      <w:r>
        <w:rPr>
          <w:rFonts w:hint="eastAsia" w:ascii="Times New Roman" w:hAnsi="Times New Roman" w:eastAsia="仿宋_GB2312" w:cs="Times New Roman"/>
          <w:color w:val="auto"/>
          <w:sz w:val="32"/>
          <w:szCs w:val="32"/>
          <w:highlight w:val="none"/>
          <w:lang w:val="en-US" w:eastAsia="zh-CN"/>
        </w:rPr>
        <w:t>基本公共卫生服务项目</w:t>
      </w:r>
      <w:r>
        <w:rPr>
          <w:rFonts w:hint="eastAsia" w:ascii="Times New Roman" w:hAnsi="Times New Roman" w:eastAsia="仿宋_GB2312" w:cs="Times New Roman"/>
          <w:color w:val="auto"/>
          <w:sz w:val="32"/>
          <w:szCs w:val="32"/>
          <w:highlight w:val="none"/>
          <w:lang w:eastAsia="zh-CN"/>
        </w:rPr>
        <w:t>资金管理办法》《</w:t>
      </w:r>
      <w:r>
        <w:rPr>
          <w:rFonts w:hint="eastAsia" w:ascii="Times New Roman" w:hAnsi="Times New Roman" w:eastAsia="仿宋_GB2312" w:cs="Times New Roman"/>
          <w:color w:val="auto"/>
          <w:sz w:val="32"/>
          <w:szCs w:val="32"/>
          <w:highlight w:val="none"/>
          <w:lang w:val="en-US" w:eastAsia="zh-CN"/>
        </w:rPr>
        <w:t>阜康市阜新社区卫生服务中心财务</w:t>
      </w:r>
      <w:r>
        <w:rPr>
          <w:rFonts w:hint="eastAsia" w:ascii="Times New Roman" w:hAnsi="Times New Roman" w:eastAsia="仿宋_GB2312" w:cs="Times New Roman"/>
          <w:color w:val="auto"/>
          <w:sz w:val="32"/>
          <w:szCs w:val="32"/>
          <w:highlight w:val="none"/>
          <w:lang w:eastAsia="zh-CN"/>
        </w:rPr>
        <w:t>收支业务管理制度》</w:t>
      </w:r>
      <w:r>
        <w:rPr>
          <w:rFonts w:hint="eastAsia" w:ascii="仿宋_GB2312" w:hAnsi="仿宋_GB2312" w:eastAsia="仿宋_GB2312" w:cs="仿宋_GB2312"/>
          <w:color w:val="auto"/>
          <w:sz w:val="32"/>
          <w:szCs w:val="32"/>
          <w:lang w:eastAsia="zh-CN"/>
        </w:rPr>
        <w:t>《</w:t>
      </w:r>
      <w:r>
        <w:rPr>
          <w:rFonts w:hint="eastAsia" w:ascii="Times New Roman" w:hAnsi="Times New Roman" w:eastAsia="仿宋_GB2312" w:cs="Times New Roman"/>
          <w:color w:val="auto"/>
          <w:sz w:val="32"/>
          <w:szCs w:val="32"/>
          <w:highlight w:val="none"/>
          <w:lang w:val="en-US" w:eastAsia="zh-CN"/>
        </w:rPr>
        <w:t>阜康市阜新社区卫生服务中心</w:t>
      </w:r>
      <w:r>
        <w:rPr>
          <w:rFonts w:hint="eastAsia" w:ascii="仿宋_GB2312" w:hAnsi="仿宋_GB2312" w:eastAsia="仿宋_GB2312" w:cs="仿宋_GB2312"/>
          <w:color w:val="auto"/>
          <w:sz w:val="32"/>
          <w:szCs w:val="32"/>
          <w:lang w:eastAsia="zh-CN"/>
        </w:rPr>
        <w:t>政府采购业务管理制度》《</w:t>
      </w:r>
      <w:r>
        <w:rPr>
          <w:rFonts w:hint="eastAsia" w:ascii="Times New Roman" w:hAnsi="Times New Roman" w:eastAsia="仿宋_GB2312" w:cs="Times New Roman"/>
          <w:color w:val="auto"/>
          <w:sz w:val="32"/>
          <w:szCs w:val="32"/>
          <w:highlight w:val="none"/>
          <w:lang w:val="en-US" w:eastAsia="zh-CN"/>
        </w:rPr>
        <w:t>阜康市阜新社区卫生服务中心</w:t>
      </w:r>
      <w:r>
        <w:rPr>
          <w:rFonts w:hint="eastAsia" w:ascii="仿宋_GB2312" w:hAnsi="仿宋_GB2312" w:eastAsia="仿宋_GB2312" w:cs="仿宋_GB2312"/>
          <w:color w:val="auto"/>
          <w:sz w:val="32"/>
          <w:szCs w:val="32"/>
          <w:lang w:eastAsia="zh-CN"/>
        </w:rPr>
        <w:t>合同管理制度》，</w:t>
      </w:r>
      <w:r>
        <w:rPr>
          <w:rFonts w:hint="eastAsia" w:ascii="仿宋_GB2312" w:hAnsi="仿宋_GB2312" w:eastAsia="仿宋_GB2312" w:cs="仿宋_GB2312"/>
          <w:color w:val="auto"/>
          <w:sz w:val="32"/>
          <w:szCs w:val="32"/>
          <w:lang w:val="en-US" w:eastAsia="zh-CN"/>
        </w:rPr>
        <w:t>相关</w:t>
      </w:r>
      <w:r>
        <w:rPr>
          <w:rFonts w:hint="eastAsia" w:ascii="仿宋_GB2312" w:hAnsi="仿宋_GB2312" w:eastAsia="仿宋_GB2312" w:cs="仿宋_GB2312"/>
          <w:color w:val="auto"/>
          <w:sz w:val="32"/>
          <w:szCs w:val="32"/>
          <w:lang w:eastAsia="zh-CN"/>
        </w:rPr>
        <w:t>制度均符合行政事业单位内控管理要求；</w:t>
      </w:r>
    </w:p>
    <w:p w14:paraId="6E10CDB4">
      <w:pPr>
        <w:pageBreakBefore w:val="0"/>
        <w:kinsoku/>
        <w:wordWrap/>
        <w:overflowPunct/>
        <w:topLinePunct w:val="0"/>
        <w:autoSpaceDE/>
        <w:autoSpaceDN/>
        <w:bidi w:val="0"/>
        <w:adjustRightInd/>
        <w:spacing w:line="560" w:lineRule="exact"/>
        <w:ind w:left="0" w:leftChars="0" w:firstLine="0" w:firstLineChars="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FF0000"/>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val="en-US" w:eastAsia="zh-CN"/>
        </w:rPr>
        <w:t xml:space="preserve"> 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4C504152">
      <w:pPr>
        <w:pageBreakBefore w:val="0"/>
        <w:kinsoku/>
        <w:wordWrap/>
        <w:overflowPunct/>
        <w:topLinePunct w:val="0"/>
        <w:autoSpaceDE/>
        <w:autoSpaceDN/>
        <w:bidi w:val="0"/>
        <w:adjustRightInd/>
        <w:spacing w:line="560" w:lineRule="exact"/>
        <w:ind w:left="0" w:leftChars="0" w:firstLine="0" w:firstLineChars="0"/>
        <w:textAlignment w:val="auto"/>
        <w:rPr>
          <w:rFonts w:hint="eastAsia" w:ascii="仿宋_GB2312" w:hAnsi="仿宋_GB2312" w:eastAsia="仿宋_GB2312" w:cs="仿宋_GB2312"/>
          <w:color w:val="FF0000"/>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 xml:space="preserve">    综上，该项指标满分4分，得分4分。</w:t>
      </w:r>
    </w:p>
    <w:p w14:paraId="404BB38E">
      <w:pPr>
        <w:pageBreakBefore w:val="0"/>
        <w:kinsoku/>
        <w:wordWrap/>
        <w:overflowPunct/>
        <w:topLinePunct w:val="0"/>
        <w:autoSpaceDE/>
        <w:autoSpaceDN/>
        <w:bidi w:val="0"/>
        <w:adjustRightInd/>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13984"/>
      <w:bookmarkStart w:id="120" w:name="_Toc31684"/>
      <w:r>
        <w:rPr>
          <w:rFonts w:hint="eastAsia" w:ascii="仿宋_GB2312" w:hAnsi="仿宋_GB2312" w:eastAsia="仿宋_GB2312" w:cs="仿宋_GB2312"/>
          <w:b/>
          <w:bCs/>
          <w:color w:val="auto"/>
          <w:sz w:val="32"/>
          <w:szCs w:val="32"/>
          <w:highlight w:val="none"/>
          <w:lang w:val="en-US" w:eastAsia="zh-CN"/>
        </w:rPr>
        <w:t>5.制度执行有效性</w:t>
      </w:r>
      <w:bookmarkEnd w:id="119"/>
      <w:bookmarkEnd w:id="120"/>
    </w:p>
    <w:p w14:paraId="508A5C2C">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Times New Roman" w:hAnsi="Times New Roman" w:eastAsia="仿宋_GB2312" w:cs="Times New Roman"/>
          <w:color w:val="auto"/>
          <w:sz w:val="32"/>
          <w:szCs w:val="32"/>
          <w:highlight w:val="none"/>
          <w:lang w:val="en-US" w:eastAsia="zh-CN"/>
        </w:rPr>
        <w:t>基本公共卫生服务项</w:t>
      </w:r>
      <w:r>
        <w:rPr>
          <w:rFonts w:hint="eastAsia" w:ascii="Times New Roman" w:hAnsi="Times New Roman" w:eastAsia="仿宋_GB2312" w:cs="Times New Roman"/>
          <w:color w:val="auto"/>
          <w:sz w:val="32"/>
          <w:szCs w:val="32"/>
          <w:highlight w:val="none"/>
          <w:lang w:eastAsia="zh-CN"/>
        </w:rPr>
        <w:t>资金</w:t>
      </w:r>
      <w:r>
        <w:rPr>
          <w:rFonts w:hint="eastAsia" w:ascii="仿宋_GB2312" w:hAnsi="仿宋_GB2312" w:eastAsia="仿宋_GB2312" w:cs="仿宋_GB2312"/>
          <w:color w:val="auto"/>
          <w:sz w:val="32"/>
          <w:szCs w:val="32"/>
          <w:highlight w:val="none"/>
        </w:rPr>
        <w:t>办法》《</w:t>
      </w:r>
      <w:r>
        <w:rPr>
          <w:rFonts w:hint="eastAsia" w:ascii="Times New Roman" w:hAnsi="Times New Roman" w:eastAsia="仿宋_GB2312" w:cs="Times New Roman"/>
          <w:color w:val="auto"/>
          <w:sz w:val="32"/>
          <w:szCs w:val="32"/>
          <w:highlight w:val="none"/>
          <w:lang w:val="en-US" w:eastAsia="zh-CN"/>
        </w:rPr>
        <w:t>阜康市阜新社区卫生服务中心财务</w:t>
      </w:r>
      <w:r>
        <w:rPr>
          <w:rFonts w:hint="eastAsia" w:ascii="Times New Roman" w:hAnsi="Times New Roman" w:eastAsia="仿宋_GB2312" w:cs="Times New Roman"/>
          <w:color w:val="auto"/>
          <w:sz w:val="32"/>
          <w:szCs w:val="32"/>
          <w:highlight w:val="none"/>
          <w:lang w:eastAsia="zh-CN"/>
        </w:rPr>
        <w:t>收支业务</w:t>
      </w:r>
      <w:r>
        <w:rPr>
          <w:rFonts w:hint="eastAsia" w:ascii="仿宋_GB2312" w:hAnsi="仿宋_GB2312" w:eastAsia="仿宋_GB2312" w:cs="仿宋_GB2312"/>
          <w:color w:val="auto"/>
          <w:sz w:val="32"/>
          <w:szCs w:val="32"/>
          <w:highlight w:val="none"/>
        </w:rPr>
        <w:t>管理制度》《</w:t>
      </w:r>
      <w:r>
        <w:rPr>
          <w:rFonts w:hint="eastAsia" w:ascii="Times New Roman" w:hAnsi="Times New Roman" w:eastAsia="仿宋_GB2312" w:cs="Times New Roman"/>
          <w:color w:val="auto"/>
          <w:sz w:val="32"/>
          <w:szCs w:val="32"/>
          <w:highlight w:val="none"/>
          <w:lang w:val="en-US" w:eastAsia="zh-CN"/>
        </w:rPr>
        <w:t>阜康市阜新社区卫生服务中心</w:t>
      </w:r>
      <w:r>
        <w:rPr>
          <w:rFonts w:hint="eastAsia" w:ascii="仿宋_GB2312" w:hAnsi="仿宋_GB2312" w:eastAsia="仿宋_GB2312" w:cs="仿宋_GB2312"/>
          <w:color w:val="auto"/>
          <w:sz w:val="32"/>
          <w:szCs w:val="32"/>
          <w:highlight w:val="none"/>
        </w:rPr>
        <w:t>采购业务管理制度》《</w:t>
      </w:r>
      <w:r>
        <w:rPr>
          <w:rFonts w:hint="eastAsia" w:ascii="Times New Roman" w:hAnsi="Times New Roman" w:eastAsia="仿宋_GB2312" w:cs="Times New Roman"/>
          <w:color w:val="auto"/>
          <w:sz w:val="32"/>
          <w:szCs w:val="32"/>
          <w:highlight w:val="none"/>
          <w:lang w:val="en-US" w:eastAsia="zh-CN"/>
        </w:rPr>
        <w:t>阜康市阜新社区卫生服务中心</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rPr>
        <w:t>。</w:t>
      </w:r>
    </w:p>
    <w:p w14:paraId="6D773BD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该项目实施过程中不存在调整事项</w:t>
      </w:r>
      <w:r>
        <w:rPr>
          <w:rFonts w:hint="eastAsia" w:ascii="仿宋_GB2312" w:hAnsi="仿宋_GB2312" w:eastAsia="仿宋_GB2312" w:cs="仿宋_GB2312"/>
          <w:color w:val="auto"/>
          <w:sz w:val="32"/>
          <w:szCs w:val="32"/>
          <w:highlight w:val="none"/>
          <w:lang w:eastAsia="zh-CN"/>
        </w:rPr>
        <w:t>。</w:t>
      </w:r>
    </w:p>
    <w:p w14:paraId="0A54E815">
      <w:pPr>
        <w:pageBreakBefore w:val="0"/>
        <w:widowControl w:val="0"/>
        <w:kinsoku/>
        <w:wordWrap/>
        <w:overflowPunct/>
        <w:topLinePunct w:val="0"/>
        <w:autoSpaceDE/>
        <w:autoSpaceDN/>
        <w:bidi w:val="0"/>
        <w:adjustRightInd/>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val="en-US" w:eastAsia="zh-CN"/>
        </w:rPr>
        <w:t>居民档案资料</w:t>
      </w:r>
      <w:r>
        <w:rPr>
          <w:rFonts w:hint="eastAsia" w:ascii="仿宋_GB2312" w:hAnsi="仿宋_GB2312" w:eastAsia="仿宋_GB2312" w:cs="仿宋_GB2312"/>
          <w:color w:val="auto"/>
          <w:sz w:val="32"/>
          <w:szCs w:val="32"/>
          <w:highlight w:val="none"/>
        </w:rPr>
        <w:t>、财务支付凭证等资料齐全</w:t>
      </w:r>
      <w:r>
        <w:rPr>
          <w:rFonts w:hint="eastAsia" w:ascii="仿宋_GB2312" w:hAnsi="仿宋_GB2312" w:eastAsia="仿宋_GB2312" w:cs="仿宋_GB2312"/>
          <w:color w:val="auto"/>
          <w:sz w:val="32"/>
          <w:szCs w:val="32"/>
        </w:rPr>
        <w:t>并及时归档。</w:t>
      </w:r>
    </w:p>
    <w:p w14:paraId="768BFAC9">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w:t>
      </w:r>
      <w:r>
        <w:rPr>
          <w:rFonts w:hint="eastAsia" w:ascii="Times New Roman" w:hAnsi="Times New Roman" w:eastAsia="仿宋_GB2312" w:cs="Times New Roman"/>
          <w:color w:val="auto"/>
          <w:sz w:val="32"/>
          <w:szCs w:val="32"/>
          <w:highlight w:val="none"/>
          <w:lang w:val="en-US" w:eastAsia="zh-CN"/>
        </w:rPr>
        <w:t>基本公共卫生服务</w:t>
      </w:r>
      <w:r>
        <w:rPr>
          <w:rFonts w:hint="eastAsia" w:ascii="仿宋_GB2312" w:hAnsi="仿宋_GB2312" w:eastAsia="仿宋_GB2312" w:cs="仿宋_GB2312"/>
          <w:color w:val="auto"/>
          <w:sz w:val="32"/>
          <w:szCs w:val="32"/>
          <w:highlight w:val="none"/>
          <w:lang w:eastAsia="zh-CN"/>
        </w:rPr>
        <w:t>项目工作领导小组，由</w:t>
      </w:r>
      <w:r>
        <w:rPr>
          <w:rFonts w:hint="eastAsia" w:ascii="仿宋_GB2312" w:hAnsi="仿宋_GB2312" w:eastAsia="仿宋_GB2312" w:cs="仿宋_GB2312"/>
          <w:color w:val="auto"/>
          <w:sz w:val="32"/>
          <w:szCs w:val="32"/>
          <w:highlight w:val="none"/>
          <w:lang w:val="en-US" w:eastAsia="zh-CN"/>
        </w:rPr>
        <w:t>朱荣慧</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安瑞琪</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安瑞琪和蔡越</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456E9DC1">
      <w:pPr>
        <w:pageBreakBefore w:val="0"/>
        <w:kinsoku/>
        <w:wordWrap/>
        <w:overflowPunct/>
        <w:topLinePunct w:val="0"/>
        <w:autoSpaceDE/>
        <w:autoSpaceDN/>
        <w:bidi w:val="0"/>
        <w:adjustRightInd/>
        <w:spacing w:line="560" w:lineRule="exact"/>
        <w:ind w:left="0" w:leftChars="0" w:firstLine="0" w:firstLineChars="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FF0000"/>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lang w:val="en-US" w:eastAsia="zh-CN"/>
        </w:rPr>
        <w:t>综上，该项指标满分4分，得分4分。</w:t>
      </w:r>
    </w:p>
    <w:p w14:paraId="0FCCAC0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21" w:name="_Toc2441"/>
      <w:r>
        <w:rPr>
          <w:rFonts w:hint="eastAsia" w:ascii="Times New Roman" w:hAnsi="Times New Roman" w:eastAsia="楷体_GB2312" w:cs="Times New Roman"/>
          <w:color w:val="auto"/>
          <w:kern w:val="28"/>
          <w:sz w:val="32"/>
          <w:highlight w:val="none"/>
          <w:lang w:val="en-US" w:eastAsia="zh-CN"/>
        </w:rPr>
        <w:t>（三）项目产出情况</w:t>
      </w:r>
      <w:bookmarkEnd w:id="121"/>
    </w:p>
    <w:p w14:paraId="0130DFF6">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9</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022E418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36" w:type="dxa"/>
        <w:tblInd w:w="0" w:type="dxa"/>
        <w:shd w:val="clear" w:color="auto" w:fill="auto"/>
        <w:tblLayout w:type="fixed"/>
        <w:tblCellMar>
          <w:top w:w="0" w:type="dxa"/>
          <w:left w:w="0" w:type="dxa"/>
          <w:bottom w:w="0" w:type="dxa"/>
          <w:right w:w="0" w:type="dxa"/>
        </w:tblCellMar>
      </w:tblPr>
      <w:tblGrid>
        <w:gridCol w:w="941"/>
        <w:gridCol w:w="882"/>
        <w:gridCol w:w="1400"/>
        <w:gridCol w:w="1300"/>
        <w:gridCol w:w="1391"/>
        <w:gridCol w:w="1518"/>
        <w:gridCol w:w="904"/>
      </w:tblGrid>
      <w:tr w14:paraId="36DA2A41">
        <w:tblPrEx>
          <w:shd w:val="clear" w:color="auto" w:fill="auto"/>
          <w:tblCellMar>
            <w:top w:w="0" w:type="dxa"/>
            <w:left w:w="0" w:type="dxa"/>
            <w:bottom w:w="0" w:type="dxa"/>
            <w:right w:w="0" w:type="dxa"/>
          </w:tblCellMar>
        </w:tblPrEx>
        <w:trPr>
          <w:trHeight w:val="1139" w:hRule="atLeast"/>
        </w:trPr>
        <w:tc>
          <w:tcPr>
            <w:tcW w:w="941"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305AF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882"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7B0AA0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40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86FD53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30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1931EE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13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EA63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5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719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33FE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5452E4BA">
        <w:tblPrEx>
          <w:tblCellMar>
            <w:top w:w="0" w:type="dxa"/>
            <w:left w:w="0" w:type="dxa"/>
            <w:bottom w:w="0" w:type="dxa"/>
            <w:right w:w="0" w:type="dxa"/>
          </w:tblCellMar>
        </w:tblPrEx>
        <w:trPr>
          <w:trHeight w:val="693" w:hRule="atLeast"/>
        </w:trPr>
        <w:tc>
          <w:tcPr>
            <w:tcW w:w="94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7B86D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882"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30268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14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248DF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高血压患者管理人数</w:t>
            </w:r>
          </w:p>
        </w:tc>
        <w:tc>
          <w:tcPr>
            <w:tcW w:w="13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04B9C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≥1093人</w:t>
            </w:r>
          </w:p>
        </w:tc>
        <w:tc>
          <w:tcPr>
            <w:tcW w:w="139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BA1A0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5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B7E5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1093人</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53CE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40FB58EC">
        <w:tblPrEx>
          <w:shd w:val="clear" w:color="auto" w:fill="auto"/>
          <w:tblCellMar>
            <w:top w:w="0" w:type="dxa"/>
            <w:left w:w="0" w:type="dxa"/>
            <w:bottom w:w="0" w:type="dxa"/>
            <w:right w:w="0" w:type="dxa"/>
          </w:tblCellMar>
        </w:tblPrEx>
        <w:trPr>
          <w:trHeight w:val="415" w:hRule="atLeast"/>
        </w:trPr>
        <w:tc>
          <w:tcPr>
            <w:tcW w:w="94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EEADD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88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507B7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7481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2型糖尿病管理人数</w:t>
            </w:r>
          </w:p>
        </w:tc>
        <w:tc>
          <w:tcPr>
            <w:tcW w:w="13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62745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≥495人</w:t>
            </w:r>
          </w:p>
        </w:tc>
        <w:tc>
          <w:tcPr>
            <w:tcW w:w="139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3924CF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5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0515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495人</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12E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0C646ADC">
        <w:tblPrEx>
          <w:shd w:val="clear" w:color="auto" w:fill="auto"/>
          <w:tblCellMar>
            <w:top w:w="0" w:type="dxa"/>
            <w:left w:w="0" w:type="dxa"/>
            <w:bottom w:w="0" w:type="dxa"/>
            <w:right w:w="0" w:type="dxa"/>
          </w:tblCellMar>
        </w:tblPrEx>
        <w:trPr>
          <w:trHeight w:val="415" w:hRule="atLeast"/>
        </w:trPr>
        <w:tc>
          <w:tcPr>
            <w:tcW w:w="94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57712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88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A293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95209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65岁老年人2次医养结合服务完成人数</w:t>
            </w:r>
          </w:p>
        </w:tc>
        <w:tc>
          <w:tcPr>
            <w:tcW w:w="13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B9178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≥39人</w:t>
            </w:r>
          </w:p>
        </w:tc>
        <w:tc>
          <w:tcPr>
            <w:tcW w:w="139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48A65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5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70B2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39人</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3DAE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10C334E9">
        <w:tblPrEx>
          <w:shd w:val="clear" w:color="auto" w:fill="auto"/>
          <w:tblCellMar>
            <w:top w:w="0" w:type="dxa"/>
            <w:left w:w="0" w:type="dxa"/>
            <w:bottom w:w="0" w:type="dxa"/>
            <w:right w:w="0" w:type="dxa"/>
          </w:tblCellMar>
        </w:tblPrEx>
        <w:trPr>
          <w:trHeight w:val="390" w:hRule="atLeast"/>
        </w:trPr>
        <w:tc>
          <w:tcPr>
            <w:tcW w:w="94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A83E8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882"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E0745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14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1239C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居民规范化电子健康档案覆盖率</w:t>
            </w:r>
          </w:p>
        </w:tc>
        <w:tc>
          <w:tcPr>
            <w:tcW w:w="13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4AE29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≥84%</w:t>
            </w:r>
          </w:p>
        </w:tc>
        <w:tc>
          <w:tcPr>
            <w:tcW w:w="139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51E7BD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5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24B2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84%</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383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2134B02D">
        <w:tblPrEx>
          <w:shd w:val="clear" w:color="auto" w:fill="auto"/>
          <w:tblCellMar>
            <w:top w:w="0" w:type="dxa"/>
            <w:left w:w="0" w:type="dxa"/>
            <w:bottom w:w="0" w:type="dxa"/>
            <w:right w:w="0" w:type="dxa"/>
          </w:tblCellMar>
        </w:tblPrEx>
        <w:trPr>
          <w:trHeight w:val="390" w:hRule="atLeast"/>
        </w:trPr>
        <w:tc>
          <w:tcPr>
            <w:tcW w:w="94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7CC4A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88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E92EF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DEA5A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高血压患者规范管理服务率</w:t>
            </w:r>
          </w:p>
        </w:tc>
        <w:tc>
          <w:tcPr>
            <w:tcW w:w="13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6204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≥93%</w:t>
            </w:r>
          </w:p>
        </w:tc>
        <w:tc>
          <w:tcPr>
            <w:tcW w:w="139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BF45E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5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21E4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93%</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D9D4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25330B2F">
        <w:tblPrEx>
          <w:shd w:val="clear" w:color="auto" w:fill="auto"/>
          <w:tblCellMar>
            <w:top w:w="0" w:type="dxa"/>
            <w:left w:w="0" w:type="dxa"/>
            <w:bottom w:w="0" w:type="dxa"/>
            <w:right w:w="0" w:type="dxa"/>
          </w:tblCellMar>
        </w:tblPrEx>
        <w:trPr>
          <w:trHeight w:val="390" w:hRule="atLeast"/>
        </w:trPr>
        <w:tc>
          <w:tcPr>
            <w:tcW w:w="94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AABC8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88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E8D6E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79851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2型糖尿病患者规范管理服务率</w:t>
            </w:r>
          </w:p>
        </w:tc>
        <w:tc>
          <w:tcPr>
            <w:tcW w:w="13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2F0A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139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55C0D1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5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65AF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0BC1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1C31BEE3">
        <w:tblPrEx>
          <w:shd w:val="clear" w:color="auto" w:fill="auto"/>
          <w:tblCellMar>
            <w:top w:w="0" w:type="dxa"/>
            <w:left w:w="0" w:type="dxa"/>
            <w:bottom w:w="0" w:type="dxa"/>
            <w:right w:w="0" w:type="dxa"/>
          </w:tblCellMar>
        </w:tblPrEx>
        <w:trPr>
          <w:trHeight w:val="410" w:hRule="atLeast"/>
        </w:trPr>
        <w:tc>
          <w:tcPr>
            <w:tcW w:w="94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E021B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8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BFC2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14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B21B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项目按期完成时间</w:t>
            </w:r>
          </w:p>
        </w:tc>
        <w:tc>
          <w:tcPr>
            <w:tcW w:w="13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0571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≦2024年12月</w:t>
            </w:r>
          </w:p>
        </w:tc>
        <w:tc>
          <w:tcPr>
            <w:tcW w:w="139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4908C3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5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EBAE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2024年12月</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7A30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1656AF90">
        <w:tblPrEx>
          <w:tblCellMar>
            <w:top w:w="0" w:type="dxa"/>
            <w:left w:w="0" w:type="dxa"/>
            <w:bottom w:w="0" w:type="dxa"/>
            <w:right w:w="0" w:type="dxa"/>
          </w:tblCellMar>
        </w:tblPrEx>
        <w:trPr>
          <w:trHeight w:val="428" w:hRule="atLeast"/>
        </w:trPr>
        <w:tc>
          <w:tcPr>
            <w:tcW w:w="9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045DF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8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5FB54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E480D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其他费用</w:t>
            </w:r>
          </w:p>
        </w:tc>
        <w:tc>
          <w:tcPr>
            <w:tcW w:w="13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B20CF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w:t>
            </w:r>
            <w:r>
              <w:rPr>
                <w:rFonts w:hint="eastAsia" w:ascii="宋体" w:hAnsi="宋体" w:eastAsia="宋体" w:cs="宋体"/>
                <w:color w:val="auto"/>
                <w:kern w:val="0"/>
                <w:sz w:val="20"/>
                <w:szCs w:val="20"/>
                <w:highlight w:val="none"/>
                <w:shd w:val="clear" w:color="auto" w:fill="auto"/>
                <w:lang w:val="en-US" w:eastAsia="zh-CN"/>
              </w:rPr>
              <w:t>87.97</w:t>
            </w:r>
          </w:p>
        </w:tc>
        <w:tc>
          <w:tcPr>
            <w:tcW w:w="139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281112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2.5</w:t>
            </w:r>
          </w:p>
        </w:tc>
        <w:tc>
          <w:tcPr>
            <w:tcW w:w="15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F08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87.97万元</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E13C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2.5</w:t>
            </w:r>
          </w:p>
        </w:tc>
      </w:tr>
      <w:tr w14:paraId="452EB808">
        <w:tblPrEx>
          <w:shd w:val="clear" w:color="auto" w:fill="auto"/>
          <w:tblCellMar>
            <w:top w:w="0" w:type="dxa"/>
            <w:left w:w="0" w:type="dxa"/>
            <w:bottom w:w="0" w:type="dxa"/>
            <w:right w:w="0" w:type="dxa"/>
          </w:tblCellMar>
        </w:tblPrEx>
        <w:trPr>
          <w:trHeight w:val="428" w:hRule="atLeast"/>
        </w:trPr>
        <w:tc>
          <w:tcPr>
            <w:tcW w:w="9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5337F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22" w:name="_Toc26689"/>
            <w:bookmarkStart w:id="123" w:name="_Toc11067"/>
          </w:p>
        </w:tc>
        <w:tc>
          <w:tcPr>
            <w:tcW w:w="88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46254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经济成本指标</w:t>
            </w:r>
          </w:p>
        </w:tc>
        <w:tc>
          <w:tcPr>
            <w:tcW w:w="14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32DF0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需方补助经费</w:t>
            </w:r>
          </w:p>
        </w:tc>
        <w:tc>
          <w:tcPr>
            <w:tcW w:w="13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CDECE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w:t>
            </w:r>
            <w:r>
              <w:rPr>
                <w:rFonts w:hint="eastAsia" w:ascii="宋体" w:hAnsi="宋体" w:eastAsia="宋体" w:cs="宋体"/>
                <w:color w:val="auto"/>
                <w:kern w:val="0"/>
                <w:sz w:val="20"/>
                <w:szCs w:val="20"/>
                <w:highlight w:val="none"/>
                <w:shd w:val="clear" w:color="auto" w:fill="auto"/>
                <w:lang w:val="en-US" w:eastAsia="zh-CN"/>
              </w:rPr>
              <w:t>48.97</w:t>
            </w:r>
            <w:r>
              <w:rPr>
                <w:rFonts w:hint="default" w:ascii="宋体" w:hAnsi="宋体" w:eastAsia="宋体" w:cs="宋体"/>
                <w:color w:val="auto"/>
                <w:kern w:val="0"/>
                <w:sz w:val="20"/>
                <w:szCs w:val="20"/>
                <w:highlight w:val="none"/>
                <w:shd w:val="clear" w:color="auto" w:fill="auto"/>
                <w:lang w:val="en-US" w:eastAsia="zh-CN"/>
              </w:rPr>
              <w:t>万元</w:t>
            </w:r>
          </w:p>
        </w:tc>
        <w:tc>
          <w:tcPr>
            <w:tcW w:w="139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BEB7BF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2.5</w:t>
            </w:r>
          </w:p>
        </w:tc>
        <w:tc>
          <w:tcPr>
            <w:tcW w:w="15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2918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48.97</w:t>
            </w:r>
            <w:r>
              <w:rPr>
                <w:rFonts w:hint="default" w:ascii="宋体" w:hAnsi="宋体" w:eastAsia="宋体" w:cs="宋体"/>
                <w:color w:val="auto"/>
                <w:kern w:val="0"/>
                <w:sz w:val="20"/>
                <w:szCs w:val="20"/>
                <w:highlight w:val="none"/>
                <w:shd w:val="clear" w:color="auto" w:fill="auto"/>
                <w:lang w:val="en-US" w:eastAsia="zh-CN"/>
              </w:rPr>
              <w:t>万元</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B07D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2.5</w:t>
            </w:r>
          </w:p>
        </w:tc>
      </w:tr>
      <w:tr w14:paraId="0645E1EB">
        <w:tblPrEx>
          <w:shd w:val="clear" w:color="auto" w:fill="auto"/>
          <w:tblCellMar>
            <w:top w:w="0" w:type="dxa"/>
            <w:left w:w="0" w:type="dxa"/>
            <w:bottom w:w="0" w:type="dxa"/>
            <w:right w:w="0" w:type="dxa"/>
          </w:tblCellMar>
        </w:tblPrEx>
        <w:trPr>
          <w:trHeight w:val="428" w:hRule="atLeast"/>
        </w:trPr>
        <w:tc>
          <w:tcPr>
            <w:tcW w:w="3223" w:type="dxa"/>
            <w:gridSpan w:val="3"/>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93B1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30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352C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p>
        </w:tc>
        <w:tc>
          <w:tcPr>
            <w:tcW w:w="13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0A5E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40</w:t>
            </w:r>
          </w:p>
        </w:tc>
        <w:tc>
          <w:tcPr>
            <w:tcW w:w="15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C01B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690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40</w:t>
            </w:r>
          </w:p>
        </w:tc>
      </w:tr>
    </w:tbl>
    <w:p w14:paraId="7C3DACB8">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1.数量指标完成情况</w:t>
      </w:r>
      <w:bookmarkEnd w:id="122"/>
      <w:bookmarkEnd w:id="123"/>
    </w:p>
    <w:p w14:paraId="04A3A9D1">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en-US" w:eastAsia="zh-CN"/>
        </w:rPr>
      </w:pP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高血压患者管理人数</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指标，预期目标值为≥1093人，实际完成为1093人。实际完成率=（1093人/1093人）×100%=100%。</w:t>
      </w:r>
    </w:p>
    <w:p w14:paraId="12BE21B4">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“2型糖尿病管理人数”指标，预期目标值为≥495人，实际完成为≥495人。实际完成率=（≥495人/≥495人）×100%=100%。</w:t>
      </w:r>
    </w:p>
    <w:p w14:paraId="23E177AD">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“65岁老年人2次医养结合服务完成人数”指标，预期目标值为≥39人，实际完成为39人。实际完成率=（39人/39人）×100%=100%。</w:t>
      </w:r>
    </w:p>
    <w:p w14:paraId="0972B8C7">
      <w:pPr>
        <w:pageBreakBefore w:val="0"/>
        <w:kinsoku/>
        <w:wordWrap/>
        <w:overflowPunct/>
        <w:topLinePunct w:val="0"/>
        <w:autoSpaceDE/>
        <w:autoSpaceDN/>
        <w:bidi w:val="0"/>
        <w:adjustRightInd/>
        <w:spacing w:line="560" w:lineRule="exact"/>
        <w:ind w:left="0" w:leftChars="0" w:firstLine="0" w:firstLineChars="0"/>
        <w:textAlignment w:val="auto"/>
        <w:rPr>
          <w:rFonts w:hint="eastAsia" w:ascii="仿宋_GB2312" w:hAnsi="仿宋_GB2312" w:eastAsia="仿宋_GB2312" w:cs="仿宋_GB2312"/>
          <w:color w:val="7030A0"/>
          <w:sz w:val="32"/>
          <w:szCs w:val="32"/>
          <w:highlight w:val="none"/>
          <w:lang w:eastAsia="zh-CN"/>
        </w:rPr>
      </w:pPr>
      <w:r>
        <w:rPr>
          <w:rFonts w:hint="eastAsia" w:ascii="仿宋_GB2312" w:hAnsi="仿宋_GB2312" w:eastAsia="仿宋_GB2312" w:cs="仿宋_GB2312"/>
          <w:b/>
          <w:bCs/>
          <w:color w:val="7030A0"/>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lang w:val="en-US" w:eastAsia="zh-CN"/>
        </w:rPr>
        <w:t xml:space="preserve"> 综上，该项指标满分15分，得分15分</w:t>
      </w:r>
      <w:r>
        <w:rPr>
          <w:rFonts w:hint="eastAsia" w:ascii="仿宋_GB2312" w:hAnsi="仿宋_GB2312" w:eastAsia="仿宋_GB2312" w:cs="仿宋_GB2312"/>
          <w:b/>
          <w:bCs/>
          <w:color w:val="7030A0"/>
          <w:sz w:val="32"/>
          <w:szCs w:val="32"/>
          <w:highlight w:val="none"/>
          <w:lang w:val="en-US" w:eastAsia="zh-CN"/>
        </w:rPr>
        <w:t>。</w:t>
      </w:r>
    </w:p>
    <w:p w14:paraId="70F918BE">
      <w:pPr>
        <w:pageBreakBefore w:val="0"/>
        <w:kinsoku/>
        <w:wordWrap/>
        <w:overflowPunct/>
        <w:topLinePunct w:val="0"/>
        <w:autoSpaceDE/>
        <w:autoSpaceDN/>
        <w:bidi w:val="0"/>
        <w:adjustRightInd/>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24" w:name="_Toc31739"/>
      <w:bookmarkStart w:id="125" w:name="_Toc14255"/>
      <w:r>
        <w:rPr>
          <w:rFonts w:hint="eastAsia" w:ascii="仿宋_GB2312" w:hAnsi="仿宋_GB2312" w:eastAsia="仿宋_GB2312" w:cs="仿宋_GB2312"/>
          <w:b/>
          <w:bCs/>
          <w:color w:val="auto"/>
          <w:sz w:val="32"/>
          <w:szCs w:val="32"/>
          <w:highlight w:val="none"/>
          <w:lang w:val="en-US" w:eastAsia="zh-CN"/>
        </w:rPr>
        <w:t>2.</w:t>
      </w:r>
      <w:bookmarkEnd w:id="124"/>
      <w:r>
        <w:rPr>
          <w:rFonts w:hint="eastAsia" w:ascii="仿宋_GB2312" w:hAnsi="仿宋_GB2312" w:eastAsia="仿宋_GB2312" w:cs="仿宋_GB2312"/>
          <w:b/>
          <w:bCs/>
          <w:color w:val="auto"/>
          <w:sz w:val="32"/>
          <w:szCs w:val="32"/>
          <w:highlight w:val="none"/>
          <w:lang w:val="en-US" w:eastAsia="zh-CN"/>
        </w:rPr>
        <w:t>质量指标完成情况</w:t>
      </w:r>
      <w:bookmarkEnd w:id="125"/>
    </w:p>
    <w:p w14:paraId="05D5B58B">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（1）“居民规范化电子健康档案覆盖率”指标，预期目标值为≥84%，实际完成为84%；</w:t>
      </w:r>
    </w:p>
    <w:p w14:paraId="3E256F0C">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（2）“高血压患者规范管理服务率”指标，预期目标值为≥93%，实际完成为93%；</w:t>
      </w:r>
    </w:p>
    <w:p w14:paraId="61530CB0">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（3）“2型糖尿病患者规范管理服务率”指标，预期目标值为≥95%，实际完成为95%。</w:t>
      </w:r>
    </w:p>
    <w:p w14:paraId="2E26F1B9">
      <w:pPr>
        <w:pageBreakBefore w:val="0"/>
        <w:kinsoku/>
        <w:wordWrap/>
        <w:overflowPunct/>
        <w:topLinePunct w:val="0"/>
        <w:autoSpaceDE/>
        <w:autoSpaceDN/>
        <w:bidi w:val="0"/>
        <w:adjustRightInd/>
        <w:spacing w:line="560" w:lineRule="exact"/>
        <w:ind w:left="0" w:leftChars="0"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综上，该项指标满分15分，得分15分</w:t>
      </w:r>
      <w:bookmarkStart w:id="126" w:name="_Toc18307"/>
      <w:bookmarkStart w:id="127" w:name="_Toc28885"/>
    </w:p>
    <w:p w14:paraId="15D200AC">
      <w:pPr>
        <w:pageBreakBefore w:val="0"/>
        <w:kinsoku/>
        <w:wordWrap/>
        <w:overflowPunct/>
        <w:topLinePunct w:val="0"/>
        <w:autoSpaceDE/>
        <w:autoSpaceDN/>
        <w:bidi w:val="0"/>
        <w:adjustRightInd/>
        <w:spacing w:line="560" w:lineRule="exact"/>
        <w:ind w:left="0" w:leftChars="0" w:firstLine="643" w:firstLineChars="200"/>
        <w:textAlignment w:val="auto"/>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w:t>
      </w:r>
      <w:bookmarkEnd w:id="126"/>
      <w:r>
        <w:rPr>
          <w:rFonts w:hint="eastAsia" w:ascii="仿宋_GB2312" w:hAnsi="仿宋_GB2312" w:eastAsia="仿宋_GB2312" w:cs="仿宋_GB2312"/>
          <w:b/>
          <w:bCs/>
          <w:color w:val="auto"/>
          <w:sz w:val="32"/>
          <w:szCs w:val="32"/>
          <w:highlight w:val="none"/>
          <w:lang w:val="en-US" w:eastAsia="zh-CN"/>
        </w:rPr>
        <w:t>时效指标完成情况</w:t>
      </w:r>
      <w:bookmarkEnd w:id="127"/>
    </w:p>
    <w:p w14:paraId="5218EA16">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“项目按期完成时间”指标，预期目标值为≦2024年12月31日，实际完成为2024年12月31日。</w:t>
      </w:r>
    </w:p>
    <w:p w14:paraId="251601A2">
      <w:pPr>
        <w:pageBreakBefore w:val="0"/>
        <w:kinsoku/>
        <w:wordWrap/>
        <w:overflowPunct/>
        <w:topLinePunct w:val="0"/>
        <w:autoSpaceDE/>
        <w:autoSpaceDN/>
        <w:bidi w:val="0"/>
        <w:adjustRightInd/>
        <w:spacing w:line="560" w:lineRule="exact"/>
        <w:ind w:left="0" w:leftChars="0" w:firstLine="0" w:firstLineChars="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lang w:val="en-US" w:eastAsia="zh-CN"/>
        </w:rPr>
        <w:t>综上，该项指标满分5分，得分5分。</w:t>
      </w:r>
    </w:p>
    <w:p w14:paraId="2A68ACFC">
      <w:pPr>
        <w:pageBreakBefore w:val="0"/>
        <w:kinsoku/>
        <w:wordWrap/>
        <w:overflowPunct/>
        <w:topLinePunct w:val="0"/>
        <w:autoSpaceDE/>
        <w:autoSpaceDN/>
        <w:bidi w:val="0"/>
        <w:adjustRightInd/>
        <w:spacing w:line="560" w:lineRule="exact"/>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4.项目成本情况</w:t>
      </w:r>
    </w:p>
    <w:p w14:paraId="7B6784A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（1）“需方补助经费”指标，预期目标值为≦48.97万元，实际完成为48.97万元，完成率</w:t>
      </w:r>
      <w:r>
        <w:rPr>
          <w:rFonts w:hint="eastAsia" w:ascii="仿宋_GB2312" w:hAnsi="仿宋_GB2312" w:eastAsia="仿宋_GB2312" w:cs="仿宋_GB2312"/>
          <w:sz w:val="32"/>
          <w:szCs w:val="32"/>
          <w:lang w:val="en-US" w:eastAsia="zh-CN"/>
        </w:rPr>
        <w:t>实际完成率=（</w:t>
      </w:r>
      <w:r>
        <w:rPr>
          <w:rFonts w:hint="eastAsia" w:ascii="仿宋_GB2312" w:hAnsi="仿宋_GB2312" w:eastAsia="仿宋_GB2312" w:cs="仿宋_GB2312"/>
          <w:color w:val="auto"/>
          <w:sz w:val="32"/>
          <w:szCs w:val="32"/>
          <w:highlight w:val="none"/>
          <w:lang w:val="en-US" w:eastAsia="zh-CN"/>
        </w:rPr>
        <w:t>48.97万元</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auto"/>
          <w:sz w:val="32"/>
          <w:szCs w:val="32"/>
          <w:highlight w:val="none"/>
          <w:lang w:val="en-US" w:eastAsia="zh-CN"/>
        </w:rPr>
        <w:t>48.97万元</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highlight w:val="none"/>
          <w:lang w:val="en-US" w:eastAsia="zh-CN"/>
        </w:rPr>
        <w:t>100%。</w:t>
      </w:r>
    </w:p>
    <w:p w14:paraId="64CF779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（2）“其他费用”指标，预期目标值为≦87.8万元，实际完成为87.8万元，完成率</w:t>
      </w:r>
      <w:r>
        <w:rPr>
          <w:rFonts w:hint="eastAsia" w:ascii="仿宋_GB2312" w:hAnsi="仿宋_GB2312" w:eastAsia="仿宋_GB2312" w:cs="仿宋_GB2312"/>
          <w:sz w:val="32"/>
          <w:szCs w:val="32"/>
          <w:lang w:val="en-US" w:eastAsia="zh-CN"/>
        </w:rPr>
        <w:t>实际完成率=（</w:t>
      </w:r>
      <w:r>
        <w:rPr>
          <w:rFonts w:hint="eastAsia" w:ascii="仿宋_GB2312" w:hAnsi="仿宋_GB2312" w:eastAsia="仿宋_GB2312" w:cs="仿宋_GB2312"/>
          <w:color w:val="auto"/>
          <w:sz w:val="32"/>
          <w:szCs w:val="32"/>
          <w:highlight w:val="none"/>
          <w:lang w:val="en-US" w:eastAsia="zh-CN"/>
        </w:rPr>
        <w:t>87.8万元</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auto"/>
          <w:sz w:val="32"/>
          <w:szCs w:val="32"/>
          <w:highlight w:val="none"/>
          <w:lang w:val="en-US" w:eastAsia="zh-CN"/>
        </w:rPr>
        <w:t>87.8万元</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highlight w:val="none"/>
          <w:lang w:val="en-US" w:eastAsia="zh-CN"/>
        </w:rPr>
        <w:t>100%。</w:t>
      </w:r>
    </w:p>
    <w:p w14:paraId="638325FE">
      <w:pPr>
        <w:pageBreakBefore w:val="0"/>
        <w:kinsoku/>
        <w:wordWrap/>
        <w:overflowPunct/>
        <w:topLinePunct w:val="0"/>
        <w:autoSpaceDE/>
        <w:autoSpaceDN/>
        <w:bidi w:val="0"/>
        <w:adjustRightInd/>
        <w:spacing w:line="560" w:lineRule="exact"/>
        <w:ind w:left="0" w:leftChars="0" w:firstLine="643"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2796E0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28" w:name="_Toc19424"/>
      <w:r>
        <w:rPr>
          <w:rFonts w:hint="eastAsia" w:ascii="Times New Roman" w:hAnsi="Times New Roman" w:eastAsia="楷体_GB2312" w:cs="Times New Roman"/>
          <w:color w:val="auto"/>
          <w:kern w:val="28"/>
          <w:sz w:val="32"/>
          <w:highlight w:val="none"/>
          <w:lang w:val="en-US" w:eastAsia="zh-CN"/>
        </w:rPr>
        <w:t>（四）项目效益情况</w:t>
      </w:r>
      <w:bookmarkEnd w:id="128"/>
    </w:p>
    <w:p w14:paraId="32276229">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754CE93">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bookmarkStart w:id="129" w:name="_Toc8010"/>
      <w:bookmarkStart w:id="130" w:name="_Toc5170"/>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713" w:type="dxa"/>
        <w:jc w:val="center"/>
        <w:shd w:val="clear" w:color="auto" w:fill="auto"/>
        <w:tblLayout w:type="fixed"/>
        <w:tblCellMar>
          <w:top w:w="0" w:type="dxa"/>
          <w:left w:w="0" w:type="dxa"/>
          <w:bottom w:w="0" w:type="dxa"/>
          <w:right w:w="0" w:type="dxa"/>
        </w:tblCellMar>
      </w:tblPr>
      <w:tblGrid>
        <w:gridCol w:w="685"/>
        <w:gridCol w:w="1725"/>
        <w:gridCol w:w="2199"/>
        <w:gridCol w:w="1173"/>
        <w:gridCol w:w="887"/>
        <w:gridCol w:w="1417"/>
        <w:gridCol w:w="627"/>
      </w:tblGrid>
      <w:tr w14:paraId="10E4A75F">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C55C7F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767399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8B2084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1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3DE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450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0515B63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BDE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7FAB67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5FF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3CE983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70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74B858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F69A6EC">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7F3DA7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cs="宋体"/>
                <w:color w:val="auto"/>
                <w:kern w:val="0"/>
                <w:sz w:val="20"/>
                <w:szCs w:val="20"/>
                <w:highlight w:val="none"/>
                <w:shd w:val="clear" w:color="auto" w:fill="auto"/>
                <w:lang w:val="en-US" w:eastAsia="zh-CN"/>
              </w:rPr>
            </w:pP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479579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199"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19833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基本公共卫生服务水平</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8E8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不断提高</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933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F6E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达到预期指标</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023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14:paraId="3ED02B53">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098698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2836F3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199"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4A221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老年人健康服务水平</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540D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不断提高</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645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BDE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达到预期指标</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55A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7F9A8B2">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F171C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987B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1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8469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居民满意度</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57CE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color w:val="auto"/>
                <w:kern w:val="0"/>
                <w:sz w:val="20"/>
                <w:szCs w:val="20"/>
                <w:highlight w:val="none"/>
                <w:shd w:val="clear" w:color="auto" w:fill="auto"/>
                <w:lang w:val="en-US" w:eastAsia="zh-CN"/>
              </w:rPr>
              <w:t>≥90%</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9F44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036B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i w:val="0"/>
                <w:iCs w:val="0"/>
                <w:color w:val="auto"/>
                <w:kern w:val="2"/>
                <w:sz w:val="20"/>
                <w:szCs w:val="20"/>
                <w:highlight w:val="none"/>
                <w:u w:val="none"/>
                <w:lang w:val="en-US" w:eastAsia="zh-CN" w:bidi="ar-SA"/>
              </w:rPr>
            </w:pPr>
            <w:r>
              <w:rPr>
                <w:rFonts w:hint="eastAsia" w:cs="宋体"/>
                <w:color w:val="auto"/>
                <w:kern w:val="0"/>
                <w:sz w:val="20"/>
                <w:szCs w:val="20"/>
                <w:highlight w:val="none"/>
                <w:shd w:val="clear" w:color="auto" w:fill="auto"/>
                <w:lang w:val="en-US" w:eastAsia="zh-CN"/>
              </w:rPr>
              <w:t>90%</w:t>
            </w: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9C1E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p>
        </w:tc>
      </w:tr>
      <w:tr w14:paraId="225D3CDD">
        <w:tblPrEx>
          <w:shd w:val="clear" w:color="auto" w:fill="auto"/>
          <w:tblCellMar>
            <w:top w:w="0" w:type="dxa"/>
            <w:left w:w="0" w:type="dxa"/>
            <w:bottom w:w="0" w:type="dxa"/>
            <w:right w:w="0" w:type="dxa"/>
          </w:tblCellMar>
        </w:tblPrEx>
        <w:trPr>
          <w:trHeight w:val="469" w:hRule="atLeast"/>
          <w:jc w:val="center"/>
        </w:trPr>
        <w:tc>
          <w:tcPr>
            <w:tcW w:w="578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DD1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8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D89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705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AB2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69847D70">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1.社会效益指标完成情况</w:t>
      </w:r>
    </w:p>
    <w:p w14:paraId="032357F9">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en-US" w:eastAsia="zh-CN"/>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基本公共卫生服务水平</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指标，预期目标值为不断提高，实际完成为达到预期指标。</w:t>
      </w:r>
    </w:p>
    <w:p w14:paraId="1B0402C5">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u w:color="000000"/>
          <w:shd w:val="clear" w:color="auto" w:fill="auto"/>
          <w:lang w:val="en-US" w:eastAsia="zh-CN"/>
        </w:rPr>
        <w:t>通过项目的实施，辖区人口及时掌握自身的身体健康状</w:t>
      </w:r>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况，预防和治疗一些潜在的疾病，及时了解自己的健康状况，提高健康意识，从而彻底预防健康问题的出现。</w:t>
      </w:r>
    </w:p>
    <w:p w14:paraId="54415781">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老年人健康服务水平</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指标，预期目标值为不断提高，实际完成为达到预期指标。</w:t>
      </w:r>
    </w:p>
    <w:p w14:paraId="744F3ABE">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u w:color="000000"/>
          <w:shd w:val="clear" w:color="auto" w:fill="auto"/>
          <w:lang w:val="en-US" w:eastAsia="zh-CN"/>
        </w:rPr>
        <w:t>通过项目的实施，辖区内老年人口及时掌握自身的身体健康状</w:t>
      </w:r>
      <w:r>
        <w:rPr>
          <w:rFonts w:hint="eastAsia" w:ascii="仿宋_GB2312" w:hAnsi="仿宋_GB2312" w:eastAsia="仿宋_GB2312" w:cs="仿宋_GB2312"/>
          <w:b w:val="0"/>
          <w:bCs w:val="0"/>
          <w:color w:val="auto"/>
          <w:kern w:val="0"/>
          <w:sz w:val="32"/>
          <w:szCs w:val="32"/>
          <w:highlight w:val="none"/>
          <w:shd w:val="clear" w:color="auto" w:fill="auto"/>
          <w:lang w:val="en-US" w:eastAsia="zh-CN" w:bidi="ar-SA"/>
        </w:rPr>
        <w:t>况，预防和治疗一些潜在的疾病，及时了解自己的健康状况，提高健康意识，从而彻底预防健康问题的出现。</w:t>
      </w:r>
    </w:p>
    <w:p w14:paraId="2B3C7657">
      <w:pPr>
        <w:pageBreakBefore w:val="0"/>
        <w:kinsoku/>
        <w:wordWrap/>
        <w:overflowPunct/>
        <w:topLinePunct w:val="0"/>
        <w:autoSpaceDE/>
        <w:autoSpaceDN/>
        <w:bidi w:val="0"/>
        <w:adjustRightIn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bookmarkStart w:id="131" w:name="_Toc14320"/>
      <w:bookmarkStart w:id="132" w:name="_Toc23106"/>
    </w:p>
    <w:bookmarkEnd w:id="131"/>
    <w:bookmarkEnd w:id="132"/>
    <w:p w14:paraId="32FBEAC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left="0" w:leftChars="0" w:firstLine="321" w:firstLineChars="100"/>
        <w:jc w:val="both"/>
        <w:textAlignment w:val="auto"/>
        <w:rPr>
          <w:rFonts w:hint="default" w:ascii="Times New Roman" w:hAnsi="Times New Roman" w:eastAsia="楷体_GB2312" w:cs="Times New Roman"/>
          <w:b/>
          <w:bCs/>
          <w:color w:val="auto"/>
          <w:kern w:val="28"/>
          <w:sz w:val="32"/>
          <w:highlight w:val="none"/>
          <w:lang w:val="en-US" w:eastAsia="zh-CN"/>
        </w:rPr>
      </w:pPr>
      <w:r>
        <w:rPr>
          <w:rFonts w:hint="eastAsia" w:ascii="Times New Roman" w:hAnsi="Times New Roman" w:eastAsia="楷体_GB2312" w:cs="Times New Roman"/>
          <w:b/>
          <w:bCs/>
          <w:color w:val="auto"/>
          <w:kern w:val="28"/>
          <w:sz w:val="32"/>
          <w:highlight w:val="none"/>
          <w:lang w:val="en-US" w:eastAsia="zh-CN"/>
        </w:rPr>
        <w:t>（五）满意度指标完成情况分析</w:t>
      </w:r>
    </w:p>
    <w:p w14:paraId="213EA9E9">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“居民满意度”指标，预期目标值为≥90%，实际完成为90%。</w:t>
      </w:r>
    </w:p>
    <w:p w14:paraId="154CA572">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bookmarkEnd w:id="129"/>
    <w:bookmarkEnd w:id="130"/>
    <w:p w14:paraId="6B2022E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33" w:name="_Toc6622"/>
      <w:bookmarkStart w:id="134" w:name="_Toc1921"/>
      <w:bookmarkStart w:id="135" w:name="_Toc28290"/>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33"/>
    </w:p>
    <w:p w14:paraId="5657F95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36" w:name="_Toc15449"/>
      <w:r>
        <w:rPr>
          <w:rFonts w:hint="eastAsia" w:ascii="Times New Roman" w:hAnsi="Times New Roman" w:eastAsia="楷体_GB2312" w:cs="Times New Roman"/>
          <w:b/>
          <w:bCs/>
          <w:color w:val="auto"/>
          <w:kern w:val="28"/>
          <w:sz w:val="32"/>
          <w:highlight w:val="none"/>
          <w:lang w:val="en-US" w:eastAsia="zh-CN"/>
        </w:rPr>
        <w:t>（一）主要经验及做法</w:t>
      </w:r>
      <w:bookmarkEnd w:id="136"/>
    </w:p>
    <w:p w14:paraId="0318185E">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全民健康体检项目2024年预算数为136.77万元，截至2024年12月31日共支出136.77万元，预算执行率为100%。</w:t>
      </w:r>
    </w:p>
    <w:p w14:paraId="69527375">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FF0000"/>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阜康市阜新社区卫生服务中心建立健全了预算管理规章制度，各部门严格按照预算编制的原则和要求做好当年预算编制工作，在预算绩效管理工作中，做到合理安排各项资金，重点保障基本支出，按轻重缓急顺序原则，优先安排了阜康市阜新社区卫生服务中心事业发展中关系民生与稳定的项目，切实优化资源配置，提高了资金使用的效率和效果。</w:t>
      </w:r>
    </w:p>
    <w:bookmarkEnd w:id="134"/>
    <w:bookmarkEnd w:id="135"/>
    <w:p w14:paraId="0C48753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37"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37"/>
    </w:p>
    <w:p w14:paraId="6A2AF3B2">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38" w:name="_Toc3333"/>
      <w:r>
        <w:rPr>
          <w:rFonts w:hint="eastAsia" w:ascii="仿宋_GB2312" w:hAnsi="仿宋_GB2312" w:eastAsia="仿宋_GB2312" w:cs="仿宋_GB2312"/>
          <w:color w:val="auto"/>
          <w:sz w:val="32"/>
          <w:szCs w:val="32"/>
          <w:highlight w:val="none"/>
          <w:lang w:val="en-US" w:eastAsia="zh-CN"/>
        </w:rPr>
        <w:t>1.基本公共卫生服务项目宣传、组织、发动工作力度有待进一步加强，各乡镇（街道）、各相关部门对基本公共卫</w:t>
      </w:r>
      <w:r>
        <w:rPr>
          <w:rFonts w:hint="eastAsia" w:ascii="仿宋_GB2312" w:hAnsi="仿宋_GB2312" w:eastAsia="仿宋_GB2312" w:cs="仿宋_GB2312"/>
          <w:b w:val="0"/>
          <w:bCs w:val="0"/>
          <w:color w:val="auto"/>
          <w:kern w:val="2"/>
          <w:sz w:val="32"/>
          <w:szCs w:val="32"/>
          <w:highlight w:val="none"/>
          <w:lang w:val="en-US" w:eastAsia="zh-CN" w:bidi="ar-SA"/>
        </w:rPr>
        <w:t>生</w:t>
      </w:r>
      <w:r>
        <w:rPr>
          <w:rFonts w:hint="eastAsia" w:ascii="仿宋_GB2312" w:hAnsi="仿宋_GB2312" w:eastAsia="仿宋_GB2312" w:cs="仿宋_GB2312"/>
          <w:color w:val="auto"/>
          <w:sz w:val="32"/>
          <w:szCs w:val="32"/>
          <w:highlight w:val="none"/>
          <w:lang w:val="en-US" w:eastAsia="zh-CN"/>
        </w:rPr>
        <w:t>服务的宣传工作动员方式单一。</w:t>
      </w:r>
    </w:p>
    <w:p w14:paraId="632C18E9">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2.部分群众对实施基本公共卫生服务的重要意义认识不足，主动参与意识不强，自我健康管理意识淡薄，一部分群众没有参与基本公共卫生服务，影响疾病早发现、早干预、早治疗。</w:t>
      </w:r>
    </w:p>
    <w:p w14:paraId="321DBC96">
      <w:pPr>
        <w:pageBreakBefore w:val="0"/>
        <w:kinsoku/>
        <w:wordWrap/>
        <w:overflowPunct/>
        <w:topLinePunct w:val="0"/>
        <w:autoSpaceDE/>
        <w:autoSpaceDN/>
        <w:bidi w:val="0"/>
        <w:adjustRightInd/>
        <w:spacing w:line="560" w:lineRule="exact"/>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六、有关建议</w:t>
      </w:r>
      <w:bookmarkEnd w:id="138"/>
    </w:p>
    <w:p w14:paraId="43599790">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39" w:name="_Toc14256"/>
      <w:r>
        <w:rPr>
          <w:rFonts w:hint="eastAsia" w:ascii="仿宋_GB2312" w:hAnsi="仿宋_GB2312" w:eastAsia="仿宋_GB2312" w:cs="仿宋_GB2312"/>
          <w:color w:val="auto"/>
          <w:sz w:val="32"/>
          <w:szCs w:val="32"/>
          <w:highlight w:val="none"/>
          <w:lang w:val="en-US" w:eastAsia="zh-CN"/>
        </w:rPr>
        <w:t>（一）加强组织领导，健全各部门协调配合机制，层层压实责</w:t>
      </w:r>
      <w:r>
        <w:rPr>
          <w:rFonts w:hint="eastAsia" w:ascii="仿宋_GB2312" w:hAnsi="仿宋_GB2312" w:eastAsia="仿宋_GB2312" w:cs="仿宋_GB2312"/>
          <w:color w:val="auto"/>
          <w:kern w:val="2"/>
          <w:sz w:val="32"/>
          <w:szCs w:val="32"/>
          <w:highlight w:val="none"/>
          <w:lang w:val="en-US" w:eastAsia="zh-CN" w:bidi="ar-SA"/>
        </w:rPr>
        <w:t>任，充分发挥乡镇（街道）基本公共卫生服务主体责任，利</w:t>
      </w:r>
      <w:r>
        <w:rPr>
          <w:rFonts w:hint="eastAsia" w:ascii="仿宋_GB2312" w:hAnsi="仿宋_GB2312" w:eastAsia="仿宋_GB2312" w:cs="仿宋_GB2312"/>
          <w:color w:val="auto"/>
          <w:sz w:val="32"/>
          <w:szCs w:val="32"/>
          <w:highlight w:val="none"/>
          <w:lang w:val="en-US" w:eastAsia="zh-CN"/>
        </w:rPr>
        <w:t>用广播、电视、微信、网络等媒介对健康体检工作进行广泛宣传。</w:t>
      </w:r>
    </w:p>
    <w:p w14:paraId="7D53520F">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（二）积极采取多种方式持续开展</w:t>
      </w:r>
      <w:r>
        <w:rPr>
          <w:rFonts w:hint="eastAsia" w:ascii="仿宋_GB2312" w:hAnsi="仿宋_GB2312" w:eastAsia="仿宋_GB2312" w:cs="仿宋_GB2312"/>
          <w:b w:val="0"/>
          <w:bCs w:val="0"/>
          <w:color w:val="auto"/>
          <w:kern w:val="2"/>
          <w:sz w:val="32"/>
          <w:szCs w:val="32"/>
          <w:highlight w:val="none"/>
          <w:lang w:val="en-US" w:eastAsia="zh-CN" w:bidi="ar-SA"/>
        </w:rPr>
        <w:t>基本公共卫生服务</w:t>
      </w:r>
      <w:r>
        <w:rPr>
          <w:rFonts w:hint="eastAsia" w:ascii="仿宋_GB2312" w:hAnsi="仿宋_GB2312" w:eastAsia="仿宋_GB2312" w:cs="仿宋_GB2312"/>
          <w:color w:val="auto"/>
          <w:sz w:val="32"/>
          <w:szCs w:val="32"/>
          <w:highlight w:val="none"/>
          <w:lang w:val="en-US" w:eastAsia="zh-CN"/>
        </w:rPr>
        <w:t>惠民政策的引导，提升各族群众自我保健意识，提高群众知晓率及参与度。</w:t>
      </w:r>
    </w:p>
    <w:p w14:paraId="3225C6ED">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39"/>
    </w:p>
    <w:p w14:paraId="1CBB138B">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423F913E">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551E8EAC">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t>附件一、项目支出绩效自评表</w:t>
      </w:r>
      <w:bookmarkEnd w:id="108"/>
      <w:bookmarkEnd w:id="109"/>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5"/>
        <w:gridCol w:w="905"/>
        <w:gridCol w:w="905"/>
        <w:gridCol w:w="905"/>
        <w:gridCol w:w="1239"/>
        <w:gridCol w:w="1239"/>
        <w:gridCol w:w="1323"/>
        <w:gridCol w:w="1072"/>
        <w:gridCol w:w="905"/>
        <w:gridCol w:w="905"/>
        <w:gridCol w:w="905"/>
        <w:gridCol w:w="905"/>
        <w:gridCol w:w="905"/>
        <w:gridCol w:w="1156"/>
      </w:tblGrid>
      <w:tr w14:paraId="1D833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0C17B59C">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2BCE0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303A91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47C3A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6B62719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9"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4845B0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基本公共卫生服务</w:t>
            </w:r>
          </w:p>
        </w:tc>
      </w:tr>
      <w:tr w14:paraId="554F3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8D236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2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EC78F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阜康市卫生健康委员会</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912EA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0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9540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阜康市阜新社区卫生服务中心</w:t>
            </w:r>
          </w:p>
        </w:tc>
      </w:tr>
      <w:tr w14:paraId="2223F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3E587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DB0EBC">
            <w:pPr>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A33F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4DD06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EC03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05BBC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7E1C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53F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62AD6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55174">
            <w:pPr>
              <w:jc w:val="center"/>
              <w:rPr>
                <w:rFonts w:hint="eastAsia" w:ascii="宋体" w:hAnsi="宋体" w:eastAsia="宋体" w:cs="宋体"/>
                <w:b/>
                <w:bCs/>
                <w:i w:val="0"/>
                <w:iCs w:val="0"/>
                <w:color w:val="000000"/>
                <w:sz w:val="18"/>
                <w:szCs w:val="18"/>
                <w:u w:val="none"/>
              </w:rPr>
            </w:pPr>
          </w:p>
        </w:tc>
        <w:tc>
          <w:tcPr>
            <w:tcW w:w="7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9580F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EBF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136.77</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D825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136.77</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6457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136.77</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728B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1C88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3A1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2F209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DE6C8">
            <w:pPr>
              <w:jc w:val="center"/>
              <w:rPr>
                <w:rFonts w:hint="eastAsia" w:ascii="宋体" w:hAnsi="宋体" w:eastAsia="宋体" w:cs="宋体"/>
                <w:b/>
                <w:bCs/>
                <w:i w:val="0"/>
                <w:iCs w:val="0"/>
                <w:color w:val="000000"/>
                <w:sz w:val="18"/>
                <w:szCs w:val="18"/>
                <w:u w:val="none"/>
              </w:rPr>
            </w:pPr>
          </w:p>
        </w:tc>
        <w:tc>
          <w:tcPr>
            <w:tcW w:w="7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8A1E8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65D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136.77</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15D0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136.77</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72D3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136.77</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5190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9A95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B1A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3E69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C51872">
            <w:pPr>
              <w:jc w:val="center"/>
              <w:rPr>
                <w:rFonts w:hint="eastAsia" w:ascii="宋体" w:hAnsi="宋体" w:eastAsia="宋体" w:cs="宋体"/>
                <w:b/>
                <w:bCs/>
                <w:i w:val="0"/>
                <w:iCs w:val="0"/>
                <w:color w:val="000000"/>
                <w:sz w:val="18"/>
                <w:szCs w:val="18"/>
                <w:u w:val="none"/>
              </w:rPr>
            </w:pPr>
          </w:p>
        </w:tc>
        <w:tc>
          <w:tcPr>
            <w:tcW w:w="7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DACF4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2E4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3036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9B6D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B7EB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A54A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37B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09CB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0F8CB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3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A680C7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6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9CD958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47D50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555836">
            <w:pPr>
              <w:jc w:val="center"/>
              <w:rPr>
                <w:rFonts w:hint="eastAsia" w:ascii="宋体" w:hAnsi="宋体" w:eastAsia="宋体" w:cs="宋体"/>
                <w:b/>
                <w:bCs/>
                <w:i w:val="0"/>
                <w:iCs w:val="0"/>
                <w:color w:val="000000"/>
                <w:sz w:val="18"/>
                <w:szCs w:val="18"/>
                <w:u w:val="none"/>
              </w:rPr>
            </w:pPr>
          </w:p>
        </w:tc>
        <w:tc>
          <w:tcPr>
            <w:tcW w:w="193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91CA0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基本公共卫生服务，继续实施建立居民健康档案、健康教育、预防接种、儿童健康管理、孕产妇健康管理、老年人健康管理、高血压和2型糖尿病等慢性病患者健康管理、严重精神障碍患者管理。2024年计划完成65岁以上老人2次医养结合服务完成人数不少于39人，高血压患者管理人数不少于1093人，2型糖尿病管理人数不少于495人；计划完成居民规范化电子健康档案覆盖率达到84%，高血压患者规范管理服务率达到93%，2型糖尿病患者规范管理服务率达到95%，通过项目的实施，预期提高基本公共卫生服务水平和老年人健康服务水平。居民满意度预计达到90%以上。</w:t>
            </w:r>
          </w:p>
        </w:tc>
        <w:tc>
          <w:tcPr>
            <w:tcW w:w="286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2BD48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止12月31日居民规范化电子健康档案覆盖率100％。高血压患者人数保持在1093人，规范服务率100％，管理2型糖尿病患者人数达到495人，规范服务率100％。完成65岁老年人2次医养结合服务39人，居民规范化电子健康档案覆盖率达到84%，高血压患者规范管理服务率达到了93%。2型糖尿病患者规范管理服务率达到了95%，通过项目的实施，提高基本公共卫生服务水平和老年人健康服务水平,居民满意度达到90%。</w:t>
            </w:r>
          </w:p>
        </w:tc>
      </w:tr>
      <w:tr w14:paraId="48221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71B1F7">
            <w:pPr>
              <w:jc w:val="center"/>
              <w:rPr>
                <w:rFonts w:hint="eastAsia" w:ascii="宋体" w:hAnsi="宋体" w:eastAsia="宋体" w:cs="宋体"/>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761B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A233C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F5F1E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23BE9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3A436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29B7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0F80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DCB45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F38AC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890B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5A365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7C215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3C3B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48628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2410C">
            <w:pPr>
              <w:jc w:val="center"/>
              <w:rPr>
                <w:rFonts w:hint="eastAsia" w:ascii="宋体" w:hAnsi="宋体" w:eastAsia="宋体" w:cs="宋体"/>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77651">
            <w:pPr>
              <w:jc w:val="center"/>
              <w:rPr>
                <w:rFonts w:hint="eastAsia" w:ascii="宋体" w:hAnsi="宋体" w:eastAsia="宋体" w:cs="宋体"/>
                <w:b/>
                <w:bCs/>
                <w:i w:val="0"/>
                <w:iCs w:val="0"/>
                <w:color w:val="000000"/>
                <w:sz w:val="18"/>
                <w:szCs w:val="18"/>
                <w:u w:val="none"/>
              </w:rPr>
            </w:pPr>
          </w:p>
        </w:tc>
        <w:tc>
          <w:tcPr>
            <w:tcW w:w="2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4469BC">
            <w:pPr>
              <w:jc w:val="center"/>
              <w:rPr>
                <w:rFonts w:hint="eastAsia" w:ascii="宋体" w:hAnsi="宋体" w:eastAsia="宋体" w:cs="宋体"/>
                <w:b/>
                <w:bCs/>
                <w:i w:val="0"/>
                <w:iCs w:val="0"/>
                <w:color w:val="000000"/>
                <w:sz w:val="18"/>
                <w:szCs w:val="18"/>
                <w:u w:val="none"/>
              </w:rPr>
            </w:pPr>
          </w:p>
        </w:tc>
        <w:tc>
          <w:tcPr>
            <w:tcW w:w="4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BB98C">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5BE11">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3D97D">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367CC5">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DB6462">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DF8A2">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E1C9F">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854E23">
            <w:pPr>
              <w:jc w:val="center"/>
              <w:rPr>
                <w:rFonts w:hint="eastAsia" w:ascii="宋体" w:hAnsi="宋体" w:eastAsia="宋体" w:cs="宋体"/>
                <w:b/>
                <w:bCs/>
                <w:i w:val="0"/>
                <w:iCs w:val="0"/>
                <w:color w:val="000000"/>
                <w:sz w:val="18"/>
                <w:szCs w:val="18"/>
                <w:u w:val="none"/>
              </w:rPr>
            </w:pPr>
          </w:p>
        </w:tc>
        <w:tc>
          <w:tcPr>
            <w:tcW w:w="39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654C8">
            <w:pPr>
              <w:jc w:val="center"/>
              <w:rPr>
                <w:rFonts w:hint="eastAsia" w:ascii="宋体" w:hAnsi="宋体" w:eastAsia="宋体" w:cs="宋体"/>
                <w:b/>
                <w:bCs/>
                <w:i w:val="0"/>
                <w:iCs w:val="0"/>
                <w:color w:val="000000"/>
                <w:sz w:val="18"/>
                <w:szCs w:val="18"/>
                <w:u w:val="none"/>
              </w:rPr>
            </w:pPr>
          </w:p>
        </w:tc>
        <w:tc>
          <w:tcPr>
            <w:tcW w:w="3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78A8B">
            <w:pPr>
              <w:jc w:val="center"/>
              <w:rPr>
                <w:rFonts w:hint="eastAsia" w:ascii="宋体" w:hAnsi="宋体" w:eastAsia="宋体" w:cs="宋体"/>
                <w:b/>
                <w:bCs/>
                <w:i w:val="0"/>
                <w:iCs w:val="0"/>
                <w:color w:val="000000"/>
                <w:sz w:val="18"/>
                <w:szCs w:val="18"/>
                <w:u w:val="none"/>
              </w:rPr>
            </w:pPr>
          </w:p>
        </w:tc>
        <w:tc>
          <w:tcPr>
            <w:tcW w:w="8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D542C">
            <w:pPr>
              <w:jc w:val="center"/>
              <w:rPr>
                <w:rFonts w:hint="eastAsia" w:ascii="宋体" w:hAnsi="宋体" w:eastAsia="宋体" w:cs="宋体"/>
                <w:b/>
                <w:bCs/>
                <w:i w:val="0"/>
                <w:iCs w:val="0"/>
                <w:color w:val="000000"/>
                <w:sz w:val="18"/>
                <w:szCs w:val="18"/>
                <w:u w:val="none"/>
              </w:rPr>
            </w:pPr>
          </w:p>
        </w:tc>
      </w:tr>
      <w:tr w14:paraId="7217A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68A2E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0AF0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D88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4CA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高血压患者管理人数</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3F9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E1E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&gt;=1093</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47C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=1093</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7C15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44D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3CD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099F7">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1EE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1F4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91E93">
            <w:pPr>
              <w:jc w:val="center"/>
              <w:rPr>
                <w:rFonts w:hint="eastAsia" w:ascii="宋体" w:hAnsi="宋体" w:eastAsia="宋体" w:cs="宋体"/>
                <w:i w:val="0"/>
                <w:iCs w:val="0"/>
                <w:color w:val="000000"/>
                <w:sz w:val="18"/>
                <w:szCs w:val="18"/>
                <w:u w:val="none"/>
              </w:rPr>
            </w:pPr>
          </w:p>
        </w:tc>
      </w:tr>
      <w:tr w14:paraId="1E8EA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1AD70">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E3F3F7">
            <w:pPr>
              <w:jc w:val="center"/>
              <w:rPr>
                <w:rFonts w:hint="eastAsia" w:ascii="宋体" w:hAnsi="宋体" w:eastAsia="宋体" w:cs="宋体"/>
                <w:i w:val="0"/>
                <w:iCs w:val="0"/>
                <w:color w:val="000000"/>
                <w:sz w:val="18"/>
                <w:szCs w:val="18"/>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817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FCC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2型糖尿病管理人数</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76E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6D7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&gt;=495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FDB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=495</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EA94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B73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9A7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EABD8">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4A6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0DE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720DB">
            <w:pPr>
              <w:jc w:val="center"/>
              <w:rPr>
                <w:rFonts w:hint="eastAsia" w:ascii="宋体" w:hAnsi="宋体" w:eastAsia="宋体" w:cs="宋体"/>
                <w:i w:val="0"/>
                <w:iCs w:val="0"/>
                <w:color w:val="000000"/>
                <w:sz w:val="18"/>
                <w:szCs w:val="18"/>
                <w:u w:val="none"/>
              </w:rPr>
            </w:pPr>
          </w:p>
        </w:tc>
      </w:tr>
      <w:tr w14:paraId="13AE8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924E6D">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521CD">
            <w:pPr>
              <w:jc w:val="center"/>
              <w:rPr>
                <w:rFonts w:hint="eastAsia" w:ascii="宋体" w:hAnsi="宋体" w:eastAsia="宋体" w:cs="宋体"/>
                <w:i w:val="0"/>
                <w:iCs w:val="0"/>
                <w:color w:val="000000"/>
                <w:sz w:val="18"/>
                <w:szCs w:val="18"/>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B39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E4C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65岁老年人2次医养结合服务完成人数</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727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E70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&gt;=39</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DD3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C4EF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992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AB7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91C24">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B49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6FA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75699">
            <w:pPr>
              <w:jc w:val="center"/>
              <w:rPr>
                <w:rFonts w:hint="eastAsia" w:ascii="宋体" w:hAnsi="宋体" w:eastAsia="宋体" w:cs="宋体"/>
                <w:i w:val="0"/>
                <w:iCs w:val="0"/>
                <w:color w:val="000000"/>
                <w:sz w:val="18"/>
                <w:szCs w:val="18"/>
                <w:u w:val="none"/>
              </w:rPr>
            </w:pPr>
          </w:p>
        </w:tc>
      </w:tr>
      <w:tr w14:paraId="3DF98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FAA13">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2BE6A">
            <w:pPr>
              <w:jc w:val="center"/>
              <w:rPr>
                <w:rFonts w:hint="eastAsia" w:ascii="宋体" w:hAnsi="宋体" w:eastAsia="宋体" w:cs="宋体"/>
                <w:i w:val="0"/>
                <w:iCs w:val="0"/>
                <w:color w:val="000000"/>
                <w:sz w:val="18"/>
                <w:szCs w:val="18"/>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700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7FB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居民规范化电子健康档案覆盖率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D4F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DFB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&gt;=84%</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9BD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7549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9F7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006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38D67">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A28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92C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A15B7">
            <w:pPr>
              <w:jc w:val="center"/>
              <w:rPr>
                <w:rFonts w:hint="eastAsia" w:ascii="宋体" w:hAnsi="宋体" w:eastAsia="宋体" w:cs="宋体"/>
                <w:i w:val="0"/>
                <w:iCs w:val="0"/>
                <w:color w:val="000000"/>
                <w:sz w:val="18"/>
                <w:szCs w:val="18"/>
                <w:u w:val="none"/>
              </w:rPr>
            </w:pPr>
          </w:p>
        </w:tc>
      </w:tr>
      <w:tr w14:paraId="511D7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2F912D">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0C42F">
            <w:pPr>
              <w:jc w:val="center"/>
              <w:rPr>
                <w:rFonts w:hint="eastAsia" w:ascii="宋体" w:hAnsi="宋体" w:eastAsia="宋体" w:cs="宋体"/>
                <w:i w:val="0"/>
                <w:iCs w:val="0"/>
                <w:color w:val="000000"/>
                <w:sz w:val="18"/>
                <w:szCs w:val="18"/>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574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D24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高血压患者规范管理服务率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1E6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EE0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&gt;=93%</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7D2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073F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513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BFB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99F04">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9C9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9B9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84CB7">
            <w:pPr>
              <w:jc w:val="center"/>
              <w:rPr>
                <w:rFonts w:hint="eastAsia" w:ascii="宋体" w:hAnsi="宋体" w:eastAsia="宋体" w:cs="宋体"/>
                <w:i w:val="0"/>
                <w:iCs w:val="0"/>
                <w:color w:val="000000"/>
                <w:sz w:val="18"/>
                <w:szCs w:val="18"/>
                <w:u w:val="none"/>
              </w:rPr>
            </w:pPr>
          </w:p>
        </w:tc>
      </w:tr>
      <w:tr w14:paraId="2C9E0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8EE55">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302BC">
            <w:pPr>
              <w:jc w:val="center"/>
              <w:rPr>
                <w:rFonts w:hint="eastAsia" w:ascii="宋体" w:hAnsi="宋体" w:eastAsia="宋体" w:cs="宋体"/>
                <w:i w:val="0"/>
                <w:iCs w:val="0"/>
                <w:color w:val="000000"/>
                <w:sz w:val="18"/>
                <w:szCs w:val="18"/>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B59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38C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2型糖尿病患者规范管理服务率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3B4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408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AD8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5C9B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B6C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02D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1C432">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CBB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9B4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253B4">
            <w:pPr>
              <w:jc w:val="center"/>
              <w:rPr>
                <w:rFonts w:hint="eastAsia" w:ascii="宋体" w:hAnsi="宋体" w:eastAsia="宋体" w:cs="宋体"/>
                <w:i w:val="0"/>
                <w:iCs w:val="0"/>
                <w:color w:val="000000"/>
                <w:sz w:val="18"/>
                <w:szCs w:val="18"/>
                <w:u w:val="none"/>
              </w:rPr>
            </w:pPr>
          </w:p>
        </w:tc>
      </w:tr>
      <w:tr w14:paraId="5481C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3DE8C">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DF0EE7">
            <w:pPr>
              <w:jc w:val="center"/>
              <w:rPr>
                <w:rFonts w:hint="eastAsia" w:ascii="宋体" w:hAnsi="宋体" w:eastAsia="宋体" w:cs="宋体"/>
                <w:i w:val="0"/>
                <w:iCs w:val="0"/>
                <w:color w:val="000000"/>
                <w:sz w:val="18"/>
                <w:szCs w:val="18"/>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274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C07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项目按期完成时间</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ADD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A54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A62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717F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08B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6D7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57C22">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B45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C77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E9FF2">
            <w:pPr>
              <w:jc w:val="center"/>
              <w:rPr>
                <w:rFonts w:hint="eastAsia" w:ascii="宋体" w:hAnsi="宋体" w:eastAsia="宋体" w:cs="宋体"/>
                <w:i w:val="0"/>
                <w:iCs w:val="0"/>
                <w:color w:val="000000"/>
                <w:sz w:val="18"/>
                <w:szCs w:val="18"/>
                <w:u w:val="none"/>
              </w:rPr>
            </w:pPr>
          </w:p>
        </w:tc>
      </w:tr>
      <w:tr w14:paraId="77BBD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D0AD71">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DFD5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D5D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2CE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需方补助经费</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4D9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70D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≦48.97万元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0DD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=48.97%</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9438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F02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5F6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E1FD5">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8BC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B88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0F7CB">
            <w:pPr>
              <w:jc w:val="center"/>
              <w:rPr>
                <w:rFonts w:hint="eastAsia" w:ascii="宋体" w:hAnsi="宋体" w:eastAsia="宋体" w:cs="宋体"/>
                <w:i w:val="0"/>
                <w:iCs w:val="0"/>
                <w:color w:val="000000"/>
                <w:sz w:val="18"/>
                <w:szCs w:val="18"/>
                <w:u w:val="none"/>
              </w:rPr>
            </w:pPr>
          </w:p>
        </w:tc>
      </w:tr>
      <w:tr w14:paraId="4D722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6B6C0">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8C62D">
            <w:pPr>
              <w:jc w:val="center"/>
              <w:rPr>
                <w:rFonts w:hint="eastAsia" w:ascii="宋体" w:hAnsi="宋体" w:eastAsia="宋体" w:cs="宋体"/>
                <w:i w:val="0"/>
                <w:iCs w:val="0"/>
                <w:color w:val="000000"/>
                <w:sz w:val="18"/>
                <w:szCs w:val="18"/>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44B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912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其他费用</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E1C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415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≦87.8万元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AA6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=87.8%</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14FD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B3B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1A0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4E79D">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C71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89E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057BE">
            <w:pPr>
              <w:jc w:val="center"/>
              <w:rPr>
                <w:rFonts w:hint="eastAsia" w:ascii="宋体" w:hAnsi="宋体" w:eastAsia="宋体" w:cs="宋体"/>
                <w:i w:val="0"/>
                <w:iCs w:val="0"/>
                <w:color w:val="000000"/>
                <w:sz w:val="18"/>
                <w:szCs w:val="18"/>
                <w:u w:val="none"/>
              </w:rPr>
            </w:pPr>
          </w:p>
        </w:tc>
      </w:tr>
      <w:tr w14:paraId="5F897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66DAB6">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A0226">
            <w:pPr>
              <w:jc w:val="center"/>
              <w:rPr>
                <w:rFonts w:hint="eastAsia" w:ascii="宋体" w:hAnsi="宋体" w:eastAsia="宋体" w:cs="宋体"/>
                <w:i w:val="0"/>
                <w:iCs w:val="0"/>
                <w:color w:val="000000"/>
                <w:sz w:val="18"/>
                <w:szCs w:val="18"/>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2FB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2589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AB51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C06A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1096C">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C465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E4BAD">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B804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D4244">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BD8AD">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DAEE5">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DEB52">
            <w:pPr>
              <w:jc w:val="center"/>
              <w:rPr>
                <w:rFonts w:hint="eastAsia" w:ascii="宋体" w:hAnsi="宋体" w:eastAsia="宋体" w:cs="宋体"/>
                <w:i w:val="0"/>
                <w:iCs w:val="0"/>
                <w:color w:val="000000"/>
                <w:sz w:val="18"/>
                <w:szCs w:val="18"/>
                <w:u w:val="none"/>
              </w:rPr>
            </w:pPr>
          </w:p>
        </w:tc>
      </w:tr>
      <w:tr w14:paraId="481F0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0A621B">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C9643">
            <w:pPr>
              <w:jc w:val="center"/>
              <w:rPr>
                <w:rFonts w:hint="eastAsia" w:ascii="宋体" w:hAnsi="宋体" w:eastAsia="宋体" w:cs="宋体"/>
                <w:i w:val="0"/>
                <w:iCs w:val="0"/>
                <w:color w:val="000000"/>
                <w:sz w:val="18"/>
                <w:szCs w:val="18"/>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9AD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C21AE">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239A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9B4B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CB291">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8D28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DE67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F4AF5">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45518">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FB921">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02F17">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5724C">
            <w:pPr>
              <w:jc w:val="center"/>
              <w:rPr>
                <w:rFonts w:hint="eastAsia" w:ascii="宋体" w:hAnsi="宋体" w:eastAsia="宋体" w:cs="宋体"/>
                <w:i w:val="0"/>
                <w:iCs w:val="0"/>
                <w:color w:val="000000"/>
                <w:sz w:val="18"/>
                <w:szCs w:val="18"/>
                <w:u w:val="none"/>
              </w:rPr>
            </w:pPr>
          </w:p>
        </w:tc>
      </w:tr>
      <w:tr w14:paraId="0AA53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EE771E">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9CE2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913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CEEC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6380F">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BAE5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EE6E4">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79D2F">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2F81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1B2B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6535B">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821DC">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62774">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16EC4">
            <w:pPr>
              <w:jc w:val="center"/>
              <w:rPr>
                <w:rFonts w:hint="eastAsia" w:ascii="宋体" w:hAnsi="宋体" w:eastAsia="宋体" w:cs="宋体"/>
                <w:i w:val="0"/>
                <w:iCs w:val="0"/>
                <w:color w:val="000000"/>
                <w:sz w:val="18"/>
                <w:szCs w:val="18"/>
                <w:u w:val="none"/>
              </w:rPr>
            </w:pPr>
          </w:p>
        </w:tc>
      </w:tr>
      <w:tr w14:paraId="7DD59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BFCD05">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042337">
            <w:pPr>
              <w:jc w:val="center"/>
              <w:rPr>
                <w:rFonts w:hint="eastAsia" w:ascii="宋体" w:hAnsi="宋体" w:eastAsia="宋体" w:cs="宋体"/>
                <w:i w:val="0"/>
                <w:iCs w:val="0"/>
                <w:color w:val="000000"/>
                <w:sz w:val="18"/>
                <w:szCs w:val="18"/>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B13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A87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基本公共卫生服务水平</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72F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8C5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不断提高</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6CB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AC2F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0B1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772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B2637">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0C5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E67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A17AF">
            <w:pPr>
              <w:jc w:val="center"/>
              <w:rPr>
                <w:rFonts w:hint="eastAsia" w:ascii="宋体" w:hAnsi="宋体" w:eastAsia="宋体" w:cs="宋体"/>
                <w:i w:val="0"/>
                <w:iCs w:val="0"/>
                <w:color w:val="000000"/>
                <w:sz w:val="18"/>
                <w:szCs w:val="18"/>
                <w:u w:val="none"/>
              </w:rPr>
            </w:pPr>
          </w:p>
        </w:tc>
      </w:tr>
      <w:tr w14:paraId="2757E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F6678D">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BED615">
            <w:pPr>
              <w:jc w:val="center"/>
              <w:rPr>
                <w:rFonts w:hint="eastAsia" w:ascii="宋体" w:hAnsi="宋体" w:eastAsia="宋体" w:cs="宋体"/>
                <w:i w:val="0"/>
                <w:iCs w:val="0"/>
                <w:color w:val="000000"/>
                <w:sz w:val="18"/>
                <w:szCs w:val="18"/>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37F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052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老年人健康服务水平</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C44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067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不断提高</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1C6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E9EF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13D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29E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187AA">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0F9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E67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B650E">
            <w:pPr>
              <w:jc w:val="center"/>
              <w:rPr>
                <w:rFonts w:hint="eastAsia" w:ascii="宋体" w:hAnsi="宋体" w:eastAsia="宋体" w:cs="宋体"/>
                <w:i w:val="0"/>
                <w:iCs w:val="0"/>
                <w:color w:val="000000"/>
                <w:sz w:val="18"/>
                <w:szCs w:val="18"/>
                <w:u w:val="none"/>
              </w:rPr>
            </w:pPr>
          </w:p>
        </w:tc>
      </w:tr>
      <w:tr w14:paraId="1E7A0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A9995">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3B213">
            <w:pPr>
              <w:jc w:val="center"/>
              <w:rPr>
                <w:rFonts w:hint="eastAsia" w:ascii="宋体" w:hAnsi="宋体" w:eastAsia="宋体" w:cs="宋体"/>
                <w:i w:val="0"/>
                <w:iCs w:val="0"/>
                <w:color w:val="000000"/>
                <w:sz w:val="18"/>
                <w:szCs w:val="18"/>
                <w:u w:val="none"/>
              </w:rPr>
            </w:pP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FBF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58BB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579D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56A2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6161E">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975E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2EA18">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F288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0AA8C">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AC344">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6B9F4">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21CF7">
            <w:pPr>
              <w:jc w:val="center"/>
              <w:rPr>
                <w:rFonts w:hint="eastAsia" w:ascii="宋体" w:hAnsi="宋体" w:eastAsia="宋体" w:cs="宋体"/>
                <w:i w:val="0"/>
                <w:iCs w:val="0"/>
                <w:color w:val="000000"/>
                <w:sz w:val="18"/>
                <w:szCs w:val="18"/>
                <w:u w:val="none"/>
              </w:rPr>
            </w:pPr>
          </w:p>
        </w:tc>
      </w:tr>
      <w:tr w14:paraId="19B5E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1"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A6C5F4">
            <w:pPr>
              <w:jc w:val="center"/>
              <w:rPr>
                <w:rFonts w:hint="eastAsia" w:ascii="宋体" w:hAnsi="宋体" w:eastAsia="宋体" w:cs="宋体"/>
                <w:b/>
                <w:bCs/>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829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6D1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134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877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300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0F9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D075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bookmarkStart w:id="141" w:name="_GoBack"/>
            <w:bookmarkEnd w:id="141"/>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F8F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988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D9CFD">
            <w:pPr>
              <w:jc w:val="cente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8D2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011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725DF">
            <w:pPr>
              <w:jc w:val="center"/>
              <w:rPr>
                <w:rFonts w:hint="eastAsia" w:ascii="宋体" w:hAnsi="宋体" w:eastAsia="宋体" w:cs="宋体"/>
                <w:i w:val="0"/>
                <w:iCs w:val="0"/>
                <w:color w:val="000000"/>
                <w:sz w:val="18"/>
                <w:szCs w:val="18"/>
                <w:u w:val="none"/>
              </w:rPr>
            </w:pPr>
          </w:p>
        </w:tc>
      </w:tr>
      <w:tr w14:paraId="3AD7C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54" w:type="pct"/>
            <w:gridSpan w:val="4"/>
            <w:tcBorders>
              <w:top w:val="single" w:color="000000" w:sz="4" w:space="0"/>
              <w:left w:val="single" w:color="000000" w:sz="4" w:space="0"/>
              <w:bottom w:val="single" w:color="000000" w:sz="4" w:space="0"/>
              <w:right w:val="nil"/>
            </w:tcBorders>
            <w:shd w:val="clear" w:color="auto" w:fill="auto"/>
            <w:vAlign w:val="center"/>
          </w:tcPr>
          <w:p w14:paraId="0E03293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221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nil"/>
              <w:bottom w:val="single" w:color="000000" w:sz="4" w:space="0"/>
              <w:right w:val="single" w:color="000000" w:sz="4" w:space="0"/>
            </w:tcBorders>
            <w:shd w:val="clear" w:color="auto" w:fill="auto"/>
            <w:vAlign w:val="center"/>
          </w:tcPr>
          <w:p w14:paraId="0D5C3620">
            <w:pP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F7C76">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F80A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C4CA5">
            <w:pPr>
              <w:keepNext w:val="0"/>
              <w:keepLines w:val="0"/>
              <w:widowControl/>
              <w:suppressLineNumbers w:val="0"/>
              <w:ind w:left="0" w:leftChars="0" w:firstLine="0" w:firstLineChars="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FB888">
            <w:pP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29B9B">
            <w:pPr>
              <w:rPr>
                <w:rFonts w:hint="eastAsia" w:ascii="宋体" w:hAnsi="宋体" w:eastAsia="宋体" w:cs="宋体"/>
                <w:i w:val="0"/>
                <w:iCs w:val="0"/>
                <w:color w:val="000000"/>
                <w:sz w:val="18"/>
                <w:szCs w:val="18"/>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3AD39">
            <w:pP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01711">
            <w:pP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86B11">
            <w:pPr>
              <w:rPr>
                <w:rFonts w:hint="eastAsia" w:ascii="宋体" w:hAnsi="宋体" w:eastAsia="宋体" w:cs="宋体"/>
                <w:i w:val="0"/>
                <w:iCs w:val="0"/>
                <w:color w:val="000000"/>
                <w:sz w:val="18"/>
                <w:szCs w:val="18"/>
                <w:u w:val="none"/>
              </w:rPr>
            </w:pPr>
          </w:p>
        </w:tc>
      </w:tr>
    </w:tbl>
    <w:p w14:paraId="36521459">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sectPr>
          <w:pgSz w:w="16838" w:h="11906" w:orient="landscape"/>
          <w:pgMar w:top="1800" w:right="1440" w:bottom="1800" w:left="1440" w:header="737" w:footer="851" w:gutter="0"/>
          <w:pgNumType w:fmt="decimal"/>
          <w:cols w:space="720" w:num="1"/>
          <w:docGrid w:type="lines" w:linePitch="408" w:charSpace="0"/>
        </w:sectPr>
      </w:pPr>
      <w:bookmarkStart w:id="140" w:name="_Toc15067"/>
    </w:p>
    <w:p w14:paraId="097B4A06">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40"/>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997"/>
        <w:gridCol w:w="1964"/>
        <w:gridCol w:w="7821"/>
        <w:gridCol w:w="785"/>
        <w:gridCol w:w="769"/>
      </w:tblGrid>
      <w:tr w14:paraId="1D3A97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618B973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5AB3F05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997" w:type="dxa"/>
            <w:shd w:val="clear" w:color="auto" w:fill="auto"/>
            <w:noWrap w:val="0"/>
            <w:vAlign w:val="center"/>
          </w:tcPr>
          <w:p w14:paraId="5EF54A1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1964" w:type="dxa"/>
            <w:shd w:val="clear" w:color="auto" w:fill="auto"/>
            <w:noWrap w:val="0"/>
            <w:vAlign w:val="center"/>
          </w:tcPr>
          <w:p w14:paraId="1412A9D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指标解释</w:t>
            </w:r>
          </w:p>
        </w:tc>
        <w:tc>
          <w:tcPr>
            <w:tcW w:w="7821" w:type="dxa"/>
            <w:shd w:val="clear" w:color="auto" w:fill="auto"/>
            <w:noWrap w:val="0"/>
            <w:vAlign w:val="center"/>
          </w:tcPr>
          <w:p w14:paraId="6F73862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指标说明</w:t>
            </w:r>
          </w:p>
        </w:tc>
        <w:tc>
          <w:tcPr>
            <w:tcW w:w="785" w:type="dxa"/>
            <w:shd w:val="clear" w:color="auto" w:fill="auto"/>
            <w:noWrap w:val="0"/>
            <w:vAlign w:val="center"/>
          </w:tcPr>
          <w:p w14:paraId="2171494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lang w:val="en-US" w:eastAsia="zh-CN"/>
              </w:rPr>
              <w:t>分值</w:t>
            </w:r>
          </w:p>
        </w:tc>
        <w:tc>
          <w:tcPr>
            <w:tcW w:w="769" w:type="dxa"/>
            <w:shd w:val="clear" w:color="auto" w:fill="auto"/>
            <w:noWrap w:val="0"/>
            <w:vAlign w:val="center"/>
          </w:tcPr>
          <w:p w14:paraId="0949900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51E443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2CE3518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02975C5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3BEE0C1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2CD1460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997" w:type="dxa"/>
            <w:shd w:val="clear" w:color="auto" w:fill="auto"/>
            <w:noWrap w:val="0"/>
            <w:vAlign w:val="center"/>
          </w:tcPr>
          <w:p w14:paraId="00E2292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4F3A006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1964" w:type="dxa"/>
            <w:shd w:val="clear" w:color="auto" w:fill="auto"/>
            <w:noWrap w:val="0"/>
            <w:vAlign w:val="center"/>
          </w:tcPr>
          <w:p w14:paraId="013FEA0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6FE642A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5AD9026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①项目立项是否符合国家法律法规、国民经济发展规划和相关政策；</w:t>
            </w:r>
          </w:p>
          <w:p w14:paraId="0066F96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②项目立项是否符合行业发展规划和政策要求；</w:t>
            </w:r>
          </w:p>
          <w:p w14:paraId="10D906F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③项目立项是否与部门职责范围相符，属于部门履职所需；</w:t>
            </w:r>
          </w:p>
          <w:p w14:paraId="6D21869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④项目是否属于公共财政支持范围，是否符合中央、地方事权支出责任划分原则；</w:t>
            </w:r>
          </w:p>
          <w:p w14:paraId="403225F8">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⑤项目是否与相关部门同类项目或部门内部相关项目重复。</w:t>
            </w:r>
          </w:p>
        </w:tc>
        <w:tc>
          <w:tcPr>
            <w:tcW w:w="785" w:type="dxa"/>
            <w:shd w:val="clear" w:color="auto" w:fill="auto"/>
            <w:noWrap w:val="0"/>
            <w:vAlign w:val="center"/>
          </w:tcPr>
          <w:p w14:paraId="0DD1F25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2B08D11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343B00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249C99B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E1202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997" w:type="dxa"/>
            <w:shd w:val="clear" w:color="auto" w:fill="auto"/>
            <w:noWrap w:val="0"/>
            <w:vAlign w:val="center"/>
          </w:tcPr>
          <w:p w14:paraId="1B8DD54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2968271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1964" w:type="dxa"/>
            <w:shd w:val="clear" w:color="auto" w:fill="auto"/>
            <w:noWrap w:val="0"/>
            <w:vAlign w:val="center"/>
          </w:tcPr>
          <w:p w14:paraId="024E7B7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项目申请、设立过程是否符合相关要求，用以反映和考核项目立项的规范情况。</w:t>
            </w:r>
          </w:p>
        </w:tc>
        <w:tc>
          <w:tcPr>
            <w:tcW w:w="7821" w:type="dxa"/>
            <w:shd w:val="clear" w:color="auto" w:fill="auto"/>
            <w:noWrap w:val="0"/>
            <w:vAlign w:val="center"/>
          </w:tcPr>
          <w:p w14:paraId="48D926E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030FC24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①项目是否按照规定的程序申请设立；</w:t>
            </w:r>
          </w:p>
          <w:p w14:paraId="7EE9622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②审批文件、材料是否符合相关要求；</w:t>
            </w:r>
          </w:p>
          <w:p w14:paraId="031157A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③事前是否已经过必要的可行性研究、专家论证、风险评估、绩效评估、集体决策。</w:t>
            </w:r>
          </w:p>
        </w:tc>
        <w:tc>
          <w:tcPr>
            <w:tcW w:w="785" w:type="dxa"/>
            <w:shd w:val="clear" w:color="auto" w:fill="auto"/>
            <w:noWrap w:val="0"/>
            <w:vAlign w:val="center"/>
          </w:tcPr>
          <w:p w14:paraId="2C8EF7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24F4C2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6C4FD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9321E9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62C31A7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997" w:type="dxa"/>
            <w:shd w:val="clear" w:color="auto" w:fill="auto"/>
            <w:noWrap w:val="0"/>
            <w:vAlign w:val="center"/>
          </w:tcPr>
          <w:p w14:paraId="5DD0164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4A02238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1964" w:type="dxa"/>
            <w:shd w:val="clear" w:color="auto" w:fill="auto"/>
            <w:noWrap w:val="0"/>
            <w:vAlign w:val="center"/>
          </w:tcPr>
          <w:p w14:paraId="2960ED5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330B89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654C9C0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（如未设定预算绩效目标，也可考核其他工作任务目标）</w:t>
            </w:r>
          </w:p>
          <w:p w14:paraId="3DB4B98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①项目是否有绩效目标；</w:t>
            </w:r>
          </w:p>
          <w:p w14:paraId="7A177A9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②项目绩效目标与实际工作内容是否具有相关性；</w:t>
            </w:r>
          </w:p>
          <w:p w14:paraId="7930227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③项目预期产出效益和效果是否符合正常的业绩水平；</w:t>
            </w:r>
          </w:p>
          <w:p w14:paraId="000EB4E1">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④是否与预算确定的项目投资额或资金量相匹配。</w:t>
            </w:r>
          </w:p>
        </w:tc>
        <w:tc>
          <w:tcPr>
            <w:tcW w:w="785" w:type="dxa"/>
            <w:shd w:val="clear" w:color="auto" w:fill="auto"/>
            <w:noWrap w:val="0"/>
            <w:vAlign w:val="center"/>
          </w:tcPr>
          <w:p w14:paraId="0862A47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795636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A8304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0865CCE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13F711E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997" w:type="dxa"/>
            <w:shd w:val="clear" w:color="auto" w:fill="auto"/>
            <w:noWrap w:val="0"/>
            <w:vAlign w:val="center"/>
          </w:tcPr>
          <w:p w14:paraId="5906F05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7BD1482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1964" w:type="dxa"/>
            <w:shd w:val="clear" w:color="auto" w:fill="auto"/>
            <w:noWrap w:val="0"/>
            <w:vAlign w:val="center"/>
          </w:tcPr>
          <w:p w14:paraId="47D056C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596B231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0C21E6C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①是否将项目绩效目标细化分解为具体的绩效指标；</w:t>
            </w:r>
          </w:p>
          <w:p w14:paraId="681BFC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②是否通过清晰、可衡量的指标值予以体现；</w:t>
            </w:r>
          </w:p>
          <w:p w14:paraId="2C6338C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③是否与项目目标任务数或计划数相对应。</w:t>
            </w:r>
          </w:p>
          <w:p w14:paraId="71E7B3B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p>
        </w:tc>
        <w:tc>
          <w:tcPr>
            <w:tcW w:w="785" w:type="dxa"/>
            <w:shd w:val="clear" w:color="auto" w:fill="auto"/>
            <w:noWrap w:val="0"/>
            <w:vAlign w:val="center"/>
          </w:tcPr>
          <w:p w14:paraId="31DCFD8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617246A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AEF7E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4FCB84EC">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19AB30B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6F67E68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997" w:type="dxa"/>
            <w:shd w:val="clear" w:color="auto" w:fill="auto"/>
            <w:noWrap w:val="0"/>
            <w:vAlign w:val="center"/>
          </w:tcPr>
          <w:p w14:paraId="7DD0781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4E75F8B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1964" w:type="dxa"/>
            <w:shd w:val="clear" w:color="auto" w:fill="auto"/>
            <w:noWrap w:val="0"/>
            <w:vAlign w:val="center"/>
          </w:tcPr>
          <w:p w14:paraId="7FFC931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4D1CD4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74C67E8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①预算编制是否经过科学论证；</w:t>
            </w:r>
          </w:p>
          <w:p w14:paraId="03A5853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②预算内容与项目内容是否匹配；</w:t>
            </w:r>
          </w:p>
          <w:p w14:paraId="237A655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③预算额度测算依据是否充分，是否按照标准编制；</w:t>
            </w:r>
          </w:p>
          <w:p w14:paraId="62F7177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④预算确定的项目投资额或资金量是否与工作任务相匹配。</w:t>
            </w:r>
          </w:p>
        </w:tc>
        <w:tc>
          <w:tcPr>
            <w:tcW w:w="785" w:type="dxa"/>
            <w:shd w:val="clear" w:color="auto" w:fill="auto"/>
            <w:noWrap w:val="0"/>
            <w:vAlign w:val="center"/>
          </w:tcPr>
          <w:p w14:paraId="1802835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45E21E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21F49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246119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1EFD8E8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997" w:type="dxa"/>
            <w:shd w:val="clear" w:color="auto" w:fill="auto"/>
            <w:noWrap w:val="0"/>
            <w:vAlign w:val="center"/>
          </w:tcPr>
          <w:p w14:paraId="2BD2189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71086B0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1964" w:type="dxa"/>
            <w:shd w:val="clear" w:color="auto" w:fill="auto"/>
            <w:noWrap w:val="0"/>
            <w:vAlign w:val="center"/>
          </w:tcPr>
          <w:p w14:paraId="01B88E8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2FB294A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2903F0D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①预算资金分配依据是否充分；</w:t>
            </w:r>
          </w:p>
          <w:p w14:paraId="27CC80C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②资金分配额度是否合理，与项目单位或地方实际是否相适应。</w:t>
            </w:r>
          </w:p>
        </w:tc>
        <w:tc>
          <w:tcPr>
            <w:tcW w:w="785" w:type="dxa"/>
            <w:shd w:val="clear" w:color="auto" w:fill="auto"/>
            <w:noWrap w:val="0"/>
            <w:vAlign w:val="center"/>
          </w:tcPr>
          <w:p w14:paraId="471CE61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51DADC1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39B84E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512CB26C">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3949B37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997" w:type="dxa"/>
            <w:shd w:val="clear" w:color="auto" w:fill="auto"/>
            <w:noWrap w:val="0"/>
            <w:vAlign w:val="center"/>
          </w:tcPr>
          <w:p w14:paraId="515A56E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1964" w:type="dxa"/>
            <w:shd w:val="clear" w:color="auto" w:fill="auto"/>
            <w:noWrap w:val="0"/>
            <w:vAlign w:val="center"/>
          </w:tcPr>
          <w:p w14:paraId="41B9C1F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44A88AF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资金到位率=（实际到位资金/预算资金）×100%。</w:t>
            </w:r>
          </w:p>
          <w:p w14:paraId="40A6B3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实际到位资金：一定时期（本年度或项目期）内落实到具体项目的资金。</w:t>
            </w:r>
          </w:p>
          <w:p w14:paraId="677B3FC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预算资金：一定时期（本年度或项目期）内预算安排到具体项目的资金。</w:t>
            </w:r>
          </w:p>
        </w:tc>
        <w:tc>
          <w:tcPr>
            <w:tcW w:w="785" w:type="dxa"/>
            <w:shd w:val="clear" w:color="auto" w:fill="auto"/>
            <w:noWrap w:val="0"/>
            <w:vAlign w:val="center"/>
          </w:tcPr>
          <w:p w14:paraId="18553BF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3D756D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8E62B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77C51BB3">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22C63403">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997" w:type="dxa"/>
            <w:shd w:val="clear" w:color="auto" w:fill="auto"/>
            <w:noWrap w:val="0"/>
            <w:vAlign w:val="center"/>
          </w:tcPr>
          <w:p w14:paraId="42550BD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预算执行率</w:t>
            </w:r>
          </w:p>
        </w:tc>
        <w:tc>
          <w:tcPr>
            <w:tcW w:w="1964" w:type="dxa"/>
            <w:shd w:val="clear" w:color="auto" w:fill="auto"/>
            <w:noWrap w:val="0"/>
            <w:vAlign w:val="center"/>
          </w:tcPr>
          <w:p w14:paraId="4D09731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项目预算资金是否按照计划执行，用以反映或考核项目预算执行情况。</w:t>
            </w:r>
          </w:p>
        </w:tc>
        <w:tc>
          <w:tcPr>
            <w:tcW w:w="7821" w:type="dxa"/>
            <w:shd w:val="clear" w:color="auto" w:fill="auto"/>
            <w:noWrap w:val="0"/>
            <w:vAlign w:val="center"/>
          </w:tcPr>
          <w:p w14:paraId="02C92F9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预算执行率=（实际支出资金/实际到位资金）×100%。</w:t>
            </w:r>
          </w:p>
          <w:p w14:paraId="741C230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实际支出资金：一定时期（本年度或项目期）内项目实际拨付的资金。</w:t>
            </w:r>
          </w:p>
        </w:tc>
        <w:tc>
          <w:tcPr>
            <w:tcW w:w="785" w:type="dxa"/>
            <w:shd w:val="clear" w:color="auto" w:fill="auto"/>
            <w:noWrap w:val="0"/>
            <w:vAlign w:val="center"/>
          </w:tcPr>
          <w:p w14:paraId="0E850B7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3F95B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1F5C8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0184C59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2FF613A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67BC488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997" w:type="dxa"/>
            <w:shd w:val="clear" w:color="auto" w:fill="auto"/>
            <w:noWrap w:val="0"/>
            <w:vAlign w:val="center"/>
          </w:tcPr>
          <w:p w14:paraId="626FC37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资金使用</w:t>
            </w:r>
          </w:p>
          <w:p w14:paraId="4F0DD0F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合规性</w:t>
            </w:r>
          </w:p>
        </w:tc>
        <w:tc>
          <w:tcPr>
            <w:tcW w:w="1964" w:type="dxa"/>
            <w:shd w:val="clear" w:color="auto" w:fill="auto"/>
            <w:noWrap w:val="0"/>
            <w:vAlign w:val="center"/>
          </w:tcPr>
          <w:p w14:paraId="071B49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079CDF6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6BA3D75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①是否符合国家财经法规和财务管理制度以及有关专项资金管理办法的规定；</w:t>
            </w:r>
          </w:p>
          <w:p w14:paraId="06EE28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②资金的拨付是否有完整的审批程序和手续；</w:t>
            </w:r>
          </w:p>
          <w:p w14:paraId="4BDC95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③是否符合项目预算批复或合同规定的用途；</w:t>
            </w:r>
          </w:p>
          <w:p w14:paraId="1C43519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④是否存在截留、挤占、挪用、虚列支出等情况。</w:t>
            </w:r>
          </w:p>
        </w:tc>
        <w:tc>
          <w:tcPr>
            <w:tcW w:w="785" w:type="dxa"/>
            <w:shd w:val="clear" w:color="auto" w:fill="auto"/>
            <w:noWrap w:val="0"/>
            <w:vAlign w:val="center"/>
          </w:tcPr>
          <w:p w14:paraId="57D2BF9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ED8E3C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507276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49C8A32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540189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29CDD57C">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997" w:type="dxa"/>
            <w:shd w:val="clear" w:color="auto" w:fill="auto"/>
            <w:noWrap w:val="0"/>
            <w:vAlign w:val="center"/>
          </w:tcPr>
          <w:p w14:paraId="24B3084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管理制度</w:t>
            </w:r>
          </w:p>
          <w:p w14:paraId="7500A8B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健全性</w:t>
            </w:r>
          </w:p>
        </w:tc>
        <w:tc>
          <w:tcPr>
            <w:tcW w:w="1964" w:type="dxa"/>
            <w:shd w:val="clear" w:color="auto" w:fill="auto"/>
            <w:noWrap w:val="0"/>
            <w:vAlign w:val="center"/>
          </w:tcPr>
          <w:p w14:paraId="31C72A0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492B71B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60CD950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①是否已制定或具有相应的财务和业务管理制度；</w:t>
            </w:r>
          </w:p>
          <w:p w14:paraId="358E173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②财务和业务管理制度是否合法、合规、完整。</w:t>
            </w:r>
          </w:p>
        </w:tc>
        <w:tc>
          <w:tcPr>
            <w:tcW w:w="785" w:type="dxa"/>
            <w:shd w:val="clear" w:color="auto" w:fill="auto"/>
            <w:noWrap w:val="0"/>
            <w:vAlign w:val="center"/>
          </w:tcPr>
          <w:p w14:paraId="022B855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5B5933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56D6B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0BAF4A8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E9B17A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997" w:type="dxa"/>
            <w:shd w:val="clear" w:color="auto" w:fill="auto"/>
            <w:noWrap w:val="0"/>
            <w:vAlign w:val="center"/>
          </w:tcPr>
          <w:p w14:paraId="2259B89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52B603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1964" w:type="dxa"/>
            <w:shd w:val="clear" w:color="auto" w:fill="auto"/>
            <w:noWrap w:val="0"/>
            <w:vAlign w:val="center"/>
          </w:tcPr>
          <w:p w14:paraId="3900CFC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项目实施是否符合相关管理规定，用以反映和考核相关管理制度的有效执行情况。</w:t>
            </w:r>
          </w:p>
        </w:tc>
        <w:tc>
          <w:tcPr>
            <w:tcW w:w="7821" w:type="dxa"/>
            <w:shd w:val="clear" w:color="auto" w:fill="auto"/>
            <w:noWrap w:val="0"/>
            <w:vAlign w:val="center"/>
          </w:tcPr>
          <w:p w14:paraId="4F3B21B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评价要点：</w:t>
            </w:r>
          </w:p>
          <w:p w14:paraId="2BADE35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①是否遵守相关法律法规和相关管理规定；</w:t>
            </w:r>
          </w:p>
          <w:p w14:paraId="680C001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②项目调整及支出调整手续是否完备；</w:t>
            </w:r>
          </w:p>
          <w:p w14:paraId="5EC2169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rPr>
              <w:t>③项目合同书、验收报告、技术鉴定等资料是否齐全并及时归档；</w:t>
            </w:r>
          </w:p>
          <w:p w14:paraId="3A9E040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rPr>
            </w:pPr>
            <w:r>
              <w:rPr>
                <w:rFonts w:hint="eastAsia" w:ascii="宋体" w:hAnsi="宋体" w:eastAsia="宋体" w:cs="宋体"/>
                <w:color w:val="auto"/>
                <w:kern w:val="0"/>
                <w:sz w:val="22"/>
                <w:szCs w:val="22"/>
              </w:rPr>
              <w:t>④项目实施的人员条件、场地设备、信息支撑等是否落实到位。</w:t>
            </w:r>
          </w:p>
        </w:tc>
        <w:tc>
          <w:tcPr>
            <w:tcW w:w="785" w:type="dxa"/>
            <w:shd w:val="clear" w:color="auto" w:fill="auto"/>
            <w:noWrap w:val="0"/>
            <w:vAlign w:val="center"/>
          </w:tcPr>
          <w:p w14:paraId="64EC74D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BA6E57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5C77A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79A5D7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286CE64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997" w:type="dxa"/>
            <w:shd w:val="clear" w:color="auto" w:fill="auto"/>
            <w:noWrap w:val="0"/>
            <w:vAlign w:val="center"/>
          </w:tcPr>
          <w:p w14:paraId="4C04575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i w:val="0"/>
                <w:iCs w:val="0"/>
                <w:color w:val="000000"/>
                <w:sz w:val="22"/>
                <w:szCs w:val="22"/>
                <w:highlight w:val="none"/>
                <w:u w:val="none"/>
              </w:rPr>
              <w:t>高血压患者管理人数</w:t>
            </w:r>
          </w:p>
        </w:tc>
        <w:tc>
          <w:tcPr>
            <w:tcW w:w="1964" w:type="dxa"/>
            <w:shd w:val="clear" w:color="auto" w:fill="auto"/>
            <w:noWrap w:val="0"/>
            <w:vAlign w:val="center"/>
          </w:tcPr>
          <w:p w14:paraId="2D4B454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670FF3C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22F8046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2CEF828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2FE89938">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17A6E18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7C3DAC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6178735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shd w:val="clear" w:color="auto" w:fill="auto"/>
            <w:noWrap w:val="0"/>
            <w:vAlign w:val="center"/>
          </w:tcPr>
          <w:p w14:paraId="6CD6CB6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997" w:type="dxa"/>
            <w:shd w:val="clear" w:color="auto" w:fill="auto"/>
            <w:noWrap w:val="0"/>
            <w:vAlign w:val="center"/>
          </w:tcPr>
          <w:p w14:paraId="2A43E1C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i w:val="0"/>
                <w:iCs w:val="0"/>
                <w:color w:val="000000"/>
                <w:sz w:val="22"/>
                <w:szCs w:val="22"/>
                <w:highlight w:val="none"/>
                <w:u w:val="none"/>
              </w:rPr>
              <w:t>2型糖尿病管理人数</w:t>
            </w:r>
          </w:p>
        </w:tc>
        <w:tc>
          <w:tcPr>
            <w:tcW w:w="1964" w:type="dxa"/>
            <w:shd w:val="clear" w:color="auto" w:fill="auto"/>
            <w:noWrap w:val="0"/>
            <w:vAlign w:val="center"/>
          </w:tcPr>
          <w:p w14:paraId="2DD106E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1423338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59524F6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111D6C0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2BEC93EE">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0124A31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82E8D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5196048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shd w:val="clear" w:color="auto" w:fill="auto"/>
            <w:noWrap w:val="0"/>
            <w:vAlign w:val="center"/>
          </w:tcPr>
          <w:p w14:paraId="470B678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997" w:type="dxa"/>
            <w:shd w:val="clear" w:color="auto" w:fill="auto"/>
            <w:noWrap w:val="0"/>
            <w:vAlign w:val="center"/>
          </w:tcPr>
          <w:p w14:paraId="1F40330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i w:val="0"/>
                <w:iCs w:val="0"/>
                <w:color w:val="000000"/>
                <w:sz w:val="22"/>
                <w:szCs w:val="22"/>
                <w:highlight w:val="none"/>
                <w:u w:val="none"/>
              </w:rPr>
              <w:t>65岁老年人2次医养结合服务完成人数</w:t>
            </w:r>
          </w:p>
        </w:tc>
        <w:tc>
          <w:tcPr>
            <w:tcW w:w="1964" w:type="dxa"/>
            <w:shd w:val="clear" w:color="auto" w:fill="auto"/>
            <w:noWrap w:val="0"/>
            <w:vAlign w:val="center"/>
          </w:tcPr>
          <w:p w14:paraId="07B7099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67700F0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646329F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7890398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15864AA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3DF3FAF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8538E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6766078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08056F2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997" w:type="dxa"/>
            <w:shd w:val="clear" w:color="auto" w:fill="auto"/>
            <w:noWrap w:val="0"/>
            <w:vAlign w:val="center"/>
          </w:tcPr>
          <w:p w14:paraId="10D53C5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i w:val="0"/>
                <w:iCs w:val="0"/>
                <w:color w:val="000000"/>
                <w:sz w:val="22"/>
                <w:szCs w:val="22"/>
                <w:highlight w:val="none"/>
                <w:u w:val="none"/>
              </w:rPr>
              <w:t>居民规范化电子健康档案覆盖率</w:t>
            </w:r>
          </w:p>
        </w:tc>
        <w:tc>
          <w:tcPr>
            <w:tcW w:w="1964" w:type="dxa"/>
            <w:shd w:val="clear" w:color="auto" w:fill="auto"/>
            <w:noWrap w:val="0"/>
            <w:vAlign w:val="center"/>
          </w:tcPr>
          <w:p w14:paraId="1B3558E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auto" w:fill="auto"/>
            <w:noWrap w:val="0"/>
            <w:vAlign w:val="center"/>
          </w:tcPr>
          <w:p w14:paraId="6014C5F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35563F5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421BCB44">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6CF3E7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733ABC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1B82A84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shd w:val="clear" w:color="auto" w:fill="auto"/>
            <w:noWrap w:val="0"/>
            <w:vAlign w:val="center"/>
          </w:tcPr>
          <w:p w14:paraId="2F0729B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997" w:type="dxa"/>
            <w:shd w:val="clear" w:color="auto" w:fill="auto"/>
            <w:noWrap w:val="0"/>
            <w:vAlign w:val="center"/>
          </w:tcPr>
          <w:p w14:paraId="1511D87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i w:val="0"/>
                <w:iCs w:val="0"/>
                <w:color w:val="000000"/>
                <w:sz w:val="22"/>
                <w:szCs w:val="22"/>
                <w:highlight w:val="none"/>
                <w:u w:val="none"/>
              </w:rPr>
              <w:t>高血压患者规范管理服务率</w:t>
            </w:r>
          </w:p>
        </w:tc>
        <w:tc>
          <w:tcPr>
            <w:tcW w:w="1964" w:type="dxa"/>
            <w:shd w:val="clear" w:color="auto" w:fill="auto"/>
            <w:noWrap w:val="0"/>
            <w:vAlign w:val="center"/>
          </w:tcPr>
          <w:p w14:paraId="35636E2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auto" w:fill="auto"/>
            <w:noWrap w:val="0"/>
            <w:vAlign w:val="center"/>
          </w:tcPr>
          <w:p w14:paraId="2076042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212B9B4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B9C17C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75D1CB3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7ED47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52C4124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shd w:val="clear" w:color="auto" w:fill="auto"/>
            <w:noWrap w:val="0"/>
            <w:vAlign w:val="center"/>
          </w:tcPr>
          <w:p w14:paraId="270BE4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997" w:type="dxa"/>
            <w:shd w:val="clear" w:color="auto" w:fill="auto"/>
            <w:noWrap w:val="0"/>
            <w:vAlign w:val="center"/>
          </w:tcPr>
          <w:p w14:paraId="1F25C6C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i w:val="0"/>
                <w:iCs w:val="0"/>
                <w:color w:val="000000"/>
                <w:sz w:val="22"/>
                <w:szCs w:val="22"/>
                <w:highlight w:val="none"/>
                <w:u w:val="none"/>
              </w:rPr>
              <w:t>2型糖尿病患者规范管理服务率</w:t>
            </w:r>
          </w:p>
        </w:tc>
        <w:tc>
          <w:tcPr>
            <w:tcW w:w="1964" w:type="dxa"/>
            <w:shd w:val="clear" w:color="auto" w:fill="auto"/>
            <w:noWrap w:val="0"/>
            <w:vAlign w:val="center"/>
          </w:tcPr>
          <w:p w14:paraId="3BFC887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auto" w:fill="auto"/>
            <w:noWrap w:val="0"/>
            <w:vAlign w:val="center"/>
          </w:tcPr>
          <w:p w14:paraId="4177D9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493E69C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43219B6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760622C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79777C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25192D5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33A59E4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997" w:type="dxa"/>
            <w:shd w:val="clear" w:color="auto" w:fill="auto"/>
            <w:noWrap w:val="0"/>
            <w:vAlign w:val="center"/>
          </w:tcPr>
          <w:p w14:paraId="3CD0351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i w:val="0"/>
                <w:iCs w:val="0"/>
                <w:color w:val="000000"/>
                <w:sz w:val="22"/>
                <w:szCs w:val="22"/>
                <w:highlight w:val="none"/>
                <w:u w:val="none"/>
              </w:rPr>
              <w:t>项目按期完成时间</w:t>
            </w:r>
          </w:p>
        </w:tc>
        <w:tc>
          <w:tcPr>
            <w:tcW w:w="1964" w:type="dxa"/>
            <w:shd w:val="clear" w:color="auto" w:fill="auto"/>
            <w:noWrap w:val="0"/>
            <w:vAlign w:val="center"/>
          </w:tcPr>
          <w:p w14:paraId="4975ABA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auto" w:fill="auto"/>
            <w:noWrap w:val="0"/>
            <w:vAlign w:val="center"/>
          </w:tcPr>
          <w:p w14:paraId="7AB3F62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14:paraId="005C91A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auto" w:fill="auto"/>
            <w:noWrap w:val="0"/>
            <w:vAlign w:val="center"/>
          </w:tcPr>
          <w:p w14:paraId="7788BC5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42CEB36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87380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shd w:val="clear" w:color="auto" w:fill="auto"/>
            <w:noWrap w:val="0"/>
            <w:vAlign w:val="center"/>
          </w:tcPr>
          <w:p w14:paraId="4B0DC44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62FC2FC3">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997" w:type="dxa"/>
            <w:shd w:val="clear" w:color="auto" w:fill="auto"/>
            <w:noWrap w:val="0"/>
            <w:vAlign w:val="center"/>
          </w:tcPr>
          <w:p w14:paraId="70F30DF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i w:val="0"/>
                <w:iCs w:val="0"/>
                <w:color w:val="000000"/>
                <w:sz w:val="22"/>
                <w:szCs w:val="22"/>
                <w:highlight w:val="none"/>
                <w:u w:val="none"/>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需方补助经费</w:t>
            </w:r>
          </w:p>
        </w:tc>
        <w:tc>
          <w:tcPr>
            <w:tcW w:w="1964" w:type="dxa"/>
            <w:shd w:val="clear" w:color="auto" w:fill="auto"/>
            <w:noWrap w:val="0"/>
            <w:vAlign w:val="center"/>
          </w:tcPr>
          <w:p w14:paraId="207EC684">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2BD1F552">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lang w:eastAsia="zh-CN"/>
              </w:rPr>
            </w:pPr>
          </w:p>
          <w:p w14:paraId="6D2DE5D8">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14:paraId="6BD0CAC7">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14:paraId="47DB1F6B">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04F844EE">
            <w:pPr>
              <w:pageBreakBefore w:val="0"/>
              <w:widowControl/>
              <w:kinsoku/>
              <w:wordWrap/>
              <w:overflowPunct/>
              <w:topLinePunct w:val="0"/>
              <w:autoSpaceDE/>
              <w:autoSpaceDN/>
              <w:bidi w:val="0"/>
              <w:spacing w:line="240" w:lineRule="auto"/>
              <w:ind w:firstLine="0" w:firstLineChars="0"/>
              <w:jc w:val="center"/>
              <w:textAlignment w:val="auto"/>
              <w:rPr>
                <w:rFonts w:hint="default" w:cs="宋体"/>
                <w:color w:val="000000"/>
                <w:kern w:val="0"/>
                <w:sz w:val="22"/>
                <w:szCs w:val="22"/>
                <w:lang w:val="en-US" w:eastAsia="zh-CN"/>
              </w:rPr>
            </w:pPr>
            <w:r>
              <w:rPr>
                <w:rFonts w:hint="eastAsia" w:cs="宋体"/>
                <w:color w:val="000000"/>
                <w:kern w:val="0"/>
                <w:sz w:val="22"/>
                <w:szCs w:val="22"/>
                <w:lang w:val="en-US" w:eastAsia="zh-CN"/>
              </w:rPr>
              <w:t>2.5</w:t>
            </w:r>
          </w:p>
        </w:tc>
        <w:tc>
          <w:tcPr>
            <w:tcW w:w="769" w:type="dxa"/>
            <w:shd w:val="clear" w:color="auto" w:fill="auto"/>
            <w:noWrap w:val="0"/>
            <w:vAlign w:val="center"/>
          </w:tcPr>
          <w:p w14:paraId="3834F42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r>
      <w:tr w14:paraId="4B1969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shd w:val="clear" w:color="auto" w:fill="auto"/>
            <w:noWrap w:val="0"/>
            <w:vAlign w:val="center"/>
          </w:tcPr>
          <w:p w14:paraId="5AD200A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5258551E">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997" w:type="dxa"/>
            <w:shd w:val="clear" w:color="auto" w:fill="auto"/>
            <w:noWrap w:val="0"/>
            <w:vAlign w:val="center"/>
          </w:tcPr>
          <w:p w14:paraId="350CE570">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其他费用</w:t>
            </w:r>
          </w:p>
        </w:tc>
        <w:tc>
          <w:tcPr>
            <w:tcW w:w="1964" w:type="dxa"/>
            <w:shd w:val="clear" w:color="auto" w:fill="auto"/>
            <w:noWrap w:val="0"/>
            <w:vAlign w:val="center"/>
          </w:tcPr>
          <w:p w14:paraId="39315908">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060B16B7">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lang w:eastAsia="zh-CN"/>
              </w:rPr>
            </w:pPr>
          </w:p>
          <w:p w14:paraId="4D42C86A">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14:paraId="241F1F79">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14:paraId="3A7BA665">
            <w:pPr>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375760BC">
            <w:pPr>
              <w:pageBreakBefore w:val="0"/>
              <w:widowControl/>
              <w:kinsoku/>
              <w:wordWrap/>
              <w:overflowPunct/>
              <w:topLinePunct w:val="0"/>
              <w:autoSpaceDE/>
              <w:autoSpaceDN/>
              <w:bidi w:val="0"/>
              <w:spacing w:line="240" w:lineRule="auto"/>
              <w:ind w:firstLine="0" w:firstLineChars="0"/>
              <w:jc w:val="center"/>
              <w:textAlignment w:val="auto"/>
              <w:rPr>
                <w:rFonts w:hint="default" w:cs="宋体"/>
                <w:color w:val="000000"/>
                <w:kern w:val="0"/>
                <w:sz w:val="22"/>
                <w:szCs w:val="22"/>
                <w:lang w:val="en-US" w:eastAsia="zh-CN"/>
              </w:rPr>
            </w:pPr>
            <w:r>
              <w:rPr>
                <w:rFonts w:hint="eastAsia" w:cs="宋体"/>
                <w:color w:val="000000"/>
                <w:kern w:val="0"/>
                <w:sz w:val="22"/>
                <w:szCs w:val="22"/>
                <w:lang w:val="en-US" w:eastAsia="zh-CN"/>
              </w:rPr>
              <w:t>2.5</w:t>
            </w:r>
          </w:p>
        </w:tc>
        <w:tc>
          <w:tcPr>
            <w:tcW w:w="769" w:type="dxa"/>
            <w:shd w:val="clear" w:color="auto" w:fill="auto"/>
            <w:noWrap w:val="0"/>
            <w:vAlign w:val="center"/>
          </w:tcPr>
          <w:p w14:paraId="07139D9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2.5</w:t>
            </w:r>
          </w:p>
        </w:tc>
      </w:tr>
      <w:tr w14:paraId="287E1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D4E67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27" w:type="dxa"/>
            <w:vMerge w:val="restart"/>
            <w:shd w:val="clear" w:color="auto" w:fill="auto"/>
            <w:noWrap w:val="0"/>
            <w:vAlign w:val="center"/>
          </w:tcPr>
          <w:p w14:paraId="54FC402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997" w:type="dxa"/>
            <w:shd w:val="clear" w:color="auto" w:fill="auto"/>
            <w:noWrap w:val="0"/>
            <w:vAlign w:val="center"/>
          </w:tcPr>
          <w:p w14:paraId="5EAFD2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i w:val="0"/>
                <w:iCs w:val="0"/>
                <w:color w:val="000000"/>
                <w:sz w:val="22"/>
                <w:szCs w:val="22"/>
                <w:highlight w:val="none"/>
                <w:u w:val="none"/>
              </w:rPr>
              <w:t>基本公共卫生服务水平</w:t>
            </w:r>
          </w:p>
        </w:tc>
        <w:tc>
          <w:tcPr>
            <w:tcW w:w="1964" w:type="dxa"/>
            <w:shd w:val="clear" w:color="auto" w:fill="auto"/>
            <w:noWrap w:val="0"/>
            <w:vAlign w:val="center"/>
          </w:tcPr>
          <w:p w14:paraId="3CF749D9">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auto"/>
            <w:noWrap w:val="0"/>
            <w:vAlign w:val="center"/>
          </w:tcPr>
          <w:p w14:paraId="56985A5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46C0F15D">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11E64D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E1152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354FC07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3627AB2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997" w:type="dxa"/>
            <w:shd w:val="clear" w:color="auto" w:fill="auto"/>
            <w:noWrap w:val="0"/>
            <w:vAlign w:val="center"/>
          </w:tcPr>
          <w:p w14:paraId="24D6EB7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i w:val="0"/>
                <w:iCs w:val="0"/>
                <w:color w:val="000000"/>
                <w:sz w:val="22"/>
                <w:szCs w:val="22"/>
                <w:highlight w:val="none"/>
                <w:u w:val="none"/>
              </w:rPr>
              <w:t>老年人健康服务水平</w:t>
            </w:r>
          </w:p>
        </w:tc>
        <w:tc>
          <w:tcPr>
            <w:tcW w:w="1964" w:type="dxa"/>
            <w:shd w:val="clear" w:color="auto" w:fill="auto"/>
            <w:noWrap w:val="0"/>
            <w:vAlign w:val="center"/>
          </w:tcPr>
          <w:p w14:paraId="77FABD4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项目实施所产生的效益。</w:t>
            </w:r>
          </w:p>
        </w:tc>
        <w:tc>
          <w:tcPr>
            <w:tcW w:w="7821" w:type="dxa"/>
            <w:shd w:val="clear" w:color="auto" w:fill="auto"/>
            <w:noWrap w:val="0"/>
            <w:vAlign w:val="center"/>
          </w:tcPr>
          <w:p w14:paraId="6053E08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49A1CC0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bidi="ar-SA"/>
              </w:rPr>
            </w:pPr>
            <w:r>
              <w:rPr>
                <w:rFonts w:hint="eastAsia" w:cs="宋体"/>
                <w:color w:val="000000"/>
                <w:kern w:val="0"/>
                <w:sz w:val="22"/>
                <w:szCs w:val="22"/>
                <w:lang w:val="en-US" w:eastAsia="zh-CN"/>
              </w:rPr>
              <w:t>5</w:t>
            </w:r>
          </w:p>
        </w:tc>
        <w:tc>
          <w:tcPr>
            <w:tcW w:w="769" w:type="dxa"/>
            <w:shd w:val="clear" w:color="auto" w:fill="auto"/>
            <w:noWrap w:val="0"/>
            <w:vAlign w:val="center"/>
          </w:tcPr>
          <w:p w14:paraId="51E1579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14:paraId="29244B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4298B3A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5FCB1FC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997" w:type="dxa"/>
            <w:shd w:val="clear" w:color="auto" w:fill="auto"/>
            <w:noWrap w:val="0"/>
            <w:vAlign w:val="center"/>
          </w:tcPr>
          <w:p w14:paraId="5EBB6AA5">
            <w:pPr>
              <w:pageBreakBefore w:val="0"/>
              <w:widowControl/>
              <w:kinsoku/>
              <w:wordWrap/>
              <w:overflowPunct/>
              <w:topLinePunct w:val="0"/>
              <w:autoSpaceDE/>
              <w:autoSpaceDN/>
              <w:bidi w:val="0"/>
              <w:adjustRightInd/>
              <w:spacing w:line="240" w:lineRule="exact"/>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居民满意度</w:t>
            </w:r>
          </w:p>
        </w:tc>
        <w:tc>
          <w:tcPr>
            <w:tcW w:w="1964" w:type="dxa"/>
            <w:shd w:val="clear" w:color="auto" w:fill="auto"/>
            <w:noWrap w:val="0"/>
            <w:vAlign w:val="center"/>
          </w:tcPr>
          <w:p w14:paraId="357A281E">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highlight w:val="none"/>
              </w:rPr>
              <w:t>社会公众或服务对象对项目实施效果的满意程度。</w:t>
            </w:r>
          </w:p>
        </w:tc>
        <w:tc>
          <w:tcPr>
            <w:tcW w:w="7821" w:type="dxa"/>
            <w:shd w:val="clear" w:color="auto" w:fill="auto"/>
            <w:noWrap w:val="0"/>
            <w:vAlign w:val="center"/>
          </w:tcPr>
          <w:p w14:paraId="63032030">
            <w:pPr>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0747DA36">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auto" w:fill="auto"/>
            <w:noWrap w:val="0"/>
            <w:vAlign w:val="center"/>
          </w:tcPr>
          <w:p w14:paraId="31631DD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194B82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79B2F93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合计</w:t>
            </w:r>
          </w:p>
        </w:tc>
        <w:tc>
          <w:tcPr>
            <w:tcW w:w="7821" w:type="dxa"/>
            <w:shd w:val="clear" w:color="auto" w:fill="auto"/>
            <w:noWrap w:val="0"/>
            <w:vAlign w:val="center"/>
          </w:tcPr>
          <w:p w14:paraId="10DEE9C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c>
          <w:tcPr>
            <w:tcW w:w="785" w:type="dxa"/>
            <w:shd w:val="clear" w:color="auto" w:fill="auto"/>
            <w:noWrap w:val="0"/>
            <w:vAlign w:val="center"/>
          </w:tcPr>
          <w:p w14:paraId="352C83E0">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100</w:t>
            </w:r>
          </w:p>
        </w:tc>
        <w:tc>
          <w:tcPr>
            <w:tcW w:w="769" w:type="dxa"/>
            <w:shd w:val="clear" w:color="auto" w:fill="auto"/>
            <w:noWrap w:val="0"/>
            <w:vAlign w:val="center"/>
          </w:tcPr>
          <w:p w14:paraId="56C3600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99</w:t>
            </w:r>
          </w:p>
        </w:tc>
      </w:tr>
    </w:tbl>
    <w:p w14:paraId="435BA7CE">
      <w:pPr>
        <w:pageBreakBefore w:val="0"/>
        <w:kinsoku/>
        <w:wordWrap/>
        <w:overflowPunct/>
        <w:topLinePunct w:val="0"/>
        <w:autoSpaceDE/>
        <w:autoSpaceDN/>
        <w:bidi w:val="0"/>
        <w:adjustRightInd/>
        <w:spacing w:line="560" w:lineRule="exact"/>
        <w:ind w:left="0" w:leftChars="0" w:firstLine="0" w:firstLineChars="0"/>
        <w:textAlignment w:val="auto"/>
        <w:rPr>
          <w:rFonts w:hint="default"/>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roman"/>
    <w:pitch w:val="default"/>
    <w:sig w:usb0="00000000" w:usb1="00000000" w:usb2="00000000" w:usb3="00000000" w:csb0="00040000" w:csb1="00000000"/>
  </w:font>
  <w:font w:name="MS Sans Serif">
    <w:altName w:val="Arial"/>
    <w:panose1 w:val="00000000000000000000"/>
    <w:charset w:val="00"/>
    <w:family w:val="modern"/>
    <w:pitch w:val="default"/>
    <w:sig w:usb0="00000000" w:usb1="00000000" w:usb2="00000000" w:usb3="00000000" w:csb0="00000001" w:csb1="00000000"/>
  </w:font>
  <w:font w:name="Arial Unicode MS">
    <w:panose1 w:val="020B0604020202020204"/>
    <w:charset w:val="86"/>
    <w:family w:val="modern"/>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7E5DF">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3DDCB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A3DDCB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EAAA83"/>
    <w:multiLevelType w:val="singleLevel"/>
    <w:tmpl w:val="D0EAAA83"/>
    <w:lvl w:ilvl="0" w:tentative="0">
      <w:start w:val="1"/>
      <w:numFmt w:val="decimal"/>
      <w:suff w:val="nothing"/>
      <w:lvlText w:val="（%1）"/>
      <w:lvlJc w:val="left"/>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680F1453"/>
    <w:multiLevelType w:val="singleLevel"/>
    <w:tmpl w:val="680F1453"/>
    <w:lvl w:ilvl="0" w:tentative="0">
      <w:start w:val="3"/>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6C1CC0"/>
    <w:rsid w:val="007D6A04"/>
    <w:rsid w:val="00806CB5"/>
    <w:rsid w:val="00E23C81"/>
    <w:rsid w:val="01253350"/>
    <w:rsid w:val="01282E62"/>
    <w:rsid w:val="014029CF"/>
    <w:rsid w:val="01470C4C"/>
    <w:rsid w:val="016140C6"/>
    <w:rsid w:val="01BC06E8"/>
    <w:rsid w:val="021F4739"/>
    <w:rsid w:val="02200440"/>
    <w:rsid w:val="02284B43"/>
    <w:rsid w:val="02847038"/>
    <w:rsid w:val="02B015E2"/>
    <w:rsid w:val="02DC08FA"/>
    <w:rsid w:val="033B569D"/>
    <w:rsid w:val="03701033"/>
    <w:rsid w:val="039C3BA0"/>
    <w:rsid w:val="03A845BB"/>
    <w:rsid w:val="03B45AD1"/>
    <w:rsid w:val="03E54622"/>
    <w:rsid w:val="04D12EE4"/>
    <w:rsid w:val="04D63993"/>
    <w:rsid w:val="04EA264E"/>
    <w:rsid w:val="04F41533"/>
    <w:rsid w:val="05277080"/>
    <w:rsid w:val="07890F4F"/>
    <w:rsid w:val="087A5175"/>
    <w:rsid w:val="08892439"/>
    <w:rsid w:val="08A53B3F"/>
    <w:rsid w:val="08EB30F3"/>
    <w:rsid w:val="08FF54D2"/>
    <w:rsid w:val="09237408"/>
    <w:rsid w:val="09781BD6"/>
    <w:rsid w:val="09F359DF"/>
    <w:rsid w:val="09F81E67"/>
    <w:rsid w:val="0A575E65"/>
    <w:rsid w:val="0ACA0AB6"/>
    <w:rsid w:val="0B8178FC"/>
    <w:rsid w:val="0BB22AC4"/>
    <w:rsid w:val="0C032502"/>
    <w:rsid w:val="0C27698C"/>
    <w:rsid w:val="0C961836"/>
    <w:rsid w:val="0D4452F3"/>
    <w:rsid w:val="0E19612F"/>
    <w:rsid w:val="0E1A3BB0"/>
    <w:rsid w:val="0F3D4FBB"/>
    <w:rsid w:val="0F5E5042"/>
    <w:rsid w:val="0FE95707"/>
    <w:rsid w:val="10510571"/>
    <w:rsid w:val="10787A20"/>
    <w:rsid w:val="108672DE"/>
    <w:rsid w:val="10A27D57"/>
    <w:rsid w:val="10EC685A"/>
    <w:rsid w:val="11C61F73"/>
    <w:rsid w:val="11FA6155"/>
    <w:rsid w:val="12041F1C"/>
    <w:rsid w:val="12CF0947"/>
    <w:rsid w:val="12F1313F"/>
    <w:rsid w:val="136C678E"/>
    <w:rsid w:val="137B0804"/>
    <w:rsid w:val="13EB2FF5"/>
    <w:rsid w:val="14ED4CAC"/>
    <w:rsid w:val="15A46B04"/>
    <w:rsid w:val="160B3E0B"/>
    <w:rsid w:val="165825BC"/>
    <w:rsid w:val="16BC5D73"/>
    <w:rsid w:val="17681CF4"/>
    <w:rsid w:val="17697775"/>
    <w:rsid w:val="176F36D7"/>
    <w:rsid w:val="1795226D"/>
    <w:rsid w:val="181A703D"/>
    <w:rsid w:val="18456B1E"/>
    <w:rsid w:val="18AB120D"/>
    <w:rsid w:val="19CF5B0F"/>
    <w:rsid w:val="1C1171C5"/>
    <w:rsid w:val="1C387059"/>
    <w:rsid w:val="1C8D7DE8"/>
    <w:rsid w:val="1D265138"/>
    <w:rsid w:val="1D7B6BCA"/>
    <w:rsid w:val="1DA41A79"/>
    <w:rsid w:val="1DF53469"/>
    <w:rsid w:val="1E2F24F2"/>
    <w:rsid w:val="1E58492F"/>
    <w:rsid w:val="1E5B6757"/>
    <w:rsid w:val="1ED10AC6"/>
    <w:rsid w:val="1F89225F"/>
    <w:rsid w:val="1F900A1F"/>
    <w:rsid w:val="1FC0575D"/>
    <w:rsid w:val="1FC93A32"/>
    <w:rsid w:val="203E4CF5"/>
    <w:rsid w:val="206132C7"/>
    <w:rsid w:val="21B00C1D"/>
    <w:rsid w:val="22D0310B"/>
    <w:rsid w:val="23031BEB"/>
    <w:rsid w:val="23917691"/>
    <w:rsid w:val="244D65B8"/>
    <w:rsid w:val="245E1E24"/>
    <w:rsid w:val="25AD5E5D"/>
    <w:rsid w:val="25BD29C8"/>
    <w:rsid w:val="260215D7"/>
    <w:rsid w:val="2732478D"/>
    <w:rsid w:val="27606603"/>
    <w:rsid w:val="27661469"/>
    <w:rsid w:val="276D1523"/>
    <w:rsid w:val="27900EAD"/>
    <w:rsid w:val="279B538A"/>
    <w:rsid w:val="283B1A59"/>
    <w:rsid w:val="283C7871"/>
    <w:rsid w:val="286F545C"/>
    <w:rsid w:val="29314FBC"/>
    <w:rsid w:val="2969197F"/>
    <w:rsid w:val="2A982071"/>
    <w:rsid w:val="2AA2081A"/>
    <w:rsid w:val="2AF15F83"/>
    <w:rsid w:val="2C024B86"/>
    <w:rsid w:val="2C1C1661"/>
    <w:rsid w:val="2C927671"/>
    <w:rsid w:val="2C9E3384"/>
    <w:rsid w:val="2CC6306F"/>
    <w:rsid w:val="2CF95886"/>
    <w:rsid w:val="2D7C5CD6"/>
    <w:rsid w:val="2E483E7E"/>
    <w:rsid w:val="2E690493"/>
    <w:rsid w:val="2E9854BD"/>
    <w:rsid w:val="2EB4662E"/>
    <w:rsid w:val="2EEB0D06"/>
    <w:rsid w:val="2F0D407F"/>
    <w:rsid w:val="2F454B19"/>
    <w:rsid w:val="2FAC1888"/>
    <w:rsid w:val="30950D9D"/>
    <w:rsid w:val="30CB379B"/>
    <w:rsid w:val="30F43A81"/>
    <w:rsid w:val="310224D9"/>
    <w:rsid w:val="31375CE4"/>
    <w:rsid w:val="3172522D"/>
    <w:rsid w:val="31B4621C"/>
    <w:rsid w:val="31E3230A"/>
    <w:rsid w:val="326822C2"/>
    <w:rsid w:val="32981347"/>
    <w:rsid w:val="32B25BB9"/>
    <w:rsid w:val="330957E0"/>
    <w:rsid w:val="33356F64"/>
    <w:rsid w:val="333643AC"/>
    <w:rsid w:val="33944516"/>
    <w:rsid w:val="34B62907"/>
    <w:rsid w:val="34E013BF"/>
    <w:rsid w:val="353558D8"/>
    <w:rsid w:val="35494647"/>
    <w:rsid w:val="36A033AE"/>
    <w:rsid w:val="36BD137C"/>
    <w:rsid w:val="37E551C2"/>
    <w:rsid w:val="38053EDF"/>
    <w:rsid w:val="380812A4"/>
    <w:rsid w:val="385D37E7"/>
    <w:rsid w:val="38782EDD"/>
    <w:rsid w:val="3B42664A"/>
    <w:rsid w:val="3B644CA0"/>
    <w:rsid w:val="3BC4467A"/>
    <w:rsid w:val="3CAD1E92"/>
    <w:rsid w:val="3CE57F6B"/>
    <w:rsid w:val="3D836A4E"/>
    <w:rsid w:val="3EA37E97"/>
    <w:rsid w:val="3FBE0BC5"/>
    <w:rsid w:val="3FD8219A"/>
    <w:rsid w:val="400E0FA4"/>
    <w:rsid w:val="4048103A"/>
    <w:rsid w:val="40736643"/>
    <w:rsid w:val="40D24A7A"/>
    <w:rsid w:val="41DB2819"/>
    <w:rsid w:val="42621029"/>
    <w:rsid w:val="435241E2"/>
    <w:rsid w:val="43975C51"/>
    <w:rsid w:val="439E3FA7"/>
    <w:rsid w:val="44B32266"/>
    <w:rsid w:val="44FC64F4"/>
    <w:rsid w:val="44FF2E32"/>
    <w:rsid w:val="45347382"/>
    <w:rsid w:val="45531B4B"/>
    <w:rsid w:val="457C2072"/>
    <w:rsid w:val="45AB21DA"/>
    <w:rsid w:val="46317EB5"/>
    <w:rsid w:val="467F4585"/>
    <w:rsid w:val="470628CB"/>
    <w:rsid w:val="4729480B"/>
    <w:rsid w:val="474C4ED6"/>
    <w:rsid w:val="47555BD4"/>
    <w:rsid w:val="47BC2DB1"/>
    <w:rsid w:val="47E96399"/>
    <w:rsid w:val="47F76025"/>
    <w:rsid w:val="482E66B6"/>
    <w:rsid w:val="486A20DE"/>
    <w:rsid w:val="486E33F5"/>
    <w:rsid w:val="48E12B50"/>
    <w:rsid w:val="48FA43EF"/>
    <w:rsid w:val="499441BE"/>
    <w:rsid w:val="499A6C1C"/>
    <w:rsid w:val="4A195607"/>
    <w:rsid w:val="4A2138F0"/>
    <w:rsid w:val="4A583887"/>
    <w:rsid w:val="4B9F6E02"/>
    <w:rsid w:val="4BA852D0"/>
    <w:rsid w:val="4C154C91"/>
    <w:rsid w:val="4C501069"/>
    <w:rsid w:val="4C89637B"/>
    <w:rsid w:val="4D067A9D"/>
    <w:rsid w:val="4D8352B9"/>
    <w:rsid w:val="4E2C65E9"/>
    <w:rsid w:val="4E6E48A8"/>
    <w:rsid w:val="4E7D3CF5"/>
    <w:rsid w:val="4EEC036B"/>
    <w:rsid w:val="4F5627E5"/>
    <w:rsid w:val="4F714FA1"/>
    <w:rsid w:val="4FA316C0"/>
    <w:rsid w:val="501D2673"/>
    <w:rsid w:val="50A3455B"/>
    <w:rsid w:val="50C80BF1"/>
    <w:rsid w:val="51852833"/>
    <w:rsid w:val="52316BE6"/>
    <w:rsid w:val="52F11AC8"/>
    <w:rsid w:val="532F6B09"/>
    <w:rsid w:val="534F49D9"/>
    <w:rsid w:val="53555F0F"/>
    <w:rsid w:val="535D23D5"/>
    <w:rsid w:val="54E23F51"/>
    <w:rsid w:val="550A3391"/>
    <w:rsid w:val="556E1F78"/>
    <w:rsid w:val="56F4341A"/>
    <w:rsid w:val="575A7321"/>
    <w:rsid w:val="57C16588"/>
    <w:rsid w:val="57CA4F61"/>
    <w:rsid w:val="580C3AB9"/>
    <w:rsid w:val="58211E24"/>
    <w:rsid w:val="583C7AE0"/>
    <w:rsid w:val="586C1E9A"/>
    <w:rsid w:val="586E0800"/>
    <w:rsid w:val="58703499"/>
    <w:rsid w:val="58815767"/>
    <w:rsid w:val="59216F96"/>
    <w:rsid w:val="598C4145"/>
    <w:rsid w:val="59957D1B"/>
    <w:rsid w:val="59D4294E"/>
    <w:rsid w:val="5A4B6B1B"/>
    <w:rsid w:val="5B220213"/>
    <w:rsid w:val="5B4403C8"/>
    <w:rsid w:val="5B634312"/>
    <w:rsid w:val="5B9D2CCD"/>
    <w:rsid w:val="5B9E71EA"/>
    <w:rsid w:val="5BF32AEA"/>
    <w:rsid w:val="5D2A05E8"/>
    <w:rsid w:val="5D8474BF"/>
    <w:rsid w:val="5DA36C57"/>
    <w:rsid w:val="5DA6386A"/>
    <w:rsid w:val="5E226FBC"/>
    <w:rsid w:val="5F25747F"/>
    <w:rsid w:val="5FE72BD2"/>
    <w:rsid w:val="5FFA2985"/>
    <w:rsid w:val="60120613"/>
    <w:rsid w:val="6055781B"/>
    <w:rsid w:val="618D5292"/>
    <w:rsid w:val="622E78FA"/>
    <w:rsid w:val="632E6C6D"/>
    <w:rsid w:val="63343F70"/>
    <w:rsid w:val="638F59E4"/>
    <w:rsid w:val="64296E1C"/>
    <w:rsid w:val="64386FCC"/>
    <w:rsid w:val="64844FF7"/>
    <w:rsid w:val="649E64A2"/>
    <w:rsid w:val="65E5270A"/>
    <w:rsid w:val="663D3C54"/>
    <w:rsid w:val="666F7BCA"/>
    <w:rsid w:val="667A6962"/>
    <w:rsid w:val="66862C89"/>
    <w:rsid w:val="66BB486D"/>
    <w:rsid w:val="66C60A29"/>
    <w:rsid w:val="67286249"/>
    <w:rsid w:val="67394C7D"/>
    <w:rsid w:val="68126B38"/>
    <w:rsid w:val="68291A1A"/>
    <w:rsid w:val="68352BB8"/>
    <w:rsid w:val="688D14E7"/>
    <w:rsid w:val="691327EB"/>
    <w:rsid w:val="691B1594"/>
    <w:rsid w:val="693A016B"/>
    <w:rsid w:val="6A17429C"/>
    <w:rsid w:val="6A567EA3"/>
    <w:rsid w:val="6AA96DFB"/>
    <w:rsid w:val="6AC62E6D"/>
    <w:rsid w:val="6B4B4368"/>
    <w:rsid w:val="6B4D7F19"/>
    <w:rsid w:val="6B79100E"/>
    <w:rsid w:val="6C621FDF"/>
    <w:rsid w:val="6C844C00"/>
    <w:rsid w:val="6DE211D7"/>
    <w:rsid w:val="6E10212C"/>
    <w:rsid w:val="6E43561A"/>
    <w:rsid w:val="6E557973"/>
    <w:rsid w:val="6E837EFB"/>
    <w:rsid w:val="6E9568DB"/>
    <w:rsid w:val="6E981950"/>
    <w:rsid w:val="6EE36356"/>
    <w:rsid w:val="6F0D6C22"/>
    <w:rsid w:val="6F47657F"/>
    <w:rsid w:val="6FAF23D9"/>
    <w:rsid w:val="70635CF6"/>
    <w:rsid w:val="70670707"/>
    <w:rsid w:val="712653F0"/>
    <w:rsid w:val="720E3691"/>
    <w:rsid w:val="7249173A"/>
    <w:rsid w:val="724E244C"/>
    <w:rsid w:val="72DA6946"/>
    <w:rsid w:val="732764B3"/>
    <w:rsid w:val="738D3920"/>
    <w:rsid w:val="74026044"/>
    <w:rsid w:val="74325A77"/>
    <w:rsid w:val="74746410"/>
    <w:rsid w:val="755169DA"/>
    <w:rsid w:val="759D6F04"/>
    <w:rsid w:val="75C8506C"/>
    <w:rsid w:val="75E5007C"/>
    <w:rsid w:val="766E39D9"/>
    <w:rsid w:val="77636B63"/>
    <w:rsid w:val="77813724"/>
    <w:rsid w:val="77861774"/>
    <w:rsid w:val="78C04F89"/>
    <w:rsid w:val="78F31435"/>
    <w:rsid w:val="790D1244"/>
    <w:rsid w:val="79300B45"/>
    <w:rsid w:val="794D3E18"/>
    <w:rsid w:val="79E2448B"/>
    <w:rsid w:val="79F3729A"/>
    <w:rsid w:val="7A6029D5"/>
    <w:rsid w:val="7A880722"/>
    <w:rsid w:val="7ABE6120"/>
    <w:rsid w:val="7ACB0498"/>
    <w:rsid w:val="7AED0B4D"/>
    <w:rsid w:val="7BB65505"/>
    <w:rsid w:val="7BBF4419"/>
    <w:rsid w:val="7BEE2DA1"/>
    <w:rsid w:val="7C1E4487"/>
    <w:rsid w:val="7C215E02"/>
    <w:rsid w:val="7CE51F23"/>
    <w:rsid w:val="7CF23764"/>
    <w:rsid w:val="7D851A94"/>
    <w:rsid w:val="7D962A91"/>
    <w:rsid w:val="7DB649CF"/>
    <w:rsid w:val="7E797F74"/>
    <w:rsid w:val="7E9B3FC3"/>
    <w:rsid w:val="7EB625EF"/>
    <w:rsid w:val="7F38184C"/>
    <w:rsid w:val="7F403A04"/>
    <w:rsid w:val="7F924011"/>
    <w:rsid w:val="7FC52D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11400</Words>
  <Characters>12056</Characters>
  <Lines>0</Lines>
  <Paragraphs>0</Paragraphs>
  <TotalTime>1</TotalTime>
  <ScaleCrop>false</ScaleCrop>
  <LinksUpToDate>false</LinksUpToDate>
  <CharactersWithSpaces>12203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cp:lastPrinted>2025-05-01T05:03:00Z</cp:lastPrinted>
  <dcterms:modified xsi:type="dcterms:W3CDTF">2025-10-23T05:31:30Z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